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adjustRightInd w:val="0"/>
        <w:snapToGrid w:val="0"/>
        <w:spacing w:line="600" w:lineRule="exact"/>
        <w:ind w:left="0" w:leftChars="0" w:firstLine="420" w:firstLineChars="15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东莞文旅有限公司</w:t>
      </w:r>
      <w:r>
        <w:rPr>
          <w:rFonts w:hint="eastAsia" w:asciiTheme="minorEastAsia" w:hAnsiTheme="minorEastAsia" w:eastAsiaTheme="minorEastAsia"/>
          <w:color w:val="000000" w:themeColor="text1"/>
          <w:sz w:val="28"/>
          <w:szCs w:val="28"/>
          <w:u w:val="none"/>
          <w:lang w:eastAsia="zh-CN"/>
          <w14:textFill>
            <w14:solidFill>
              <w14:schemeClr w14:val="tx1"/>
            </w14:solidFill>
          </w14:textFill>
        </w:rPr>
        <w:t>BOX篮球印巷</w:t>
      </w: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项目</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需要采购一家施工单位，完成</w:t>
      </w:r>
      <w:r>
        <w:rPr>
          <w:rFonts w:hint="eastAsia" w:asciiTheme="minorEastAsia" w:hAnsiTheme="minorEastAsia" w:eastAsiaTheme="minorEastAsia"/>
          <w:color w:val="000000" w:themeColor="text1"/>
          <w:sz w:val="28"/>
          <w:szCs w:val="28"/>
          <w:lang w:eastAsia="zh-CN"/>
          <w14:textFill>
            <w14:solidFill>
              <w14:schemeClr w14:val="tx1"/>
            </w14:solidFill>
          </w14:textFill>
        </w:rPr>
        <w:t>BOX篮球印巷5号门停车场改造施工，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现将相关情况介绍如下</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6851FD31">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一、项目名称及内容</w:t>
      </w:r>
    </w:p>
    <w:p w14:paraId="107E2839">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1、项目名称：</w:t>
      </w:r>
      <w:r>
        <w:rPr>
          <w:rFonts w:hint="eastAsia" w:asciiTheme="minorEastAsia" w:hAnsiTheme="minorEastAsia" w:eastAsiaTheme="minorEastAsia"/>
          <w:color w:val="000000" w:themeColor="text1"/>
          <w:sz w:val="28"/>
          <w:szCs w:val="28"/>
          <w:lang w:eastAsia="zh-CN"/>
          <w14:textFill>
            <w14:solidFill>
              <w14:schemeClr w14:val="tx1"/>
            </w14:solidFill>
          </w14:textFill>
        </w:rPr>
        <w:t>BOX篮球印巷5号门停车场改造施工采购项目</w:t>
      </w:r>
    </w:p>
    <w:p w14:paraId="6BAEF218">
      <w:pPr>
        <w:adjustRightInd w:val="0"/>
        <w:snapToGrid w:val="0"/>
        <w:spacing w:line="600" w:lineRule="exact"/>
        <w:ind w:firstLine="560" w:firstLineChars="200"/>
        <w:rPr>
          <w:rFonts w:hint="eastAsia" w:eastAsiaTheme="minorEastAsia"/>
          <w:lang w:val="en-US" w:eastAsia="zh-CN"/>
        </w:rPr>
      </w:pPr>
      <w:r>
        <w:rPr>
          <w:rFonts w:hint="eastAsia" w:asciiTheme="minorEastAsia" w:hAnsiTheme="minorEastAsia" w:eastAsiaTheme="minorEastAsia"/>
          <w:color w:val="000000" w:themeColor="text1"/>
          <w:sz w:val="28"/>
          <w:szCs w:val="28"/>
          <w14:textFill>
            <w14:solidFill>
              <w14:schemeClr w14:val="tx1"/>
            </w14:solidFill>
          </w14:textFill>
        </w:rPr>
        <w:t>2、项目</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地点</w:t>
      </w:r>
      <w:r>
        <w:rPr>
          <w:rFonts w:hint="eastAsia" w:asciiTheme="minorEastAsia" w:hAnsiTheme="minorEastAsia" w:eastAsiaTheme="minorEastAsia"/>
          <w:color w:val="000000" w:themeColor="text1"/>
          <w:sz w:val="28"/>
          <w:szCs w:val="28"/>
          <w14:textFill>
            <w14:solidFill>
              <w14:schemeClr w14:val="tx1"/>
            </w14:solidFill>
          </w14:textFill>
        </w:rPr>
        <w:t>：广东省东莞市东莞市寮步镇龙胜路东莞银行篮球中心</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5号门旁</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440F8E98">
      <w:pPr>
        <w:adjustRightInd w:val="0"/>
        <w:snapToGrid w:val="0"/>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3、项目内容：详见工程清单等。</w:t>
      </w:r>
    </w:p>
    <w:p w14:paraId="02C8C2E7">
      <w:pPr>
        <w:adjustRightInd w:val="0"/>
        <w:snapToGrid w:val="0"/>
        <w:spacing w:line="600" w:lineRule="exact"/>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二、项目发布</w:t>
      </w:r>
    </w:p>
    <w:p w14:paraId="791331A1">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本采购项目信息在东莞实业投资控股集团有限公司网站（</w:t>
      </w:r>
      <w:r>
        <w:rPr>
          <w:rFonts w:asciiTheme="minorEastAsia" w:hAnsiTheme="minorEastAsia" w:eastAsiaTheme="minorEastAsia"/>
          <w:color w:val="000000" w:themeColor="text1"/>
          <w:sz w:val="28"/>
          <w:szCs w:val="28"/>
          <w14:textFill>
            <w14:solidFill>
              <w14:schemeClr w14:val="tx1"/>
            </w14:solidFill>
          </w14:textFill>
        </w:rPr>
        <w:t>http://www.dgsy.com.cn/</w:t>
      </w:r>
      <w:r>
        <w:rPr>
          <w:rFonts w:hint="eastAsia" w:asciiTheme="minorEastAsia" w:hAnsiTheme="minorEastAsia" w:eastAsiaTheme="minorEastAsia"/>
          <w:color w:val="000000" w:themeColor="text1"/>
          <w:sz w:val="28"/>
          <w:szCs w:val="28"/>
          <w14:textFill>
            <w14:solidFill>
              <w14:schemeClr w14:val="tx1"/>
            </w14:solidFill>
          </w14:textFill>
        </w:rPr>
        <w:t>）发布。</w:t>
      </w:r>
    </w:p>
    <w:p w14:paraId="2C84C216">
      <w:pPr>
        <w:adjustRightInd w:val="0"/>
        <w:snapToGrid w:val="0"/>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三、响应人资格要求</w:t>
      </w:r>
    </w:p>
    <w:p w14:paraId="13D99C1B">
      <w:pPr>
        <w:spacing w:line="360" w:lineRule="auto"/>
        <w:ind w:firstLine="560" w:firstLineChars="200"/>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4C4419F">
      <w:pPr>
        <w:spacing w:line="360" w:lineRule="auto"/>
        <w:ind w:firstLine="560" w:firstLineChars="200"/>
        <w:rPr>
          <w:rFonts w:hint="eastAsia"/>
          <w:lang w:val="en-US" w:eastAsia="zh-CN"/>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响应人须具</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有</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自2022年10月1日起至今的同类型施工业绩（如商业综合体停车场改造工程等），且合同金额</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不低于6万元</w:t>
      </w:r>
      <w:r>
        <w:rPr>
          <w:rFonts w:hint="eastAsia" w:cs="Times New Roman" w:asciiTheme="minorEastAsia" w:hAnsiTheme="minorEastAsia" w:eastAsia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14:textFill>
            <w14:solidFill>
              <w14:schemeClr w14:val="tx1"/>
            </w14:solidFill>
          </w14:textFill>
        </w:rPr>
        <w:t>提供至少</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4</w:t>
      </w:r>
      <w:r>
        <w:rPr>
          <w:rFonts w:hint="eastAsia" w:asciiTheme="minorEastAsia" w:hAnsiTheme="minorEastAsia" w:eastAsiaTheme="minorEastAsia"/>
          <w:color w:val="000000" w:themeColor="text1"/>
          <w:sz w:val="28"/>
          <w:szCs w:val="28"/>
          <w:highlight w:val="none"/>
          <w14:textFill>
            <w14:solidFill>
              <w14:schemeClr w14:val="tx1"/>
            </w14:solidFill>
          </w14:textFill>
        </w:rPr>
        <w:t>个</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合同</w:t>
      </w:r>
      <w:r>
        <w:rPr>
          <w:rFonts w:hint="eastAsia" w:asciiTheme="minorEastAsia" w:hAnsiTheme="minorEastAsia" w:eastAsiaTheme="minorEastAsia"/>
          <w:color w:val="000000" w:themeColor="text1"/>
          <w:sz w:val="28"/>
          <w:szCs w:val="28"/>
          <w:highlight w:val="none"/>
          <w14:textFill>
            <w14:solidFill>
              <w14:schemeClr w14:val="tx1"/>
            </w14:solidFill>
          </w14:textFill>
        </w:rPr>
        <w:t>业绩。</w:t>
      </w:r>
      <w:r>
        <w:rPr>
          <w:rFonts w:hint="eastAsia" w:cs="Times New Roman" w:asciiTheme="minorEastAsia" w:hAnsiTheme="minorEastAsia" w:eastAsiaTheme="minorEastAsia"/>
          <w:b/>
          <w:bCs/>
          <w:color w:val="000000" w:themeColor="text1"/>
          <w:sz w:val="28"/>
          <w:szCs w:val="28"/>
          <w:highlight w:val="none"/>
          <w:lang w:val="en-US" w:eastAsia="zh-CN"/>
          <w14:textFill>
            <w14:solidFill>
              <w14:schemeClr w14:val="tx1"/>
            </w14:solidFill>
          </w14:textFill>
        </w:rPr>
        <w:t>【按合同签订时间为准，1.须提供合同关键页复印件（提供的内容包含但不限于合同首页、合同金额及服务内容页、合同签字页），2.该合同期内任意一期发票复印件。（均加盖公章）】</w:t>
      </w:r>
    </w:p>
    <w:p w14:paraId="06F26CA8">
      <w:pPr>
        <w:shd w:val="clear"/>
        <w:spacing w:line="600" w:lineRule="exact"/>
        <w:ind w:firstLine="560" w:firstLineChars="200"/>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val="0"/>
          <w:bCs w:val="0"/>
          <w:color w:val="000000" w:themeColor="text1"/>
          <w:kern w:val="2"/>
          <w:sz w:val="28"/>
          <w:szCs w:val="28"/>
          <w:lang w:val="en-US" w:eastAsia="zh-CN" w:bidi="ar-SA"/>
          <w14:textFill>
            <w14:solidFill>
              <w14:schemeClr w14:val="tx1"/>
            </w14:solidFill>
          </w14:textFill>
        </w:rPr>
        <w:t>3、</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069ACE03">
      <w:pPr>
        <w:adjustRightInd w:val="0"/>
        <w:snapToGrid w:val="0"/>
        <w:spacing w:line="600" w:lineRule="exact"/>
        <w:ind w:firstLine="560" w:firstLineChars="200"/>
        <w:rPr>
          <w:rFonts w:hint="default" w:cs="Times New Roman"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四、</w:t>
      </w:r>
      <w:r>
        <w:rPr>
          <w:rFonts w:hint="eastAsia" w:cs="Times New Roman" w:asciiTheme="minorEastAsia" w:hAnsiTheme="minorEastAsia" w:eastAsiaTheme="minorEastAsia"/>
          <w:b/>
          <w:bCs/>
          <w:color w:val="000000" w:themeColor="text1"/>
          <w:sz w:val="28"/>
          <w:szCs w:val="28"/>
          <w:lang w:val="en-US" w:eastAsia="zh-CN"/>
          <w14:textFill>
            <w14:solidFill>
              <w14:schemeClr w14:val="tx1"/>
            </w14:solidFill>
          </w14:textFill>
        </w:rPr>
        <w:t>项目相关</w:t>
      </w:r>
      <w:r>
        <w:rPr>
          <w:rFonts w:hint="eastAsia" w:cs="Times New Roman" w:asciiTheme="minorEastAsia" w:hAnsiTheme="minorEastAsia" w:eastAsiaTheme="minorEastAsia"/>
          <w:b/>
          <w:bCs/>
          <w:color w:val="000000" w:themeColor="text1"/>
          <w:sz w:val="28"/>
          <w:szCs w:val="28"/>
          <w14:textFill>
            <w14:solidFill>
              <w14:schemeClr w14:val="tx1"/>
            </w14:solidFill>
          </w14:textFill>
        </w:rPr>
        <w:t>要求</w:t>
      </w:r>
    </w:p>
    <w:p w14:paraId="6CEBB1BC">
      <w:pPr>
        <w:shd w:val="clear"/>
        <w:spacing w:line="600" w:lineRule="exact"/>
        <w:ind w:firstLine="560" w:firstLineChars="200"/>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auto"/>
          <w:sz w:val="28"/>
          <w:szCs w:val="28"/>
          <w:highlight w:val="none"/>
          <w:lang w:val="en-US" w:eastAsia="zh-CN"/>
        </w:rPr>
        <w:t>1、本项目不接受联合体投标，本项目必须由成交人独立完成，不接受任何形式的分包、转包。</w:t>
      </w:r>
    </w:p>
    <w:p w14:paraId="15E2CF66">
      <w:pPr>
        <w:shd w:val="clear"/>
        <w:spacing w:line="600" w:lineRule="exact"/>
        <w:ind w:firstLine="560" w:firstLineChars="200"/>
        <w:rPr>
          <w:rFonts w:hint="default" w:cs="Times New Roman" w:asciiTheme="minorEastAsia" w:hAnsiTheme="minorEastAsia" w:eastAsiaTheme="minorEastAsia"/>
          <w:b w:val="0"/>
          <w:bCs w:val="0"/>
          <w:color w:val="auto"/>
          <w:kern w:val="2"/>
          <w:sz w:val="28"/>
          <w:szCs w:val="28"/>
          <w:highlight w:val="none"/>
          <w:lang w:val="en-US" w:eastAsia="zh-CN" w:bidi="ar-SA"/>
        </w:rPr>
      </w:pPr>
      <w:r>
        <w:rPr>
          <w:rFonts w:hint="eastAsia" w:cs="Times New Roman" w:asciiTheme="minorEastAsia" w:hAnsiTheme="minorEastAsia" w:eastAsiaTheme="minorEastAsia"/>
          <w:b w:val="0"/>
          <w:bCs w:val="0"/>
          <w:color w:val="auto"/>
          <w:kern w:val="2"/>
          <w:sz w:val="28"/>
          <w:szCs w:val="28"/>
          <w:highlight w:val="none"/>
          <w:lang w:val="en-US" w:eastAsia="zh-CN" w:bidi="ar-SA"/>
        </w:rPr>
        <w:t>2、项目</w:t>
      </w:r>
      <w:r>
        <w:rPr>
          <w:rFonts w:hint="default" w:cs="Times New Roman" w:asciiTheme="minorEastAsia" w:hAnsiTheme="minorEastAsia" w:eastAsiaTheme="minorEastAsia"/>
          <w:b w:val="0"/>
          <w:bCs w:val="0"/>
          <w:color w:val="auto"/>
          <w:kern w:val="2"/>
          <w:sz w:val="28"/>
          <w:szCs w:val="28"/>
          <w:highlight w:val="none"/>
          <w:lang w:val="en-US" w:eastAsia="zh-CN" w:bidi="ar-SA"/>
        </w:rPr>
        <w:t>施工过程中需严格遵守项目现场管理规定，</w:t>
      </w:r>
      <w:r>
        <w:rPr>
          <w:rFonts w:hint="eastAsia" w:asciiTheme="minorEastAsia" w:hAnsiTheme="minorEastAsia" w:eastAsiaTheme="minorEastAsia"/>
          <w:color w:val="auto"/>
          <w:sz w:val="28"/>
          <w:szCs w:val="28"/>
          <w:highlight w:val="none"/>
          <w:lang w:val="en-US" w:eastAsia="zh-CN"/>
        </w:rPr>
        <w:t>做好安全管控及保障措施，避免影响BOX篮球印巷正常运营。</w:t>
      </w:r>
    </w:p>
    <w:p w14:paraId="7099A768">
      <w:pPr>
        <w:shd w:val="clear"/>
        <w:spacing w:line="600" w:lineRule="exact"/>
        <w:ind w:firstLine="560" w:firstLineChars="200"/>
        <w:rPr>
          <w:rFonts w:hint="default"/>
          <w:lang w:val="en-US" w:eastAsia="zh-CN"/>
        </w:rPr>
      </w:pPr>
      <w:r>
        <w:rPr>
          <w:rFonts w:hint="eastAsia" w:asciiTheme="minorEastAsia" w:hAnsiTheme="minorEastAsia" w:eastAsiaTheme="minorEastAsia"/>
          <w:color w:val="auto"/>
          <w:sz w:val="28"/>
          <w:szCs w:val="28"/>
          <w:highlight w:val="none"/>
          <w:lang w:val="en-US" w:eastAsia="zh-CN"/>
        </w:rPr>
        <w:t>3、其他</w:t>
      </w:r>
      <w:r>
        <w:rPr>
          <w:rFonts w:asciiTheme="minorEastAsia" w:hAnsiTheme="minorEastAsia" w:eastAsiaTheme="minorEastAsia"/>
          <w:color w:val="auto"/>
          <w:sz w:val="28"/>
          <w:szCs w:val="28"/>
          <w:highlight w:val="none"/>
        </w:rPr>
        <w:t>具体要求内容详见本</w:t>
      </w:r>
      <w:r>
        <w:rPr>
          <w:rFonts w:hint="eastAsia" w:asciiTheme="minorEastAsia" w:hAnsiTheme="minorEastAsia" w:eastAsiaTheme="minorEastAsia"/>
          <w:color w:val="auto"/>
          <w:sz w:val="28"/>
          <w:szCs w:val="28"/>
          <w:highlight w:val="none"/>
        </w:rPr>
        <w:t>采购</w:t>
      </w:r>
      <w:r>
        <w:rPr>
          <w:rFonts w:asciiTheme="minorEastAsia" w:hAnsiTheme="minorEastAsia" w:eastAsiaTheme="minorEastAsia"/>
          <w:color w:val="auto"/>
          <w:sz w:val="28"/>
          <w:szCs w:val="28"/>
          <w:highlight w:val="none"/>
        </w:rPr>
        <w:t>文件。响应人须仔细阅读本</w:t>
      </w:r>
      <w:r>
        <w:rPr>
          <w:rFonts w:hint="eastAsia" w:asciiTheme="minorEastAsia" w:hAnsiTheme="minorEastAsia" w:eastAsiaTheme="minorEastAsia"/>
          <w:color w:val="auto"/>
          <w:sz w:val="28"/>
          <w:szCs w:val="28"/>
          <w:highlight w:val="none"/>
        </w:rPr>
        <w:t>采购</w:t>
      </w:r>
      <w:r>
        <w:rPr>
          <w:rFonts w:asciiTheme="minorEastAsia" w:hAnsiTheme="minorEastAsia" w:eastAsiaTheme="minorEastAsia"/>
          <w:color w:val="auto"/>
          <w:sz w:val="28"/>
          <w:szCs w:val="28"/>
          <w:highlight w:val="none"/>
        </w:rPr>
        <w:t>文件，因未详细了解本</w:t>
      </w:r>
      <w:r>
        <w:rPr>
          <w:rFonts w:hint="eastAsia" w:asciiTheme="minorEastAsia" w:hAnsiTheme="minorEastAsia" w:eastAsiaTheme="minorEastAsia"/>
          <w:color w:val="auto"/>
          <w:sz w:val="28"/>
          <w:szCs w:val="28"/>
          <w:highlight w:val="none"/>
        </w:rPr>
        <w:t>采购</w:t>
      </w:r>
      <w:r>
        <w:rPr>
          <w:rFonts w:asciiTheme="minorEastAsia" w:hAnsiTheme="minorEastAsia" w:eastAsiaTheme="minorEastAsia"/>
          <w:color w:val="auto"/>
          <w:sz w:val="28"/>
          <w:szCs w:val="28"/>
          <w:highlight w:val="none"/>
        </w:rPr>
        <w:t>文件造成报价项目遗漏，由响应人自行负责。</w:t>
      </w:r>
    </w:p>
    <w:p w14:paraId="216CC931">
      <w:pPr>
        <w:adjustRightInd w:val="0"/>
        <w:snapToGrid w:val="0"/>
        <w:spacing w:line="600" w:lineRule="exact"/>
        <w:ind w:firstLine="560" w:firstLineChars="200"/>
        <w:rPr>
          <w:rFonts w:hint="eastAsia" w:cs="Times New Roman" w:asciiTheme="minorEastAsia" w:hAnsiTheme="minorEastAsia" w:eastAsiaTheme="minorEastAsia"/>
          <w:b/>
          <w:bCs/>
          <w:color w:val="000000" w:themeColor="text1"/>
          <w:sz w:val="28"/>
          <w:szCs w:val="28"/>
          <w14:textFill>
            <w14:solidFill>
              <w14:schemeClr w14:val="tx1"/>
            </w14:solidFill>
          </w14:textFill>
        </w:rPr>
      </w:pPr>
      <w:r>
        <w:rPr>
          <w:rFonts w:hint="eastAsia" w:cs="Times New Roman" w:asciiTheme="minorEastAsia" w:hAnsiTheme="minorEastAsia" w:eastAsiaTheme="minorEastAsia"/>
          <w:b/>
          <w:bCs/>
          <w:color w:val="000000" w:themeColor="text1"/>
          <w:sz w:val="28"/>
          <w:szCs w:val="28"/>
          <w14:textFill>
            <w14:solidFill>
              <w14:schemeClr w14:val="tx1"/>
            </w14:solidFill>
          </w14:textFill>
        </w:rPr>
        <w:t>五、完成时间</w:t>
      </w:r>
    </w:p>
    <w:p w14:paraId="19812F49">
      <w:pPr>
        <w:shd w:val="clear"/>
        <w:spacing w:line="600" w:lineRule="exact"/>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bookmarkStart w:id="1" w:name="_Hlk165217387"/>
      <w:r>
        <w:rPr>
          <w:rFonts w:hint="default" w:asciiTheme="minorEastAsia" w:hAnsiTheme="minorEastAsia" w:eastAsiaTheme="minorEastAsia"/>
          <w:color w:val="000000" w:themeColor="text1"/>
          <w:sz w:val="28"/>
          <w:szCs w:val="28"/>
          <w:lang w:val="en-US" w:eastAsia="zh-CN"/>
          <w14:textFill>
            <w14:solidFill>
              <w14:schemeClr w14:val="tx1"/>
            </w14:solidFill>
          </w14:textFill>
        </w:rPr>
        <w:t>自合同签订之日起</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10</w:t>
      </w:r>
      <w:r>
        <w:rPr>
          <w:rFonts w:hint="default" w:asciiTheme="minorEastAsia" w:hAnsiTheme="minorEastAsia" w:eastAsiaTheme="minorEastAsia"/>
          <w:color w:val="000000" w:themeColor="text1"/>
          <w:sz w:val="28"/>
          <w:szCs w:val="28"/>
          <w:lang w:val="en-US" w:eastAsia="zh-CN"/>
          <w14:textFill>
            <w14:solidFill>
              <w14:schemeClr w14:val="tx1"/>
            </w14:solidFill>
          </w14:textFill>
        </w:rPr>
        <w:t>个日历天内完成全部施工及竣工验收</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工作</w:t>
      </w:r>
      <w:r>
        <w:rPr>
          <w:rFonts w:hint="default" w:asciiTheme="minorEastAsia" w:hAnsiTheme="minorEastAsia" w:eastAsiaTheme="minorEastAsia"/>
          <w:color w:val="000000" w:themeColor="text1"/>
          <w:sz w:val="28"/>
          <w:szCs w:val="28"/>
          <w:lang w:val="en-US" w:eastAsia="zh-CN"/>
          <w14:textFill>
            <w14:solidFill>
              <w14:schemeClr w14:val="tx1"/>
            </w14:solidFill>
          </w14:textFill>
        </w:rPr>
        <w:t>。</w:t>
      </w:r>
    </w:p>
    <w:bookmarkEnd w:id="1"/>
    <w:p w14:paraId="572B9BA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六、支付方式</w:t>
      </w:r>
    </w:p>
    <w:p w14:paraId="2E2265C8">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工程完工</w:t>
      </w:r>
      <w:r>
        <w:rPr>
          <w:rFonts w:hint="eastAsia"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14:textFill>
            <w14:solidFill>
              <w14:schemeClr w14:val="tx1"/>
            </w14:solidFill>
          </w14:textFill>
        </w:rPr>
        <w:t>经采购人</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验收</w:t>
      </w:r>
      <w:r>
        <w:rPr>
          <w:rFonts w:hint="eastAsia" w:asciiTheme="minorEastAsia" w:hAnsiTheme="minorEastAsia" w:eastAsiaTheme="minorEastAsia"/>
          <w:color w:val="000000" w:themeColor="text1"/>
          <w:sz w:val="28"/>
          <w:szCs w:val="28"/>
          <w14:textFill>
            <w14:solidFill>
              <w14:schemeClr w14:val="tx1"/>
            </w14:solidFill>
          </w14:textFill>
        </w:rPr>
        <w:t>合格后，成交人提交相应请款资料及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hint="eastAsia" w:asciiTheme="minorEastAsia" w:hAnsiTheme="minorEastAsia" w:eastAsiaTheme="minorEastAsia"/>
          <w:color w:val="000000" w:themeColor="text1"/>
          <w:sz w:val="28"/>
          <w:szCs w:val="28"/>
          <w14:textFill>
            <w14:solidFill>
              <w14:schemeClr w14:val="tx1"/>
            </w14:solidFill>
          </w14:textFill>
        </w:rPr>
        <w:t>%的有效增值税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专用</w:t>
      </w:r>
      <w:r>
        <w:rPr>
          <w:rFonts w:hint="eastAsia" w:asciiTheme="minorEastAsia" w:hAnsiTheme="minorEastAsia" w:eastAsiaTheme="minorEastAsia"/>
          <w:color w:val="000000" w:themeColor="text1"/>
          <w:sz w:val="28"/>
          <w:szCs w:val="28"/>
          <w14:textFill>
            <w14:solidFill>
              <w14:schemeClr w14:val="tx1"/>
            </w14:solidFill>
          </w14:textFill>
        </w:rPr>
        <w:t>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个工作日内</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向</w:t>
      </w:r>
      <w:r>
        <w:rPr>
          <w:rFonts w:hint="eastAsia" w:asciiTheme="minorEastAsia" w:hAnsiTheme="minorEastAsia" w:eastAsiaTheme="minorEastAsia"/>
          <w:color w:val="000000" w:themeColor="text1"/>
          <w:sz w:val="28"/>
          <w:szCs w:val="28"/>
          <w14:textFill>
            <w14:solidFill>
              <w14:schemeClr w14:val="tx1"/>
            </w14:solidFill>
          </w14:textFill>
        </w:rPr>
        <w:t>成交人支付</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总价的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95</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p>
    <w:p w14:paraId="7D0585AE">
      <w:pPr>
        <w:ind w:firstLine="560" w:firstLineChars="200"/>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2、剩余</w:t>
      </w:r>
      <w:r>
        <w:rPr>
          <w:rFonts w:hint="eastAsia" w:asciiTheme="minorEastAsia" w:hAnsiTheme="minorEastAsia" w:eastAsiaTheme="minorEastAsia"/>
          <w:color w:val="000000" w:themeColor="text1"/>
          <w:sz w:val="28"/>
          <w:szCs w:val="28"/>
          <w:lang w:eastAsia="zh-CN"/>
          <w14:textFill>
            <w14:solidFill>
              <w14:schemeClr w14:val="tx1"/>
            </w14:solidFill>
          </w14:textFill>
        </w:rPr>
        <w:t>结算</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金额</w:t>
      </w:r>
      <w:r>
        <w:rPr>
          <w:rFonts w:hint="eastAsia" w:asciiTheme="minorEastAsia" w:hAnsiTheme="minorEastAsia" w:eastAsiaTheme="minorEastAsia"/>
          <w:color w:val="000000" w:themeColor="text1"/>
          <w:sz w:val="28"/>
          <w:szCs w:val="28"/>
          <w:lang w:eastAsia="zh-CN"/>
          <w14:textFill>
            <w14:solidFill>
              <w14:schemeClr w14:val="tx1"/>
            </w14:solidFill>
          </w14:textFill>
        </w:rPr>
        <w:t>的</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lang w:eastAsia="zh-CN"/>
          <w14:textFill>
            <w14:solidFill>
              <w14:schemeClr w14:val="tx1"/>
            </w14:solidFill>
          </w14:textFill>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作为</w:t>
      </w:r>
      <w:r>
        <w:rPr>
          <w:rFonts w:hint="eastAsia" w:asciiTheme="minorEastAsia" w:hAnsiTheme="minorEastAsia" w:eastAsiaTheme="minorEastAsia"/>
          <w:color w:val="000000" w:themeColor="text1"/>
          <w:sz w:val="28"/>
          <w:szCs w:val="28"/>
          <w:lang w:eastAsia="zh-CN"/>
          <w14:textFill>
            <w14:solidFill>
              <w14:schemeClr w14:val="tx1"/>
            </w14:solidFill>
          </w14:textFill>
        </w:rPr>
        <w:t>本工程的质量保证金，质量保修期满</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，并</w:t>
      </w:r>
      <w:r>
        <w:rPr>
          <w:rFonts w:hint="eastAsia" w:asciiTheme="minorEastAsia" w:hAnsiTheme="minorEastAsia" w:eastAsiaTheme="minorEastAsia"/>
          <w:color w:val="000000" w:themeColor="text1"/>
          <w:sz w:val="28"/>
          <w:szCs w:val="28"/>
          <w:lang w:eastAsia="zh-CN"/>
          <w14:textFill>
            <w14:solidFill>
              <w14:schemeClr w14:val="tx1"/>
            </w14:solidFill>
          </w14:textFill>
        </w:rPr>
        <w:t>经</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采购人</w:t>
      </w:r>
      <w:r>
        <w:rPr>
          <w:rFonts w:hint="eastAsia" w:asciiTheme="minorEastAsia" w:hAnsiTheme="minorEastAsia" w:eastAsiaTheme="minorEastAsia"/>
          <w:color w:val="000000" w:themeColor="text1"/>
          <w:sz w:val="28"/>
          <w:szCs w:val="28"/>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olor w:val="000000" w:themeColor="text1"/>
          <w:sz w:val="28"/>
          <w:szCs w:val="28"/>
          <w14:textFill>
            <w14:solidFill>
              <w14:schemeClr w14:val="tx1"/>
            </w14:solidFill>
          </w14:textFill>
        </w:rPr>
        <w:t>成交人提交相应请款资料及</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结算</w:t>
      </w:r>
      <w:r>
        <w:rPr>
          <w:rFonts w:hint="eastAsia" w:asciiTheme="minorEastAsia" w:hAnsiTheme="minorEastAsia" w:eastAsiaTheme="minorEastAsia"/>
          <w:color w:val="000000" w:themeColor="text1"/>
          <w:sz w:val="28"/>
          <w:szCs w:val="28"/>
          <w14:textFill>
            <w14:solidFill>
              <w14:schemeClr w14:val="tx1"/>
            </w14:solidFill>
          </w14:textFill>
        </w:rPr>
        <w:t>金额</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%的有效增值税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专用</w:t>
      </w:r>
      <w:r>
        <w:rPr>
          <w:rFonts w:hint="eastAsia" w:asciiTheme="minorEastAsia" w:hAnsiTheme="minorEastAsia" w:eastAsiaTheme="minorEastAsia"/>
          <w:color w:val="000000" w:themeColor="text1"/>
          <w:sz w:val="28"/>
          <w:szCs w:val="28"/>
          <w14:textFill>
            <w14:solidFill>
              <w14:schemeClr w14:val="tx1"/>
            </w14:solidFill>
          </w14:textFill>
        </w:rPr>
        <w:t>发票，采购人在收到有效资料后</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三十</w:t>
      </w:r>
      <w:r>
        <w:rPr>
          <w:rFonts w:hint="eastAsia" w:asciiTheme="minorEastAsia" w:hAnsiTheme="minorEastAsia" w:eastAsiaTheme="minorEastAsia"/>
          <w:color w:val="000000" w:themeColor="text1"/>
          <w:sz w:val="28"/>
          <w:szCs w:val="28"/>
          <w14:textFill>
            <w14:solidFill>
              <w14:schemeClr w14:val="tx1"/>
            </w14:solidFill>
          </w14:textFill>
        </w:rPr>
        <w:t>个工作日</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内</w:t>
      </w:r>
      <w:r>
        <w:rPr>
          <w:rFonts w:hint="eastAsia" w:asciiTheme="minorEastAsia" w:hAnsiTheme="minorEastAsia" w:eastAsiaTheme="minorEastAsia"/>
          <w:color w:val="000000" w:themeColor="text1"/>
          <w:sz w:val="28"/>
          <w:szCs w:val="28"/>
          <w:lang w:eastAsia="zh-CN"/>
          <w14:textFill>
            <w14:solidFill>
              <w14:schemeClr w14:val="tx1"/>
            </w14:solidFill>
          </w14:textFill>
        </w:rPr>
        <w:t>向</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成交人</w:t>
      </w:r>
      <w:r>
        <w:rPr>
          <w:rFonts w:hint="eastAsia" w:asciiTheme="minorEastAsia" w:hAnsiTheme="minorEastAsia" w:eastAsiaTheme="minorEastAsia"/>
          <w:color w:val="000000" w:themeColor="text1"/>
          <w:sz w:val="28"/>
          <w:szCs w:val="28"/>
          <w:lang w:eastAsia="zh-CN"/>
          <w14:textFill>
            <w14:solidFill>
              <w14:schemeClr w14:val="tx1"/>
            </w14:solidFill>
          </w14:textFill>
        </w:rPr>
        <w:t>一次性</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支付</w:t>
      </w:r>
      <w:r>
        <w:rPr>
          <w:rFonts w:hint="eastAsia" w:asciiTheme="minorEastAsia" w:hAnsiTheme="minorEastAsia" w:eastAsiaTheme="minorEastAsia"/>
          <w:color w:val="000000" w:themeColor="text1"/>
          <w:sz w:val="28"/>
          <w:szCs w:val="28"/>
          <w:lang w:eastAsia="zh-CN"/>
          <w14:textFill>
            <w14:solidFill>
              <w14:schemeClr w14:val="tx1"/>
            </w14:solidFill>
          </w14:textFill>
        </w:rPr>
        <w:t>质量保证金余额（不计利息）。</w:t>
      </w:r>
    </w:p>
    <w:p w14:paraId="756A59D2">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七、报价</w:t>
      </w:r>
    </w:p>
    <w:p w14:paraId="7EDA2F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5" w:leftChars="0"/>
        <w:contextualSpacing/>
        <w:textAlignment w:val="auto"/>
        <w:rPr>
          <w:rFonts w:hint="eastAsia" w:asciiTheme="minorEastAsia" w:hAnsiTheme="minorEastAsia" w:eastAsiaTheme="minorEastAsia"/>
          <w:color w:val="000000" w:themeColor="text1"/>
          <w:sz w:val="28"/>
          <w:szCs w:val="28"/>
          <w:highlight w:val="none"/>
          <w14:textFill>
            <w14:solidFill>
              <w14:schemeClr w14:val="tx1"/>
            </w14:solidFill>
          </w14:textFill>
        </w:rPr>
      </w:pPr>
      <w:r>
        <w:rPr>
          <w:rFonts w:hint="eastAsia" w:asciiTheme="minorEastAsia" w:hAnsiTheme="minorEastAsia" w:eastAsiaTheme="minorEastAsia"/>
          <w:color w:val="000000" w:themeColor="text1"/>
          <w:sz w:val="28"/>
          <w:szCs w:val="28"/>
          <w:highlight w:val="none"/>
          <w14:textFill>
            <w14:solidFill>
              <w14:schemeClr w14:val="tx1"/>
            </w14:solidFill>
          </w14:textFill>
        </w:rPr>
        <w:t>采购最高限价：</w:t>
      </w:r>
      <w:r>
        <w:rPr>
          <w:rFonts w:asciiTheme="minorEastAsia" w:hAnsiTheme="minorEastAsia" w:eastAsiaTheme="minorEastAsia"/>
          <w:b/>
          <w:bCs/>
          <w:color w:val="000000" w:themeColor="text1"/>
          <w:sz w:val="28"/>
          <w:szCs w:val="28"/>
          <w:highlight w:val="none"/>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91,000.00</w:t>
      </w:r>
      <w:r>
        <w:rPr>
          <w:rFonts w:hint="eastAsia" w:asciiTheme="minorEastAsia" w:hAnsiTheme="minorEastAsia" w:eastAsiaTheme="minorEastAsia"/>
          <w:color w:val="000000" w:themeColor="text1"/>
          <w:sz w:val="28"/>
          <w:szCs w:val="28"/>
          <w:highlight w:val="none"/>
          <w14:textFill>
            <w14:solidFill>
              <w14:schemeClr w14:val="tx1"/>
            </w14:solidFill>
          </w14:textFill>
        </w:rPr>
        <w:t>（含税）。</w:t>
      </w:r>
    </w:p>
    <w:p w14:paraId="2C89E9A4">
      <w:pPr>
        <w:ind w:firstLine="560" w:firstLineChars="200"/>
        <w:rPr>
          <w:rFonts w:cs="宋体" w:asciiTheme="minorEastAsia" w:hAnsiTheme="minorEastAsia" w:eastAsiaTheme="minorEastAsia"/>
          <w:color w:val="000000" w:themeColor="text1"/>
          <w:kern w:val="0"/>
          <w:sz w:val="28"/>
          <w:szCs w:val="28"/>
          <w14:textFill>
            <w14:solidFill>
              <w14:schemeClr w14:val="tx1"/>
            </w14:solidFill>
          </w14:textFill>
        </w:rPr>
      </w:pPr>
      <w:bookmarkStart w:id="2" w:name="_Hlk150415476"/>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1、</w:t>
      </w:r>
      <w:r>
        <w:rPr>
          <w:rFonts w:cs="宋体" w:asciiTheme="minorEastAsia" w:hAnsiTheme="minorEastAsia" w:eastAsiaTheme="minorEastAsia"/>
          <w:color w:val="000000" w:themeColor="text1"/>
          <w:kern w:val="0"/>
          <w:sz w:val="28"/>
          <w:szCs w:val="28"/>
          <w14:textFill>
            <w14:solidFill>
              <w14:schemeClr w14:val="tx1"/>
            </w14:solidFill>
          </w14:textFill>
        </w:rPr>
        <w:t>本项目发包方式为</w:t>
      </w:r>
      <w:r>
        <w:rPr>
          <w:rFonts w:cs="宋体" w:asciiTheme="minorEastAsia" w:hAnsiTheme="minorEastAsia" w:eastAsiaTheme="minorEastAsia"/>
          <w:b/>
          <w:bCs/>
          <w:color w:val="000000" w:themeColor="text1"/>
          <w:kern w:val="0"/>
          <w:sz w:val="28"/>
          <w:szCs w:val="28"/>
          <w14:textFill>
            <w14:solidFill>
              <w14:schemeClr w14:val="tx1"/>
            </w14:solidFill>
          </w14:textFill>
        </w:rPr>
        <w:t>固定</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单价暂定</w:t>
      </w:r>
      <w:r>
        <w:rPr>
          <w:rFonts w:cs="宋体" w:asciiTheme="minorEastAsia" w:hAnsiTheme="minorEastAsia" w:eastAsiaTheme="minorEastAsia"/>
          <w:b/>
          <w:bCs/>
          <w:color w:val="000000" w:themeColor="text1"/>
          <w:kern w:val="0"/>
          <w:sz w:val="28"/>
          <w:szCs w:val="28"/>
          <w14:textFill>
            <w14:solidFill>
              <w14:schemeClr w14:val="tx1"/>
            </w14:solidFill>
          </w14:textFill>
        </w:rPr>
        <w:t>总价包干</w:t>
      </w:r>
      <w:r>
        <w:rPr>
          <w:rFonts w:cs="宋体" w:asciiTheme="minorEastAsia" w:hAnsiTheme="minorEastAsia" w:eastAsiaTheme="minorEastAsia"/>
          <w:color w:val="000000" w:themeColor="text1"/>
          <w:kern w:val="0"/>
          <w:sz w:val="28"/>
          <w:szCs w:val="28"/>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按实结算</w:t>
      </w:r>
      <w:r>
        <w:rPr>
          <w:rFonts w:cs="宋体" w:asciiTheme="minorEastAsia" w:hAnsiTheme="minorEastAsia" w:eastAsiaTheme="minorEastAsia"/>
          <w:color w:val="000000" w:themeColor="text1"/>
          <w:kern w:val="0"/>
          <w:sz w:val="28"/>
          <w:szCs w:val="28"/>
          <w14:textFill>
            <w14:solidFill>
              <w14:schemeClr w14:val="tx1"/>
            </w14:solidFill>
          </w14:textFill>
        </w:rPr>
        <w:t>，</w:t>
      </w:r>
      <w:r>
        <w:rPr>
          <w:rFonts w:hint="eastAsia" w:cs="宋体" w:asciiTheme="minorEastAsia" w:hAnsiTheme="minorEastAsia" w:eastAsiaTheme="minorEastAsia"/>
          <w:color w:val="000000" w:themeColor="text1"/>
          <w:kern w:val="0"/>
          <w:sz w:val="28"/>
          <w:szCs w:val="28"/>
          <w:lang w:val="en-US" w:eastAsia="zh-CN"/>
          <w14:textFill>
            <w14:solidFill>
              <w14:schemeClr w14:val="tx1"/>
            </w14:solidFill>
          </w14:textFill>
        </w:rPr>
        <w:t>最终结算价不得高于</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总价</w:t>
      </w:r>
      <w:r>
        <w:rPr>
          <w:rFonts w:hint="eastAsia" w:asciiTheme="minorEastAsia" w:hAnsiTheme="minorEastAsia" w:eastAsiaTheme="minorEastAsia"/>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color w:val="000000" w:themeColor="text1"/>
          <w:sz w:val="28"/>
          <w:szCs w:val="28"/>
          <w:highlight w:val="none"/>
          <w:lang w:val="en-US" w:eastAsia="zh-CN"/>
          <w14:textFill>
            <w14:solidFill>
              <w14:schemeClr w14:val="tx1"/>
            </w14:solidFill>
          </w14:textFill>
        </w:rPr>
        <w:t>响应人报价应</w:t>
      </w:r>
      <w:r>
        <w:rPr>
          <w:rFonts w:cs="宋体" w:asciiTheme="minorEastAsia" w:hAnsiTheme="minorEastAsia" w:eastAsiaTheme="minorEastAsia"/>
          <w:color w:val="000000" w:themeColor="text1"/>
          <w:kern w:val="0"/>
          <w:sz w:val="28"/>
          <w:szCs w:val="28"/>
          <w14:textFill>
            <w14:solidFill>
              <w14:schemeClr w14:val="tx1"/>
            </w14:solidFill>
          </w14:textFill>
        </w:rPr>
        <w:t>包括但不限于：完成本项目的</w:t>
      </w: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材料采购、运输、装卸、施工、人工、机械、管理、税费、质保期服务</w:t>
      </w:r>
      <w:r>
        <w:rPr>
          <w:rFonts w:cs="宋体" w:asciiTheme="minorEastAsia" w:hAnsiTheme="minorEastAsia" w:eastAsiaTheme="minorEastAsia"/>
          <w:color w:val="000000" w:themeColor="text1"/>
          <w:kern w:val="0"/>
          <w:sz w:val="28"/>
          <w:szCs w:val="28"/>
          <w14:textFill>
            <w14:solidFill>
              <w14:schemeClr w14:val="tx1"/>
            </w14:solidFill>
          </w14:textFill>
        </w:rPr>
        <w:t>等在项目过程中可能产生的一切费用。响应人已充分考虑了本项目服务内容及要求描述工作量可能与最终实际工作量存在差距的风险。</w:t>
      </w:r>
    </w:p>
    <w:p w14:paraId="0F60F83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425" w:firstLineChars="0"/>
        <w:contextualSpacing/>
        <w:textAlignment w:val="auto"/>
        <w:rPr>
          <w:rFonts w:hint="default" w:cs="宋体" w:asciiTheme="minorEastAsia" w:hAnsiTheme="minorEastAsia" w:eastAsiaTheme="minorEastAsia"/>
          <w:b/>
          <w:bCs/>
          <w:color w:val="000000" w:themeColor="text1"/>
          <w:kern w:val="0"/>
          <w:sz w:val="28"/>
          <w:szCs w:val="28"/>
          <w:lang w:val="en-US" w:eastAsia="zh-CN"/>
          <w14:textFill>
            <w14:solidFill>
              <w14:schemeClr w14:val="tx1"/>
            </w14:solidFill>
          </w14:textFill>
        </w:rPr>
      </w:pP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2、</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响应人</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在报价前应</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cs="宋体" w:asciiTheme="minorEastAsia" w:hAnsiTheme="minorEastAsia" w:eastAsiaTheme="minorEastAsia"/>
          <w:b w:val="0"/>
          <w:bCs w:val="0"/>
          <w:color w:val="000000" w:themeColor="text1"/>
          <w:kern w:val="0"/>
          <w:sz w:val="28"/>
          <w:szCs w:val="28"/>
          <w:lang w:val="en-US" w:eastAsia="zh-CN"/>
          <w14:textFill>
            <w14:solidFill>
              <w14:schemeClr w14:val="tx1"/>
            </w14:solidFill>
          </w14:textFill>
        </w:rPr>
        <w:t>工程</w:t>
      </w:r>
      <w:r>
        <w:rPr>
          <w:rFonts w:hint="eastAsia" w:cs="宋体" w:asciiTheme="minorEastAsia" w:hAnsiTheme="minorEastAsia" w:eastAsiaTheme="minorEastAsia"/>
          <w:b w:val="0"/>
          <w:bCs w:val="0"/>
          <w:color w:val="000000" w:themeColor="text1"/>
          <w:kern w:val="0"/>
          <w:sz w:val="28"/>
          <w:szCs w:val="28"/>
          <w14:textFill>
            <w14:solidFill>
              <w14:schemeClr w14:val="tx1"/>
            </w14:solidFill>
          </w14:textFill>
        </w:rPr>
        <w:t>质量，采购人将追究违约责任。</w:t>
      </w:r>
      <w:r>
        <w:rPr>
          <w:rFonts w:hint="eastAsia" w:cs="宋体" w:asciiTheme="minorEastAsia" w:hAnsiTheme="minorEastAsia" w:eastAsiaTheme="minorEastAsia"/>
          <w:b/>
          <w:bCs/>
          <w:color w:val="000000" w:themeColor="text1"/>
          <w:kern w:val="0"/>
          <w:sz w:val="28"/>
          <w:szCs w:val="28"/>
          <w:lang w:val="en-US" w:eastAsia="zh-CN"/>
          <w14:textFill>
            <w14:solidFill>
              <w14:schemeClr w14:val="tx1"/>
            </w14:solidFill>
          </w14:textFill>
        </w:rPr>
        <w:t>（项目联系人：</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卢健忠，联系方式：13066160722）</w:t>
      </w:r>
      <w:r>
        <w:rPr>
          <w:rFonts w:hint="eastAsia" w:ascii="宋体" w:cs="宋体"/>
          <w:b/>
          <w:bCs/>
          <w:color w:val="000000"/>
          <w:kern w:val="0"/>
          <w:sz w:val="28"/>
          <w:szCs w:val="28"/>
          <w:lang w:val="en-US" w:eastAsia="zh-CN"/>
        </w:rPr>
        <w:t>。</w:t>
      </w:r>
    </w:p>
    <w:bookmarkEnd w:id="2"/>
    <w:p w14:paraId="314FCD89">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八、保证金</w:t>
      </w:r>
    </w:p>
    <w:p w14:paraId="58812794">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1、</w:t>
      </w:r>
      <w:r>
        <w:rPr>
          <w:rFonts w:hint="eastAsia" w:cs="Times New Roman" w:asciiTheme="minorEastAsia" w:hAnsiTheme="minorEastAsia" w:eastAsiaTheme="minorEastAsia"/>
          <w:b/>
          <w:bCs/>
          <w:color w:val="000000" w:themeColor="text1"/>
          <w:kern w:val="2"/>
          <w:sz w:val="28"/>
          <w:szCs w:val="28"/>
          <w:lang w:val="en-US" w:eastAsia="zh-CN" w:bidi="ar-SA"/>
          <w14:textFill>
            <w14:solidFill>
              <w14:schemeClr w14:val="tx1"/>
            </w14:solidFill>
          </w14:textFill>
        </w:rPr>
        <w:t>开标后，拟成交单位</w:t>
      </w: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需转账人民币大写壹仟捌佰元整（小写￥1800.00元）至以下报价保证金专用账户（响应人与交款人名称必须一致，不接受个人名义转账），保证金收款账户信息：</w:t>
      </w:r>
    </w:p>
    <w:p w14:paraId="226A220C">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 xml:space="preserve">帐户名称：东莞文旅有限公司 </w:t>
      </w:r>
    </w:p>
    <w:p w14:paraId="50F17ED4">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开户银行：招商银行股份有限公司东莞分行营业部</w:t>
      </w:r>
    </w:p>
    <w:p w14:paraId="0D5B4408">
      <w:pPr>
        <w:pStyle w:val="17"/>
        <w:widowControl/>
        <w:spacing w:before="45" w:beforeAutospacing="0" w:after="45" w:afterAutospacing="0" w:line="360" w:lineRule="auto"/>
        <w:ind w:left="45" w:right="45" w:firstLine="555"/>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u w:val="single"/>
          <w:lang w:val="en-US" w:eastAsia="zh-CN"/>
        </w:rPr>
        <w:t>2</w:t>
      </w:r>
      <w:r>
        <w:rPr>
          <w:rFonts w:hint="eastAsia" w:ascii="宋体" w:hAnsi="宋体" w:cs="宋体"/>
          <w:color w:val="auto"/>
          <w:sz w:val="28"/>
          <w:szCs w:val="28"/>
          <w:highlight w:val="none"/>
          <w:u w:val="single"/>
          <w:lang w:val="en-US" w:eastAsia="zh-CN"/>
        </w:rPr>
        <w:t>、</w:t>
      </w:r>
      <w:r>
        <w:rPr>
          <w:rFonts w:hint="eastAsia" w:ascii="宋体" w:hAnsi="宋体" w:eastAsia="宋体" w:cs="宋体"/>
          <w:color w:val="auto"/>
          <w:sz w:val="28"/>
          <w:szCs w:val="28"/>
          <w:highlight w:val="none"/>
          <w:u w:val="single"/>
          <w:lang w:val="en-US" w:eastAsia="zh-CN"/>
        </w:rPr>
        <w:t>履约保证金:中标人与采购人签订合同后，其报价保证金在签订合同后转为履约保证金，成交单位合同履约完毕且无任何问题后由采购人无息退还。</w:t>
      </w:r>
    </w:p>
    <w:p w14:paraId="70F3A13A">
      <w:pPr>
        <w:keepNext w:val="0"/>
        <w:keepLines w:val="0"/>
        <w:pageBreakBefore w:val="0"/>
        <w:shd w:val="clear"/>
        <w:kinsoku/>
        <w:wordWrap/>
        <w:overflowPunct/>
        <w:topLinePunct w:val="0"/>
        <w:autoSpaceDE/>
        <w:autoSpaceDN/>
        <w:bidi w:val="0"/>
        <w:spacing w:line="360" w:lineRule="auto"/>
        <w:ind w:firstLine="560" w:firstLineChars="200"/>
        <w:textAlignment w:val="auto"/>
        <w:rPr>
          <w:rFonts w:hint="eastAsia" w:cs="Times New Roman" w:asciiTheme="minorEastAsia" w:hAnsiTheme="minorEastAsia" w:eastAsiaTheme="minorEastAsia"/>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auto"/>
          <w:sz w:val="28"/>
          <w:szCs w:val="28"/>
          <w:highlight w:val="none"/>
          <w:u w:val="single"/>
          <w:lang w:val="en-US" w:eastAsia="zh-CN"/>
        </w:rPr>
        <w:t>3</w:t>
      </w:r>
      <w:r>
        <w:rPr>
          <w:rFonts w:hint="eastAsia" w:ascii="宋体" w:hAnsi="宋体" w:cs="宋体"/>
          <w:color w:val="auto"/>
          <w:sz w:val="28"/>
          <w:szCs w:val="28"/>
          <w:highlight w:val="none"/>
          <w:u w:val="single"/>
          <w:lang w:val="en-US" w:eastAsia="zh-CN"/>
        </w:rPr>
        <w:t>、</w:t>
      </w:r>
      <w:r>
        <w:rPr>
          <w:rFonts w:hint="default" w:ascii="宋体" w:hAnsi="宋体" w:eastAsia="宋体" w:cs="宋体"/>
          <w:color w:val="auto"/>
          <w:sz w:val="28"/>
          <w:szCs w:val="28"/>
          <w:highlight w:val="none"/>
          <w:u w:val="single"/>
          <w:lang w:val="en-US" w:eastAsia="zh-CN"/>
        </w:rPr>
        <w:t>未成交单位的</w:t>
      </w:r>
      <w:r>
        <w:rPr>
          <w:rFonts w:hint="eastAsia" w:ascii="宋体" w:hAnsi="宋体" w:eastAsia="宋体" w:cs="宋体"/>
          <w:color w:val="auto"/>
          <w:sz w:val="28"/>
          <w:szCs w:val="28"/>
          <w:highlight w:val="none"/>
          <w:u w:val="single"/>
          <w:lang w:val="en-US" w:eastAsia="zh-CN"/>
        </w:rPr>
        <w:t>报价</w:t>
      </w:r>
      <w:r>
        <w:rPr>
          <w:rFonts w:hint="default" w:ascii="宋体" w:hAnsi="宋体" w:eastAsia="宋体" w:cs="宋体"/>
          <w:color w:val="auto"/>
          <w:sz w:val="28"/>
          <w:szCs w:val="28"/>
          <w:highlight w:val="none"/>
          <w:u w:val="single"/>
          <w:lang w:val="en-US" w:eastAsia="zh-CN"/>
        </w:rPr>
        <w:t>保证金在</w:t>
      </w:r>
      <w:r>
        <w:rPr>
          <w:rFonts w:hint="eastAsia" w:ascii="宋体" w:hAnsi="宋体" w:eastAsia="宋体" w:cs="宋体"/>
          <w:color w:val="auto"/>
          <w:sz w:val="28"/>
          <w:szCs w:val="28"/>
          <w:highlight w:val="none"/>
          <w:u w:val="single"/>
          <w:lang w:val="en-US" w:eastAsia="zh-CN"/>
        </w:rPr>
        <w:t>采购人发出</w:t>
      </w:r>
      <w:r>
        <w:rPr>
          <w:rFonts w:hint="default" w:ascii="宋体" w:hAnsi="宋体" w:eastAsia="宋体" w:cs="宋体"/>
          <w:color w:val="auto"/>
          <w:sz w:val="28"/>
          <w:szCs w:val="28"/>
          <w:highlight w:val="none"/>
          <w:u w:val="single"/>
          <w:lang w:val="en-US" w:eastAsia="zh-CN"/>
        </w:rPr>
        <w:t>开标</w:t>
      </w:r>
      <w:r>
        <w:rPr>
          <w:rFonts w:hint="eastAsia" w:ascii="宋体" w:hAnsi="宋体" w:eastAsia="宋体" w:cs="宋体"/>
          <w:color w:val="auto"/>
          <w:sz w:val="28"/>
          <w:szCs w:val="28"/>
          <w:highlight w:val="none"/>
          <w:u w:val="single"/>
          <w:lang w:val="en-US" w:eastAsia="zh-CN"/>
        </w:rPr>
        <w:t>结果公示</w:t>
      </w:r>
      <w:r>
        <w:rPr>
          <w:rFonts w:hint="default" w:ascii="宋体" w:hAnsi="宋体" w:eastAsia="宋体" w:cs="宋体"/>
          <w:color w:val="auto"/>
          <w:sz w:val="28"/>
          <w:szCs w:val="28"/>
          <w:highlight w:val="none"/>
          <w:u w:val="single"/>
          <w:lang w:val="en-US" w:eastAsia="zh-CN"/>
        </w:rPr>
        <w:t>后</w:t>
      </w:r>
      <w:r>
        <w:rPr>
          <w:rFonts w:hint="eastAsia" w:ascii="宋体" w:hAnsi="宋体" w:eastAsia="宋体" w:cs="宋体"/>
          <w:color w:val="auto"/>
          <w:sz w:val="28"/>
          <w:szCs w:val="28"/>
          <w:highlight w:val="none"/>
          <w:u w:val="single"/>
          <w:lang w:val="en-US" w:eastAsia="zh-CN"/>
        </w:rPr>
        <w:t>30个工作日内</w:t>
      </w:r>
      <w:r>
        <w:rPr>
          <w:rFonts w:hint="default" w:ascii="宋体" w:hAnsi="宋体" w:eastAsia="宋体" w:cs="宋体"/>
          <w:color w:val="auto"/>
          <w:sz w:val="28"/>
          <w:szCs w:val="28"/>
          <w:highlight w:val="none"/>
          <w:u w:val="single"/>
          <w:lang w:val="en-US" w:eastAsia="zh-CN"/>
        </w:rPr>
        <w:t>无息退还。</w:t>
      </w:r>
    </w:p>
    <w:p w14:paraId="755043CD">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九、定标</w:t>
      </w:r>
    </w:p>
    <w:p w14:paraId="4017A754">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b/>
          <w:bCs/>
          <w:color w:val="000000" w:themeColor="text1"/>
          <w:sz w:val="28"/>
          <w:szCs w:val="28"/>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olor w:val="000000" w:themeColor="text1"/>
          <w:sz w:val="28"/>
          <w:szCs w:val="28"/>
          <w14:textFill>
            <w14:solidFill>
              <w14:schemeClr w14:val="tx1"/>
            </w14:solidFill>
          </w14:textFill>
        </w:rPr>
        <w:t>。询价结束后，招标采购工作小组将相关询价情况按程序审批并确定成交单位。</w:t>
      </w:r>
    </w:p>
    <w:p w14:paraId="60B2B11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十、采取的合同文本</w:t>
      </w:r>
    </w:p>
    <w:p w14:paraId="4A6D4E7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olor w:val="000000" w:themeColor="text1"/>
          <w:sz w:val="28"/>
          <w:szCs w:val="28"/>
          <w:u w:val="single"/>
          <w14:textFill>
            <w14:solidFill>
              <w14:schemeClr w14:val="tx1"/>
            </w14:solidFill>
          </w14:textFill>
        </w:rPr>
        <w:t>30</w:t>
      </w:r>
      <w:r>
        <w:rPr>
          <w:rFonts w:hint="eastAsia" w:asciiTheme="minorEastAsia" w:hAnsiTheme="minorEastAsia" w:eastAsiaTheme="minorEastAsia"/>
          <w:color w:val="000000" w:themeColor="text1"/>
          <w:sz w:val="28"/>
          <w:szCs w:val="28"/>
          <w14:textFill>
            <w14:solidFill>
              <w14:schemeClr w14:val="tx1"/>
            </w14:solidFill>
          </w14:textFill>
        </w:rPr>
        <w:t>天内与采购人签订合同。</w:t>
      </w:r>
    </w:p>
    <w:p w14:paraId="5F1E4FF8">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响应人收款前需向采购人提供请款材料和开具合法有效等额的增值税发票，否则采购人有权拒绝付款。</w:t>
      </w:r>
    </w:p>
    <w:p w14:paraId="0F1E07AB">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sym w:font="Wingdings" w:char="F0AB"/>
      </w:r>
      <w:r>
        <w:rPr>
          <w:rFonts w:hint="eastAsia" w:asciiTheme="minorEastAsia" w:hAnsiTheme="minorEastAsia" w:eastAsiaTheme="minorEastAsia"/>
          <w:b/>
          <w:bCs/>
          <w:color w:val="000000" w:themeColor="text1"/>
          <w:sz w:val="28"/>
          <w:szCs w:val="28"/>
          <w14:textFill>
            <w14:solidFill>
              <w14:schemeClr w14:val="tx1"/>
            </w14:solidFill>
          </w14:textFill>
        </w:rPr>
        <w:t>十一、响应文件的组成部分</w:t>
      </w:r>
    </w:p>
    <w:p w14:paraId="0F29A3E7">
      <w:pPr>
        <w:numPr>
          <w:ilvl w:val="0"/>
          <w:numId w:val="3"/>
        </w:num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报价函（模板）及报价清单；</w:t>
      </w:r>
    </w:p>
    <w:p w14:paraId="4D37A58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2</w:t>
      </w:r>
      <w:r>
        <w:rPr>
          <w:rFonts w:hint="eastAsia" w:asciiTheme="minorEastAsia" w:hAnsiTheme="minorEastAsia" w:eastAsiaTheme="minorEastAsia"/>
          <w:b/>
          <w:bCs/>
          <w:color w:val="000000" w:themeColor="text1"/>
          <w:sz w:val="28"/>
          <w:szCs w:val="28"/>
          <w14:textFill>
            <w14:solidFill>
              <w14:schemeClr w14:val="tx1"/>
            </w14:solidFill>
          </w14:textFill>
        </w:rPr>
        <w:t>、法人证明（模板）以及法人身份证复印件；</w:t>
      </w:r>
    </w:p>
    <w:p w14:paraId="0C81FCE4">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3</w:t>
      </w:r>
      <w:r>
        <w:rPr>
          <w:rFonts w:hint="eastAsia" w:asciiTheme="minorEastAsia" w:hAnsiTheme="minorEastAsia" w:eastAsiaTheme="minorEastAsia"/>
          <w:b/>
          <w:bCs/>
          <w:color w:val="000000" w:themeColor="text1"/>
          <w:sz w:val="28"/>
          <w:szCs w:val="28"/>
          <w14:textFill>
            <w14:solidFill>
              <w14:schemeClr w14:val="tx1"/>
            </w14:solidFill>
          </w14:textFill>
        </w:rPr>
        <w:t>、法人授权书（模板）及被委托人身份证复印件；</w:t>
      </w:r>
    </w:p>
    <w:p w14:paraId="26CB94E0">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4</w:t>
      </w:r>
      <w:r>
        <w:rPr>
          <w:rFonts w:hint="eastAsia" w:asciiTheme="minorEastAsia" w:hAnsiTheme="minorEastAsia" w:eastAsiaTheme="minorEastAsia"/>
          <w:b/>
          <w:bCs/>
          <w:color w:val="000000" w:themeColor="text1"/>
          <w:sz w:val="28"/>
          <w:szCs w:val="28"/>
          <w14:textFill>
            <w14:solidFill>
              <w14:schemeClr w14:val="tx1"/>
            </w14:solidFill>
          </w14:textFill>
        </w:rPr>
        <w:t>、承诺函（模板）；</w:t>
      </w:r>
    </w:p>
    <w:p w14:paraId="2FCD7B9C">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5、本询价文件中第三条资格要求中要求提供的证明材料；</w:t>
      </w:r>
    </w:p>
    <w:p w14:paraId="1BA6FBE6">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6</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现场踏勘证明及</w:t>
      </w:r>
      <w:r>
        <w:rPr>
          <w:rFonts w:asciiTheme="minorEastAsia" w:hAnsiTheme="minorEastAsia" w:eastAsiaTheme="minorEastAsia"/>
          <w:b/>
          <w:bCs/>
          <w:color w:val="000000" w:themeColor="text1"/>
          <w:sz w:val="28"/>
          <w:szCs w:val="28"/>
          <w14:textFill>
            <w14:solidFill>
              <w14:schemeClr w14:val="tx1"/>
            </w14:solidFill>
          </w14:textFill>
        </w:rPr>
        <w:t>本项目询价文件要求的其他资料</w:t>
      </w:r>
      <w:r>
        <w:rPr>
          <w:rFonts w:hint="eastAsia" w:asciiTheme="minorEastAsia" w:hAnsiTheme="minorEastAsia" w:eastAsiaTheme="minorEastAsia"/>
          <w:b/>
          <w:bCs/>
          <w:color w:val="000000" w:themeColor="text1"/>
          <w:sz w:val="28"/>
          <w:szCs w:val="28"/>
          <w14:textFill>
            <w14:solidFill>
              <w14:schemeClr w14:val="tx1"/>
            </w14:solidFill>
          </w14:textFill>
        </w:rPr>
        <w:t>（如有)。</w:t>
      </w:r>
    </w:p>
    <w:p w14:paraId="50CAC15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十二、响应文件份数</w:t>
      </w:r>
    </w:p>
    <w:p w14:paraId="79FE7730">
      <w:pPr>
        <w:adjustRightInd w:val="0"/>
        <w:snapToGrid w:val="0"/>
        <w:spacing w:line="600" w:lineRule="exact"/>
        <w:ind w:firstLine="560" w:firstLineChars="200"/>
        <w:outlineLvl w:val="1"/>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b w:val="0"/>
          <w:bCs w:val="0"/>
          <w:color w:val="000000" w:themeColor="text1"/>
          <w:sz w:val="28"/>
          <w:szCs w:val="28"/>
          <w14:textFill>
            <w14:solidFill>
              <w14:schemeClr w14:val="tx1"/>
            </w14:solidFill>
          </w14:textFill>
        </w:rPr>
        <w:t>响应文件正本一份。</w:t>
      </w:r>
      <w:r>
        <w:rPr>
          <w:rFonts w:hint="eastAsia" w:asciiTheme="minorEastAsia" w:hAnsiTheme="minorEastAsia" w:eastAsiaTheme="minorEastAsia"/>
          <w:color w:val="000000" w:themeColor="text1"/>
          <w:sz w:val="28"/>
          <w:szCs w:val="28"/>
          <w14:textFill>
            <w14:solidFill>
              <w14:schemeClr w14:val="tx1"/>
            </w14:solidFill>
          </w14:textFill>
        </w:rPr>
        <w:t>响应文件必须每页</w:t>
      </w:r>
      <w:r>
        <w:rPr>
          <w:rFonts w:asciiTheme="minorEastAsia" w:hAnsiTheme="minorEastAsia" w:eastAsiaTheme="minorEastAsia"/>
          <w:color w:val="000000" w:themeColor="text1"/>
          <w:sz w:val="28"/>
          <w:szCs w:val="28"/>
          <w14:textFill>
            <w14:solidFill>
              <w14:schemeClr w14:val="tx1"/>
            </w14:solidFill>
          </w14:textFill>
        </w:rPr>
        <w:t>加盖公章</w:t>
      </w:r>
      <w:r>
        <w:rPr>
          <w:rFonts w:hint="eastAsia" w:asciiTheme="minorEastAsia" w:hAnsiTheme="minorEastAsia" w:eastAsiaTheme="minorEastAsia"/>
          <w:color w:val="000000" w:themeColor="text1"/>
          <w:sz w:val="28"/>
          <w:szCs w:val="28"/>
          <w14:textFill>
            <w14:solidFill>
              <w14:schemeClr w14:val="tx1"/>
            </w14:solidFill>
          </w14:textFill>
        </w:rPr>
        <w:t>并密封完好，响应人所递交的响应文件必须为盖章原件，公章、私章或签字为彩色（或黑白）复印的响应文件无效。</w:t>
      </w:r>
    </w:p>
    <w:p w14:paraId="3F223591">
      <w:pPr>
        <w:ind w:firstLine="560" w:firstLineChars="200"/>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十三、开标时间及地址</w:t>
      </w:r>
    </w:p>
    <w:p w14:paraId="060B1B95">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1</w:t>
      </w:r>
      <w:r>
        <w:rPr>
          <w:rFonts w:hint="eastAsia" w:asciiTheme="minorEastAsia" w:hAnsiTheme="minorEastAsia" w:eastAsiaTheme="minorEastAsia"/>
          <w:b/>
          <w:color w:val="000000" w:themeColor="text1"/>
          <w:sz w:val="28"/>
          <w:szCs w:val="28"/>
          <w14:textFill>
            <w14:solidFill>
              <w14:schemeClr w14:val="tx1"/>
            </w14:solidFill>
          </w14:textFill>
        </w:rPr>
        <w:t>、开标时间：</w:t>
      </w:r>
      <w:r>
        <w:rPr>
          <w:rFonts w:asciiTheme="minorEastAsia" w:hAnsiTheme="minorEastAsia" w:eastAsiaTheme="minorEastAsia"/>
          <w:b/>
          <w:color w:val="000000" w:themeColor="text1"/>
          <w:sz w:val="28"/>
          <w:szCs w:val="28"/>
          <w:u w:val="single"/>
          <w14:textFill>
            <w14:solidFill>
              <w14:schemeClr w14:val="tx1"/>
            </w14:solidFill>
          </w14:textFill>
        </w:rPr>
        <w:t>20</w:t>
      </w:r>
      <w:r>
        <w:rPr>
          <w:rFonts w:hint="eastAsia" w:asciiTheme="minorEastAsia" w:hAnsiTheme="minorEastAsia" w:eastAsiaTheme="minorEastAsia"/>
          <w:b/>
          <w:color w:val="000000" w:themeColor="text1"/>
          <w:sz w:val="28"/>
          <w:szCs w:val="28"/>
          <w:u w:val="single"/>
          <w14:textFill>
            <w14:solidFill>
              <w14:schemeClr w14:val="tx1"/>
            </w14:solidFill>
          </w14:textFill>
        </w:rPr>
        <w:t>2</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5</w:t>
      </w:r>
      <w:r>
        <w:rPr>
          <w:rFonts w:hint="eastAsia" w:asciiTheme="minorEastAsia" w:hAnsiTheme="minorEastAsia" w:eastAsiaTheme="minorEastAsia"/>
          <w:b/>
          <w:color w:val="000000" w:themeColor="text1"/>
          <w:sz w:val="28"/>
          <w:szCs w:val="28"/>
          <w14:textFill>
            <w14:solidFill>
              <w14:schemeClr w14:val="tx1"/>
            </w14:solidFill>
          </w14:textFill>
        </w:rPr>
        <w:t>年</w:t>
      </w:r>
      <w:r>
        <w:rPr>
          <w:rFonts w:hint="eastAsia" w:asciiTheme="minorEastAsia" w:hAnsiTheme="minorEastAsia" w:eastAsiaTheme="minorEastAsia"/>
          <w:b/>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 xml:space="preserve">11 </w:t>
      </w:r>
      <w:r>
        <w:rPr>
          <w:rFonts w:hint="eastAsia" w:asciiTheme="minorEastAsia" w:hAnsiTheme="minorEastAsia" w:eastAsiaTheme="minorEastAsia"/>
          <w:b/>
          <w:color w:val="000000" w:themeColor="text1"/>
          <w:sz w:val="28"/>
          <w:szCs w:val="28"/>
          <w14:textFill>
            <w14:solidFill>
              <w14:schemeClr w14:val="tx1"/>
            </w14:solidFill>
          </w14:textFill>
        </w:rPr>
        <w:t>月</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 xml:space="preserve"> 14 </w:t>
      </w:r>
      <w:r>
        <w:rPr>
          <w:rFonts w:hint="eastAsia" w:asciiTheme="minorEastAsia" w:hAnsiTheme="minorEastAsia" w:eastAsiaTheme="minorEastAsia"/>
          <w:b/>
          <w:color w:val="000000" w:themeColor="text1"/>
          <w:sz w:val="28"/>
          <w:szCs w:val="28"/>
          <w14:textFill>
            <w14:solidFill>
              <w14:schemeClr w14:val="tx1"/>
            </w14:solidFill>
          </w14:textFill>
        </w:rPr>
        <w:t>日</w:t>
      </w:r>
      <w:r>
        <w:rPr>
          <w:rFonts w:hint="eastAsia" w:asciiTheme="minorEastAsia" w:hAnsiTheme="minorEastAsia" w:eastAsiaTheme="minorEastAsia"/>
          <w:b/>
          <w:color w:val="000000" w:themeColor="text1"/>
          <w:sz w:val="28"/>
          <w:szCs w:val="28"/>
          <w:u w:val="single"/>
          <w:lang w:val="en-US" w:eastAsia="zh-CN"/>
          <w14:textFill>
            <w14:solidFill>
              <w14:schemeClr w14:val="tx1"/>
            </w14:solidFill>
          </w14:textFill>
        </w:rPr>
        <w:t>上午10:30</w:t>
      </w:r>
      <w:r>
        <w:rPr>
          <w:rFonts w:hint="eastAsia" w:asciiTheme="minorEastAsia" w:hAnsiTheme="minorEastAsia" w:eastAsiaTheme="minorEastAsia"/>
          <w:b/>
          <w:color w:val="000000" w:themeColor="text1"/>
          <w:sz w:val="28"/>
          <w:szCs w:val="28"/>
          <w14:textFill>
            <w14:solidFill>
              <w14:schemeClr w14:val="tx1"/>
            </w14:solidFill>
          </w14:textFill>
        </w:rPr>
        <w:t>。</w:t>
      </w:r>
    </w:p>
    <w:p w14:paraId="49DCB541">
      <w:pPr>
        <w:spacing w:line="600" w:lineRule="exact"/>
        <w:ind w:firstLine="560" w:firstLineChars="200"/>
        <w:rPr>
          <w:rFonts w:asciiTheme="minorEastAsia" w:hAnsiTheme="minorEastAsia" w:eastAsiaTheme="minorEastAsia"/>
          <w:b/>
          <w:color w:val="000000" w:themeColor="text1"/>
          <w:sz w:val="28"/>
          <w:szCs w:val="28"/>
          <w14:textFill>
            <w14:solidFill>
              <w14:schemeClr w14:val="tx1"/>
            </w14:solidFill>
          </w14:textFill>
        </w:rPr>
      </w:pPr>
      <w:r>
        <w:rPr>
          <w:rFonts w:asciiTheme="minorEastAsia" w:hAnsiTheme="minorEastAsia" w:eastAsiaTheme="minorEastAsia"/>
          <w:b/>
          <w:color w:val="000000" w:themeColor="text1"/>
          <w:sz w:val="28"/>
          <w:szCs w:val="28"/>
          <w14:textFill>
            <w14:solidFill>
              <w14:schemeClr w14:val="tx1"/>
            </w14:solidFill>
          </w14:textFill>
        </w:rPr>
        <w:t>2</w:t>
      </w:r>
      <w:r>
        <w:rPr>
          <w:rFonts w:hint="eastAsia" w:asciiTheme="minorEastAsia" w:hAnsiTheme="minorEastAsia" w:eastAsiaTheme="minorEastAsia"/>
          <w:b/>
          <w:color w:val="000000" w:themeColor="text1"/>
          <w:sz w:val="28"/>
          <w:szCs w:val="28"/>
          <w14:textFill>
            <w14:solidFill>
              <w14:schemeClr w14:val="tx1"/>
            </w14:solidFill>
          </w14:textFill>
        </w:rPr>
        <w:t>、开标地址：</w:t>
      </w:r>
      <w:r>
        <w:rPr>
          <w:rFonts w:hint="eastAsia" w:asciiTheme="minorEastAsia" w:hAnsiTheme="minorEastAsia" w:eastAsiaTheme="minorEastAsia"/>
          <w:b/>
          <w:color w:val="000000" w:themeColor="text1"/>
          <w:sz w:val="28"/>
          <w:szCs w:val="28"/>
          <w:u w:val="single"/>
          <w14:textFill>
            <w14:solidFill>
              <w14:schemeClr w14:val="tx1"/>
            </w14:solidFill>
          </w14:textFill>
        </w:rPr>
        <w:t>广东省东莞市莞城区东江大道鳒鱼洲文创园招商中心二楼会议室</w:t>
      </w:r>
      <w:bookmarkStart w:id="5" w:name="_GoBack"/>
      <w:bookmarkEnd w:id="5"/>
    </w:p>
    <w:p w14:paraId="5CB8B22E">
      <w:pPr>
        <w:spacing w:line="600" w:lineRule="exact"/>
        <w:ind w:firstLine="560" w:firstLineChars="200"/>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项目咨询联系人：</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张先生</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b/>
          <w:bCs/>
          <w:color w:val="000000" w:themeColor="text1"/>
          <w:sz w:val="28"/>
          <w:szCs w:val="28"/>
          <w:u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14:textFill>
            <w14:solidFill>
              <w14:schemeClr w14:val="tx1"/>
            </w14:solidFill>
          </w14:textFill>
        </w:rPr>
        <w:t>联系电话：</w:t>
      </w:r>
      <w:r>
        <w:rPr>
          <w:rFonts w:asciiTheme="minorEastAsia" w:hAnsiTheme="minorEastAsia" w:eastAsiaTheme="minorEastAsia"/>
          <w:b/>
          <w:bCs/>
          <w:color w:val="000000" w:themeColor="text1"/>
          <w:sz w:val="28"/>
          <w:szCs w:val="28"/>
          <w:u w:val="single"/>
          <w14:textFill>
            <w14:solidFill>
              <w14:schemeClr w14:val="tx1"/>
            </w14:solidFill>
          </w14:textFill>
        </w:rPr>
        <w:t>18</w:t>
      </w:r>
      <w:r>
        <w:rPr>
          <w:rFonts w:hint="eastAsia" w:asciiTheme="minorEastAsia" w:hAnsiTheme="minorEastAsia" w:eastAsiaTheme="minorEastAsia"/>
          <w:b/>
          <w:bCs/>
          <w:color w:val="000000" w:themeColor="text1"/>
          <w:sz w:val="28"/>
          <w:szCs w:val="28"/>
          <w:u w:val="single"/>
          <w:lang w:val="en-US" w:eastAsia="zh-CN"/>
          <w14:textFill>
            <w14:solidFill>
              <w14:schemeClr w14:val="tx1"/>
            </w14:solidFill>
          </w14:textFill>
        </w:rPr>
        <w:t>816810396</w:t>
      </w:r>
      <w:r>
        <w:rPr>
          <w:rFonts w:asciiTheme="minorEastAsia" w:hAnsiTheme="minorEastAsia" w:eastAsiaTheme="minorEastAsia"/>
          <w:b/>
          <w:bCs/>
          <w:color w:val="000000" w:themeColor="text1"/>
          <w:sz w:val="28"/>
          <w:szCs w:val="28"/>
          <w:u w:val="single"/>
          <w14:textFill>
            <w14:solidFill>
              <w14:schemeClr w14:val="tx1"/>
            </w14:solidFill>
          </w14:textFill>
        </w:rPr>
        <w:t xml:space="preserve"> </w:t>
      </w:r>
    </w:p>
    <w:p w14:paraId="20D1882D">
      <w:pPr>
        <w:spacing w:line="600" w:lineRule="exact"/>
        <w:ind w:firstLine="560" w:firstLineChars="200"/>
        <w:rPr>
          <w:rFonts w:asciiTheme="minorEastAsia" w:hAnsiTheme="minorEastAsia" w:eastAsiaTheme="minorEastAsia"/>
          <w:b/>
          <w:bCs/>
          <w:color w:val="000000" w:themeColor="text1"/>
          <w:sz w:val="28"/>
          <w:szCs w:val="28"/>
          <w:u w:val="single"/>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十四、注意事项</w:t>
      </w:r>
    </w:p>
    <w:p w14:paraId="6EFD789F">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bookmarkStart w:id="3" w:name="_Hlk517879660"/>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、若响应人未按规定时间将文件送达现场，视为放弃报价资格。</w:t>
      </w:r>
    </w:p>
    <w:p w14:paraId="6A55BCA6">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、采购文件有要求交保证金的，响应人</w:t>
      </w:r>
      <w:r>
        <w:rPr>
          <w:rFonts w:asciiTheme="minorEastAsia" w:hAnsiTheme="minorEastAsia" w:eastAsiaTheme="minorEastAsia"/>
          <w:color w:val="000000" w:themeColor="text1"/>
          <w:sz w:val="28"/>
          <w:szCs w:val="28"/>
          <w14:textFill>
            <w14:solidFill>
              <w14:schemeClr w14:val="tx1"/>
            </w14:solidFill>
          </w14:textFill>
        </w:rPr>
        <w:t>如未按要求交纳保证金，则视为放弃</w:t>
      </w:r>
      <w:r>
        <w:rPr>
          <w:rFonts w:hint="eastAsia" w:asciiTheme="minorEastAsia" w:hAnsiTheme="minorEastAsia" w:eastAsiaTheme="minorEastAsia"/>
          <w:color w:val="000000" w:themeColor="text1"/>
          <w:sz w:val="28"/>
          <w:szCs w:val="28"/>
          <w14:textFill>
            <w14:solidFill>
              <w14:schemeClr w14:val="tx1"/>
            </w14:solidFill>
          </w14:textFill>
        </w:rPr>
        <w:t>报价</w:t>
      </w:r>
      <w:r>
        <w:rPr>
          <w:rFonts w:asciiTheme="minorEastAsia" w:hAnsiTheme="minorEastAsia" w:eastAsiaTheme="minorEastAsia"/>
          <w:color w:val="000000" w:themeColor="text1"/>
          <w:sz w:val="28"/>
          <w:szCs w:val="28"/>
          <w14:textFill>
            <w14:solidFill>
              <w14:schemeClr w14:val="tx1"/>
            </w14:solidFill>
          </w14:textFill>
        </w:rPr>
        <w:t>资格。</w:t>
      </w:r>
    </w:p>
    <w:p w14:paraId="2DC9B853">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spacing w:line="60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14:textFill>
            <w14:solidFill>
              <w14:schemeClr w14:val="tx1"/>
            </w14:solidFill>
          </w14:textFill>
        </w:rPr>
        <w:t>、本项目执行过程中将遵循国家、省、市有关法律、法规、标准、技术规范和规范性文件的最新规定。</w:t>
      </w:r>
      <w:bookmarkEnd w:id="3"/>
    </w:p>
    <w:p w14:paraId="225AA7B0">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4623B489">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14:textFill>
            <w14:solidFill>
              <w14:schemeClr w14:val="tx1"/>
            </w14:solidFill>
          </w14:textFill>
        </w:rPr>
        <w:t>、本</w:t>
      </w:r>
      <w:r>
        <w:rPr>
          <w:rFonts w:asciiTheme="minorEastAsia" w:hAnsiTheme="minorEastAsia" w:eastAsiaTheme="minorEastAsia"/>
          <w:color w:val="000000" w:themeColor="text1"/>
          <w:sz w:val="28"/>
          <w:szCs w:val="28"/>
          <w14:textFill>
            <w14:solidFill>
              <w14:schemeClr w14:val="tx1"/>
            </w14:solidFill>
          </w14:textFill>
        </w:rPr>
        <w:t>项目仅可提交一个报价方案，提交两个或以上报价方案的</w:t>
      </w:r>
      <w:r>
        <w:rPr>
          <w:rFonts w:hint="eastAsia" w:asciiTheme="minorEastAsia" w:hAnsiTheme="minorEastAsia" w:eastAsiaTheme="minorEastAsia"/>
          <w:color w:val="000000" w:themeColor="text1"/>
          <w:sz w:val="28"/>
          <w:szCs w:val="28"/>
          <w14:textFill>
            <w14:solidFill>
              <w14:schemeClr w14:val="tx1"/>
            </w14:solidFill>
          </w14:textFill>
        </w:rPr>
        <w:t>响应人</w:t>
      </w:r>
      <w:r>
        <w:rPr>
          <w:rFonts w:asciiTheme="minorEastAsia" w:hAnsiTheme="minorEastAsia" w:eastAsiaTheme="minorEastAsia"/>
          <w:color w:val="000000" w:themeColor="text1"/>
          <w:sz w:val="28"/>
          <w:szCs w:val="28"/>
          <w14:textFill>
            <w14:solidFill>
              <w14:schemeClr w14:val="tx1"/>
            </w14:solidFill>
          </w14:textFill>
        </w:rPr>
        <w:t>视为无效报价</w:t>
      </w:r>
      <w:r>
        <w:rPr>
          <w:rFonts w:hint="eastAsia" w:asciiTheme="minorEastAsia" w:hAnsiTheme="minorEastAsia" w:eastAsiaTheme="minorEastAsia"/>
          <w:color w:val="000000" w:themeColor="text1"/>
          <w:sz w:val="28"/>
          <w:szCs w:val="28"/>
          <w14:textFill>
            <w14:solidFill>
              <w14:schemeClr w14:val="tx1"/>
            </w14:solidFill>
          </w14:textFill>
        </w:rPr>
        <w:t>。</w:t>
      </w:r>
    </w:p>
    <w:p w14:paraId="73DB0D3C">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w:t>
      </w:r>
      <w:r>
        <w:rPr>
          <w:rFonts w:hint="eastAsia" w:asciiTheme="minorEastAsia" w:hAnsiTheme="minorEastAsia" w:eastAsiaTheme="minorEastAsia"/>
          <w:color w:val="000000" w:themeColor="text1"/>
          <w:sz w:val="28"/>
          <w:szCs w:val="28"/>
          <w14:textFill>
            <w14:solidFill>
              <w14:schemeClr w14:val="tx1"/>
            </w14:solidFill>
          </w14:textFill>
        </w:rPr>
        <w:t>、本项目不接受响应人其他附加条件。</w:t>
      </w:r>
    </w:p>
    <w:p w14:paraId="25AF6ED6">
      <w:pPr>
        <w:widowControl/>
        <w:shd w:val="clear"/>
        <w:spacing w:line="600" w:lineRule="exact"/>
        <w:ind w:firstLine="560" w:firstLineChars="200"/>
        <w:jc w:val="left"/>
        <w:rPr>
          <w:rFonts w:asciiTheme="minorEastAsia" w:hAnsiTheme="minorEastAsia" w:eastAsiaTheme="minorEastAsia"/>
          <w:b/>
          <w:bCs/>
          <w:color w:val="000000" w:themeColor="text1"/>
          <w:sz w:val="28"/>
          <w:szCs w:val="28"/>
          <w14:textFill>
            <w14:solidFill>
              <w14:schemeClr w14:val="tx1"/>
            </w14:solidFill>
          </w14:textFill>
        </w:rPr>
      </w:pPr>
      <w:r>
        <w:rPr>
          <w:rFonts w:asciiTheme="minorEastAsia" w:hAnsiTheme="minorEastAsia" w:eastAsiaTheme="minorEastAsia"/>
          <w:b/>
          <w:bCs/>
          <w:color w:val="000000" w:themeColor="text1"/>
          <w:sz w:val="28"/>
          <w:szCs w:val="28"/>
          <w14:textFill>
            <w14:solidFill>
              <w14:schemeClr w14:val="tx1"/>
            </w14:solidFill>
          </w14:textFill>
        </w:rPr>
        <w:t>8</w:t>
      </w:r>
      <w:r>
        <w:rPr>
          <w:rFonts w:hint="eastAsia" w:asciiTheme="minorEastAsia" w:hAnsiTheme="minorEastAsia" w:eastAsiaTheme="minorEastAsia"/>
          <w:b/>
          <w:bCs/>
          <w:color w:val="000000" w:themeColor="text1"/>
          <w:sz w:val="28"/>
          <w:szCs w:val="28"/>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不按采购需求标准执行</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，导致项目多次返工（换货）</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或返工（换货）后仍未达到采购需求标准</w:t>
      </w:r>
      <w:r>
        <w:rPr>
          <w:rFonts w:hint="eastAsia" w:asciiTheme="minorEastAsia" w:hAnsiTheme="minorEastAsia" w:eastAsiaTheme="minorEastAsia"/>
          <w:b/>
          <w:bCs/>
          <w:color w:val="000000" w:themeColor="text1"/>
          <w:sz w:val="28"/>
          <w:szCs w:val="28"/>
          <w:highlight w:val="none"/>
          <w:lang w:eastAsia="zh-CN"/>
          <w14:textFill>
            <w14:solidFill>
              <w14:schemeClr w14:val="tx1"/>
            </w14:solidFill>
          </w14:textFill>
        </w:rPr>
        <w:t>、</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或影响项目正常进度</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b/>
          <w:bCs/>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b/>
          <w:bCs/>
          <w:color w:val="000000" w:themeColor="text1"/>
          <w:sz w:val="28"/>
          <w:szCs w:val="28"/>
          <w:highlight w:val="none"/>
          <w14:textFill>
            <w14:solidFill>
              <w14:schemeClr w14:val="tx1"/>
            </w14:solidFill>
          </w14:textFill>
        </w:rPr>
        <w:t>年内不得参与采购人的招标采购活动。</w:t>
      </w:r>
    </w:p>
    <w:p w14:paraId="4D88F82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9</w:t>
      </w:r>
      <w:r>
        <w:rPr>
          <w:rFonts w:hint="eastAsia" w:asciiTheme="minorEastAsia" w:hAnsiTheme="minorEastAsia" w:eastAsiaTheme="minorEastAsia"/>
          <w:color w:val="000000" w:themeColor="text1"/>
          <w:sz w:val="28"/>
          <w:szCs w:val="28"/>
          <w14:textFill>
            <w14:solidFill>
              <w14:schemeClr w14:val="tx1"/>
            </w14:solidFill>
          </w14:textFill>
        </w:rPr>
        <w:t>、有下列情形之一的，保证金将被没收，响应人纳入采购人供应商黑名单：</w:t>
      </w:r>
    </w:p>
    <w:p w14:paraId="1AB82A37">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1）中标后无正当理由放弃中标或不与采购人签订合同。</w:t>
      </w:r>
    </w:p>
    <w:p w14:paraId="6DFAC882">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2）成交</w:t>
      </w:r>
      <w:r>
        <w:rPr>
          <w:rFonts w:hint="eastAsia" w:asciiTheme="minorEastAsia" w:hAnsiTheme="minorEastAsia" w:eastAsiaTheme="minorEastAsia"/>
          <w:color w:val="000000" w:themeColor="text1"/>
          <w:sz w:val="28"/>
          <w:szCs w:val="28"/>
          <w14:textFill>
            <w14:solidFill>
              <w14:schemeClr w14:val="tx1"/>
            </w14:solidFill>
          </w14:textFill>
        </w:rPr>
        <w:t>单位</w:t>
      </w:r>
      <w:r>
        <w:rPr>
          <w:rFonts w:asciiTheme="minorEastAsia" w:hAnsiTheme="minorEastAsia" w:eastAsiaTheme="minorEastAsia"/>
          <w:color w:val="000000" w:themeColor="text1"/>
          <w:sz w:val="28"/>
          <w:szCs w:val="28"/>
          <w14:textFill>
            <w14:solidFill>
              <w14:schemeClr w14:val="tx1"/>
            </w14:solidFill>
          </w14:textFill>
        </w:rPr>
        <w:t>将本项目转让给他人，或者在</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文件中未说明，且未经采购人同意，将中标项目分包给他人。</w:t>
      </w:r>
    </w:p>
    <w:p w14:paraId="667715C4">
      <w:pPr>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（3）响应</w:t>
      </w:r>
      <w:r>
        <w:rPr>
          <w:rFonts w:asciiTheme="minorEastAsia" w:hAnsiTheme="minorEastAsia" w:eastAsiaTheme="minorEastAsia"/>
          <w:color w:val="000000" w:themeColor="text1"/>
          <w:sz w:val="28"/>
          <w:szCs w:val="28"/>
          <w14:textFill>
            <w14:solidFill>
              <w14:schemeClr w14:val="tx1"/>
            </w14:solidFill>
          </w14:textFill>
        </w:rPr>
        <w:t>人提供虚假</w:t>
      </w:r>
      <w:r>
        <w:rPr>
          <w:rFonts w:hint="eastAsia" w:asciiTheme="minorEastAsia" w:hAnsiTheme="minorEastAsia" w:eastAsiaTheme="minorEastAsia"/>
          <w:color w:val="000000" w:themeColor="text1"/>
          <w:sz w:val="28"/>
          <w:szCs w:val="28"/>
          <w14:textFill>
            <w14:solidFill>
              <w14:schemeClr w14:val="tx1"/>
            </w14:solidFill>
          </w14:textFill>
        </w:rPr>
        <w:t>响应</w:t>
      </w:r>
      <w:r>
        <w:rPr>
          <w:rFonts w:asciiTheme="minorEastAsia" w:hAnsiTheme="minorEastAsia" w:eastAsiaTheme="minorEastAsia"/>
          <w:color w:val="000000" w:themeColor="text1"/>
          <w:sz w:val="28"/>
          <w:szCs w:val="28"/>
          <w14:textFill>
            <w14:solidFill>
              <w14:schemeClr w14:val="tx1"/>
            </w14:solidFill>
          </w14:textFill>
        </w:rPr>
        <w:t>文件或虚假补充文件。</w:t>
      </w:r>
    </w:p>
    <w:p w14:paraId="3BD2AF19">
      <w:pPr>
        <w:spacing w:line="600" w:lineRule="exact"/>
        <w:ind w:firstLine="560" w:firstLineChars="200"/>
        <w:jc w:val="righ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olor w:val="000000" w:themeColor="text1"/>
          <w:sz w:val="28"/>
          <w:szCs w:val="28"/>
          <w:lang w:eastAsia="zh-CN"/>
          <w14:textFill>
            <w14:solidFill>
              <w14:schemeClr w14:val="tx1"/>
            </w14:solidFill>
          </w14:textFill>
        </w:rPr>
        <w:t>东莞文旅有限公司</w:t>
      </w:r>
    </w:p>
    <w:p w14:paraId="058A4210">
      <w:pPr>
        <w:spacing w:line="600" w:lineRule="exact"/>
        <w:ind w:firstLine="560" w:firstLineChars="200"/>
        <w:jc w:val="right"/>
        <w:rPr>
          <w:rFonts w:hint="eastAsia"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20</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5</w:t>
      </w:r>
      <w:r>
        <w:rPr>
          <w:rFonts w:hint="eastAsia" w:asciiTheme="minorEastAsia" w:hAnsiTheme="minorEastAsia" w:eastAsiaTheme="minorEastAsia"/>
          <w:color w:val="000000" w:themeColor="text1"/>
          <w:sz w:val="28"/>
          <w:szCs w:val="28"/>
          <w14:textFill>
            <w14:solidFill>
              <w14:schemeClr w14:val="tx1"/>
            </w14:solidFill>
          </w14:textFill>
        </w:rPr>
        <w:t>年</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11</w:t>
      </w:r>
      <w:r>
        <w:rPr>
          <w:rFonts w:hint="eastAsia" w:asciiTheme="minorEastAsia" w:hAnsiTheme="minorEastAsia" w:eastAsiaTheme="minorEastAsia"/>
          <w:color w:val="000000" w:themeColor="text1"/>
          <w:sz w:val="28"/>
          <w:szCs w:val="28"/>
          <w14:textFill>
            <w14:solidFill>
              <w14:schemeClr w14:val="tx1"/>
            </w14:solidFill>
          </w14:textFill>
        </w:rPr>
        <w:t>月</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10</w:t>
      </w:r>
      <w:r>
        <w:rPr>
          <w:rFonts w:hint="eastAsia" w:asciiTheme="minorEastAsia" w:hAnsiTheme="minorEastAsia" w:eastAsiaTheme="minorEastAsia"/>
          <w:color w:val="000000" w:themeColor="text1"/>
          <w:sz w:val="28"/>
          <w:szCs w:val="28"/>
          <w14:textFill>
            <w14:solidFill>
              <w14:schemeClr w14:val="tx1"/>
            </w14:solidFill>
          </w14:textFill>
        </w:rPr>
        <w:t>日</w:t>
      </w:r>
    </w:p>
    <w:p w14:paraId="60311BFC">
      <w:pPr>
        <w:rPr>
          <w:rFonts w:hint="eastAsia"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6254"/>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254"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BOX篮球印巷5号门停车场改造施工采购项目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广东省东莞市东莞市寮步镇龙胜路东莞银行篮球中心</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5号门旁</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工程质量需符合国家及行业相关标准，满足采购人需求及项目停车场使用需求；</w:t>
            </w:r>
            <w:r>
              <w:rPr>
                <w:rFonts w:hint="eastAsia" w:asciiTheme="minorEastAsia" w:hAnsiTheme="minorEastAsia" w:eastAsiaTheme="minorEastAsia" w:cstheme="minorEastAsia"/>
                <w:color w:val="auto"/>
                <w:sz w:val="24"/>
                <w:szCs w:val="24"/>
                <w:lang w:val="en-US"/>
              </w:rPr>
              <w:t>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自合同签订之日起10个日历天内完成全部施工及竣工验收。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254"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254"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BOX篮球印巷5号门停车场改造施工采购项目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BOX篮球印巷5号门停车场改造施工采购项目，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singl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683D89BE">
      <w:pPr>
        <w:rPr>
          <w:rFonts w:hint="eastAsia"/>
        </w:rPr>
      </w:pPr>
      <w:r>
        <w:rPr>
          <w:rFonts w:hint="eastAsia"/>
        </w:rPr>
        <w:br w:type="page"/>
      </w:r>
    </w:p>
    <w:p w14:paraId="5114EA17">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三</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清单</w:t>
      </w:r>
    </w:p>
    <w:p w14:paraId="3D69D01E">
      <w:pPr>
        <w:shd w:val="clear"/>
        <w:jc w:val="cente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tbl>
      <w:tblPr>
        <w:tblStyle w:val="20"/>
        <w:tblW w:w="5000" w:type="pct"/>
        <w:tblInd w:w="0" w:type="dxa"/>
        <w:tblLayout w:type="autofit"/>
        <w:tblCellMar>
          <w:top w:w="0" w:type="dxa"/>
          <w:left w:w="108" w:type="dxa"/>
          <w:bottom w:w="0" w:type="dxa"/>
          <w:right w:w="108" w:type="dxa"/>
        </w:tblCellMar>
      </w:tblPr>
      <w:tblGrid>
        <w:gridCol w:w="414"/>
        <w:gridCol w:w="1523"/>
        <w:gridCol w:w="781"/>
        <w:gridCol w:w="1038"/>
        <w:gridCol w:w="1085"/>
        <w:gridCol w:w="1095"/>
        <w:gridCol w:w="3181"/>
      </w:tblGrid>
      <w:tr w14:paraId="7627F940">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44DA0C4C">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序号</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08CFDEE1">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项目名称</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14:paraId="2E675F05">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单位</w:t>
            </w:r>
          </w:p>
        </w:tc>
        <w:tc>
          <w:tcPr>
            <w:tcW w:w="569" w:type="pct"/>
            <w:tcBorders>
              <w:top w:val="single" w:color="000000" w:sz="4" w:space="0"/>
              <w:left w:val="single" w:color="000000" w:sz="4" w:space="0"/>
              <w:bottom w:val="single" w:color="000000" w:sz="4" w:space="0"/>
              <w:right w:val="single" w:color="000000" w:sz="4" w:space="0"/>
            </w:tcBorders>
            <w:noWrap w:val="0"/>
            <w:vAlign w:val="center"/>
          </w:tcPr>
          <w:p w14:paraId="61F527DC">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数量</w:t>
            </w:r>
          </w:p>
        </w:tc>
        <w:tc>
          <w:tcPr>
            <w:tcW w:w="595" w:type="pct"/>
            <w:tcBorders>
              <w:top w:val="single" w:color="000000" w:sz="4" w:space="0"/>
              <w:left w:val="single" w:color="000000" w:sz="4" w:space="0"/>
              <w:bottom w:val="single" w:color="000000" w:sz="4" w:space="0"/>
              <w:right w:val="single" w:color="000000" w:sz="4" w:space="0"/>
            </w:tcBorders>
            <w:noWrap w:val="0"/>
            <w:vAlign w:val="center"/>
          </w:tcPr>
          <w:p w14:paraId="25CB4FC8">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单价</w:t>
            </w: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6847283F">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总价</w:t>
            </w:r>
          </w:p>
        </w:tc>
        <w:tc>
          <w:tcPr>
            <w:tcW w:w="1744" w:type="pct"/>
            <w:tcBorders>
              <w:top w:val="single" w:color="000000" w:sz="4" w:space="0"/>
              <w:left w:val="single" w:color="000000" w:sz="4" w:space="0"/>
              <w:bottom w:val="single" w:color="000000" w:sz="4" w:space="0"/>
              <w:right w:val="single" w:color="000000" w:sz="4" w:space="0"/>
            </w:tcBorders>
            <w:noWrap w:val="0"/>
            <w:vAlign w:val="center"/>
          </w:tcPr>
          <w:p w14:paraId="63047DCF">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备注</w:t>
            </w:r>
          </w:p>
        </w:tc>
      </w:tr>
      <w:tr w14:paraId="41ACF93D">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5C373F6A">
            <w:pPr>
              <w:widowControl/>
              <w:jc w:val="center"/>
              <w:textAlignment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b w:val="0"/>
                <w:bCs w:val="0"/>
                <w:color w:val="000000"/>
                <w:sz w:val="18"/>
                <w:szCs w:val="18"/>
                <w:lang w:bidi="ar"/>
              </w:rPr>
              <w:t>1</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12478230">
            <w:pPr>
              <w:pStyle w:val="17"/>
              <w:keepNext w:val="0"/>
              <w:keepLines w:val="0"/>
              <w:widowControl/>
              <w:suppressLineNumbers w:val="0"/>
              <w:kinsoku/>
              <w:wordWrap/>
              <w:overflowPunct/>
              <w:ind w:left="0" w:leftChars="0" w:right="0" w:rightChars="0"/>
              <w:jc w:val="center"/>
              <w:rPr>
                <w:rFonts w:ascii="微软雅黑" w:hAnsi="微软雅黑" w:eastAsia="微软雅黑" w:cs="微软雅黑"/>
                <w:b w:val="0"/>
                <w:bCs w:val="0"/>
                <w:color w:val="000000"/>
                <w:sz w:val="18"/>
                <w:szCs w:val="18"/>
              </w:rPr>
            </w:pPr>
            <w:r>
              <w:rPr>
                <w:rFonts w:ascii="微软雅黑" w:hAnsi="微软雅黑" w:eastAsia="微软雅黑" w:cs="微软雅黑"/>
                <w:color w:val="000000"/>
                <w:sz w:val="20"/>
                <w:szCs w:val="20"/>
              </w:rPr>
              <w:t>边线</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14:paraId="47B4A438">
            <w:pPr>
              <w:pStyle w:val="17"/>
              <w:keepNext w:val="0"/>
              <w:keepLines w:val="0"/>
              <w:widowControl/>
              <w:suppressLineNumbers w:val="0"/>
              <w:kinsoku/>
              <w:wordWrap/>
              <w:overflowPunct/>
              <w:ind w:left="0" w:leftChars="0" w:right="0" w:rightChars="0"/>
              <w:jc w:val="center"/>
              <w:rPr>
                <w:rFonts w:ascii="微软雅黑" w:hAnsi="微软雅黑" w:eastAsia="微软雅黑" w:cs="微软雅黑"/>
                <w:b w:val="0"/>
                <w:bCs w:val="0"/>
                <w:color w:val="000000"/>
                <w:sz w:val="20"/>
                <w:szCs w:val="20"/>
              </w:rPr>
            </w:pPr>
            <w:r>
              <w:rPr>
                <w:rFonts w:ascii="微软雅黑" w:hAnsi="微软雅黑" w:eastAsia="微软雅黑" w:cs="微软雅黑"/>
                <w:color w:val="000000"/>
                <w:sz w:val="20"/>
                <w:szCs w:val="20"/>
              </w:rPr>
              <w:t>㎡</w:t>
            </w:r>
          </w:p>
        </w:tc>
        <w:tc>
          <w:tcPr>
            <w:tcW w:w="569" w:type="pct"/>
            <w:tcBorders>
              <w:top w:val="single" w:color="000000" w:sz="4" w:space="0"/>
              <w:left w:val="single" w:color="000000" w:sz="4" w:space="0"/>
              <w:bottom w:val="single" w:color="000000" w:sz="4" w:space="0"/>
              <w:right w:val="single" w:color="000000" w:sz="4" w:space="0"/>
            </w:tcBorders>
            <w:noWrap w:val="0"/>
            <w:vAlign w:val="center"/>
          </w:tcPr>
          <w:p w14:paraId="538AB834">
            <w:pPr>
              <w:pStyle w:val="17"/>
              <w:keepNext w:val="0"/>
              <w:keepLines w:val="0"/>
              <w:widowControl/>
              <w:suppressLineNumbers w:val="0"/>
              <w:kinsoku/>
              <w:wordWrap/>
              <w:overflowPunct/>
              <w:ind w:left="0" w:leftChars="0" w:right="0" w:rightChars="0"/>
              <w:jc w:val="center"/>
              <w:rPr>
                <w:rFonts w:ascii="微软雅黑" w:hAnsi="微软雅黑" w:eastAsia="微软雅黑" w:cs="微软雅黑"/>
                <w:b w:val="0"/>
                <w:bCs w:val="0"/>
                <w:color w:val="000000"/>
                <w:sz w:val="18"/>
                <w:szCs w:val="18"/>
              </w:rPr>
            </w:pPr>
            <w:r>
              <w:rPr>
                <w:rFonts w:hint="eastAsia" w:ascii="微软雅黑" w:hAnsi="微软雅黑" w:eastAsia="微软雅黑" w:cs="微软雅黑"/>
                <w:color w:val="000000"/>
                <w:sz w:val="20"/>
                <w:szCs w:val="20"/>
              </w:rPr>
              <w:t>126</w:t>
            </w:r>
          </w:p>
        </w:tc>
        <w:tc>
          <w:tcPr>
            <w:tcW w:w="595" w:type="pct"/>
            <w:tcBorders>
              <w:top w:val="single" w:color="000000" w:sz="4" w:space="0"/>
              <w:left w:val="single" w:color="000000" w:sz="4" w:space="0"/>
              <w:bottom w:val="single" w:color="000000" w:sz="4" w:space="0"/>
              <w:right w:val="single" w:color="000000" w:sz="4" w:space="0"/>
            </w:tcBorders>
            <w:noWrap w:val="0"/>
            <w:vAlign w:val="center"/>
          </w:tcPr>
          <w:p w14:paraId="22AF98F2">
            <w:pPr>
              <w:jc w:val="center"/>
              <w:rPr>
                <w:rFonts w:ascii="微软雅黑" w:hAnsi="微软雅黑" w:eastAsia="微软雅黑" w:cs="微软雅黑"/>
                <w:b w:val="0"/>
                <w:bCs w:val="0"/>
                <w:color w:val="000000"/>
                <w:sz w:val="18"/>
                <w:szCs w:val="18"/>
              </w:rPr>
            </w:pP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29BAF85E">
            <w:pPr>
              <w:jc w:val="center"/>
              <w:rPr>
                <w:rFonts w:ascii="微软雅黑" w:hAnsi="微软雅黑" w:eastAsia="微软雅黑" w:cs="微软雅黑"/>
                <w:b w:val="0"/>
                <w:bCs w:val="0"/>
                <w:color w:val="000000"/>
                <w:sz w:val="18"/>
                <w:szCs w:val="18"/>
              </w:rPr>
            </w:pPr>
          </w:p>
        </w:tc>
        <w:tc>
          <w:tcPr>
            <w:tcW w:w="1744" w:type="pct"/>
            <w:vMerge w:val="restart"/>
            <w:tcBorders>
              <w:top w:val="single" w:color="000000" w:sz="4" w:space="0"/>
              <w:left w:val="single" w:color="000000" w:sz="4" w:space="0"/>
              <w:right w:val="single" w:color="000000" w:sz="4" w:space="0"/>
            </w:tcBorders>
            <w:noWrap w:val="0"/>
            <w:vAlign w:val="top"/>
          </w:tcPr>
          <w:p w14:paraId="360CF2ED">
            <w:pPr>
              <w:jc w:val="left"/>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00"/>
                <w:sz w:val="22"/>
                <w:szCs w:val="22"/>
              </w:rPr>
              <w:t>1、材料品种:热熔反光型标线边线</w:t>
            </w:r>
            <w:r>
              <w:rPr>
                <w:rFonts w:hint="eastAsia" w:ascii="微软雅黑" w:hAnsi="微软雅黑" w:eastAsia="微软雅黑" w:cs="微软雅黑"/>
                <w:b w:val="0"/>
                <w:bCs w:val="0"/>
                <w:color w:val="000000"/>
                <w:sz w:val="22"/>
                <w:szCs w:val="22"/>
                <w:lang w:eastAsia="zh-CN"/>
              </w:rPr>
              <w:t>；</w:t>
            </w:r>
            <w:r>
              <w:rPr>
                <w:rFonts w:hint="eastAsia" w:ascii="微软雅黑" w:hAnsi="微软雅黑" w:eastAsia="微软雅黑" w:cs="微软雅黑"/>
                <w:b w:val="0"/>
                <w:bCs w:val="0"/>
                <w:color w:val="000000"/>
                <w:sz w:val="22"/>
                <w:szCs w:val="22"/>
              </w:rPr>
              <w:t>2、类型: 边线</w:t>
            </w:r>
            <w:r>
              <w:rPr>
                <w:rFonts w:hint="eastAsia" w:ascii="微软雅黑" w:hAnsi="微软雅黑" w:eastAsia="微软雅黑" w:cs="微软雅黑"/>
                <w:b w:val="0"/>
                <w:bCs w:val="0"/>
                <w:color w:val="000000"/>
                <w:sz w:val="22"/>
                <w:szCs w:val="22"/>
                <w:lang w:eastAsia="zh-CN"/>
              </w:rPr>
              <w:t>；</w:t>
            </w:r>
            <w:r>
              <w:rPr>
                <w:rFonts w:hint="eastAsia" w:ascii="微软雅黑" w:hAnsi="微软雅黑" w:eastAsia="微软雅黑" w:cs="微软雅黑"/>
                <w:b w:val="0"/>
                <w:bCs w:val="0"/>
                <w:color w:val="000000"/>
                <w:sz w:val="22"/>
                <w:szCs w:val="22"/>
              </w:rPr>
              <w:t>3、规格尺寸:白色，线宽 0.15m，涂层厚度 1.8 ±0.2mm</w:t>
            </w:r>
            <w:r>
              <w:rPr>
                <w:rFonts w:hint="eastAsia" w:ascii="微软雅黑" w:hAnsi="微软雅黑" w:eastAsia="微软雅黑" w:cs="微软雅黑"/>
                <w:b w:val="0"/>
                <w:bCs w:val="0"/>
                <w:color w:val="000000"/>
                <w:sz w:val="22"/>
                <w:szCs w:val="22"/>
                <w:lang w:eastAsia="zh-CN"/>
              </w:rPr>
              <w:t>。</w:t>
            </w:r>
          </w:p>
        </w:tc>
      </w:tr>
      <w:tr w14:paraId="47C94873">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7579A4ED">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2</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53CE68CE">
            <w:pPr>
              <w:pStyle w:val="17"/>
              <w:keepNext w:val="0"/>
              <w:keepLines w:val="0"/>
              <w:widowControl/>
              <w:suppressLineNumbers w:val="0"/>
              <w:kinsoku/>
              <w:wordWrap/>
              <w:overflowPunct/>
              <w:ind w:left="0" w:leftChars="0" w:right="0" w:rightChars="0"/>
              <w:jc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color w:val="000000"/>
                <w:sz w:val="20"/>
                <w:szCs w:val="20"/>
              </w:rPr>
              <w:t>停车位线</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14:paraId="371F7031">
            <w:pPr>
              <w:pStyle w:val="17"/>
              <w:keepNext w:val="0"/>
              <w:keepLines w:val="0"/>
              <w:widowControl/>
              <w:suppressLineNumbers w:val="0"/>
              <w:kinsoku/>
              <w:wordWrap/>
              <w:overflowPunct/>
              <w:ind w:left="0" w:leftChars="0" w:right="0" w:rightChars="0"/>
              <w:jc w:val="center"/>
              <w:rPr>
                <w:rFonts w:hint="eastAsia" w:ascii="微软雅黑" w:hAnsi="微软雅黑" w:eastAsia="微软雅黑" w:cs="微软雅黑"/>
                <w:b w:val="0"/>
                <w:bCs w:val="0"/>
                <w:color w:val="000000"/>
                <w:sz w:val="20"/>
                <w:szCs w:val="20"/>
                <w:lang w:bidi="ar"/>
              </w:rPr>
            </w:pPr>
            <w:r>
              <w:rPr>
                <w:rFonts w:hint="eastAsia" w:ascii="微软雅黑" w:hAnsi="微软雅黑" w:eastAsia="微软雅黑" w:cs="微软雅黑"/>
                <w:color w:val="000000"/>
                <w:sz w:val="20"/>
                <w:szCs w:val="20"/>
              </w:rPr>
              <w:t>㎡</w:t>
            </w:r>
          </w:p>
        </w:tc>
        <w:tc>
          <w:tcPr>
            <w:tcW w:w="569" w:type="pct"/>
            <w:tcBorders>
              <w:top w:val="single" w:color="000000" w:sz="4" w:space="0"/>
              <w:left w:val="single" w:color="000000" w:sz="4" w:space="0"/>
              <w:bottom w:val="single" w:color="000000" w:sz="4" w:space="0"/>
              <w:right w:val="single" w:color="000000" w:sz="4" w:space="0"/>
            </w:tcBorders>
            <w:noWrap w:val="0"/>
            <w:vAlign w:val="center"/>
          </w:tcPr>
          <w:p w14:paraId="451978AA">
            <w:pPr>
              <w:pStyle w:val="17"/>
              <w:keepNext w:val="0"/>
              <w:keepLines w:val="0"/>
              <w:widowControl/>
              <w:suppressLineNumbers w:val="0"/>
              <w:kinsoku/>
              <w:wordWrap/>
              <w:overflowPunct/>
              <w:ind w:left="0" w:leftChars="0" w:right="0" w:rightChars="0"/>
              <w:jc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color w:val="000000"/>
                <w:sz w:val="20"/>
                <w:szCs w:val="20"/>
              </w:rPr>
              <w:t>243</w:t>
            </w:r>
          </w:p>
        </w:tc>
        <w:tc>
          <w:tcPr>
            <w:tcW w:w="595" w:type="pct"/>
            <w:tcBorders>
              <w:top w:val="single" w:color="000000" w:sz="4" w:space="0"/>
              <w:left w:val="single" w:color="000000" w:sz="4" w:space="0"/>
              <w:bottom w:val="single" w:color="000000" w:sz="4" w:space="0"/>
              <w:right w:val="single" w:color="000000" w:sz="4" w:space="0"/>
            </w:tcBorders>
            <w:noWrap w:val="0"/>
            <w:vAlign w:val="center"/>
          </w:tcPr>
          <w:p w14:paraId="76498A8E">
            <w:pPr>
              <w:jc w:val="center"/>
              <w:rPr>
                <w:rFonts w:ascii="微软雅黑" w:hAnsi="微软雅黑" w:eastAsia="微软雅黑" w:cs="微软雅黑"/>
                <w:b w:val="0"/>
                <w:bCs w:val="0"/>
                <w:color w:val="000000"/>
                <w:sz w:val="18"/>
                <w:szCs w:val="18"/>
              </w:rPr>
            </w:pP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69C62E6F">
            <w:pPr>
              <w:jc w:val="center"/>
              <w:rPr>
                <w:rFonts w:ascii="微软雅黑" w:hAnsi="微软雅黑" w:eastAsia="微软雅黑" w:cs="微软雅黑"/>
                <w:b w:val="0"/>
                <w:bCs w:val="0"/>
                <w:color w:val="000000"/>
                <w:sz w:val="18"/>
                <w:szCs w:val="18"/>
              </w:rPr>
            </w:pPr>
          </w:p>
        </w:tc>
        <w:tc>
          <w:tcPr>
            <w:tcW w:w="1744" w:type="pct"/>
            <w:vMerge w:val="continue"/>
            <w:tcBorders>
              <w:left w:val="single" w:color="000000" w:sz="4" w:space="0"/>
              <w:right w:val="single" w:color="000000" w:sz="4" w:space="0"/>
            </w:tcBorders>
            <w:noWrap w:val="0"/>
            <w:vAlign w:val="top"/>
          </w:tcPr>
          <w:p w14:paraId="1E7DCB1A">
            <w:pPr>
              <w:jc w:val="left"/>
              <w:rPr>
                <w:rFonts w:hint="eastAsia" w:ascii="微软雅黑" w:hAnsi="微软雅黑" w:eastAsia="微软雅黑" w:cs="微软雅黑"/>
                <w:b w:val="0"/>
                <w:bCs w:val="0"/>
                <w:color w:val="000000"/>
                <w:sz w:val="22"/>
                <w:szCs w:val="22"/>
                <w:lang w:eastAsia="zh-CN"/>
              </w:rPr>
            </w:pPr>
          </w:p>
        </w:tc>
      </w:tr>
      <w:tr w14:paraId="772E84BD">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05F18AB6">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3</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66B76F65">
            <w:pPr>
              <w:pStyle w:val="17"/>
              <w:keepNext w:val="0"/>
              <w:keepLines w:val="0"/>
              <w:widowControl/>
              <w:suppressLineNumbers w:val="0"/>
              <w:kinsoku/>
              <w:wordWrap/>
              <w:overflowPunct/>
              <w:ind w:left="0" w:leftChars="0" w:right="0" w:rightChars="0"/>
              <w:jc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color w:val="000000"/>
                <w:sz w:val="20"/>
                <w:szCs w:val="20"/>
              </w:rPr>
              <w:t>3M箭头</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14:paraId="055928F4">
            <w:pPr>
              <w:pStyle w:val="17"/>
              <w:keepNext w:val="0"/>
              <w:keepLines w:val="0"/>
              <w:widowControl/>
              <w:suppressLineNumbers w:val="0"/>
              <w:kinsoku/>
              <w:wordWrap/>
              <w:overflowPunct/>
              <w:ind w:left="0" w:leftChars="0" w:right="0" w:rightChars="0"/>
              <w:jc w:val="center"/>
              <w:rPr>
                <w:rFonts w:hint="eastAsia" w:ascii="微软雅黑" w:hAnsi="微软雅黑" w:eastAsia="微软雅黑" w:cs="微软雅黑"/>
                <w:b w:val="0"/>
                <w:bCs w:val="0"/>
                <w:color w:val="000000"/>
                <w:sz w:val="20"/>
                <w:szCs w:val="20"/>
                <w:lang w:bidi="ar"/>
              </w:rPr>
            </w:pPr>
            <w:r>
              <w:rPr>
                <w:rFonts w:hint="eastAsia" w:ascii="微软雅黑" w:hAnsi="微软雅黑" w:eastAsia="微软雅黑" w:cs="微软雅黑"/>
                <w:color w:val="000000"/>
                <w:sz w:val="20"/>
                <w:szCs w:val="20"/>
              </w:rPr>
              <w:t>个</w:t>
            </w:r>
          </w:p>
        </w:tc>
        <w:tc>
          <w:tcPr>
            <w:tcW w:w="569" w:type="pct"/>
            <w:tcBorders>
              <w:top w:val="single" w:color="000000" w:sz="4" w:space="0"/>
              <w:left w:val="single" w:color="000000" w:sz="4" w:space="0"/>
              <w:bottom w:val="single" w:color="000000" w:sz="4" w:space="0"/>
              <w:right w:val="single" w:color="000000" w:sz="4" w:space="0"/>
            </w:tcBorders>
            <w:noWrap w:val="0"/>
            <w:vAlign w:val="center"/>
          </w:tcPr>
          <w:p w14:paraId="1778836D">
            <w:pPr>
              <w:pStyle w:val="17"/>
              <w:keepNext w:val="0"/>
              <w:keepLines w:val="0"/>
              <w:widowControl/>
              <w:suppressLineNumbers w:val="0"/>
              <w:kinsoku/>
              <w:wordWrap/>
              <w:overflowPunct/>
              <w:ind w:left="0" w:leftChars="0" w:right="0" w:rightChars="0"/>
              <w:jc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color w:val="000000"/>
                <w:sz w:val="20"/>
                <w:szCs w:val="20"/>
              </w:rPr>
              <w:t>32</w:t>
            </w:r>
          </w:p>
        </w:tc>
        <w:tc>
          <w:tcPr>
            <w:tcW w:w="595" w:type="pct"/>
            <w:tcBorders>
              <w:top w:val="single" w:color="000000" w:sz="4" w:space="0"/>
              <w:left w:val="single" w:color="000000" w:sz="4" w:space="0"/>
              <w:bottom w:val="single" w:color="000000" w:sz="4" w:space="0"/>
              <w:right w:val="single" w:color="000000" w:sz="4" w:space="0"/>
            </w:tcBorders>
            <w:noWrap w:val="0"/>
            <w:vAlign w:val="center"/>
          </w:tcPr>
          <w:p w14:paraId="22F6BCA1">
            <w:pPr>
              <w:jc w:val="center"/>
              <w:rPr>
                <w:rFonts w:ascii="微软雅黑" w:hAnsi="微软雅黑" w:eastAsia="微软雅黑" w:cs="微软雅黑"/>
                <w:b w:val="0"/>
                <w:bCs w:val="0"/>
                <w:color w:val="000000"/>
                <w:sz w:val="18"/>
                <w:szCs w:val="18"/>
              </w:rPr>
            </w:pP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69E07641">
            <w:pPr>
              <w:jc w:val="center"/>
              <w:rPr>
                <w:rFonts w:ascii="微软雅黑" w:hAnsi="微软雅黑" w:eastAsia="微软雅黑" w:cs="微软雅黑"/>
                <w:b w:val="0"/>
                <w:bCs w:val="0"/>
                <w:color w:val="000000"/>
                <w:sz w:val="18"/>
                <w:szCs w:val="18"/>
              </w:rPr>
            </w:pPr>
          </w:p>
        </w:tc>
        <w:tc>
          <w:tcPr>
            <w:tcW w:w="1744" w:type="pct"/>
            <w:vMerge w:val="continue"/>
            <w:tcBorders>
              <w:left w:val="single" w:color="000000" w:sz="4" w:space="0"/>
              <w:bottom w:val="single" w:color="000000" w:sz="4" w:space="0"/>
              <w:right w:val="single" w:color="000000" w:sz="4" w:space="0"/>
            </w:tcBorders>
            <w:noWrap w:val="0"/>
            <w:vAlign w:val="top"/>
          </w:tcPr>
          <w:p w14:paraId="544E1458">
            <w:pPr>
              <w:jc w:val="left"/>
              <w:rPr>
                <w:rFonts w:hint="eastAsia" w:ascii="微软雅黑" w:hAnsi="微软雅黑" w:eastAsia="微软雅黑" w:cs="微软雅黑"/>
                <w:b w:val="0"/>
                <w:bCs w:val="0"/>
                <w:color w:val="000000"/>
                <w:sz w:val="22"/>
                <w:szCs w:val="22"/>
                <w:lang w:eastAsia="zh-CN"/>
              </w:rPr>
            </w:pPr>
          </w:p>
        </w:tc>
      </w:tr>
      <w:tr w14:paraId="043A2C84">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70514ACC">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4</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33F798C6">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水泥墩</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14:paraId="7DCCB777">
            <w:pPr>
              <w:widowControl/>
              <w:jc w:val="center"/>
              <w:textAlignment w:val="center"/>
              <w:rPr>
                <w:rFonts w:hint="eastAsia" w:ascii="微软雅黑" w:hAnsi="微软雅黑" w:eastAsia="微软雅黑" w:cs="微软雅黑"/>
                <w:b w:val="0"/>
                <w:bCs w:val="0"/>
                <w:color w:val="000000"/>
                <w:sz w:val="20"/>
                <w:szCs w:val="20"/>
                <w:lang w:bidi="ar"/>
              </w:rPr>
            </w:pPr>
            <w:r>
              <w:rPr>
                <w:rFonts w:hint="eastAsia" w:ascii="微软雅黑" w:hAnsi="微软雅黑" w:eastAsia="微软雅黑" w:cs="微软雅黑"/>
                <w:color w:val="000000"/>
                <w:sz w:val="20"/>
                <w:szCs w:val="20"/>
              </w:rPr>
              <w:t>个</w:t>
            </w:r>
          </w:p>
        </w:tc>
        <w:tc>
          <w:tcPr>
            <w:tcW w:w="569" w:type="pct"/>
            <w:tcBorders>
              <w:top w:val="single" w:color="000000" w:sz="4" w:space="0"/>
              <w:left w:val="single" w:color="000000" w:sz="4" w:space="0"/>
              <w:bottom w:val="single" w:color="000000" w:sz="4" w:space="0"/>
              <w:right w:val="single" w:color="000000" w:sz="4" w:space="0"/>
            </w:tcBorders>
            <w:noWrap w:val="0"/>
            <w:vAlign w:val="center"/>
          </w:tcPr>
          <w:p w14:paraId="14763064">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206</w:t>
            </w:r>
          </w:p>
        </w:tc>
        <w:tc>
          <w:tcPr>
            <w:tcW w:w="595" w:type="pct"/>
            <w:tcBorders>
              <w:top w:val="single" w:color="000000" w:sz="4" w:space="0"/>
              <w:left w:val="single" w:color="000000" w:sz="4" w:space="0"/>
              <w:bottom w:val="single" w:color="000000" w:sz="4" w:space="0"/>
              <w:right w:val="single" w:color="000000" w:sz="4" w:space="0"/>
            </w:tcBorders>
            <w:noWrap w:val="0"/>
            <w:vAlign w:val="center"/>
          </w:tcPr>
          <w:p w14:paraId="6B66C3E3">
            <w:pPr>
              <w:jc w:val="center"/>
              <w:rPr>
                <w:rFonts w:ascii="微软雅黑" w:hAnsi="微软雅黑" w:eastAsia="微软雅黑" w:cs="微软雅黑"/>
                <w:b w:val="0"/>
                <w:bCs w:val="0"/>
                <w:color w:val="000000"/>
                <w:sz w:val="18"/>
                <w:szCs w:val="18"/>
              </w:rPr>
            </w:pP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4B662712">
            <w:pPr>
              <w:jc w:val="center"/>
              <w:rPr>
                <w:rFonts w:ascii="微软雅黑" w:hAnsi="微软雅黑" w:eastAsia="微软雅黑" w:cs="微软雅黑"/>
                <w:b w:val="0"/>
                <w:bCs w:val="0"/>
                <w:color w:val="000000"/>
                <w:sz w:val="18"/>
                <w:szCs w:val="18"/>
              </w:rPr>
            </w:pPr>
          </w:p>
        </w:tc>
        <w:tc>
          <w:tcPr>
            <w:tcW w:w="1744" w:type="pct"/>
            <w:tcBorders>
              <w:top w:val="single" w:color="000000" w:sz="4" w:space="0"/>
              <w:left w:val="single" w:color="000000" w:sz="4" w:space="0"/>
              <w:bottom w:val="single" w:color="000000" w:sz="4" w:space="0"/>
              <w:right w:val="single" w:color="000000" w:sz="4" w:space="0"/>
            </w:tcBorders>
            <w:noWrap w:val="0"/>
            <w:vAlign w:val="top"/>
          </w:tcPr>
          <w:p w14:paraId="7A5A84BA">
            <w:pPr>
              <w:jc w:val="center"/>
              <w:rPr>
                <w:rFonts w:ascii="微软雅黑" w:hAnsi="微软雅黑" w:eastAsia="微软雅黑" w:cs="微软雅黑"/>
                <w:b w:val="0"/>
                <w:bCs w:val="0"/>
                <w:color w:val="000000"/>
                <w:sz w:val="22"/>
                <w:szCs w:val="22"/>
              </w:rPr>
            </w:pPr>
            <w:r>
              <w:drawing>
                <wp:inline distT="0" distB="0" distL="114300" distR="114300">
                  <wp:extent cx="1247775" cy="53340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1247775" cy="533400"/>
                          </a:xfrm>
                          <a:prstGeom prst="rect">
                            <a:avLst/>
                          </a:prstGeom>
                          <a:noFill/>
                          <a:ln>
                            <a:noFill/>
                          </a:ln>
                        </pic:spPr>
                      </pic:pic>
                    </a:graphicData>
                  </a:graphic>
                </wp:inline>
              </w:drawing>
            </w:r>
          </w:p>
        </w:tc>
      </w:tr>
      <w:tr w14:paraId="7B0BA2EA">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0FAA8E8F">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5</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14:paraId="16254E63">
            <w:pPr>
              <w:widowControl/>
              <w:jc w:val="center"/>
              <w:textAlignment w:val="center"/>
              <w:rPr>
                <w:rFonts w:hint="eastAsia" w:ascii="微软雅黑" w:hAnsi="微软雅黑" w:eastAsia="微软雅黑" w:cs="微软雅黑"/>
                <w:b w:val="0"/>
                <w:bCs w:val="0"/>
                <w:color w:val="000000"/>
                <w:sz w:val="18"/>
                <w:szCs w:val="18"/>
                <w:lang w:bidi="ar"/>
              </w:rPr>
            </w:pPr>
            <w:r>
              <w:rPr>
                <w:rFonts w:hint="eastAsia" w:ascii="微软雅黑" w:hAnsi="微软雅黑" w:eastAsia="微软雅黑" w:cs="微软雅黑"/>
                <w:b w:val="0"/>
                <w:bCs w:val="0"/>
                <w:color w:val="000000"/>
                <w:sz w:val="18"/>
                <w:szCs w:val="18"/>
                <w:lang w:bidi="ar"/>
              </w:rPr>
              <w:t>拒马栏杆</w:t>
            </w:r>
          </w:p>
        </w:tc>
        <w:tc>
          <w:tcPr>
            <w:tcW w:w="428" w:type="pct"/>
            <w:tcBorders>
              <w:top w:val="single" w:color="000000" w:sz="4" w:space="0"/>
              <w:left w:val="single" w:color="000000" w:sz="4" w:space="0"/>
              <w:bottom w:val="single" w:color="000000" w:sz="4" w:space="0"/>
              <w:right w:val="single" w:color="000000" w:sz="4" w:space="0"/>
            </w:tcBorders>
            <w:noWrap w:val="0"/>
            <w:vAlign w:val="center"/>
          </w:tcPr>
          <w:p w14:paraId="64D3B2C3">
            <w:pPr>
              <w:widowControl/>
              <w:jc w:val="center"/>
              <w:textAlignment w:val="center"/>
              <w:rPr>
                <w:rFonts w:hint="eastAsia" w:ascii="微软雅黑" w:hAnsi="微软雅黑" w:eastAsia="微软雅黑" w:cs="微软雅黑"/>
                <w:b w:val="0"/>
                <w:bCs w:val="0"/>
                <w:color w:val="000000"/>
                <w:sz w:val="20"/>
                <w:szCs w:val="20"/>
                <w:lang w:val="en-US" w:eastAsia="zh-CN" w:bidi="ar"/>
              </w:rPr>
            </w:pPr>
            <w:r>
              <w:rPr>
                <w:rFonts w:hint="eastAsia" w:ascii="微软雅黑" w:hAnsi="微软雅黑" w:eastAsia="微软雅黑" w:cs="微软雅黑"/>
                <w:color w:val="000000"/>
                <w:sz w:val="20"/>
                <w:szCs w:val="20"/>
              </w:rPr>
              <w:t>个</w:t>
            </w:r>
          </w:p>
        </w:tc>
        <w:tc>
          <w:tcPr>
            <w:tcW w:w="569" w:type="pct"/>
            <w:tcBorders>
              <w:top w:val="single" w:color="000000" w:sz="4" w:space="0"/>
              <w:left w:val="single" w:color="000000" w:sz="4" w:space="0"/>
              <w:bottom w:val="single" w:color="000000" w:sz="4" w:space="0"/>
              <w:right w:val="single" w:color="000000" w:sz="4" w:space="0"/>
            </w:tcBorders>
            <w:noWrap w:val="0"/>
            <w:vAlign w:val="center"/>
          </w:tcPr>
          <w:p w14:paraId="736B435D">
            <w:pPr>
              <w:widowControl/>
              <w:jc w:val="center"/>
              <w:textAlignment w:val="center"/>
              <w:rPr>
                <w:rFonts w:hint="eastAsia" w:ascii="微软雅黑" w:hAnsi="微软雅黑" w:eastAsia="微软雅黑" w:cs="微软雅黑"/>
                <w:b w:val="0"/>
                <w:bCs w:val="0"/>
                <w:color w:val="000000"/>
                <w:sz w:val="18"/>
                <w:szCs w:val="18"/>
                <w:lang w:val="en-US" w:eastAsia="zh-CN" w:bidi="ar"/>
              </w:rPr>
            </w:pPr>
            <w:r>
              <w:rPr>
                <w:rFonts w:hint="eastAsia" w:ascii="微软雅黑" w:hAnsi="微软雅黑" w:eastAsia="微软雅黑" w:cs="微软雅黑"/>
                <w:b w:val="0"/>
                <w:bCs w:val="0"/>
                <w:color w:val="000000"/>
                <w:sz w:val="18"/>
                <w:szCs w:val="18"/>
                <w:lang w:bidi="ar"/>
              </w:rPr>
              <w:t>2</w:t>
            </w:r>
          </w:p>
        </w:tc>
        <w:tc>
          <w:tcPr>
            <w:tcW w:w="595" w:type="pct"/>
            <w:tcBorders>
              <w:top w:val="single" w:color="000000" w:sz="4" w:space="0"/>
              <w:left w:val="single" w:color="000000" w:sz="4" w:space="0"/>
              <w:bottom w:val="single" w:color="000000" w:sz="4" w:space="0"/>
              <w:right w:val="single" w:color="000000" w:sz="4" w:space="0"/>
            </w:tcBorders>
            <w:noWrap w:val="0"/>
            <w:vAlign w:val="center"/>
          </w:tcPr>
          <w:p w14:paraId="46C98F74">
            <w:pPr>
              <w:jc w:val="center"/>
              <w:rPr>
                <w:rFonts w:ascii="微软雅黑" w:hAnsi="微软雅黑" w:eastAsia="微软雅黑" w:cs="微软雅黑"/>
                <w:b w:val="0"/>
                <w:bCs w:val="0"/>
                <w:color w:val="000000"/>
                <w:sz w:val="18"/>
                <w:szCs w:val="18"/>
              </w:rPr>
            </w:pP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5E51CBF5">
            <w:pPr>
              <w:jc w:val="center"/>
              <w:rPr>
                <w:rFonts w:ascii="微软雅黑" w:hAnsi="微软雅黑" w:eastAsia="微软雅黑" w:cs="微软雅黑"/>
                <w:b w:val="0"/>
                <w:bCs w:val="0"/>
                <w:color w:val="000000"/>
                <w:sz w:val="18"/>
                <w:szCs w:val="18"/>
              </w:rPr>
            </w:pPr>
          </w:p>
        </w:tc>
        <w:tc>
          <w:tcPr>
            <w:tcW w:w="1744" w:type="pct"/>
            <w:tcBorders>
              <w:top w:val="single" w:color="000000" w:sz="4" w:space="0"/>
              <w:left w:val="single" w:color="000000" w:sz="4" w:space="0"/>
              <w:bottom w:val="single" w:color="000000" w:sz="4" w:space="0"/>
              <w:right w:val="single" w:color="000000" w:sz="4" w:space="0"/>
            </w:tcBorders>
            <w:noWrap w:val="0"/>
            <w:vAlign w:val="top"/>
          </w:tcPr>
          <w:p w14:paraId="53327400">
            <w:pPr>
              <w:jc w:val="center"/>
              <w:rPr>
                <w:rFonts w:ascii="微软雅黑" w:hAnsi="微软雅黑" w:eastAsia="微软雅黑" w:cs="微软雅黑"/>
                <w:b w:val="0"/>
                <w:bCs w:val="0"/>
                <w:color w:val="000000"/>
                <w:sz w:val="22"/>
                <w:szCs w:val="22"/>
              </w:rPr>
            </w:pPr>
            <w:r>
              <w:drawing>
                <wp:inline distT="0" distB="0" distL="114300" distR="114300">
                  <wp:extent cx="1247775" cy="575945"/>
                  <wp:effectExtent l="0" t="0" r="9525" b="1460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7"/>
                          <a:stretch>
                            <a:fillRect/>
                          </a:stretch>
                        </pic:blipFill>
                        <pic:spPr>
                          <a:xfrm>
                            <a:off x="0" y="0"/>
                            <a:ext cx="1247775" cy="575945"/>
                          </a:xfrm>
                          <a:prstGeom prst="rect">
                            <a:avLst/>
                          </a:prstGeom>
                          <a:noFill/>
                          <a:ln>
                            <a:noFill/>
                          </a:ln>
                        </pic:spPr>
                      </pic:pic>
                    </a:graphicData>
                  </a:graphic>
                </wp:inline>
              </w:drawing>
            </w:r>
          </w:p>
        </w:tc>
      </w:tr>
      <w:tr w14:paraId="7D4C2311">
        <w:tblPrEx>
          <w:tblCellMar>
            <w:top w:w="0" w:type="dxa"/>
            <w:left w:w="108" w:type="dxa"/>
            <w:bottom w:w="0" w:type="dxa"/>
            <w:right w:w="108" w:type="dxa"/>
          </w:tblCellMar>
        </w:tblPrEx>
        <w:trPr>
          <w:trHeight w:val="480" w:hRule="atLeast"/>
        </w:trPr>
        <w:tc>
          <w:tcPr>
            <w:tcW w:w="2654" w:type="pct"/>
            <w:gridSpan w:val="5"/>
            <w:tcBorders>
              <w:top w:val="single" w:color="000000" w:sz="4" w:space="0"/>
              <w:left w:val="single" w:color="000000" w:sz="4" w:space="0"/>
              <w:bottom w:val="single" w:color="000000" w:sz="4" w:space="0"/>
              <w:right w:val="single" w:color="000000" w:sz="4" w:space="0"/>
            </w:tcBorders>
            <w:noWrap w:val="0"/>
            <w:vAlign w:val="center"/>
          </w:tcPr>
          <w:p w14:paraId="40A0A300">
            <w:pPr>
              <w:jc w:val="center"/>
              <w:rPr>
                <w:rFonts w:hint="default" w:ascii="微软雅黑" w:hAnsi="微软雅黑" w:eastAsia="微软雅黑" w:cs="微软雅黑"/>
                <w:b w:val="0"/>
                <w:bCs w:val="0"/>
                <w:color w:val="000000"/>
                <w:sz w:val="18"/>
                <w:szCs w:val="18"/>
                <w:lang w:val="en-US" w:eastAsia="zh-CN"/>
              </w:rPr>
            </w:pPr>
            <w:r>
              <w:rPr>
                <w:rFonts w:hint="eastAsia" w:ascii="微软雅黑" w:hAnsi="微软雅黑" w:eastAsia="微软雅黑" w:cs="微软雅黑"/>
                <w:b w:val="0"/>
                <w:bCs w:val="0"/>
                <w:color w:val="000000"/>
                <w:sz w:val="18"/>
                <w:szCs w:val="18"/>
                <w:lang w:val="en-US" w:eastAsia="zh-CN"/>
              </w:rPr>
              <w:t>不含税合计（元）</w:t>
            </w: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65A99209">
            <w:pPr>
              <w:jc w:val="center"/>
              <w:rPr>
                <w:rFonts w:ascii="微软雅黑" w:hAnsi="微软雅黑" w:eastAsia="微软雅黑" w:cs="微软雅黑"/>
                <w:b w:val="0"/>
                <w:bCs w:val="0"/>
                <w:color w:val="000000"/>
                <w:sz w:val="18"/>
                <w:szCs w:val="18"/>
              </w:rPr>
            </w:pPr>
          </w:p>
        </w:tc>
        <w:tc>
          <w:tcPr>
            <w:tcW w:w="1744" w:type="pct"/>
            <w:tcBorders>
              <w:top w:val="single" w:color="000000" w:sz="4" w:space="0"/>
              <w:left w:val="single" w:color="000000" w:sz="4" w:space="0"/>
              <w:bottom w:val="single" w:color="000000" w:sz="4" w:space="0"/>
              <w:right w:val="single" w:color="000000" w:sz="4" w:space="0"/>
            </w:tcBorders>
            <w:noWrap w:val="0"/>
            <w:vAlign w:val="top"/>
          </w:tcPr>
          <w:p w14:paraId="2960B1D0">
            <w:pPr>
              <w:jc w:val="center"/>
              <w:rPr>
                <w:rFonts w:ascii="微软雅黑" w:hAnsi="微软雅黑" w:eastAsia="微软雅黑" w:cs="微软雅黑"/>
                <w:b w:val="0"/>
                <w:bCs w:val="0"/>
                <w:color w:val="000000"/>
                <w:sz w:val="22"/>
                <w:szCs w:val="22"/>
              </w:rPr>
            </w:pPr>
          </w:p>
        </w:tc>
      </w:tr>
      <w:tr w14:paraId="4BCCC2EB">
        <w:tblPrEx>
          <w:tblCellMar>
            <w:top w:w="0" w:type="dxa"/>
            <w:left w:w="108" w:type="dxa"/>
            <w:bottom w:w="0" w:type="dxa"/>
            <w:right w:w="108" w:type="dxa"/>
          </w:tblCellMar>
        </w:tblPrEx>
        <w:trPr>
          <w:trHeight w:val="480" w:hRule="atLeast"/>
        </w:trPr>
        <w:tc>
          <w:tcPr>
            <w:tcW w:w="2654" w:type="pct"/>
            <w:gridSpan w:val="5"/>
            <w:tcBorders>
              <w:top w:val="single" w:color="000000" w:sz="4" w:space="0"/>
              <w:left w:val="single" w:color="000000" w:sz="4" w:space="0"/>
              <w:bottom w:val="single" w:color="000000" w:sz="4" w:space="0"/>
              <w:right w:val="single" w:color="000000" w:sz="4" w:space="0"/>
            </w:tcBorders>
            <w:noWrap w:val="0"/>
            <w:vAlign w:val="center"/>
          </w:tcPr>
          <w:p w14:paraId="4FDAB0B6">
            <w:pPr>
              <w:jc w:val="center"/>
              <w:rPr>
                <w:rFonts w:hint="default" w:ascii="微软雅黑" w:hAnsi="微软雅黑" w:eastAsia="微软雅黑" w:cs="微软雅黑"/>
                <w:b w:val="0"/>
                <w:bCs w:val="0"/>
                <w:color w:val="000000"/>
                <w:sz w:val="18"/>
                <w:szCs w:val="18"/>
                <w:lang w:val="en-US" w:eastAsia="zh-CN"/>
              </w:rPr>
            </w:pPr>
            <w:r>
              <w:rPr>
                <w:rFonts w:hint="eastAsia" w:ascii="微软雅黑" w:hAnsi="微软雅黑" w:eastAsia="微软雅黑" w:cs="微软雅黑"/>
                <w:b w:val="0"/>
                <w:bCs w:val="0"/>
                <w:color w:val="000000"/>
                <w:sz w:val="18"/>
                <w:szCs w:val="18"/>
                <w:lang w:val="en-US" w:eastAsia="zh-CN"/>
              </w:rPr>
              <w:t>增值税专用发票税率</w:t>
            </w: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2DE60C18">
            <w:pPr>
              <w:jc w:val="center"/>
              <w:rPr>
                <w:rFonts w:hint="eastAsia" w:ascii="微软雅黑" w:hAnsi="微软雅黑" w:eastAsia="微软雅黑" w:cs="微软雅黑"/>
                <w:b w:val="0"/>
                <w:bCs w:val="0"/>
                <w:color w:val="000000"/>
                <w:sz w:val="18"/>
                <w:szCs w:val="18"/>
                <w:lang w:val="en-US" w:eastAsia="zh-CN"/>
              </w:rPr>
            </w:pPr>
            <w:r>
              <w:rPr>
                <w:rFonts w:hint="eastAsia" w:ascii="微软雅黑" w:hAnsi="微软雅黑" w:eastAsia="微软雅黑" w:cs="微软雅黑"/>
                <w:b w:val="0"/>
                <w:bCs w:val="0"/>
                <w:color w:val="000000"/>
                <w:sz w:val="18"/>
                <w:szCs w:val="18"/>
                <w:lang w:val="en-US" w:eastAsia="zh-CN"/>
              </w:rPr>
              <w:t>%</w:t>
            </w:r>
          </w:p>
        </w:tc>
        <w:tc>
          <w:tcPr>
            <w:tcW w:w="1744" w:type="pct"/>
            <w:tcBorders>
              <w:top w:val="single" w:color="000000" w:sz="4" w:space="0"/>
              <w:left w:val="single" w:color="000000" w:sz="4" w:space="0"/>
              <w:bottom w:val="single" w:color="000000" w:sz="4" w:space="0"/>
              <w:right w:val="single" w:color="000000" w:sz="4" w:space="0"/>
            </w:tcBorders>
            <w:noWrap w:val="0"/>
            <w:vAlign w:val="top"/>
          </w:tcPr>
          <w:p w14:paraId="1B48301C">
            <w:pPr>
              <w:jc w:val="center"/>
              <w:rPr>
                <w:rFonts w:ascii="微软雅黑" w:hAnsi="微软雅黑" w:eastAsia="微软雅黑" w:cs="微软雅黑"/>
                <w:b w:val="0"/>
                <w:bCs w:val="0"/>
                <w:color w:val="000000"/>
                <w:sz w:val="22"/>
                <w:szCs w:val="22"/>
              </w:rPr>
            </w:pPr>
          </w:p>
        </w:tc>
      </w:tr>
      <w:tr w14:paraId="15B4A020">
        <w:tblPrEx>
          <w:tblCellMar>
            <w:top w:w="0" w:type="dxa"/>
            <w:left w:w="108" w:type="dxa"/>
            <w:bottom w:w="0" w:type="dxa"/>
            <w:right w:w="108" w:type="dxa"/>
          </w:tblCellMar>
        </w:tblPrEx>
        <w:trPr>
          <w:trHeight w:val="480" w:hRule="atLeast"/>
        </w:trPr>
        <w:tc>
          <w:tcPr>
            <w:tcW w:w="227" w:type="pct"/>
            <w:tcBorders>
              <w:top w:val="single" w:color="000000" w:sz="4" w:space="0"/>
              <w:left w:val="single" w:color="000000" w:sz="4" w:space="0"/>
              <w:bottom w:val="single" w:color="000000" w:sz="4" w:space="0"/>
              <w:right w:val="single" w:color="000000" w:sz="4" w:space="0"/>
            </w:tcBorders>
            <w:noWrap w:val="0"/>
            <w:vAlign w:val="center"/>
          </w:tcPr>
          <w:p w14:paraId="65FFD5C1">
            <w:pPr>
              <w:widowControl/>
              <w:jc w:val="center"/>
              <w:textAlignment w:val="center"/>
              <w:rPr>
                <w:rFonts w:ascii="微软雅黑" w:hAnsi="微软雅黑" w:eastAsia="微软雅黑" w:cs="微软雅黑"/>
                <w:b w:val="0"/>
                <w:bCs w:val="0"/>
                <w:color w:val="000000"/>
                <w:sz w:val="18"/>
                <w:szCs w:val="18"/>
                <w:lang w:bidi="ar"/>
              </w:rPr>
            </w:pPr>
          </w:p>
        </w:tc>
        <w:tc>
          <w:tcPr>
            <w:tcW w:w="2427" w:type="pct"/>
            <w:gridSpan w:val="4"/>
            <w:tcBorders>
              <w:top w:val="single" w:color="000000" w:sz="4" w:space="0"/>
              <w:left w:val="single" w:color="000000" w:sz="4" w:space="0"/>
              <w:bottom w:val="single" w:color="000000" w:sz="4" w:space="0"/>
              <w:right w:val="single" w:color="000000" w:sz="4" w:space="0"/>
            </w:tcBorders>
            <w:noWrap w:val="0"/>
            <w:vAlign w:val="center"/>
          </w:tcPr>
          <w:p w14:paraId="32584FB5">
            <w:pPr>
              <w:jc w:val="center"/>
              <w:rPr>
                <w:rFonts w:hint="default" w:ascii="微软雅黑" w:hAnsi="微软雅黑" w:eastAsia="微软雅黑" w:cs="微软雅黑"/>
                <w:b w:val="0"/>
                <w:bCs w:val="0"/>
                <w:color w:val="000000"/>
                <w:sz w:val="18"/>
                <w:szCs w:val="18"/>
                <w:lang w:val="en-US" w:eastAsia="zh-CN"/>
              </w:rPr>
            </w:pPr>
            <w:r>
              <w:rPr>
                <w:rFonts w:hint="eastAsia" w:ascii="微软雅黑" w:hAnsi="微软雅黑" w:eastAsia="微软雅黑" w:cs="微软雅黑"/>
                <w:b w:val="0"/>
                <w:bCs w:val="0"/>
                <w:color w:val="000000"/>
                <w:sz w:val="18"/>
                <w:szCs w:val="18"/>
                <w:lang w:val="en-US" w:eastAsia="zh-CN" w:bidi="ar"/>
              </w:rPr>
              <w:t>含税合计（元）</w:t>
            </w:r>
          </w:p>
        </w:tc>
        <w:tc>
          <w:tcPr>
            <w:tcW w:w="600" w:type="pct"/>
            <w:tcBorders>
              <w:top w:val="single" w:color="000000" w:sz="4" w:space="0"/>
              <w:left w:val="single" w:color="000000" w:sz="4" w:space="0"/>
              <w:bottom w:val="single" w:color="000000" w:sz="4" w:space="0"/>
              <w:right w:val="single" w:color="000000" w:sz="4" w:space="0"/>
            </w:tcBorders>
            <w:noWrap w:val="0"/>
            <w:vAlign w:val="center"/>
          </w:tcPr>
          <w:p w14:paraId="1782207B">
            <w:pPr>
              <w:jc w:val="center"/>
              <w:rPr>
                <w:rFonts w:ascii="微软雅黑" w:hAnsi="微软雅黑" w:eastAsia="微软雅黑" w:cs="微软雅黑"/>
                <w:b w:val="0"/>
                <w:bCs w:val="0"/>
                <w:color w:val="000000"/>
                <w:sz w:val="18"/>
                <w:szCs w:val="18"/>
              </w:rPr>
            </w:pPr>
          </w:p>
        </w:tc>
        <w:tc>
          <w:tcPr>
            <w:tcW w:w="1744" w:type="pct"/>
            <w:tcBorders>
              <w:top w:val="single" w:color="000000" w:sz="4" w:space="0"/>
              <w:left w:val="single" w:color="000000" w:sz="4" w:space="0"/>
              <w:bottom w:val="single" w:color="000000" w:sz="4" w:space="0"/>
              <w:right w:val="single" w:color="000000" w:sz="4" w:space="0"/>
            </w:tcBorders>
            <w:noWrap w:val="0"/>
            <w:vAlign w:val="top"/>
          </w:tcPr>
          <w:p w14:paraId="71641B33">
            <w:pPr>
              <w:jc w:val="center"/>
              <w:rPr>
                <w:rFonts w:ascii="微软雅黑" w:hAnsi="微软雅黑" w:eastAsia="微软雅黑" w:cs="微软雅黑"/>
                <w:b w:val="0"/>
                <w:bCs w:val="0"/>
                <w:color w:val="000000"/>
                <w:sz w:val="22"/>
                <w:szCs w:val="22"/>
              </w:rPr>
            </w:pPr>
          </w:p>
        </w:tc>
      </w:tr>
    </w:tbl>
    <w:p w14:paraId="0B626EA2">
      <w:pPr>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BOX篮球印巷5号门停车场改造施工采购项目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BOX篮球印巷5号门停车场改造施工采购项目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停车场改造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5342EC81">
      <w:pPr>
        <w:keepNext w:val="0"/>
        <w:keepLines w:val="0"/>
        <w:pageBreakBefore w:val="0"/>
        <w:widowControl w:val="0"/>
        <w:numPr>
          <w:ilvl w:val="0"/>
          <w:numId w:val="0"/>
        </w:numPr>
        <w:shd w:val="clea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bCs/>
          <w:color w:val="000000"/>
          <w:kern w:val="2"/>
          <w:sz w:val="24"/>
          <w:szCs w:val="24"/>
          <w:highlight w:val="none"/>
          <w:lang w:val="en-US" w:eastAsia="zh-CN" w:bidi="ar-SA"/>
        </w:rPr>
      </w:pPr>
      <w:r>
        <w:rPr>
          <w:rFonts w:hint="default" w:ascii="宋体" w:hAnsi="宋体" w:eastAsia="宋体" w:cs="宋体"/>
          <w:b/>
          <w:bCs/>
          <w:color w:val="000000"/>
          <w:kern w:val="2"/>
          <w:sz w:val="24"/>
          <w:szCs w:val="24"/>
          <w:highlight w:val="none"/>
          <w:lang w:val="en-US" w:eastAsia="zh-CN" w:bidi="ar-SA"/>
        </w:rPr>
        <w:t>(</w:t>
      </w:r>
      <w:r>
        <w:rPr>
          <w:rFonts w:hint="eastAsia" w:ascii="宋体" w:hAnsi="宋体" w:cs="宋体"/>
          <w:b/>
          <w:bCs/>
          <w:color w:val="000000"/>
          <w:kern w:val="2"/>
          <w:sz w:val="24"/>
          <w:szCs w:val="24"/>
          <w:highlight w:val="none"/>
          <w:lang w:val="en-US" w:eastAsia="zh-CN" w:bidi="ar-SA"/>
        </w:rPr>
        <w:t>1</w:t>
      </w:r>
      <w:r>
        <w:rPr>
          <w:rFonts w:hint="default" w:ascii="宋体" w:hAnsi="宋体" w:eastAsia="宋体" w:cs="宋体"/>
          <w:b/>
          <w:bCs/>
          <w:color w:val="000000"/>
          <w:kern w:val="2"/>
          <w:sz w:val="24"/>
          <w:szCs w:val="24"/>
          <w:highlight w:val="none"/>
          <w:lang w:val="en-US" w:eastAsia="zh-CN" w:bidi="ar-SA"/>
        </w:rPr>
        <w:t>)</w:t>
      </w:r>
      <w:r>
        <w:rPr>
          <w:rFonts w:hint="eastAsia" w:ascii="宋体" w:hAnsi="宋体" w:cs="宋体"/>
          <w:b/>
          <w:bCs/>
          <w:color w:val="000000"/>
          <w:kern w:val="2"/>
          <w:sz w:val="24"/>
          <w:szCs w:val="24"/>
          <w:highlight w:val="none"/>
          <w:lang w:val="en-US" w:eastAsia="zh-CN" w:bidi="ar-SA"/>
        </w:rPr>
        <w:t>停车场改造的</w:t>
      </w:r>
      <w:r>
        <w:rPr>
          <w:rFonts w:hint="eastAsia" w:ascii="宋体" w:hAnsi="宋体" w:eastAsia="宋体" w:cs="宋体"/>
          <w:b/>
          <w:bCs/>
          <w:color w:val="000000"/>
          <w:kern w:val="2"/>
          <w:sz w:val="24"/>
          <w:szCs w:val="24"/>
          <w:highlight w:val="none"/>
          <w:lang w:val="en-US" w:eastAsia="zh-CN" w:bidi="ar-SA"/>
        </w:rPr>
        <w:t>具体内容及工艺要求如下：</w:t>
      </w:r>
    </w:p>
    <w:p w14:paraId="60B1DD38">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边线参数：</w:t>
      </w:r>
    </w:p>
    <w:p w14:paraId="70D4242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1、材料品种:热熔反光型标线边线</w:t>
      </w:r>
    </w:p>
    <w:p w14:paraId="6A60367F">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2、类型: 边线</w:t>
      </w:r>
    </w:p>
    <w:p w14:paraId="4BEAE19B">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3、规格尺寸:白色，线宽 0.15m，涂层厚度 1.8 ±0.2mm</w:t>
      </w:r>
    </w:p>
    <w:p w14:paraId="46FDEC7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停车位线：</w:t>
      </w:r>
    </w:p>
    <w:p w14:paraId="392AAA9F">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1、材料品种:热熔反光型标线边线</w:t>
      </w:r>
    </w:p>
    <w:p w14:paraId="7EAA0DA9">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2、类型: 边线</w:t>
      </w:r>
    </w:p>
    <w:p w14:paraId="643A199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3、规格尺寸:白色，线宽 0.15m，涂层厚度 1.8 ±0.2mm</w:t>
      </w:r>
    </w:p>
    <w:p w14:paraId="3CD74822">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3M箭头:</w:t>
      </w:r>
    </w:p>
    <w:p w14:paraId="3F4FC1E9">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1、材料品种:热熔反光型标线边线</w:t>
      </w:r>
    </w:p>
    <w:p w14:paraId="07BEAF90">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2、类型: 边线</w:t>
      </w:r>
    </w:p>
    <w:p w14:paraId="2DDD0702">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3、规格尺寸:白色，线宽 0.15m，涂层厚度 1.8 ±0.2mm</w:t>
      </w:r>
    </w:p>
    <w:p w14:paraId="3FF73F23">
      <w:pPr>
        <w:shd w:val="clear"/>
        <w:spacing w:line="560" w:lineRule="exact"/>
        <w:ind w:left="0" w:leftChars="0" w:firstLine="360" w:firstLineChars="150"/>
        <w:rPr>
          <w:rFonts w:hint="eastAsia" w:ascii="宋体" w:hAnsi="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水泥墩：</w:t>
      </w:r>
    </w:p>
    <w:p w14:paraId="6F3C9469">
      <w:pPr>
        <w:shd w:val="clear"/>
        <w:spacing w:line="560" w:lineRule="exact"/>
        <w:ind w:left="0" w:leftChars="0" w:firstLine="360" w:firstLineChars="150"/>
        <w:rPr>
          <w:rFonts w:hint="eastAsia" w:ascii="宋体" w:hAnsi="宋体" w:cs="宋体"/>
          <w:b/>
          <w:bCs/>
          <w:color w:val="000000" w:themeColor="text1"/>
          <w:sz w:val="24"/>
          <w:szCs w:val="24"/>
          <w:lang w:val="en-US" w:eastAsia="zh-CN"/>
          <w14:textFill>
            <w14:solidFill>
              <w14:schemeClr w14:val="tx1"/>
            </w14:solidFill>
          </w14:textFill>
        </w:rPr>
      </w:pPr>
    </w:p>
    <w:p w14:paraId="14C9AD62">
      <w:pPr>
        <w:keepNext w:val="0"/>
        <w:keepLines w:val="0"/>
        <w:pageBreakBefore w:val="0"/>
        <w:widowControl w:val="0"/>
        <w:shd w:val="clear"/>
        <w:kinsoku/>
        <w:wordWrap/>
        <w:overflowPunct/>
        <w:topLinePunct w:val="0"/>
        <w:autoSpaceDE/>
        <w:autoSpaceDN/>
        <w:bidi w:val="0"/>
        <w:adjustRightInd/>
        <w:snapToGrid/>
        <w:spacing w:line="360" w:lineRule="auto"/>
        <w:ind w:left="0" w:leftChars="0" w:firstLine="315" w:firstLineChars="150"/>
        <w:jc w:val="center"/>
        <w:textAlignment w:val="auto"/>
      </w:pPr>
      <w:r>
        <w:drawing>
          <wp:inline distT="0" distB="0" distL="114300" distR="114300">
            <wp:extent cx="4824095" cy="2062480"/>
            <wp:effectExtent l="0" t="0" r="14605" b="139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4824095" cy="2062480"/>
                    </a:xfrm>
                    <a:prstGeom prst="rect">
                      <a:avLst/>
                    </a:prstGeom>
                    <a:noFill/>
                    <a:ln>
                      <a:noFill/>
                    </a:ln>
                  </pic:spPr>
                </pic:pic>
              </a:graphicData>
            </a:graphic>
          </wp:inline>
        </w:drawing>
      </w:r>
    </w:p>
    <w:p w14:paraId="2FC2FBB3">
      <w:pPr>
        <w:keepNext w:val="0"/>
        <w:keepLines w:val="0"/>
        <w:pageBreakBefore w:val="0"/>
        <w:widowControl w:val="0"/>
        <w:shd w:val="clear"/>
        <w:kinsoku/>
        <w:wordWrap/>
        <w:overflowPunct/>
        <w:topLinePunct w:val="0"/>
        <w:autoSpaceDE/>
        <w:autoSpaceDN/>
        <w:bidi w:val="0"/>
        <w:adjustRightInd/>
        <w:snapToGrid/>
        <w:spacing w:line="360" w:lineRule="auto"/>
        <w:ind w:left="0" w:leftChars="0" w:firstLine="315" w:firstLineChars="150"/>
        <w:jc w:val="center"/>
        <w:textAlignment w:val="auto"/>
      </w:pPr>
    </w:p>
    <w:p w14:paraId="3D9F3A5E">
      <w:pPr>
        <w:keepNext w:val="0"/>
        <w:keepLines w:val="0"/>
        <w:pageBreakBefore w:val="0"/>
        <w:widowControl w:val="0"/>
        <w:shd w:val="clear"/>
        <w:kinsoku/>
        <w:wordWrap/>
        <w:overflowPunct/>
        <w:topLinePunct w:val="0"/>
        <w:autoSpaceDE/>
        <w:autoSpaceDN/>
        <w:bidi w:val="0"/>
        <w:adjustRightInd/>
        <w:snapToGrid/>
        <w:spacing w:line="360" w:lineRule="auto"/>
        <w:ind w:left="0" w:leftChars="0" w:firstLine="315" w:firstLineChars="150"/>
        <w:jc w:val="center"/>
        <w:textAlignment w:val="auto"/>
      </w:pPr>
    </w:p>
    <w:p w14:paraId="349C4F1C">
      <w:pPr>
        <w:shd w:val="clear"/>
        <w:spacing w:line="560" w:lineRule="exact"/>
        <w:ind w:left="0" w:leftChars="0" w:firstLine="360" w:firstLineChars="150"/>
        <w:rPr>
          <w:rFonts w:hint="eastAsia" w:ascii="宋体" w:hAnsi="宋体" w:cs="宋体"/>
          <w:b/>
          <w:bCs/>
          <w:color w:val="000000" w:themeColor="text1"/>
          <w:sz w:val="24"/>
          <w:szCs w:val="24"/>
          <w:lang w:val="en-US" w:eastAsia="zh-CN"/>
          <w14:textFill>
            <w14:solidFill>
              <w14:schemeClr w14:val="tx1"/>
            </w14:solidFill>
          </w14:textFill>
        </w:rPr>
      </w:pPr>
      <w:r>
        <w:rPr>
          <w:rFonts w:hint="default" w:ascii="宋体" w:hAnsi="宋体" w:cs="宋体"/>
          <w:b/>
          <w:bCs/>
          <w:color w:val="000000" w:themeColor="text1"/>
          <w:sz w:val="24"/>
          <w:szCs w:val="24"/>
          <w:lang w:val="en-US" w:eastAsia="zh-CN"/>
          <w14:textFill>
            <w14:solidFill>
              <w14:schemeClr w14:val="tx1"/>
            </w14:solidFill>
          </w14:textFill>
        </w:rPr>
        <w:t>拒马栏杆</w:t>
      </w:r>
      <w:r>
        <w:rPr>
          <w:rFonts w:hint="eastAsia" w:ascii="宋体" w:hAnsi="宋体" w:cs="宋体"/>
          <w:b/>
          <w:bCs/>
          <w:color w:val="000000" w:themeColor="text1"/>
          <w:sz w:val="24"/>
          <w:szCs w:val="24"/>
          <w:lang w:val="en-US" w:eastAsia="zh-CN"/>
          <w14:textFill>
            <w14:solidFill>
              <w14:schemeClr w14:val="tx1"/>
            </w14:solidFill>
          </w14:textFill>
        </w:rPr>
        <w:t>：</w:t>
      </w:r>
    </w:p>
    <w:p w14:paraId="44119902">
      <w:pPr>
        <w:keepNext w:val="0"/>
        <w:keepLines w:val="0"/>
        <w:pageBreakBefore w:val="0"/>
        <w:widowControl w:val="0"/>
        <w:shd w:val="clear"/>
        <w:kinsoku/>
        <w:wordWrap/>
        <w:overflowPunct/>
        <w:topLinePunct w:val="0"/>
        <w:autoSpaceDE/>
        <w:autoSpaceDN/>
        <w:bidi w:val="0"/>
        <w:adjustRightInd/>
        <w:snapToGrid/>
        <w:spacing w:line="360" w:lineRule="auto"/>
        <w:ind w:left="0" w:leftChars="0" w:firstLine="315" w:firstLineChars="150"/>
        <w:jc w:val="center"/>
        <w:textAlignment w:val="auto"/>
        <w:rPr>
          <w:rFonts w:hint="default" w:ascii="宋体" w:hAnsi="宋体" w:cs="宋体"/>
          <w:b/>
          <w:bCs/>
          <w:color w:val="000000" w:themeColor="text1"/>
          <w:sz w:val="24"/>
          <w:szCs w:val="24"/>
          <w:lang w:val="en-US" w:eastAsia="zh-CN"/>
          <w14:textFill>
            <w14:solidFill>
              <w14:schemeClr w14:val="tx1"/>
            </w14:solidFill>
          </w14:textFill>
        </w:rPr>
      </w:pPr>
      <w:r>
        <w:drawing>
          <wp:inline distT="0" distB="0" distL="114300" distR="114300">
            <wp:extent cx="4433570" cy="2051685"/>
            <wp:effectExtent l="0" t="0" r="5080" b="571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7"/>
                    <a:stretch>
                      <a:fillRect/>
                    </a:stretch>
                  </pic:blipFill>
                  <pic:spPr>
                    <a:xfrm>
                      <a:off x="0" y="0"/>
                      <a:ext cx="4433570" cy="2051685"/>
                    </a:xfrm>
                    <a:prstGeom prst="rect">
                      <a:avLst/>
                    </a:prstGeom>
                    <a:noFill/>
                    <a:ln>
                      <a:noFill/>
                    </a:ln>
                  </pic:spPr>
                </pic:pic>
              </a:graphicData>
            </a:graphic>
          </wp:inline>
        </w:drawing>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37265B4E">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1.验收依据：本工程施工内容以经采购人书面确认的施工工程报价单，工程合同作为验收依据。</w:t>
      </w:r>
    </w:p>
    <w:p w14:paraId="351F8A26">
      <w:pPr>
        <w:shd w:val="clear"/>
        <w:spacing w:line="560" w:lineRule="exact"/>
        <w:ind w:left="0" w:leftChars="0" w:firstLine="360" w:firstLineChars="150"/>
        <w:rPr>
          <w:rFonts w:hint="eastAsia"/>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2.验收标准：拟成交单位须保证本工程的施工质量应符合国家标准及行业标准</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且满足采购人要求及</w:t>
      </w:r>
      <w:r>
        <w:rPr>
          <w:rFonts w:hint="eastAsia" w:ascii="宋体" w:hAnsi="宋体" w:cs="宋体"/>
          <w:color w:val="000000" w:themeColor="text1"/>
          <w:sz w:val="24"/>
          <w:szCs w:val="24"/>
          <w:lang w:val="en-US" w:eastAsia="zh-CN"/>
          <w14:textFill>
            <w14:solidFill>
              <w14:schemeClr w14:val="tx1"/>
            </w14:solidFill>
          </w14:textFill>
        </w:rPr>
        <w:t>正常停车</w:t>
      </w:r>
      <w:r>
        <w:rPr>
          <w:rFonts w:hint="eastAsia" w:ascii="宋体" w:hAnsi="宋体" w:eastAsia="宋体" w:cs="宋体"/>
          <w:color w:val="000000" w:themeColor="text1"/>
          <w:sz w:val="24"/>
          <w:szCs w:val="24"/>
          <w:lang w:val="en-US" w:eastAsia="zh-CN"/>
          <w14:textFill>
            <w14:solidFill>
              <w14:schemeClr w14:val="tx1"/>
            </w14:solidFill>
          </w14:textFill>
        </w:rPr>
        <w:t>需求；施工内容完整，无遗漏项</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如国家标准、行业标准及采购人对拟成交单位提出的技术要求不一致的，采购人按照较高要求的标准及技术要求进行验收。</w:t>
      </w:r>
    </w:p>
    <w:p w14:paraId="303A2393">
      <w:pPr>
        <w:shd w:val="clear"/>
        <w:spacing w:line="560" w:lineRule="exact"/>
        <w:ind w:left="0" w:leftChars="0" w:firstLine="360" w:firstLineChars="150"/>
        <w:rPr>
          <w:rFonts w:hint="eastAsia"/>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3.成果交付：需提供完整的竣工资料，包括但不限于施工图纸、材料合格证、检测报告、验收报告、施工记录等。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保修费用：保修期内成交单位免费保修，采购人及任何其他方</w:t>
      </w:r>
      <w:r>
        <w:rPr>
          <w:rFonts w:hint="eastAsia" w:ascii="宋体" w:hAnsi="宋体" w:cs="宋体"/>
          <w:color w:val="000000" w:themeColor="text1"/>
          <w:sz w:val="24"/>
          <w:szCs w:val="24"/>
          <w:lang w:val="en-US" w:eastAsia="zh-CN"/>
          <w14:textFill>
            <w14:solidFill>
              <w14:schemeClr w14:val="tx1"/>
            </w14:solidFill>
          </w14:textFill>
        </w:rPr>
        <w:t>均</w:t>
      </w:r>
      <w:r>
        <w:rPr>
          <w:rFonts w:hint="eastAsia" w:ascii="宋体" w:hAnsi="宋体" w:eastAsia="宋体" w:cs="宋体"/>
          <w:color w:val="000000" w:themeColor="text1"/>
          <w:sz w:val="24"/>
          <w:szCs w:val="24"/>
          <w:lang w:val="en-US" w:eastAsia="zh-CN"/>
          <w14:textFill>
            <w14:solidFill>
              <w14:schemeClr w14:val="tx1"/>
            </w14:solidFill>
          </w14:textFill>
        </w:rPr>
        <w:t>无需另行支付任何费用（包括但不限于维修、更换部件的费用）。</w:t>
      </w:r>
    </w:p>
    <w:p w14:paraId="6CC41F61">
      <w:pPr>
        <w:widowControl w:val="0"/>
        <w:numPr>
          <w:ilvl w:val="0"/>
          <w:numId w:val="0"/>
        </w:numPr>
        <w:shd w:val="clear"/>
        <w:spacing w:line="560" w:lineRule="exact"/>
        <w:ind w:left="0" w:leftChars="0" w:firstLine="360" w:firstLineChars="150"/>
        <w:jc w:val="both"/>
        <w:rPr>
          <w:rFonts w:hint="default"/>
          <w:lang w:val="en-US" w:eastAsia="zh-CN"/>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172A27"/>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35F05"/>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1C761D7"/>
    <w:rsid w:val="035D4211"/>
    <w:rsid w:val="037D5EE3"/>
    <w:rsid w:val="0402328C"/>
    <w:rsid w:val="049F4302"/>
    <w:rsid w:val="04CF6E29"/>
    <w:rsid w:val="059366CF"/>
    <w:rsid w:val="05D00163"/>
    <w:rsid w:val="06C50946"/>
    <w:rsid w:val="07343A19"/>
    <w:rsid w:val="07787F63"/>
    <w:rsid w:val="077C34B8"/>
    <w:rsid w:val="07A209C4"/>
    <w:rsid w:val="07A9153C"/>
    <w:rsid w:val="07AC1384"/>
    <w:rsid w:val="07C8325C"/>
    <w:rsid w:val="080D26DA"/>
    <w:rsid w:val="08284245"/>
    <w:rsid w:val="086F1260"/>
    <w:rsid w:val="0880226D"/>
    <w:rsid w:val="089F2BDE"/>
    <w:rsid w:val="08BB2505"/>
    <w:rsid w:val="09301C99"/>
    <w:rsid w:val="093818AD"/>
    <w:rsid w:val="099A07E1"/>
    <w:rsid w:val="09A02D00"/>
    <w:rsid w:val="0A9B4FED"/>
    <w:rsid w:val="0B0C0A79"/>
    <w:rsid w:val="0B36526A"/>
    <w:rsid w:val="0B451F6A"/>
    <w:rsid w:val="0B462863"/>
    <w:rsid w:val="0B807A4E"/>
    <w:rsid w:val="0C0C2F4A"/>
    <w:rsid w:val="0C6F4C8D"/>
    <w:rsid w:val="0C7A2E78"/>
    <w:rsid w:val="0CA57A5D"/>
    <w:rsid w:val="0D0E0EB6"/>
    <w:rsid w:val="0D285BFB"/>
    <w:rsid w:val="0D9D06CB"/>
    <w:rsid w:val="0DE142C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B1039AD"/>
    <w:rsid w:val="1B4716B4"/>
    <w:rsid w:val="1C08419D"/>
    <w:rsid w:val="1CDA79A3"/>
    <w:rsid w:val="1D4D5FFD"/>
    <w:rsid w:val="1DC84BCD"/>
    <w:rsid w:val="1F7A0970"/>
    <w:rsid w:val="209E2C67"/>
    <w:rsid w:val="213B16D2"/>
    <w:rsid w:val="216F32CA"/>
    <w:rsid w:val="22124112"/>
    <w:rsid w:val="23F57352"/>
    <w:rsid w:val="243C64C4"/>
    <w:rsid w:val="24516432"/>
    <w:rsid w:val="249A7996"/>
    <w:rsid w:val="25387269"/>
    <w:rsid w:val="25407ECB"/>
    <w:rsid w:val="267E2359"/>
    <w:rsid w:val="26BC7CBC"/>
    <w:rsid w:val="270C275B"/>
    <w:rsid w:val="27370970"/>
    <w:rsid w:val="27447ED5"/>
    <w:rsid w:val="275F3A77"/>
    <w:rsid w:val="27F51825"/>
    <w:rsid w:val="284F0253"/>
    <w:rsid w:val="28644870"/>
    <w:rsid w:val="28EB3CC7"/>
    <w:rsid w:val="296A71F1"/>
    <w:rsid w:val="29704681"/>
    <w:rsid w:val="2AE949DF"/>
    <w:rsid w:val="2B3B474B"/>
    <w:rsid w:val="2B8D044E"/>
    <w:rsid w:val="2C016BB8"/>
    <w:rsid w:val="2D3B1287"/>
    <w:rsid w:val="2D77461B"/>
    <w:rsid w:val="2E3A1DA5"/>
    <w:rsid w:val="2E400C5F"/>
    <w:rsid w:val="2E5209E3"/>
    <w:rsid w:val="2E7972FB"/>
    <w:rsid w:val="2EB01AFE"/>
    <w:rsid w:val="30592C7B"/>
    <w:rsid w:val="30D1119A"/>
    <w:rsid w:val="30F12F4C"/>
    <w:rsid w:val="310E0E7D"/>
    <w:rsid w:val="3112402E"/>
    <w:rsid w:val="313D3E38"/>
    <w:rsid w:val="31EF79C9"/>
    <w:rsid w:val="322F18FF"/>
    <w:rsid w:val="32354487"/>
    <w:rsid w:val="32524F46"/>
    <w:rsid w:val="32611BF0"/>
    <w:rsid w:val="33A83294"/>
    <w:rsid w:val="33CA657B"/>
    <w:rsid w:val="34011E26"/>
    <w:rsid w:val="34173209"/>
    <w:rsid w:val="341B4D23"/>
    <w:rsid w:val="34F70559"/>
    <w:rsid w:val="36A81FB2"/>
    <w:rsid w:val="3722158D"/>
    <w:rsid w:val="375E09FC"/>
    <w:rsid w:val="38525FA9"/>
    <w:rsid w:val="39003F1D"/>
    <w:rsid w:val="39276876"/>
    <w:rsid w:val="392B2930"/>
    <w:rsid w:val="39E160CD"/>
    <w:rsid w:val="3A5804C9"/>
    <w:rsid w:val="3A9728C8"/>
    <w:rsid w:val="3AC853CC"/>
    <w:rsid w:val="3C16359F"/>
    <w:rsid w:val="3C582CD8"/>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312382"/>
    <w:rsid w:val="46416F41"/>
    <w:rsid w:val="46C4203A"/>
    <w:rsid w:val="470E29AE"/>
    <w:rsid w:val="47887727"/>
    <w:rsid w:val="48606C1B"/>
    <w:rsid w:val="487A02D2"/>
    <w:rsid w:val="48DD486F"/>
    <w:rsid w:val="490E7D40"/>
    <w:rsid w:val="4948023E"/>
    <w:rsid w:val="49AA7B5B"/>
    <w:rsid w:val="49C16934"/>
    <w:rsid w:val="49CB0CCD"/>
    <w:rsid w:val="4A1E1634"/>
    <w:rsid w:val="4A9D158E"/>
    <w:rsid w:val="4AA610D6"/>
    <w:rsid w:val="4AA81CDA"/>
    <w:rsid w:val="4AF43BFC"/>
    <w:rsid w:val="4B0C055A"/>
    <w:rsid w:val="4B432C6A"/>
    <w:rsid w:val="4C881310"/>
    <w:rsid w:val="4C8B4A7C"/>
    <w:rsid w:val="4CDC60D7"/>
    <w:rsid w:val="4CFC368B"/>
    <w:rsid w:val="4D7E2C31"/>
    <w:rsid w:val="4D941421"/>
    <w:rsid w:val="4E3C3076"/>
    <w:rsid w:val="4E7D412D"/>
    <w:rsid w:val="4F086AAF"/>
    <w:rsid w:val="4F3C010A"/>
    <w:rsid w:val="4F983596"/>
    <w:rsid w:val="50320171"/>
    <w:rsid w:val="5069668A"/>
    <w:rsid w:val="50A83CB2"/>
    <w:rsid w:val="50FF433C"/>
    <w:rsid w:val="512B42F2"/>
    <w:rsid w:val="51640797"/>
    <w:rsid w:val="51AE2E9B"/>
    <w:rsid w:val="521B3F21"/>
    <w:rsid w:val="538E5DEC"/>
    <w:rsid w:val="54586AC5"/>
    <w:rsid w:val="54DE0134"/>
    <w:rsid w:val="56D076DF"/>
    <w:rsid w:val="56E34736"/>
    <w:rsid w:val="56FB15A3"/>
    <w:rsid w:val="572C3C94"/>
    <w:rsid w:val="57806BBC"/>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7C2070"/>
    <w:rsid w:val="5F883CB9"/>
    <w:rsid w:val="5FE82248"/>
    <w:rsid w:val="609D0B4D"/>
    <w:rsid w:val="61784600"/>
    <w:rsid w:val="623F329A"/>
    <w:rsid w:val="62695E27"/>
    <w:rsid w:val="628242DE"/>
    <w:rsid w:val="62D94660"/>
    <w:rsid w:val="636127C3"/>
    <w:rsid w:val="6541100E"/>
    <w:rsid w:val="654C0BA8"/>
    <w:rsid w:val="664352EB"/>
    <w:rsid w:val="66F434E6"/>
    <w:rsid w:val="670E22D2"/>
    <w:rsid w:val="672079BD"/>
    <w:rsid w:val="683E7EE4"/>
    <w:rsid w:val="6898713D"/>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46217A5"/>
    <w:rsid w:val="74D177C5"/>
    <w:rsid w:val="75431AF8"/>
    <w:rsid w:val="757B75BC"/>
    <w:rsid w:val="764C7A4B"/>
    <w:rsid w:val="764E0750"/>
    <w:rsid w:val="76A665D3"/>
    <w:rsid w:val="77846D70"/>
    <w:rsid w:val="789B6A68"/>
    <w:rsid w:val="78BD1F9D"/>
    <w:rsid w:val="79201CE1"/>
    <w:rsid w:val="79632BC7"/>
    <w:rsid w:val="79B14724"/>
    <w:rsid w:val="79C3228C"/>
    <w:rsid w:val="7B09415C"/>
    <w:rsid w:val="7B3E0A41"/>
    <w:rsid w:val="7C323980"/>
    <w:rsid w:val="7C5360D9"/>
    <w:rsid w:val="7C955F82"/>
    <w:rsid w:val="7C9839D1"/>
    <w:rsid w:val="7F127358"/>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2"/>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3"/>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18</Pages>
  <Words>2065</Words>
  <Characters>2175</Characters>
  <Lines>54</Lines>
  <Paragraphs>15</Paragraphs>
  <TotalTime>11</TotalTime>
  <ScaleCrop>false</ScaleCrop>
  <LinksUpToDate>false</LinksUpToDate>
  <CharactersWithSpaces>2177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2025-10-20T01:56:00Z</cp:lastPrinted>
  <dcterms:modified xsi:type="dcterms:W3CDTF">2025-11-10T06:23:29Z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65A8F1A3654B49F190773F66B06F667A_13</vt:lpwstr>
  </property>
  <property fmtid="{D5CDD505-2E9C-101B-9397-08002B2CF9AE}" pid="4" name="KSOTemplateDocerSaveRecord">
    <vt:lpwstr>eyJoZGlkIjoiNmRiNTkwMWQxZDFhOWUzZGU2YWM2MjBkMGI0YWY5MDkiLCJ1c2VySWQiOiIxNzQwMjE2MzI3In0=</vt:lpwstr>
  </property>
</Properties>
</file>