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C81C09">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询价文件</w:t>
      </w:r>
    </w:p>
    <w:p w14:paraId="1F92413B">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lang w:val="en-US" w:eastAsia="zh-CN"/>
        </w:rPr>
        <w:t>阳江</w:t>
      </w:r>
      <w:r>
        <w:rPr>
          <w:rFonts w:eastAsia="仿宋_GB2312"/>
          <w:color w:val="auto"/>
          <w:sz w:val="32"/>
          <w:szCs w:val="32"/>
          <w:highlight w:val="none"/>
          <w:u w:val="single"/>
        </w:rPr>
        <w:t>开能环保能源有限公司</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采购人</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水处理系统化学药品服务</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3986850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21C6F86A">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阳江开能环保能源有限公司2026年水处理系统化学药品服务项目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采购项目编号：YJKN（2025）-FW-003</w:t>
      </w:r>
      <w:r>
        <w:rPr>
          <w:rFonts w:hint="eastAsia" w:eastAsia="仿宋_GB2312"/>
          <w:color w:val="auto"/>
          <w:sz w:val="32"/>
          <w:szCs w:val="32"/>
          <w:highlight w:val="none"/>
          <w:u w:val="single"/>
          <w:lang w:eastAsia="zh-CN"/>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6B2824A4">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环保能源有限公司余热发电锅炉补给水处理系统（反渗透系统）化学药品及循环水处理药剂服务的供应。响应人应根据项目现场水质进行小型试验，本着环保、节能减排的前提，筛选符合本项目的药剂配方，为采购人提供优质的水处理药剂。同时，成交人应每月定期现场服务一次，依据现场水质情况进行及时有效的调整控制指标或加药量，并出具分析报告和指导性的建议。锅炉补给水处理系统（反渗透系统）化学药品供应种类:絮凝剂、杀菌剂、还原剂、阻垢剂、碱性清洗剂、酸性清洗剂。循环水处理系统化学药品供应种类:缓蚀阻垢剂、杀菌灭藻剂、黏泥剥离剂。相关技术导则、规范、标准依据GB50050-2007工业循环水处理设计规范。</w:t>
      </w:r>
    </w:p>
    <w:p w14:paraId="492C6E3A">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广东省阳江高新技术产业开发区港口工业园广东广青金属科技有限公司厂区内</w:t>
      </w:r>
      <w:r>
        <w:rPr>
          <w:rFonts w:hint="default" w:eastAsia="仿宋_GB2312"/>
          <w:color w:val="auto"/>
          <w:sz w:val="32"/>
          <w:szCs w:val="32"/>
          <w:highlight w:val="none"/>
          <w:u w:val="single"/>
        </w:rPr>
        <w:t> </w:t>
      </w:r>
      <w:r>
        <w:rPr>
          <w:rFonts w:hint="eastAsia" w:eastAsia="仿宋_GB2312"/>
          <w:color w:val="auto"/>
          <w:sz w:val="32"/>
          <w:szCs w:val="32"/>
          <w:highlight w:val="none"/>
          <w:u w:val="single"/>
        </w:rPr>
        <w:t>；</w:t>
      </w:r>
    </w:p>
    <w:p w14:paraId="727928E8">
      <w:pPr>
        <w:spacing w:line="600" w:lineRule="exact"/>
        <w:ind w:firstLine="640" w:firstLineChars="200"/>
        <w:rPr>
          <w:rFonts w:hint="default" w:eastAsia="仿宋_GB2312"/>
          <w:color w:val="auto"/>
          <w:sz w:val="32"/>
          <w:szCs w:val="32"/>
          <w:highlight w:val="none"/>
          <w:lang w:val="en-US" w:eastAsia="zh-CN"/>
        </w:rPr>
      </w:pPr>
      <w:r>
        <w:rPr>
          <w:rFonts w:eastAsia="仿宋_GB2312"/>
          <w:color w:val="auto"/>
          <w:sz w:val="32"/>
          <w:szCs w:val="32"/>
          <w:highlight w:val="none"/>
        </w:rPr>
        <w:t>4</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项目预计服务期</w:t>
      </w:r>
      <w:r>
        <w:rPr>
          <w:rFonts w:hint="eastAsia"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2026年1月1日至2026年12月31日，暂定1年。</w:t>
      </w:r>
    </w:p>
    <w:p w14:paraId="48F7738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1459C00C">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w:t>
      </w:r>
      <w:r>
        <w:rPr>
          <w:rFonts w:hint="eastAsia" w:ascii="Times New Roman" w:hAnsi="Times New Roman" w:eastAsia="仿宋_GB2312" w:cs="Times New Roman"/>
          <w:color w:val="auto"/>
          <w:sz w:val="32"/>
          <w:szCs w:val="32"/>
          <w:highlight w:val="none"/>
        </w:rPr>
        <w:t>站-招标采购栏目</w:t>
      </w:r>
      <w:r>
        <w:rPr>
          <w:rFonts w:hint="eastAsia" w:eastAsia="仿宋_GB2312"/>
          <w:color w:val="auto"/>
          <w:sz w:val="32"/>
          <w:szCs w:val="32"/>
          <w:highlight w:val="none"/>
        </w:rPr>
        <w:t>（</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28055712">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252B32DC">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1EE97A19">
      <w:pPr>
        <w:pageBreakBefore w:val="0"/>
        <w:widowControl w:val="0"/>
        <w:kinsoku/>
        <w:wordWrap/>
        <w:overflowPunct/>
        <w:topLinePunct w:val="0"/>
        <w:autoSpaceDE/>
        <w:autoSpaceDN/>
        <w:bidi w:val="0"/>
        <w:spacing w:line="40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、业绩要求：</w:t>
      </w:r>
      <w:r>
        <w:rPr>
          <w:rFonts w:hint="eastAsia" w:ascii="仿宋" w:hAnsi="仿宋" w:eastAsia="仿宋"/>
          <w:color w:val="auto"/>
          <w:sz w:val="32"/>
          <w:szCs w:val="32"/>
          <w:highlight w:val="none"/>
          <w:lang w:val="en-US" w:eastAsia="zh-CN"/>
        </w:rPr>
        <w:t>响应人</w:t>
      </w:r>
      <w:r>
        <w:rPr>
          <w:rFonts w:hint="eastAsia" w:ascii="仿宋" w:hAnsi="仿宋" w:eastAsia="仿宋"/>
          <w:color w:val="auto"/>
          <w:sz w:val="32"/>
          <w:szCs w:val="32"/>
          <w:highlight w:val="none"/>
        </w:rPr>
        <w:t>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化学药剂供货/服务</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2021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w:t>
      </w:r>
      <w:r>
        <w:rPr>
          <w:rFonts w:hint="eastAsia" w:ascii="仿宋" w:hAnsi="仿宋" w:eastAsia="仿宋"/>
          <w:color w:val="auto"/>
          <w:sz w:val="32"/>
          <w:szCs w:val="32"/>
          <w:highlight w:val="none"/>
          <w:lang w:val="en-US" w:eastAsia="zh-CN"/>
        </w:rPr>
        <w:t>采购公告发布之日</w:t>
      </w:r>
      <w:r>
        <w:rPr>
          <w:rFonts w:hint="eastAsia" w:ascii="仿宋" w:hAnsi="仿宋" w:eastAsia="仿宋"/>
          <w:color w:val="auto"/>
          <w:sz w:val="32"/>
          <w:szCs w:val="32"/>
          <w:highlight w:val="none"/>
        </w:rPr>
        <w:t>，完成至少</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  化学药剂供货/服务</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并加盖投标人公章。</w:t>
      </w:r>
    </w:p>
    <w:p w14:paraId="657715BE">
      <w:pPr>
        <w:pageBreakBefore w:val="0"/>
        <w:widowControl w:val="0"/>
        <w:kinsoku/>
        <w:wordWrap/>
        <w:overflowPunct/>
        <w:topLinePunct w:val="0"/>
        <w:autoSpaceDE/>
        <w:autoSpaceDN/>
        <w:bidi w:val="0"/>
        <w:adjustRightInd w:val="0"/>
        <w:snapToGrid w:val="0"/>
        <w:spacing w:line="400" w:lineRule="exact"/>
        <w:ind w:firstLine="640" w:firstLineChars="200"/>
        <w:textAlignment w:val="auto"/>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、未被列入东实集团及下属企业</w:t>
      </w:r>
      <w:r>
        <w:rPr>
          <w:rFonts w:hint="eastAsia" w:ascii="仿宋" w:hAnsi="仿宋" w:eastAsia="仿宋"/>
          <w:color w:val="auto"/>
          <w:sz w:val="32"/>
          <w:szCs w:val="32"/>
          <w:highlight w:val="none"/>
          <w:lang w:val="en-US" w:eastAsia="zh-CN"/>
        </w:rPr>
        <w:t>相关</w:t>
      </w:r>
      <w:r>
        <w:rPr>
          <w:rFonts w:hint="eastAsia" w:eastAsia="仿宋_GB2312"/>
          <w:color w:val="auto"/>
          <w:sz w:val="32"/>
          <w:szCs w:val="32"/>
          <w:highlight w:val="none"/>
        </w:rPr>
        <w:t>领域黑名单。</w:t>
      </w:r>
    </w:p>
    <w:p w14:paraId="16774DE6">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、本项目不接受联合体报价。</w:t>
      </w:r>
    </w:p>
    <w:p w14:paraId="0044278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5B63A49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w:t>
      </w:r>
      <w:r>
        <w:rPr>
          <w:rFonts w:hint="eastAsia" w:eastAsia="仿宋_GB2312"/>
          <w:color w:val="auto"/>
          <w:sz w:val="32"/>
          <w:szCs w:val="32"/>
          <w:highlight w:val="none"/>
          <w:u w:val="single"/>
          <w:lang w:val="en-US" w:eastAsia="zh-CN"/>
        </w:rPr>
        <w:t>工艺参数及药品使用要求</w:t>
      </w:r>
      <w:r>
        <w:rPr>
          <w:rFonts w:hint="eastAsia" w:eastAsia="仿宋_GB2312"/>
          <w:color w:val="auto"/>
          <w:sz w:val="32"/>
          <w:szCs w:val="32"/>
          <w:highlight w:val="none"/>
          <w:u w:val="single"/>
        </w:rPr>
        <w:t>详见本询价文件</w:t>
      </w:r>
      <w:r>
        <w:rPr>
          <w:rFonts w:hint="eastAsia" w:eastAsia="仿宋_GB2312"/>
          <w:color w:val="auto"/>
          <w:sz w:val="32"/>
          <w:szCs w:val="32"/>
          <w:highlight w:val="none"/>
          <w:u w:val="single"/>
          <w:lang w:val="en-US" w:eastAsia="zh-CN"/>
        </w:rPr>
        <w:t>附件六</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循环水处理工艺参数及药品使用要求</w:t>
      </w:r>
      <w:r>
        <w:rPr>
          <w:rFonts w:hint="eastAsia" w:eastAsia="仿宋_GB2312"/>
          <w:color w:val="auto"/>
          <w:sz w:val="32"/>
          <w:szCs w:val="32"/>
          <w:highlight w:val="none"/>
          <w:u w:val="single"/>
        </w:rPr>
        <w:t>》</w:t>
      </w:r>
      <w:r>
        <w:rPr>
          <w:rFonts w:hint="eastAsia" w:eastAsia="仿宋_GB2312"/>
          <w:color w:val="auto"/>
          <w:sz w:val="32"/>
          <w:szCs w:val="32"/>
          <w:highlight w:val="none"/>
        </w:rPr>
        <w:t>。响应人须仔细阅读本</w:t>
      </w:r>
      <w:r>
        <w:rPr>
          <w:rFonts w:hint="eastAsia" w:eastAsia="仿宋_GB2312"/>
          <w:color w:val="auto"/>
          <w:sz w:val="32"/>
          <w:szCs w:val="32"/>
          <w:highlight w:val="none"/>
          <w:lang w:val="en-US" w:eastAsia="zh-CN"/>
        </w:rPr>
        <w:t>要求书</w:t>
      </w:r>
      <w:r>
        <w:rPr>
          <w:rFonts w:hint="eastAsia" w:eastAsia="仿宋_GB2312"/>
          <w:color w:val="auto"/>
          <w:sz w:val="32"/>
          <w:szCs w:val="32"/>
          <w:highlight w:val="none"/>
        </w:rPr>
        <w:t>，因未详细了解本技术</w:t>
      </w:r>
      <w:r>
        <w:rPr>
          <w:rFonts w:hint="eastAsia" w:eastAsia="仿宋_GB2312"/>
          <w:color w:val="auto"/>
          <w:sz w:val="32"/>
          <w:szCs w:val="32"/>
          <w:highlight w:val="none"/>
          <w:lang w:val="en-US" w:eastAsia="zh-CN"/>
        </w:rPr>
        <w:t>需求书</w:t>
      </w:r>
      <w:r>
        <w:rPr>
          <w:rFonts w:hint="eastAsia" w:eastAsia="仿宋_GB2312"/>
          <w:color w:val="auto"/>
          <w:sz w:val="32"/>
          <w:szCs w:val="32"/>
          <w:highlight w:val="none"/>
        </w:rPr>
        <w:t>造成报价项目遗漏，由响应人自行负责。</w:t>
      </w:r>
    </w:p>
    <w:p w14:paraId="11E765A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00162211">
      <w:pPr>
        <w:spacing w:line="60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u w:val="single"/>
          <w:lang w:val="en-US" w:eastAsia="zh-CN"/>
        </w:rPr>
        <w:t>项目预计服务期：2026年1月1日至2026年12月31日，暂定1年。</w:t>
      </w:r>
    </w:p>
    <w:p w14:paraId="0EA77393">
      <w:pPr>
        <w:adjustRightInd w:val="0"/>
        <w:snapToGrid w:val="0"/>
        <w:spacing w:line="600" w:lineRule="exact"/>
        <w:ind w:firstLine="640" w:firstLineChars="200"/>
        <w:outlineLvl w:val="1"/>
        <w:rPr>
          <w:rFonts w:hint="eastAsia" w:eastAsia="黑体"/>
          <w:color w:val="auto"/>
          <w:sz w:val="32"/>
          <w:szCs w:val="32"/>
          <w:highlight w:val="none"/>
          <w:lang w:val="en-US" w:eastAsia="zh-CN"/>
        </w:rPr>
      </w:pPr>
      <w:r>
        <w:rPr>
          <w:rFonts w:hint="eastAsia" w:eastAsia="黑体"/>
          <w:color w:val="auto"/>
          <w:sz w:val="32"/>
          <w:szCs w:val="32"/>
          <w:highlight w:val="none"/>
        </w:rPr>
        <w:t>六、支付方式</w:t>
      </w:r>
      <w:r>
        <w:rPr>
          <w:rFonts w:hint="eastAsia" w:eastAsia="黑体"/>
          <w:color w:val="auto"/>
          <w:sz w:val="32"/>
          <w:szCs w:val="32"/>
          <w:highlight w:val="none"/>
          <w:lang w:val="en-US" w:eastAsia="zh-CN"/>
        </w:rPr>
        <w:t xml:space="preserve"> </w:t>
      </w:r>
    </w:p>
    <w:p w14:paraId="66A57669">
      <w:pPr>
        <w:adjustRightInd w:val="0"/>
        <w:snapToGrid w:val="0"/>
        <w:spacing w:line="600" w:lineRule="exact"/>
        <w:ind w:firstLine="640" w:firstLineChars="200"/>
        <w:outlineLvl w:val="1"/>
        <w:rPr>
          <w:rFonts w:hint="default" w:eastAsia="仿宋_GB2312"/>
          <w:color w:val="auto"/>
          <w:sz w:val="32"/>
          <w:szCs w:val="32"/>
          <w:highlight w:val="none"/>
          <w:u w:val="single"/>
          <w:lang w:val="en-US" w:eastAsia="zh-CN"/>
        </w:rPr>
      </w:pPr>
      <w:r>
        <w:rPr>
          <w:rFonts w:hint="eastAsia" w:eastAsia="仿宋_GB2312"/>
          <w:color w:val="auto"/>
          <w:sz w:val="32"/>
          <w:szCs w:val="32"/>
          <w:highlight w:val="none"/>
          <w:u w:val="single"/>
          <w:lang w:val="en-US" w:eastAsia="zh-CN"/>
        </w:rPr>
        <w:t xml:space="preserve"> 在合同供货期内，本项目款项以包干总价的形式分4个季度平均支付，每个季度完成供货及服务后，下个月15号前支付上个季度服务款项。每笔款项前，中标人需提供相应的化学药品送货单及13%等额增值税专用发票，（如因本项目现场停机等情况，导致实际化学药品供货用量较报价人所报费用预算表中所述用量减少超过10%或供货服务时间较本项目约定服务时间减少超过一个月，则项目最终结算价格=费用预算表单价×化学药品实际供货量）。</w:t>
      </w:r>
    </w:p>
    <w:p w14:paraId="3D5809A6">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6818B55B">
      <w:pPr>
        <w:spacing w:line="60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1、</w:t>
      </w:r>
      <w:r>
        <w:rPr>
          <w:rFonts w:hint="eastAsia" w:eastAsia="仿宋_GB2312"/>
          <w:color w:val="auto"/>
          <w:sz w:val="32"/>
          <w:szCs w:val="32"/>
          <w:highlight w:val="none"/>
        </w:rPr>
        <w:t>采购限价：</w:t>
      </w:r>
      <w:r>
        <w:rPr>
          <w:rFonts w:hint="eastAsia" w:eastAsia="仿宋_GB2312"/>
          <w:color w:val="auto"/>
          <w:sz w:val="32"/>
          <w:szCs w:val="32"/>
          <w:highlight w:val="none"/>
          <w:lang w:val="en-US" w:eastAsia="zh-CN"/>
        </w:rPr>
        <w:t>含税包干总价限价</w:t>
      </w:r>
      <w:r>
        <w:rPr>
          <w:rFonts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人民币</w:t>
      </w:r>
      <w:r>
        <w:rPr>
          <w:rFonts w:hint="eastAsia" w:eastAsia="仿宋_GB2312"/>
          <w:color w:val="auto"/>
          <w:sz w:val="32"/>
          <w:szCs w:val="32"/>
          <w:highlight w:val="none"/>
          <w:u w:val="single"/>
          <w:lang w:val="en-US" w:eastAsia="zh-CN"/>
        </w:rPr>
        <w:t>67320</w:t>
      </w:r>
      <w:r>
        <w:rPr>
          <w:rFonts w:hint="eastAsia" w:eastAsia="仿宋_GB2312"/>
          <w:color w:val="auto"/>
          <w:sz w:val="32"/>
          <w:szCs w:val="32"/>
          <w:highlight w:val="none"/>
          <w:u w:val="single"/>
        </w:rPr>
        <w:t>.00元整（大写：</w:t>
      </w:r>
      <w:r>
        <w:rPr>
          <w:rFonts w:hint="eastAsia" w:eastAsia="仿宋_GB2312"/>
          <w:color w:val="auto"/>
          <w:sz w:val="32"/>
          <w:szCs w:val="32"/>
          <w:highlight w:val="none"/>
          <w:u w:val="single"/>
          <w:lang w:val="en-US" w:eastAsia="zh-CN"/>
        </w:rPr>
        <w:t>陆万柒仟叁佰贰拾</w:t>
      </w:r>
      <w:r>
        <w:rPr>
          <w:rFonts w:hint="eastAsia" w:eastAsia="仿宋_GB2312"/>
          <w:color w:val="auto"/>
          <w:sz w:val="32"/>
          <w:szCs w:val="32"/>
          <w:highlight w:val="none"/>
          <w:u w:val="single"/>
        </w:rPr>
        <w:t>元整）</w:t>
      </w:r>
      <w:r>
        <w:rPr>
          <w:rFonts w:hint="eastAsia" w:eastAsia="仿宋_GB2312"/>
          <w:color w:val="auto"/>
          <w:sz w:val="32"/>
          <w:szCs w:val="32"/>
          <w:highlight w:val="none"/>
          <w:u w:val="single"/>
          <w:lang w:val="en-US" w:eastAsia="zh-CN"/>
        </w:rPr>
        <w:t>。响应人的报价超过限价的，该响应人的报价文件将被视为无效响应。</w:t>
      </w:r>
    </w:p>
    <w:p w14:paraId="6B3CCD4B">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lang w:val="en-US" w:eastAsia="zh-CN"/>
        </w:rPr>
        <w:t>2、</w:t>
      </w:r>
      <w:r>
        <w:rPr>
          <w:rFonts w:hint="eastAsia" w:eastAsia="仿宋_GB2312"/>
          <w:color w:val="auto"/>
          <w:sz w:val="32"/>
          <w:szCs w:val="32"/>
          <w:highlight w:val="none"/>
        </w:rPr>
        <w:t>本项目本项目为</w:t>
      </w:r>
      <w:r>
        <w:rPr>
          <w:rFonts w:hint="eastAsia" w:eastAsia="仿宋_GB2312"/>
          <w:b/>
          <w:bCs/>
          <w:color w:val="auto"/>
          <w:sz w:val="32"/>
          <w:szCs w:val="32"/>
          <w:highlight w:val="none"/>
        </w:rPr>
        <w:t>固定总价包干</w:t>
      </w:r>
      <w:r>
        <w:rPr>
          <w:rFonts w:hint="eastAsia" w:eastAsia="仿宋_GB2312"/>
          <w:b w:val="0"/>
          <w:bCs w:val="0"/>
          <w:color w:val="auto"/>
          <w:sz w:val="32"/>
          <w:szCs w:val="32"/>
          <w:highlight w:val="none"/>
          <w:lang w:val="en-US" w:eastAsia="zh-CN"/>
        </w:rPr>
        <w:t>报价形式</w:t>
      </w:r>
      <w:r>
        <w:rPr>
          <w:rFonts w:hint="eastAsia" w:eastAsia="仿宋_GB2312"/>
          <w:color w:val="auto"/>
          <w:sz w:val="32"/>
          <w:szCs w:val="32"/>
          <w:highlight w:val="none"/>
        </w:rPr>
        <w:t>，实行固定价格报价，包括但不限于：完成本项目的成本、利润、税金等在项目过程中可能产生的一切费用。报价人已充分考虑了本项目服务内容及要求描述工作量可能与最终实际工作量存在差距的风险</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如因本项目现场停机等情况，导致实际化学药品供货用量较报价人所报报价清单表中所述用量减少超过10%或供货服务时间较本项目约定服务时间减少超过一个月，则项目最终结算价格=报价清单×化学药品实际供货量</w:t>
      </w:r>
      <w:r>
        <w:rPr>
          <w:rFonts w:hint="eastAsia" w:eastAsia="仿宋_GB2312"/>
          <w:color w:val="auto"/>
          <w:sz w:val="32"/>
          <w:szCs w:val="32"/>
          <w:highlight w:val="none"/>
          <w:lang w:eastAsia="zh-CN"/>
        </w:rPr>
        <w:t>）</w:t>
      </w:r>
      <w:r>
        <w:rPr>
          <w:rFonts w:hint="eastAsia" w:eastAsia="仿宋_GB2312"/>
          <w:color w:val="auto"/>
          <w:sz w:val="32"/>
          <w:szCs w:val="32"/>
          <w:highlight w:val="none"/>
          <w:u w:val="none"/>
        </w:rPr>
        <w:t>。</w:t>
      </w:r>
    </w:p>
    <w:p w14:paraId="31BE467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45C8C6CA">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本次项目采用询价方式进行采购，询价小组对各供应商响应文件进行审核，</w:t>
      </w:r>
      <w:r>
        <w:rPr>
          <w:rFonts w:hint="eastAsia" w:eastAsia="仿宋_GB2312"/>
          <w:color w:val="auto"/>
          <w:sz w:val="32"/>
          <w:szCs w:val="32"/>
          <w:highlight w:val="none"/>
          <w:u w:val="none"/>
          <w:lang w:val="en-US" w:eastAsia="zh-CN"/>
        </w:rPr>
        <w:t>在响应人业绩及化学药品工艺满足招标人要求前提下，按照不含税</w:t>
      </w:r>
      <w:r>
        <w:rPr>
          <w:rFonts w:hint="eastAsia" w:eastAsia="仿宋_GB2312"/>
          <w:color w:val="auto"/>
          <w:sz w:val="32"/>
          <w:szCs w:val="32"/>
          <w:highlight w:val="none"/>
          <w:u w:val="none"/>
        </w:rPr>
        <w:t>报价</w:t>
      </w:r>
      <w:r>
        <w:rPr>
          <w:rFonts w:hint="eastAsia" w:eastAsia="仿宋_GB2312"/>
          <w:color w:val="auto"/>
          <w:sz w:val="32"/>
          <w:szCs w:val="32"/>
          <w:highlight w:val="none"/>
          <w:u w:val="none"/>
          <w:lang w:val="en-US" w:eastAsia="zh-CN"/>
        </w:rPr>
        <w:t>总价</w:t>
      </w:r>
      <w:r>
        <w:rPr>
          <w:rFonts w:hint="eastAsia" w:eastAsia="仿宋_GB2312"/>
          <w:color w:val="auto"/>
          <w:sz w:val="32"/>
          <w:szCs w:val="32"/>
          <w:highlight w:val="none"/>
          <w:u w:val="none"/>
        </w:rPr>
        <w:t>最低的原则，推荐成交候选供应商。</w:t>
      </w:r>
    </w:p>
    <w:p w14:paraId="6C57418F">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询价结束后，招标采购工作小组将相关询价情况按程序审批并确定成交人。</w:t>
      </w:r>
    </w:p>
    <w:p w14:paraId="359BEFD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7765813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w:t>
      </w:r>
      <w:r>
        <w:rPr>
          <w:rFonts w:hint="eastAsia" w:eastAsia="仿宋_GB2312"/>
          <w:color w:val="auto"/>
          <w:sz w:val="32"/>
          <w:szCs w:val="32"/>
          <w:highlight w:val="none"/>
          <w:lang w:val="en-US" w:eastAsia="zh-CN"/>
        </w:rPr>
        <w:t>附件七合同模板</w:t>
      </w:r>
      <w:r>
        <w:rPr>
          <w:rFonts w:hint="eastAsia" w:eastAsia="仿宋_GB2312"/>
          <w:color w:val="auto"/>
          <w:sz w:val="32"/>
          <w:szCs w:val="32"/>
          <w:highlight w:val="none"/>
        </w:rPr>
        <w:t>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70CB023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34CA230E">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3FE5DCF2">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p>
    <w:p w14:paraId="0B3C926F">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62509B0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5CBF9833">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045B5BED">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3947C05E">
      <w:pPr>
        <w:pStyle w:val="9"/>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技术处理方案（格式由响应人自拟）</w:t>
      </w:r>
    </w:p>
    <w:p w14:paraId="79944C79">
      <w:pPr>
        <w:pStyle w:val="9"/>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响应人认为需要提供的其他资料。</w:t>
      </w:r>
    </w:p>
    <w:p w14:paraId="61AA2AB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45959A7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3D2F732F">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w:t>
      </w:r>
      <w:r>
        <w:rPr>
          <w:rFonts w:hint="eastAsia" w:eastAsia="仿宋_GB2312"/>
          <w:color w:val="auto"/>
          <w:sz w:val="32"/>
          <w:szCs w:val="32"/>
          <w:highlight w:val="none"/>
          <w:lang w:val="en-US" w:eastAsia="zh-CN"/>
        </w:rPr>
        <w:t>副本一份</w:t>
      </w:r>
      <w:r>
        <w:rPr>
          <w:rFonts w:hint="eastAsia" w:eastAsia="仿宋_GB2312"/>
          <w:color w:val="auto"/>
          <w:sz w:val="32"/>
          <w:szCs w:val="32"/>
          <w:highlight w:val="none"/>
        </w:rPr>
        <w:t>，并提供响应文件扫描件电子版（U盘）。</w:t>
      </w:r>
    </w:p>
    <w:p w14:paraId="08F760AB">
      <w:pPr>
        <w:numPr>
          <w:ilvl w:val="0"/>
          <w:numId w:val="0"/>
        </w:numPr>
        <w:adjustRightInd w:val="0"/>
        <w:snapToGrid w:val="0"/>
        <w:spacing w:line="600" w:lineRule="exact"/>
        <w:ind w:firstLine="640" w:firstLineChars="200"/>
        <w:outlineLvl w:val="1"/>
        <w:rPr>
          <w:rFonts w:hint="default"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十二、履约保证金金额及缴纳形式</w:t>
      </w:r>
    </w:p>
    <w:p w14:paraId="39F7FCA4">
      <w:pPr>
        <w:spacing w:line="600" w:lineRule="exact"/>
        <w:ind w:firstLine="640" w:firstLineChars="200"/>
        <w:rPr>
          <w:rFonts w:hint="eastAsia"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1、以履约保函或现金方式担保，担保金额按中标金额的5%计取。在宣布中标结果后5个工作日内，成交人必须交纳履约保证金（以现金形式打入采购人指定的账户）或提交不可撤销银行履约保函（可提供保函的银行必须是支行一级或以上银行机构。履约担保有效期为对应合同服务期限，合同服务期限到期并经成交人确认服务期间满足要求的15天内，招标人退回全部的履约保证金或履约保函给成交人，期中履约保证金均以不计取利息的方式退还给成交人。</w:t>
      </w:r>
    </w:p>
    <w:p w14:paraId="08ADC1AF">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履约</w:t>
      </w:r>
      <w:r>
        <w:rPr>
          <w:rFonts w:hint="eastAsia" w:ascii="Times New Roman" w:hAnsi="Times New Roman" w:eastAsia="仿宋_GB2312" w:cs="Times New Roman"/>
          <w:color w:val="auto"/>
          <w:sz w:val="32"/>
          <w:szCs w:val="32"/>
          <w:highlight w:val="none"/>
          <w:u w:val="single"/>
          <w:lang w:val="en-US" w:eastAsia="zh-CN"/>
        </w:rPr>
        <w:t>保证金收款账户信息：</w:t>
      </w:r>
    </w:p>
    <w:p w14:paraId="5AFC5499">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帐户名称：</w:t>
      </w:r>
      <w:r>
        <w:rPr>
          <w:rFonts w:hint="eastAsia" w:eastAsia="仿宋_GB2312" w:cs="Times New Roman"/>
          <w:color w:val="auto"/>
          <w:sz w:val="32"/>
          <w:szCs w:val="32"/>
          <w:highlight w:val="none"/>
          <w:u w:val="single"/>
          <w:lang w:val="en-US" w:eastAsia="zh-CN"/>
        </w:rPr>
        <w:t>阳江</w:t>
      </w:r>
      <w:r>
        <w:rPr>
          <w:rFonts w:hint="eastAsia" w:ascii="Times New Roman" w:hAnsi="Times New Roman" w:eastAsia="仿宋_GB2312" w:cs="Times New Roman"/>
          <w:color w:val="auto"/>
          <w:sz w:val="32"/>
          <w:szCs w:val="32"/>
          <w:highlight w:val="none"/>
          <w:u w:val="single"/>
          <w:lang w:val="en-US" w:eastAsia="zh-CN"/>
        </w:rPr>
        <w:t>开能环保能源有限公司</w:t>
      </w:r>
    </w:p>
    <w:p w14:paraId="34866DE8">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开户银行：广发银行股份有限公司阳江分行</w:t>
      </w:r>
      <w:r>
        <w:rPr>
          <w:rFonts w:hint="eastAsia" w:eastAsia="仿宋_GB2312" w:cs="Times New Roman"/>
          <w:color w:val="auto"/>
          <w:sz w:val="32"/>
          <w:szCs w:val="32"/>
          <w:highlight w:val="none"/>
          <w:u w:val="single"/>
          <w:lang w:val="en-US" w:eastAsia="zh-CN"/>
        </w:rPr>
        <w:t xml:space="preserve">    </w:t>
      </w:r>
    </w:p>
    <w:p w14:paraId="6C7FCABB">
      <w:pPr>
        <w:spacing w:line="600" w:lineRule="exact"/>
        <w:ind w:firstLine="640" w:firstLineChars="200"/>
        <w:rPr>
          <w:rFonts w:hint="eastAsia"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银行帐号：9550 8802 0063 4500 171</w:t>
      </w:r>
    </w:p>
    <w:p w14:paraId="379D9A9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3410FB6E">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、接收响应文件截止及开标时间：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rPr>
        <w:t>2</w:t>
      </w:r>
      <w:r>
        <w:rPr>
          <w:rFonts w:hint="eastAsia" w:eastAsia="仿宋_GB2312"/>
          <w:b/>
          <w:color w:val="auto"/>
          <w:sz w:val="32"/>
          <w:szCs w:val="32"/>
          <w:highlight w:val="none"/>
          <w:u w:val="single"/>
          <w:lang w:val="en-US" w:eastAsia="zh-CN"/>
        </w:rPr>
        <w:t>5</w:t>
      </w:r>
      <w:r>
        <w:rPr>
          <w:rFonts w:eastAsia="仿宋_GB2312"/>
          <w:b/>
          <w:color w:val="auto"/>
          <w:sz w:val="32"/>
          <w:szCs w:val="32"/>
          <w:highlight w:val="none"/>
          <w:u w:val="single"/>
        </w:rPr>
        <w:t xml:space="preserve"> </w:t>
      </w:r>
      <w:r>
        <w:rPr>
          <w:rFonts w:hint="eastAsia" w:eastAsia="仿宋_GB2312"/>
          <w:b/>
          <w:color w:val="auto"/>
          <w:sz w:val="32"/>
          <w:szCs w:val="32"/>
          <w:highlight w:val="none"/>
        </w:rPr>
        <w:t>年</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11</w:t>
      </w:r>
      <w:r>
        <w:rPr>
          <w:rFonts w:eastAsia="仿宋_GB2312"/>
          <w:b/>
          <w:color w:val="auto"/>
          <w:sz w:val="32"/>
          <w:szCs w:val="32"/>
          <w:highlight w:val="none"/>
          <w:u w:val="single"/>
        </w:rPr>
        <w:t xml:space="preserve">  </w:t>
      </w:r>
      <w:r>
        <w:rPr>
          <w:rFonts w:hint="eastAsia" w:eastAsia="仿宋_GB2312"/>
          <w:b/>
          <w:color w:val="auto"/>
          <w:sz w:val="32"/>
          <w:szCs w:val="32"/>
          <w:highlight w:val="none"/>
        </w:rPr>
        <w:t>月</w:t>
      </w:r>
      <w:r>
        <w:rPr>
          <w:rFonts w:hint="eastAsia" w:eastAsia="仿宋_GB2312"/>
          <w:b/>
          <w:color w:val="auto"/>
          <w:sz w:val="32"/>
          <w:szCs w:val="32"/>
          <w:highlight w:val="none"/>
          <w:lang w:val="en-US" w:eastAsia="zh-CN"/>
        </w:rPr>
        <w:t xml:space="preserve"> </w:t>
      </w:r>
      <w:r>
        <w:rPr>
          <w:rFonts w:hint="eastAsia" w:eastAsia="仿宋_GB2312"/>
          <w:b/>
          <w:color w:val="auto"/>
          <w:sz w:val="32"/>
          <w:szCs w:val="32"/>
          <w:highlight w:val="none"/>
          <w:u w:val="single"/>
          <w:lang w:val="en-US" w:eastAsia="zh-CN"/>
        </w:rPr>
        <w:t>18</w:t>
      </w:r>
      <w:r>
        <w:rPr>
          <w:rFonts w:eastAsia="仿宋_GB2312"/>
          <w:b/>
          <w:color w:val="auto"/>
          <w:sz w:val="32"/>
          <w:szCs w:val="32"/>
          <w:highlight w:val="none"/>
          <w:u w:val="single"/>
        </w:rPr>
        <w:t xml:space="preserve"> </w:t>
      </w:r>
      <w:r>
        <w:rPr>
          <w:rFonts w:hint="eastAsia" w:eastAsia="仿宋_GB2312"/>
          <w:b/>
          <w:color w:val="auto"/>
          <w:sz w:val="32"/>
          <w:szCs w:val="32"/>
          <w:highlight w:val="none"/>
        </w:rPr>
        <w:t>日（星期</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二</w:t>
      </w:r>
      <w:r>
        <w:rPr>
          <w:rFonts w:eastAsia="仿宋_GB2312"/>
          <w:b/>
          <w:color w:val="auto"/>
          <w:sz w:val="32"/>
          <w:szCs w:val="32"/>
          <w:highlight w:val="none"/>
          <w:u w:val="single"/>
        </w:rPr>
        <w:t xml:space="preserve"> </w:t>
      </w:r>
      <w:r>
        <w:rPr>
          <w:rFonts w:hint="eastAsia" w:eastAsia="仿宋_GB2312"/>
          <w:b/>
          <w:color w:val="auto"/>
          <w:sz w:val="32"/>
          <w:szCs w:val="32"/>
          <w:highlight w:val="none"/>
        </w:rPr>
        <w:t>）下午</w:t>
      </w:r>
      <w:r>
        <w:rPr>
          <w:rFonts w:hint="eastAsia" w:eastAsia="仿宋_GB2312"/>
          <w:b/>
          <w:color w:val="auto"/>
          <w:sz w:val="32"/>
          <w:szCs w:val="32"/>
          <w:highlight w:val="none"/>
          <w:u w:val="single"/>
        </w:rPr>
        <w:t>15</w:t>
      </w:r>
      <w:r>
        <w:rPr>
          <w:rFonts w:eastAsia="仿宋_GB2312"/>
          <w:b/>
          <w:color w:val="auto"/>
          <w:sz w:val="32"/>
          <w:szCs w:val="32"/>
          <w:highlight w:val="none"/>
          <w:u w:val="single"/>
        </w:rPr>
        <w:t>:</w:t>
      </w:r>
      <w:r>
        <w:rPr>
          <w:rFonts w:hint="eastAsia" w:eastAsia="仿宋_GB2312"/>
          <w:b/>
          <w:color w:val="auto"/>
          <w:sz w:val="32"/>
          <w:szCs w:val="32"/>
          <w:highlight w:val="none"/>
          <w:u w:val="single"/>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0142AD2B">
      <w:pPr>
        <w:spacing w:line="600" w:lineRule="exact"/>
        <w:ind w:firstLine="643" w:firstLineChars="200"/>
        <w:rPr>
          <w:rFonts w:hint="eastAsia"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、本项目原则上需要现场递交报价文件，如报价人因自身原因无法到现场开标，可选择邮寄递交报价文件。</w:t>
      </w:r>
    </w:p>
    <w:p w14:paraId="5648CC66">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（1）现场递交报价文件</w:t>
      </w:r>
    </w:p>
    <w:p w14:paraId="28AFF554">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报价人须委派法定代表人或授权委托人按时到开标地址提交报价文件并参加开标会议，开标时间后到达的拒收报价文件。</w:t>
      </w:r>
    </w:p>
    <w:p w14:paraId="1DBCE4BE">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报价人现场递交报价文件地址：</w:t>
      </w:r>
      <w:r>
        <w:rPr>
          <w:rFonts w:eastAsia="仿宋_GB2312"/>
          <w:b/>
          <w:color w:val="auto"/>
          <w:sz w:val="32"/>
          <w:szCs w:val="32"/>
          <w:highlight w:val="none"/>
          <w:u w:val="single"/>
        </w:rPr>
        <w:t>广东省东莞市东城街道八一路1号机关二号大院九号楼102</w:t>
      </w:r>
      <w:r>
        <w:rPr>
          <w:rFonts w:hint="eastAsia" w:eastAsia="仿宋_GB2312"/>
          <w:b/>
          <w:color w:val="auto"/>
          <w:sz w:val="32"/>
          <w:szCs w:val="32"/>
          <w:highlight w:val="none"/>
          <w:u w:val="single"/>
        </w:rPr>
        <w:t>会议室</w:t>
      </w:r>
      <w:r>
        <w:rPr>
          <w:rFonts w:hint="eastAsia" w:eastAsia="仿宋_GB2312"/>
          <w:b w:val="0"/>
          <w:bCs/>
          <w:color w:val="auto"/>
          <w:sz w:val="32"/>
          <w:szCs w:val="32"/>
          <w:highlight w:val="none"/>
        </w:rPr>
        <w:t>，逾期无效。</w:t>
      </w:r>
    </w:p>
    <w:p w14:paraId="6754D960">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（2）邮寄递交报价文件</w:t>
      </w:r>
    </w:p>
    <w:p w14:paraId="69910D4B">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7BC13CBA">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邮寄递交报价收件信息：</w:t>
      </w:r>
    </w:p>
    <w:p w14:paraId="45FEEA6B">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收件地址：</w:t>
      </w:r>
      <w:r>
        <w:rPr>
          <w:rFonts w:eastAsia="仿宋_GB2312"/>
          <w:b/>
          <w:color w:val="auto"/>
          <w:sz w:val="32"/>
          <w:szCs w:val="32"/>
          <w:highlight w:val="none"/>
          <w:u w:val="single"/>
        </w:rPr>
        <w:t>广东省东莞市东城街道八一路1号机关二号大院九号楼102</w:t>
      </w:r>
      <w:r>
        <w:rPr>
          <w:rFonts w:hint="eastAsia" w:eastAsia="仿宋_GB2312"/>
          <w:b/>
          <w:color w:val="auto"/>
          <w:sz w:val="32"/>
          <w:szCs w:val="32"/>
          <w:highlight w:val="none"/>
          <w:u w:val="single"/>
        </w:rPr>
        <w:t>会议室</w:t>
      </w:r>
    </w:p>
    <w:p w14:paraId="789711B6">
      <w:pPr>
        <w:spacing w:line="600" w:lineRule="exact"/>
        <w:ind w:firstLine="640" w:firstLineChars="200"/>
        <w:rPr>
          <w:rFonts w:hint="default" w:eastAsia="仿宋_GB2312"/>
          <w:b w:val="0"/>
          <w:bCs/>
          <w:color w:val="auto"/>
          <w:sz w:val="32"/>
          <w:szCs w:val="32"/>
          <w:highlight w:val="none"/>
          <w:lang w:val="en-US" w:eastAsia="zh-CN"/>
        </w:rPr>
      </w:pPr>
      <w:r>
        <w:rPr>
          <w:rFonts w:hint="eastAsia" w:eastAsia="仿宋_GB2312"/>
          <w:b w:val="0"/>
          <w:bCs/>
          <w:color w:val="auto"/>
          <w:sz w:val="32"/>
          <w:szCs w:val="32"/>
          <w:highlight w:val="none"/>
        </w:rPr>
        <w:t>联系人：</w:t>
      </w:r>
      <w:r>
        <w:rPr>
          <w:rFonts w:hint="eastAsia" w:eastAsia="仿宋_GB2312"/>
          <w:b w:val="0"/>
          <w:bCs/>
          <w:color w:val="auto"/>
          <w:sz w:val="32"/>
          <w:szCs w:val="32"/>
          <w:highlight w:val="none"/>
          <w:lang w:val="en-US" w:eastAsia="zh-CN"/>
        </w:rPr>
        <w:t>吕先生</w:t>
      </w:r>
    </w:p>
    <w:p w14:paraId="5FF4D3B1">
      <w:pPr>
        <w:spacing w:line="600" w:lineRule="exact"/>
        <w:ind w:firstLine="640" w:firstLineChars="200"/>
        <w:rPr>
          <w:rFonts w:hint="default" w:eastAsia="仿宋_GB2312"/>
          <w:b/>
          <w:color w:val="auto"/>
          <w:sz w:val="32"/>
          <w:szCs w:val="32"/>
          <w:highlight w:val="none"/>
          <w:lang w:val="en-US" w:eastAsia="zh-CN"/>
        </w:rPr>
      </w:pPr>
      <w:r>
        <w:rPr>
          <w:rFonts w:hint="eastAsia" w:eastAsia="仿宋_GB2312"/>
          <w:b w:val="0"/>
          <w:bCs/>
          <w:color w:val="auto"/>
          <w:sz w:val="32"/>
          <w:szCs w:val="32"/>
          <w:highlight w:val="none"/>
        </w:rPr>
        <w:t>联系电话：</w:t>
      </w:r>
      <w:r>
        <w:rPr>
          <w:rFonts w:hint="eastAsia" w:eastAsia="仿宋_GB2312"/>
          <w:b w:val="0"/>
          <w:bCs/>
          <w:color w:val="auto"/>
          <w:sz w:val="32"/>
          <w:szCs w:val="32"/>
          <w:highlight w:val="none"/>
          <w:lang w:val="en-US" w:eastAsia="zh-CN"/>
        </w:rPr>
        <w:t>15692019575</w:t>
      </w:r>
    </w:p>
    <w:p w14:paraId="04042B0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706E7042">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7D38F668">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44A4B94A">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525272CE">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7C26F9EE">
      <w:pPr>
        <w:pStyle w:val="18"/>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48EF5FF2">
      <w:pPr>
        <w:pStyle w:val="18"/>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37F996DF">
      <w:pPr>
        <w:pStyle w:val="18"/>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2963A64B">
      <w:pPr>
        <w:pStyle w:val="18"/>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3E7863BD">
      <w:pPr>
        <w:pStyle w:val="18"/>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286AD7A5">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43BAC9A8">
      <w:pPr>
        <w:widowControl/>
        <w:spacing w:line="600" w:lineRule="exact"/>
        <w:jc w:val="left"/>
        <w:rPr>
          <w:rFonts w:eastAsia="仿宋_GB2312"/>
          <w:color w:val="auto"/>
          <w:sz w:val="32"/>
          <w:szCs w:val="32"/>
          <w:highlight w:val="none"/>
        </w:rPr>
      </w:pPr>
    </w:p>
    <w:p w14:paraId="51A19EDF">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none"/>
        </w:rPr>
        <w:t xml:space="preserve">   </w:t>
      </w:r>
      <w:r>
        <w:rPr>
          <w:rFonts w:hint="eastAsia" w:eastAsia="仿宋_GB2312"/>
          <w:color w:val="auto"/>
          <w:sz w:val="32"/>
          <w:szCs w:val="32"/>
          <w:highlight w:val="none"/>
          <w:u w:val="none"/>
          <w:lang w:val="en-US" w:eastAsia="zh-CN"/>
        </w:rPr>
        <w:t>阳江开能环保能源有限</w:t>
      </w:r>
      <w:r>
        <w:rPr>
          <w:rFonts w:hint="eastAsia" w:eastAsia="仿宋_GB2312"/>
          <w:color w:val="auto"/>
          <w:sz w:val="32"/>
          <w:szCs w:val="32"/>
          <w:highlight w:val="none"/>
        </w:rPr>
        <w:t>公司</w:t>
      </w:r>
    </w:p>
    <w:p w14:paraId="64C84665">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20</w:t>
      </w:r>
      <w:r>
        <w:rPr>
          <w:rFonts w:hint="eastAsia" w:eastAsia="仿宋_GB2312"/>
          <w:color w:val="auto"/>
          <w:sz w:val="32"/>
          <w:szCs w:val="32"/>
          <w:highlight w:val="none"/>
          <w:u w:val="single"/>
          <w:lang w:val="en-US" w:eastAsia="zh-CN"/>
        </w:rPr>
        <w:t>25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11</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7</w:t>
      </w:r>
      <w:r>
        <w:rPr>
          <w:rFonts w:hint="eastAsia" w:eastAsia="仿宋_GB2312"/>
          <w:color w:val="auto"/>
          <w:sz w:val="32"/>
          <w:szCs w:val="32"/>
          <w:highlight w:val="none"/>
        </w:rPr>
        <w:t>日</w:t>
      </w:r>
    </w:p>
    <w:p w14:paraId="67EEA6FF">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5EC165C0">
      <w:pPr>
        <w:pStyle w:val="42"/>
        <w:ind w:firstLine="0" w:firstLineChars="0"/>
        <w:jc w:val="left"/>
        <w:outlineLvl w:val="1"/>
        <w:rPr>
          <w:rFonts w:eastAsia="黑体"/>
          <w:color w:val="0D0D0D" w:themeColor="text1" w:themeTint="F2"/>
          <w:sz w:val="28"/>
          <w:szCs w:val="44"/>
          <w:highlight w:val="none"/>
          <w14:textFill>
            <w14:solidFill>
              <w14:schemeClr w14:val="tx1">
                <w14:lumMod w14:val="95000"/>
                <w14:lumOff w14:val="5000"/>
              </w14:schemeClr>
            </w14:solidFill>
          </w14:textFill>
        </w:rPr>
      </w:pPr>
      <w:r>
        <w:rPr>
          <w:rFonts w:hint="eastAsia" w:eastAsia="黑体"/>
          <w:color w:val="0D0D0D" w:themeColor="text1" w:themeTint="F2"/>
          <w:sz w:val="28"/>
          <w:szCs w:val="44"/>
          <w:highlight w:val="none"/>
          <w14:textFill>
            <w14:solidFill>
              <w14:schemeClr w14:val="tx1">
                <w14:lumMod w14:val="95000"/>
                <w14:lumOff w14:val="5000"/>
              </w14:schemeClr>
            </w14:solidFill>
          </w14:textFill>
        </w:rPr>
        <w:t>附件一 响应须知</w:t>
      </w:r>
    </w:p>
    <w:p w14:paraId="3127E357">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1"/>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4E0847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52771774">
            <w:pPr>
              <w:pStyle w:val="10"/>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2C0AC56E">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7ABEEB48">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05611F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F8F696F">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2CD890F1">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43B73A76">
            <w:pPr>
              <w:adjustRightInd w:val="0"/>
              <w:snapToGrid w:val="0"/>
              <w:spacing w:line="560" w:lineRule="exact"/>
              <w:rPr>
                <w:rFonts w:hint="eastAsia" w:eastAsia="仿宋_GB2312"/>
                <w:color w:val="auto"/>
                <w:sz w:val="32"/>
                <w:szCs w:val="32"/>
                <w:highlight w:val="none"/>
                <w:lang w:eastAsia="zh-CN"/>
              </w:rPr>
            </w:pPr>
            <w:r>
              <w:rPr>
                <w:rFonts w:hint="eastAsia" w:eastAsia="仿宋_GB2312"/>
                <w:color w:val="auto"/>
                <w:sz w:val="32"/>
                <w:szCs w:val="32"/>
                <w:highlight w:val="none"/>
              </w:rPr>
              <w:t>阳江开能环保能源有限公司202</w:t>
            </w:r>
            <w:r>
              <w:rPr>
                <w:rFonts w:hint="eastAsia" w:eastAsia="仿宋_GB2312"/>
                <w:color w:val="auto"/>
                <w:sz w:val="32"/>
                <w:szCs w:val="32"/>
                <w:highlight w:val="none"/>
                <w:lang w:val="en-US" w:eastAsia="zh-CN"/>
              </w:rPr>
              <w:t>6</w:t>
            </w:r>
            <w:r>
              <w:rPr>
                <w:rFonts w:hint="eastAsia" w:eastAsia="仿宋_GB2312"/>
                <w:color w:val="auto"/>
                <w:sz w:val="32"/>
                <w:szCs w:val="32"/>
                <w:highlight w:val="none"/>
              </w:rPr>
              <w:t>年水处理系统化学药品服务项目</w:t>
            </w:r>
            <w:r>
              <w:rPr>
                <w:rFonts w:hint="eastAsia" w:eastAsia="仿宋_GB2312"/>
                <w:color w:val="auto"/>
                <w:sz w:val="32"/>
                <w:szCs w:val="32"/>
                <w:highlight w:val="none"/>
                <w:lang w:eastAsia="zh-CN"/>
              </w:rPr>
              <w:t>。</w:t>
            </w:r>
          </w:p>
        </w:tc>
      </w:tr>
      <w:tr w14:paraId="35FC38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047BA06">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2CF6237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57045457">
            <w:pPr>
              <w:spacing w:line="360" w:lineRule="auto"/>
              <w:rPr>
                <w:rFonts w:hint="default" w:eastAsia="仿宋_GB2312"/>
                <w:color w:val="auto"/>
                <w:sz w:val="32"/>
                <w:szCs w:val="32"/>
                <w:highlight w:val="none"/>
                <w:lang w:val="en-US"/>
              </w:rPr>
            </w:pPr>
            <w:r>
              <w:rPr>
                <w:rFonts w:hint="eastAsia" w:eastAsia="仿宋_GB2312"/>
                <w:color w:val="auto"/>
                <w:sz w:val="32"/>
                <w:szCs w:val="32"/>
                <w:highlight w:val="none"/>
                <w:u w:val="none"/>
                <w:lang w:val="en-US" w:eastAsia="zh-CN"/>
              </w:rPr>
              <w:t>广东省阳江高新技术产业开发区港口工业园广东广青金属科技有限公司厂区内 。</w:t>
            </w:r>
          </w:p>
        </w:tc>
      </w:tr>
      <w:tr w14:paraId="5B8E98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DBBCA7D">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2</w:t>
            </w:r>
          </w:p>
        </w:tc>
        <w:tc>
          <w:tcPr>
            <w:tcW w:w="2275" w:type="dxa"/>
            <w:vAlign w:val="center"/>
          </w:tcPr>
          <w:p w14:paraId="16BB1C3F">
            <w:pPr>
              <w:spacing w:line="360" w:lineRule="auto"/>
              <w:jc w:val="center"/>
              <w:rPr>
                <w:rFonts w:hint="default" w:eastAsia="仿宋_GB2312"/>
                <w:color w:val="auto"/>
                <w:sz w:val="32"/>
                <w:szCs w:val="32"/>
                <w:highlight w:val="none"/>
                <w:lang w:val="en-US"/>
              </w:rPr>
            </w:pPr>
            <w:r>
              <w:rPr>
                <w:rFonts w:hint="eastAsia" w:eastAsia="仿宋_GB2312"/>
                <w:color w:val="auto"/>
                <w:sz w:val="32"/>
                <w:szCs w:val="32"/>
                <w:highlight w:val="none"/>
                <w:lang w:val="en-US" w:eastAsia="zh-CN"/>
              </w:rPr>
              <w:t>项目预计服务期</w:t>
            </w:r>
          </w:p>
        </w:tc>
        <w:tc>
          <w:tcPr>
            <w:tcW w:w="5942" w:type="dxa"/>
            <w:vAlign w:val="center"/>
          </w:tcPr>
          <w:p w14:paraId="4004696D">
            <w:pPr>
              <w:spacing w:line="500" w:lineRule="exact"/>
              <w:jc w:val="left"/>
              <w:rPr>
                <w:rFonts w:eastAsia="仿宋_GB2312"/>
                <w:color w:val="auto"/>
                <w:sz w:val="32"/>
                <w:szCs w:val="32"/>
                <w:highlight w:val="none"/>
              </w:rPr>
            </w:pPr>
            <w:r>
              <w:rPr>
                <w:rFonts w:hint="eastAsia" w:eastAsia="仿宋_GB2312"/>
                <w:color w:val="auto"/>
                <w:sz w:val="32"/>
                <w:szCs w:val="32"/>
                <w:highlight w:val="none"/>
              </w:rPr>
              <w:t>202</w:t>
            </w:r>
            <w:r>
              <w:rPr>
                <w:rFonts w:hint="eastAsia" w:eastAsia="仿宋_GB2312"/>
                <w:color w:val="auto"/>
                <w:sz w:val="32"/>
                <w:szCs w:val="32"/>
                <w:highlight w:val="none"/>
                <w:lang w:val="en-US" w:eastAsia="zh-CN"/>
              </w:rPr>
              <w:t>6</w:t>
            </w:r>
            <w:r>
              <w:rPr>
                <w:rFonts w:hint="eastAsia" w:eastAsia="仿宋_GB2312"/>
                <w:color w:val="auto"/>
                <w:sz w:val="32"/>
                <w:szCs w:val="32"/>
                <w:highlight w:val="none"/>
              </w:rPr>
              <w:t>年1月1日至202</w:t>
            </w:r>
            <w:r>
              <w:rPr>
                <w:rFonts w:hint="eastAsia" w:eastAsia="仿宋_GB2312"/>
                <w:color w:val="auto"/>
                <w:sz w:val="32"/>
                <w:szCs w:val="32"/>
                <w:highlight w:val="none"/>
                <w:lang w:val="en-US" w:eastAsia="zh-CN"/>
              </w:rPr>
              <w:t>6</w:t>
            </w:r>
            <w:r>
              <w:rPr>
                <w:rFonts w:hint="eastAsia" w:eastAsia="仿宋_GB2312"/>
                <w:color w:val="auto"/>
                <w:sz w:val="32"/>
                <w:szCs w:val="32"/>
                <w:highlight w:val="none"/>
              </w:rPr>
              <w:t>年12月31日，暂定1年</w:t>
            </w:r>
          </w:p>
        </w:tc>
      </w:tr>
      <w:tr w14:paraId="7F2616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F2191DB">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p>
        </w:tc>
        <w:tc>
          <w:tcPr>
            <w:tcW w:w="2275" w:type="dxa"/>
            <w:vAlign w:val="center"/>
          </w:tcPr>
          <w:p w14:paraId="7D8BF38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02958B61">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无</w:t>
            </w:r>
          </w:p>
        </w:tc>
      </w:tr>
      <w:tr w14:paraId="43D1B5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8C3A765">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4</w:t>
            </w:r>
          </w:p>
        </w:tc>
        <w:tc>
          <w:tcPr>
            <w:tcW w:w="2275" w:type="dxa"/>
          </w:tcPr>
          <w:p w14:paraId="0FA09A79">
            <w:pPr>
              <w:spacing w:line="360" w:lineRule="auto"/>
              <w:jc w:val="center"/>
              <w:rPr>
                <w:rFonts w:hint="eastAsia" w:eastAsia="仿宋_GB2312"/>
                <w:color w:val="auto"/>
                <w:sz w:val="32"/>
                <w:szCs w:val="32"/>
                <w:highlight w:val="none"/>
              </w:rPr>
            </w:pPr>
          </w:p>
          <w:p w14:paraId="704E1321">
            <w:pPr>
              <w:spacing w:line="360" w:lineRule="auto"/>
              <w:jc w:val="center"/>
              <w:rPr>
                <w:rFonts w:hint="eastAsia" w:eastAsia="仿宋_GB2312"/>
                <w:color w:val="auto"/>
                <w:sz w:val="32"/>
                <w:szCs w:val="32"/>
                <w:highlight w:val="none"/>
              </w:rPr>
            </w:pPr>
          </w:p>
          <w:p w14:paraId="44F1117D">
            <w:pPr>
              <w:spacing w:line="360" w:lineRule="auto"/>
              <w:jc w:val="center"/>
              <w:rPr>
                <w:rFonts w:hint="eastAsia" w:eastAsia="仿宋_GB2312"/>
                <w:color w:val="auto"/>
                <w:sz w:val="32"/>
                <w:szCs w:val="32"/>
                <w:highlight w:val="none"/>
              </w:rPr>
            </w:pPr>
          </w:p>
          <w:p w14:paraId="5AD8C674">
            <w:pPr>
              <w:spacing w:line="360" w:lineRule="auto"/>
              <w:jc w:val="center"/>
              <w:rPr>
                <w:rFonts w:hint="eastAsia" w:eastAsia="仿宋_GB2312"/>
                <w:color w:val="auto"/>
                <w:sz w:val="32"/>
                <w:szCs w:val="32"/>
                <w:highlight w:val="none"/>
              </w:rPr>
            </w:pPr>
          </w:p>
          <w:p w14:paraId="6213BDF1">
            <w:pPr>
              <w:spacing w:line="360" w:lineRule="auto"/>
              <w:jc w:val="center"/>
              <w:rPr>
                <w:rFonts w:eastAsia="仿宋_GB2312"/>
                <w:color w:val="auto"/>
                <w:sz w:val="32"/>
                <w:szCs w:val="32"/>
                <w:highlight w:val="none"/>
              </w:rPr>
            </w:pPr>
            <w:r>
              <w:rPr>
                <w:rFonts w:hint="eastAsia" w:eastAsia="仿宋_GB2312"/>
                <w:color w:val="auto"/>
                <w:sz w:val="32"/>
                <w:szCs w:val="32"/>
                <w:highlight w:val="none"/>
                <w:lang w:val="en-US" w:eastAsia="zh-CN"/>
              </w:rPr>
              <w:t>履约</w:t>
            </w:r>
            <w:r>
              <w:rPr>
                <w:rFonts w:hint="eastAsia" w:eastAsia="仿宋_GB2312"/>
                <w:color w:val="auto"/>
                <w:sz w:val="32"/>
                <w:szCs w:val="32"/>
                <w:highlight w:val="none"/>
              </w:rPr>
              <w:t>保证金金额及缴纳方式</w:t>
            </w:r>
          </w:p>
        </w:tc>
        <w:tc>
          <w:tcPr>
            <w:tcW w:w="5942" w:type="dxa"/>
            <w:vAlign w:val="center"/>
          </w:tcPr>
          <w:p w14:paraId="092879FF">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以履约保函或现金方式担保，担保金额按中标金额的5%计取。在宣布中标结果后5个工作日内，成交人必须交纳履约保证金（以现金形式打入采购人指定的账户）或提交不可撤销银行履约保函（可提供保函的银行必须是支行一级或以上银行机构。履约担保有效期为对应合同服务期限，合同服务期限到期并经成交人确认服务期间满足要求的15天内，招标人退回全部的履约保证金或履约保函给成交人，期中履约保证金均以不计取利息的方式退还给成交人</w:t>
            </w:r>
            <w:r>
              <w:rPr>
                <w:rFonts w:hint="eastAsia" w:ascii="Times New Roman" w:hAnsi="Times New Roman" w:eastAsia="仿宋_GB2312" w:cs="Times New Roman"/>
                <w:color w:val="auto"/>
                <w:sz w:val="32"/>
                <w:szCs w:val="32"/>
                <w:highlight w:val="none"/>
                <w:u w:val="single"/>
                <w:lang w:val="en-US" w:eastAsia="zh-CN"/>
              </w:rPr>
              <w:t>。</w:t>
            </w:r>
          </w:p>
          <w:p w14:paraId="43F7A603">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履约保证金收款账户信息：</w:t>
            </w:r>
          </w:p>
          <w:p w14:paraId="7A30D344">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帐户名称：阳江开能环保能源有限公司；                            </w:t>
            </w:r>
          </w:p>
          <w:p w14:paraId="2CB64889">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开户银行：广发银行股份有限公司阳江分行 ；                         </w:t>
            </w:r>
          </w:p>
          <w:p w14:paraId="513DE06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 xml:space="preserve">银行帐号：9550 8802 0063 4500 171。         </w:t>
            </w:r>
          </w:p>
        </w:tc>
      </w:tr>
      <w:tr w14:paraId="357A0A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577580A">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5</w:t>
            </w:r>
          </w:p>
        </w:tc>
        <w:tc>
          <w:tcPr>
            <w:tcW w:w="2275" w:type="dxa"/>
          </w:tcPr>
          <w:p w14:paraId="5C6F0D1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0B940978">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01D624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1A59294">
            <w:pPr>
              <w:spacing w:line="360" w:lineRule="auto"/>
              <w:jc w:val="center"/>
              <w:rPr>
                <w:rFonts w:eastAsia="仿宋_GB2312"/>
                <w:color w:val="auto"/>
                <w:sz w:val="32"/>
                <w:szCs w:val="32"/>
                <w:highlight w:val="none"/>
              </w:rPr>
            </w:pPr>
          </w:p>
        </w:tc>
        <w:tc>
          <w:tcPr>
            <w:tcW w:w="2275" w:type="dxa"/>
            <w:vAlign w:val="center"/>
          </w:tcPr>
          <w:p w14:paraId="6BC10B48">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4D6B7C16">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4C2B207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27C9644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2D46F16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7D1D6AC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7628DFF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02EE651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2C32109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2C0D1BD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31FB769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0C65F10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7651241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4ACBA04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10A2ED8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4794CA2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0CFED72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535D9AA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72BEFC43">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04168A5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07ECB01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7E6EC90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7AA544E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23E42C4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5A585A8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3C66E56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081C4030">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58F2407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37C3D70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2100E25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1B8CF94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6424646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2D7A63E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50CAFD8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195B2D5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4232DE3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291D22A9">
      <w:pPr>
        <w:rPr>
          <w:rFonts w:eastAsia="仿宋_GB2312"/>
          <w:color w:val="auto"/>
          <w:sz w:val="32"/>
          <w:szCs w:val="32"/>
          <w:highlight w:val="none"/>
        </w:rPr>
      </w:pPr>
    </w:p>
    <w:p w14:paraId="7E975310">
      <w:pPr>
        <w:rPr>
          <w:rFonts w:eastAsia="仿宋_GB2312"/>
          <w:color w:val="auto"/>
          <w:sz w:val="32"/>
          <w:szCs w:val="32"/>
          <w:highlight w:val="none"/>
        </w:rPr>
      </w:pPr>
    </w:p>
    <w:p w14:paraId="61572001">
      <w:pPr>
        <w:pStyle w:val="20"/>
        <w:ind w:left="0" w:leftChars="0" w:firstLine="0" w:firstLineChars="0"/>
        <w:rPr>
          <w:rFonts w:eastAsia="仿宋_GB2312"/>
          <w:color w:val="auto"/>
          <w:sz w:val="32"/>
          <w:szCs w:val="32"/>
          <w:highlight w:val="none"/>
        </w:rPr>
      </w:pPr>
    </w:p>
    <w:p w14:paraId="3CA427C5">
      <w:pPr>
        <w:pStyle w:val="20"/>
        <w:ind w:left="0" w:leftChars="0" w:firstLine="0" w:firstLineChars="0"/>
        <w:rPr>
          <w:rFonts w:eastAsia="仿宋_GB2312"/>
          <w:color w:val="auto"/>
          <w:sz w:val="32"/>
          <w:szCs w:val="32"/>
          <w:highlight w:val="none"/>
        </w:rPr>
      </w:pPr>
    </w:p>
    <w:p w14:paraId="73C43879">
      <w:pPr>
        <w:pStyle w:val="20"/>
        <w:ind w:left="0" w:leftChars="0" w:firstLine="0" w:firstLineChars="0"/>
        <w:rPr>
          <w:rFonts w:eastAsia="仿宋_GB2312"/>
          <w:color w:val="auto"/>
          <w:sz w:val="32"/>
          <w:szCs w:val="32"/>
          <w:highlight w:val="none"/>
        </w:rPr>
      </w:pPr>
    </w:p>
    <w:p w14:paraId="06B6C356">
      <w:pPr>
        <w:pStyle w:val="20"/>
        <w:ind w:left="0" w:leftChars="0" w:firstLine="0" w:firstLineChars="0"/>
        <w:rPr>
          <w:rFonts w:eastAsia="仿宋_GB2312"/>
          <w:color w:val="auto"/>
          <w:sz w:val="32"/>
          <w:szCs w:val="32"/>
          <w:highlight w:val="none"/>
        </w:rPr>
      </w:pPr>
    </w:p>
    <w:p w14:paraId="0C9871BB">
      <w:pPr>
        <w:pStyle w:val="20"/>
        <w:ind w:left="0" w:leftChars="0" w:firstLine="0" w:firstLineChars="0"/>
        <w:rPr>
          <w:rFonts w:eastAsia="仿宋_GB2312"/>
          <w:color w:val="auto"/>
          <w:sz w:val="32"/>
          <w:szCs w:val="32"/>
          <w:highlight w:val="none"/>
        </w:rPr>
      </w:pPr>
    </w:p>
    <w:p w14:paraId="34BB44C3">
      <w:pPr>
        <w:pStyle w:val="20"/>
        <w:ind w:left="0" w:leftChars="0" w:firstLine="0" w:firstLineChars="0"/>
        <w:rPr>
          <w:rFonts w:eastAsia="仿宋_GB2312"/>
          <w:color w:val="auto"/>
          <w:sz w:val="32"/>
          <w:szCs w:val="32"/>
          <w:highlight w:val="none"/>
        </w:rPr>
      </w:pPr>
    </w:p>
    <w:p w14:paraId="28452304">
      <w:pPr>
        <w:pStyle w:val="20"/>
        <w:ind w:left="0" w:leftChars="0" w:firstLine="0" w:firstLineChars="0"/>
        <w:rPr>
          <w:rFonts w:eastAsia="仿宋_GB2312"/>
          <w:color w:val="auto"/>
          <w:sz w:val="32"/>
          <w:szCs w:val="32"/>
          <w:highlight w:val="none"/>
        </w:rPr>
      </w:pPr>
    </w:p>
    <w:p w14:paraId="13B5F10E">
      <w:pPr>
        <w:pStyle w:val="20"/>
        <w:ind w:left="0" w:leftChars="0" w:firstLine="0" w:firstLineChars="0"/>
        <w:rPr>
          <w:rFonts w:eastAsia="仿宋_GB2312"/>
          <w:color w:val="auto"/>
          <w:sz w:val="32"/>
          <w:szCs w:val="32"/>
          <w:highlight w:val="none"/>
        </w:rPr>
      </w:pPr>
    </w:p>
    <w:p w14:paraId="606F2690">
      <w:pPr>
        <w:pStyle w:val="20"/>
        <w:ind w:left="0" w:leftChars="0" w:firstLine="0" w:firstLineChars="0"/>
        <w:rPr>
          <w:rFonts w:eastAsia="仿宋_GB2312"/>
          <w:color w:val="auto"/>
          <w:sz w:val="32"/>
          <w:szCs w:val="32"/>
          <w:highlight w:val="none"/>
        </w:rPr>
      </w:pPr>
    </w:p>
    <w:p w14:paraId="484DE99C">
      <w:pPr>
        <w:pStyle w:val="42"/>
        <w:ind w:firstLine="0" w:firstLineChars="0"/>
        <w:jc w:val="left"/>
        <w:outlineLvl w:val="1"/>
        <w:rPr>
          <w:rFonts w:hint="default" w:eastAsia="黑体"/>
          <w:color w:val="auto"/>
          <w:sz w:val="28"/>
          <w:szCs w:val="44"/>
          <w:highlight w:val="none"/>
          <w:lang w:val="en-US" w:eastAsia="zh-CN"/>
        </w:rPr>
      </w:pPr>
      <w:bookmarkStart w:id="1" w:name="_Hlk524442005"/>
      <w:r>
        <w:rPr>
          <w:rFonts w:hint="eastAsia" w:eastAsia="黑体"/>
          <w:color w:val="auto"/>
          <w:sz w:val="28"/>
          <w:szCs w:val="44"/>
          <w:highlight w:val="none"/>
        </w:rPr>
        <w:t>附件二报价函</w:t>
      </w:r>
      <w:r>
        <w:rPr>
          <w:rFonts w:hint="eastAsia" w:eastAsia="黑体"/>
          <w:color w:val="auto"/>
          <w:sz w:val="28"/>
          <w:szCs w:val="44"/>
          <w:highlight w:val="none"/>
          <w:lang w:val="en-US" w:eastAsia="zh-CN"/>
        </w:rPr>
        <w:t>及报价清单</w:t>
      </w:r>
    </w:p>
    <w:p w14:paraId="33B5E800">
      <w:pPr>
        <w:jc w:val="center"/>
        <w:rPr>
          <w:rFonts w:eastAsia="华文中宋"/>
          <w:color w:val="auto"/>
          <w:sz w:val="44"/>
          <w:szCs w:val="44"/>
          <w:highlight w:val="none"/>
        </w:rPr>
      </w:pPr>
      <w:r>
        <w:rPr>
          <w:rFonts w:hint="eastAsia" w:eastAsia="华文中宋"/>
          <w:color w:val="auto"/>
          <w:sz w:val="44"/>
          <w:szCs w:val="44"/>
          <w:highlight w:val="none"/>
        </w:rPr>
        <w:t>报价函</w:t>
      </w:r>
    </w:p>
    <w:p w14:paraId="19C122FE">
      <w:pPr>
        <w:ind w:firstLine="560"/>
        <w:jc w:val="center"/>
        <w:rPr>
          <w:rFonts w:eastAsia="仿宋_GB2312"/>
          <w:color w:val="auto"/>
          <w:sz w:val="32"/>
          <w:szCs w:val="32"/>
          <w:highlight w:val="none"/>
        </w:rPr>
      </w:pPr>
    </w:p>
    <w:p w14:paraId="00F7ECB5">
      <w:pPr>
        <w:rPr>
          <w:rFonts w:eastAsia="仿宋_GB2312"/>
          <w:color w:val="auto"/>
          <w:sz w:val="32"/>
          <w:szCs w:val="32"/>
          <w:highlight w:val="none"/>
        </w:rPr>
      </w:pPr>
      <w:r>
        <w:rPr>
          <w:rFonts w:hint="eastAsia" w:eastAsia="仿宋_GB2312"/>
          <w:color w:val="auto"/>
          <w:sz w:val="32"/>
          <w:szCs w:val="32"/>
          <w:highlight w:val="none"/>
          <w:u w:val="single"/>
          <w:lang w:val="en-US" w:eastAsia="zh-CN"/>
        </w:rPr>
        <w:t>阳江开能环保能源有限公司</w:t>
      </w:r>
      <w:r>
        <w:rPr>
          <w:rFonts w:hint="eastAsia" w:eastAsia="仿宋_GB2312"/>
          <w:color w:val="auto"/>
          <w:sz w:val="32"/>
          <w:szCs w:val="32"/>
          <w:highlight w:val="none"/>
        </w:rPr>
        <w:t>：</w:t>
      </w:r>
    </w:p>
    <w:p w14:paraId="117417F9">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阳江开能环保能源有限公司202</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年水处理系统化学药品服务</w:t>
      </w:r>
      <w:r>
        <w:rPr>
          <w:rFonts w:eastAsia="仿宋_GB2312"/>
          <w:color w:val="auto"/>
          <w:sz w:val="32"/>
          <w:szCs w:val="32"/>
          <w:highlight w:val="none"/>
          <w:u w:val="single"/>
        </w:rPr>
        <w:t xml:space="preserve"> </w:t>
      </w:r>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w:t>
      </w:r>
      <w:r>
        <w:rPr>
          <w:rFonts w:hint="eastAsia" w:eastAsia="仿宋_GB2312"/>
          <w:color w:val="auto"/>
          <w:sz w:val="32"/>
          <w:szCs w:val="32"/>
          <w:highlight w:val="none"/>
          <w:u w:val="single"/>
          <w:lang w:val="en-US" w:eastAsia="zh-CN"/>
        </w:rPr>
        <w:t>13</w:t>
      </w:r>
      <w:r>
        <w:rPr>
          <w:rFonts w:hint="eastAsia" w:eastAsia="仿宋_GB2312"/>
          <w:color w:val="auto"/>
          <w:sz w:val="32"/>
          <w:szCs w:val="32"/>
          <w:highlight w:val="none"/>
          <w:u w:val="single"/>
        </w:rPr>
        <w:t>%增值税专用发票）</w:t>
      </w:r>
      <w:r>
        <w:rPr>
          <w:rFonts w:hint="eastAsia" w:eastAsia="仿宋_GB2312"/>
          <w:color w:val="auto"/>
          <w:sz w:val="32"/>
          <w:szCs w:val="32"/>
          <w:highlight w:val="none"/>
        </w:rPr>
        <w:t>承接此项目。</w:t>
      </w:r>
    </w:p>
    <w:p w14:paraId="0B25B417">
      <w:pPr>
        <w:rPr>
          <w:rFonts w:eastAsia="仿宋_GB2312"/>
          <w:color w:val="auto"/>
          <w:sz w:val="32"/>
          <w:szCs w:val="32"/>
          <w:highlight w:val="none"/>
        </w:rPr>
      </w:pPr>
    </w:p>
    <w:p w14:paraId="355213D7">
      <w:pPr>
        <w:rPr>
          <w:rFonts w:eastAsia="仿宋_GB2312"/>
          <w:color w:val="auto"/>
          <w:sz w:val="32"/>
          <w:szCs w:val="32"/>
          <w:highlight w:val="none"/>
        </w:rPr>
      </w:pPr>
    </w:p>
    <w:p w14:paraId="75B0DE52">
      <w:pPr>
        <w:rPr>
          <w:rFonts w:eastAsia="仿宋_GB2312"/>
          <w:color w:val="auto"/>
          <w:sz w:val="32"/>
          <w:szCs w:val="32"/>
          <w:highlight w:val="none"/>
        </w:rPr>
      </w:pPr>
    </w:p>
    <w:p w14:paraId="0EA7E1B9">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62A6E39F">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32F1F222">
      <w:pPr>
        <w:jc w:val="left"/>
        <w:rPr>
          <w:rFonts w:eastAsia="仿宋_GB2312"/>
          <w:color w:val="auto"/>
          <w:sz w:val="32"/>
          <w:szCs w:val="32"/>
          <w:highlight w:val="none"/>
        </w:rPr>
      </w:pPr>
      <w:r>
        <w:rPr>
          <w:rFonts w:hint="eastAsia" w:eastAsia="仿宋_GB2312"/>
          <w:color w:val="auto"/>
          <w:sz w:val="32"/>
          <w:szCs w:val="32"/>
          <w:highlight w:val="none"/>
        </w:rPr>
        <w:t>联系人：</w:t>
      </w:r>
    </w:p>
    <w:p w14:paraId="676FE7FC">
      <w:pPr>
        <w:jc w:val="left"/>
        <w:rPr>
          <w:rFonts w:eastAsia="仿宋_GB2312"/>
          <w:color w:val="auto"/>
          <w:sz w:val="32"/>
          <w:szCs w:val="32"/>
          <w:highlight w:val="none"/>
        </w:rPr>
      </w:pPr>
      <w:r>
        <w:rPr>
          <w:rFonts w:hint="eastAsia" w:eastAsia="仿宋_GB2312"/>
          <w:color w:val="auto"/>
          <w:sz w:val="32"/>
          <w:szCs w:val="32"/>
          <w:highlight w:val="none"/>
        </w:rPr>
        <w:t>联系电话：</w:t>
      </w:r>
    </w:p>
    <w:p w14:paraId="689C183D">
      <w:pPr>
        <w:jc w:val="left"/>
        <w:rPr>
          <w:rFonts w:eastAsia="仿宋_GB2312"/>
          <w:color w:val="auto"/>
          <w:sz w:val="32"/>
          <w:szCs w:val="32"/>
          <w:highlight w:val="none"/>
        </w:rPr>
      </w:pPr>
      <w:r>
        <w:rPr>
          <w:rFonts w:hint="eastAsia" w:eastAsia="仿宋_GB2312"/>
          <w:color w:val="auto"/>
          <w:sz w:val="32"/>
          <w:szCs w:val="32"/>
          <w:highlight w:val="none"/>
        </w:rPr>
        <w:t>日期：</w:t>
      </w:r>
    </w:p>
    <w:p w14:paraId="743C55BE">
      <w:pPr>
        <w:jc w:val="center"/>
        <w:rPr>
          <w:rFonts w:eastAsia="仿宋_GB2312"/>
          <w:color w:val="auto"/>
          <w:sz w:val="32"/>
          <w:szCs w:val="32"/>
          <w:highlight w:val="none"/>
        </w:rPr>
      </w:pPr>
    </w:p>
    <w:p w14:paraId="62043C3B">
      <w:pPr>
        <w:jc w:val="center"/>
        <w:rPr>
          <w:rFonts w:eastAsia="仿宋_GB2312"/>
          <w:color w:val="auto"/>
          <w:sz w:val="32"/>
          <w:szCs w:val="32"/>
          <w:highlight w:val="none"/>
        </w:rPr>
      </w:pPr>
    </w:p>
    <w:p w14:paraId="3D3DFDB3">
      <w:pPr>
        <w:jc w:val="center"/>
        <w:rPr>
          <w:rFonts w:eastAsia="仿宋_GB2312"/>
          <w:color w:val="auto"/>
          <w:sz w:val="32"/>
          <w:szCs w:val="32"/>
          <w:highlight w:val="none"/>
        </w:rPr>
      </w:pPr>
    </w:p>
    <w:p w14:paraId="33B8D5B2">
      <w:pPr>
        <w:jc w:val="both"/>
        <w:rPr>
          <w:rFonts w:eastAsia="仿宋_GB2312"/>
          <w:color w:val="auto"/>
          <w:sz w:val="32"/>
          <w:szCs w:val="32"/>
          <w:highlight w:val="none"/>
        </w:rPr>
      </w:pPr>
    </w:p>
    <w:p w14:paraId="03D70F23">
      <w:pPr>
        <w:jc w:val="center"/>
        <w:rPr>
          <w:rFonts w:hint="eastAsia" w:eastAsia="华文中宋"/>
          <w:color w:val="auto"/>
          <w:sz w:val="44"/>
          <w:szCs w:val="44"/>
          <w:highlight w:val="none"/>
        </w:rPr>
      </w:pPr>
      <w:r>
        <w:rPr>
          <w:rFonts w:hint="eastAsia" w:eastAsia="华文中宋"/>
          <w:color w:val="auto"/>
          <w:sz w:val="44"/>
          <w:szCs w:val="44"/>
          <w:highlight w:val="none"/>
        </w:rPr>
        <w:t>报价清单</w:t>
      </w:r>
    </w:p>
    <w:tbl>
      <w:tblPr>
        <w:tblStyle w:val="21"/>
        <w:tblW w:w="904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76"/>
        <w:gridCol w:w="1461"/>
        <w:gridCol w:w="1213"/>
        <w:gridCol w:w="1708"/>
        <w:gridCol w:w="965"/>
        <w:gridCol w:w="965"/>
        <w:gridCol w:w="842"/>
        <w:gridCol w:w="718"/>
      </w:tblGrid>
      <w:tr w14:paraId="4E365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E4C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系统名称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954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产品型号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1A0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投加浓度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500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天（次）用量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D46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月用量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BB4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年用量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9EC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46B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总价</w:t>
            </w:r>
          </w:p>
        </w:tc>
      </w:tr>
      <w:tr w14:paraId="1102F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EAFF7">
            <w:pPr>
              <w:jc w:val="center"/>
              <w:rPr>
                <w:rFonts w:hint="eastAsia" w:ascii="宋体" w:hAnsi="宋体" w:eastAsia="宋体" w:cs="宋体"/>
                <w:i w:val="0"/>
                <w:iCs w:val="0"/>
                <w:color w:val="auto"/>
                <w:sz w:val="24"/>
                <w:szCs w:val="24"/>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CBEAE">
            <w:pPr>
              <w:jc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2A9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mg/L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555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95A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32F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7FE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元/kg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E9F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元</w:t>
            </w:r>
          </w:p>
        </w:tc>
      </w:tr>
      <w:tr w14:paraId="10A6C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0BDF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余热发电循环水系统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6B948">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缓蚀阻垢剂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7D2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B6A19">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4AEA3">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25787">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2D839">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9E310">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r>
      <w:tr w14:paraId="307A1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FFD214">
            <w:pPr>
              <w:jc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CA462">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杀菌灭藻剂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7D7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A0873">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A402D">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D37EE">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EC07A">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C3C5F">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r>
      <w:tr w14:paraId="3D4D6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BAA019">
            <w:pPr>
              <w:jc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50B2C">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黏泥剥离剂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218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94867">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3AB6C">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75C7D">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2E20F">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7824B">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r>
      <w:tr w14:paraId="6D937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FF121F">
            <w:pPr>
              <w:jc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AB23B">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合计</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E96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年度费用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4BB92">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r>
      <w:tr w14:paraId="07A51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B98EF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余热发电反渗透系统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030FC">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阻垢剂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A0B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4AD5A">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A76B1">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D246F">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14037">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ED2C9">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r>
      <w:tr w14:paraId="2C8A0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F96F1D">
            <w:pPr>
              <w:jc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A8BF1">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杀菌剂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809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8EB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2308B">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3B976">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A6DD1">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7AB2E">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r>
      <w:tr w14:paraId="0DE67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FB7FB7">
            <w:pPr>
              <w:jc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5A6CE">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絮凝剂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778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CCD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8AC06">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A828B">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07734">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F108A">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r>
      <w:tr w14:paraId="0BF1D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A3131A">
            <w:pPr>
              <w:jc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07620">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还原剂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04E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88B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A0C8C">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0A78A">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EB2F5">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DBD9E">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r>
      <w:tr w14:paraId="5A15D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6FB989">
            <w:pPr>
              <w:jc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2C8A0">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碱性清洗剂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5AA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97E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53C90">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4A529">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F6909">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19D94">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r>
      <w:tr w14:paraId="329EF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33E9D5">
            <w:pPr>
              <w:jc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49BC7">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酸性清洗剂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9666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C2E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1587C">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CCC7D">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E457C">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81A69">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r>
      <w:tr w14:paraId="17DC2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442739">
            <w:pPr>
              <w:jc w:val="center"/>
              <w:rPr>
                <w:rFonts w:hint="eastAsia" w:ascii="宋体" w:hAnsi="宋体" w:eastAsia="宋体" w:cs="宋体"/>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46F3D">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合计</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8B6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年度费用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3229D">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r>
      <w:tr w14:paraId="0344F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571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总计</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AC4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年度费用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3ADE6">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p>
        </w:tc>
      </w:tr>
    </w:tbl>
    <w:p w14:paraId="7EC6260A">
      <w:pPr>
        <w:pStyle w:val="41"/>
        <w:wordWrap w:val="0"/>
        <w:ind w:firstLine="0" w:firstLineChars="0"/>
        <w:jc w:val="left"/>
        <w:rPr>
          <w:rFonts w:hint="eastAsia" w:ascii="宋体" w:hAnsi="宋体" w:eastAsia="宋体" w:cs="宋体"/>
          <w:color w:val="auto"/>
          <w:kern w:val="2"/>
          <w:sz w:val="21"/>
          <w:szCs w:val="21"/>
          <w:highlight w:val="none"/>
          <w:lang w:val="en-US" w:eastAsia="zh-CN" w:bidi="ar-SA"/>
        </w:rPr>
      </w:pPr>
    </w:p>
    <w:p w14:paraId="44C38CDB">
      <w:pPr>
        <w:pStyle w:val="41"/>
        <w:wordWrap w:val="0"/>
        <w:ind w:firstLine="0" w:firstLineChars="0"/>
        <w:jc w:val="left"/>
        <w:rPr>
          <w:color w:val="auto"/>
          <w:highlight w:val="none"/>
        </w:rPr>
      </w:pPr>
      <w:r>
        <w:rPr>
          <w:rFonts w:hint="eastAsia" w:ascii="宋体" w:hAnsi="宋体" w:eastAsia="宋体" w:cs="宋体"/>
          <w:color w:val="auto"/>
          <w:kern w:val="2"/>
          <w:sz w:val="21"/>
          <w:szCs w:val="21"/>
          <w:highlight w:val="none"/>
          <w:lang w:val="en-US" w:eastAsia="zh-CN" w:bidi="ar-SA"/>
        </w:rPr>
        <w:t>备注：如因本项目现场停机等情况，导致实际化学药品供货用量较</w:t>
      </w:r>
      <w:r>
        <w:rPr>
          <w:rFonts w:hint="eastAsia" w:ascii="宋体" w:eastAsia="宋体" w:cs="宋体"/>
          <w:color w:val="auto"/>
          <w:kern w:val="2"/>
          <w:sz w:val="21"/>
          <w:szCs w:val="21"/>
          <w:highlight w:val="none"/>
          <w:lang w:val="en-US" w:eastAsia="zh-CN" w:bidi="ar-SA"/>
        </w:rPr>
        <w:t>响应人</w:t>
      </w:r>
      <w:r>
        <w:rPr>
          <w:rFonts w:hint="eastAsia" w:ascii="宋体" w:hAnsi="宋体" w:eastAsia="宋体" w:cs="宋体"/>
          <w:color w:val="auto"/>
          <w:kern w:val="2"/>
          <w:sz w:val="21"/>
          <w:szCs w:val="21"/>
          <w:highlight w:val="none"/>
          <w:lang w:val="en-US" w:eastAsia="zh-CN" w:bidi="ar-SA"/>
        </w:rPr>
        <w:t>人所报上述费用</w:t>
      </w:r>
      <w:r>
        <w:rPr>
          <w:rFonts w:hint="eastAsia" w:ascii="宋体" w:eastAsia="宋体" w:cs="宋体"/>
          <w:color w:val="auto"/>
          <w:kern w:val="2"/>
          <w:sz w:val="21"/>
          <w:szCs w:val="21"/>
          <w:highlight w:val="none"/>
          <w:lang w:val="en-US" w:eastAsia="zh-CN" w:bidi="ar-SA"/>
        </w:rPr>
        <w:t>报价清单表</w:t>
      </w:r>
      <w:r>
        <w:rPr>
          <w:rFonts w:hint="eastAsia" w:ascii="宋体" w:hAnsi="宋体" w:eastAsia="宋体" w:cs="宋体"/>
          <w:color w:val="auto"/>
          <w:kern w:val="2"/>
          <w:sz w:val="21"/>
          <w:szCs w:val="21"/>
          <w:highlight w:val="none"/>
          <w:lang w:val="en-US" w:eastAsia="zh-CN" w:bidi="ar-SA"/>
        </w:rPr>
        <w:t>中所述用量减少超过10%或供货服务时间较本项目约定服务时间减少超过一个月，则项目最终结算价格=</w:t>
      </w:r>
      <w:r>
        <w:rPr>
          <w:rFonts w:hint="eastAsia" w:ascii="宋体" w:eastAsia="宋体" w:cs="宋体"/>
          <w:color w:val="auto"/>
          <w:kern w:val="2"/>
          <w:sz w:val="21"/>
          <w:szCs w:val="21"/>
          <w:highlight w:val="none"/>
          <w:lang w:val="en-US" w:eastAsia="zh-CN" w:bidi="ar-SA"/>
        </w:rPr>
        <w:t>报价清单</w:t>
      </w:r>
      <w:r>
        <w:rPr>
          <w:rFonts w:hint="eastAsia" w:ascii="宋体" w:hAnsi="宋体" w:eastAsia="宋体" w:cs="宋体"/>
          <w:color w:val="auto"/>
          <w:kern w:val="2"/>
          <w:sz w:val="21"/>
          <w:szCs w:val="21"/>
          <w:highlight w:val="none"/>
          <w:lang w:val="en-US" w:eastAsia="zh-CN" w:bidi="ar-SA"/>
        </w:rPr>
        <w:t>表单价×化学药品实际供货量。</w:t>
      </w:r>
    </w:p>
    <w:p w14:paraId="2D91B303">
      <w:pPr>
        <w:pStyle w:val="10"/>
        <w:rPr>
          <w:color w:val="auto"/>
          <w:highlight w:val="none"/>
        </w:rPr>
      </w:pPr>
    </w:p>
    <w:p w14:paraId="1D4CAB01">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56A0C72A">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3B9EAC49">
      <w:pPr>
        <w:jc w:val="left"/>
        <w:rPr>
          <w:rFonts w:eastAsia="仿宋_GB2312"/>
          <w:color w:val="auto"/>
          <w:sz w:val="32"/>
          <w:szCs w:val="32"/>
          <w:highlight w:val="none"/>
        </w:rPr>
      </w:pPr>
      <w:r>
        <w:rPr>
          <w:rFonts w:hint="eastAsia" w:eastAsia="仿宋_GB2312"/>
          <w:color w:val="auto"/>
          <w:sz w:val="32"/>
          <w:szCs w:val="32"/>
          <w:highlight w:val="none"/>
        </w:rPr>
        <w:t>联系人：</w:t>
      </w:r>
    </w:p>
    <w:p w14:paraId="24A232FF">
      <w:pPr>
        <w:jc w:val="left"/>
        <w:rPr>
          <w:rFonts w:eastAsia="仿宋_GB2312"/>
          <w:color w:val="auto"/>
          <w:sz w:val="32"/>
          <w:szCs w:val="32"/>
          <w:highlight w:val="none"/>
        </w:rPr>
      </w:pPr>
      <w:r>
        <w:rPr>
          <w:rFonts w:hint="eastAsia" w:eastAsia="仿宋_GB2312"/>
          <w:color w:val="auto"/>
          <w:sz w:val="32"/>
          <w:szCs w:val="32"/>
          <w:highlight w:val="none"/>
        </w:rPr>
        <w:t>联系电话：</w:t>
      </w:r>
    </w:p>
    <w:p w14:paraId="62A6B153">
      <w:pPr>
        <w:jc w:val="left"/>
        <w:rPr>
          <w:rFonts w:eastAsia="仿宋_GB2312"/>
          <w:color w:val="auto"/>
          <w:sz w:val="32"/>
          <w:szCs w:val="32"/>
          <w:highlight w:val="none"/>
        </w:rPr>
      </w:pPr>
      <w:r>
        <w:rPr>
          <w:rFonts w:hint="eastAsia" w:eastAsia="仿宋_GB2312"/>
          <w:color w:val="auto"/>
          <w:sz w:val="32"/>
          <w:szCs w:val="32"/>
          <w:highlight w:val="none"/>
        </w:rPr>
        <w:t>日期：</w:t>
      </w:r>
    </w:p>
    <w:p w14:paraId="46A7641D">
      <w:pPr>
        <w:pStyle w:val="42"/>
        <w:ind w:firstLine="0" w:firstLineChars="0"/>
        <w:jc w:val="left"/>
        <w:outlineLvl w:val="1"/>
        <w:rPr>
          <w:rFonts w:hint="eastAsia" w:eastAsia="黑体"/>
          <w:color w:val="auto"/>
          <w:sz w:val="28"/>
          <w:szCs w:val="44"/>
          <w:highlight w:val="none"/>
        </w:rPr>
      </w:pPr>
    </w:p>
    <w:p w14:paraId="0DF584F2">
      <w:pPr>
        <w:pStyle w:val="42"/>
        <w:ind w:firstLine="0" w:firstLineChars="0"/>
        <w:jc w:val="left"/>
        <w:outlineLvl w:val="1"/>
        <w:rPr>
          <w:rFonts w:hint="eastAsia" w:eastAsia="黑体"/>
          <w:color w:val="auto"/>
          <w:sz w:val="28"/>
          <w:szCs w:val="44"/>
          <w:highlight w:val="none"/>
        </w:rPr>
      </w:pPr>
    </w:p>
    <w:p w14:paraId="3CE999F8">
      <w:pPr>
        <w:pStyle w:val="42"/>
        <w:ind w:firstLine="0" w:firstLineChars="0"/>
        <w:jc w:val="left"/>
        <w:outlineLvl w:val="1"/>
        <w:rPr>
          <w:rFonts w:hint="eastAsia" w:eastAsia="黑体"/>
          <w:color w:val="auto"/>
          <w:sz w:val="28"/>
          <w:szCs w:val="44"/>
          <w:highlight w:val="none"/>
        </w:rPr>
      </w:pPr>
    </w:p>
    <w:p w14:paraId="03961B76">
      <w:pPr>
        <w:pStyle w:val="42"/>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50F0DA00">
      <w:pPr>
        <w:pStyle w:val="42"/>
        <w:ind w:firstLine="0" w:firstLineChars="0"/>
        <w:jc w:val="left"/>
        <w:rPr>
          <w:rFonts w:eastAsia="黑体"/>
          <w:color w:val="auto"/>
          <w:sz w:val="28"/>
          <w:szCs w:val="44"/>
          <w:highlight w:val="none"/>
        </w:rPr>
      </w:pPr>
    </w:p>
    <w:p w14:paraId="7F52FA5D">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105F64EB">
      <w:pPr>
        <w:rPr>
          <w:rFonts w:eastAsia="仿宋_GB2312"/>
          <w:color w:val="auto"/>
          <w:sz w:val="32"/>
          <w:szCs w:val="32"/>
          <w:highlight w:val="none"/>
        </w:rPr>
      </w:pPr>
    </w:p>
    <w:p w14:paraId="306807AC">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阳江开能环保能源有限公司</w:t>
      </w:r>
      <w:r>
        <w:rPr>
          <w:rFonts w:hint="eastAsia" w:eastAsia="仿宋_GB2312"/>
          <w:color w:val="auto"/>
          <w:sz w:val="32"/>
          <w:szCs w:val="32"/>
          <w:highlight w:val="none"/>
        </w:rPr>
        <w:t>：</w:t>
      </w:r>
    </w:p>
    <w:p w14:paraId="7D9C9B90">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356CC608">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561FADB7">
      <w:pPr>
        <w:spacing w:line="600" w:lineRule="exact"/>
        <w:rPr>
          <w:rFonts w:eastAsia="仿宋_GB2312"/>
          <w:color w:val="auto"/>
          <w:sz w:val="32"/>
          <w:szCs w:val="32"/>
          <w:highlight w:val="none"/>
        </w:rPr>
      </w:pPr>
    </w:p>
    <w:p w14:paraId="4DFCDAEB">
      <w:pPr>
        <w:spacing w:line="600" w:lineRule="exact"/>
        <w:rPr>
          <w:rFonts w:eastAsia="仿宋_GB2312"/>
          <w:color w:val="auto"/>
          <w:sz w:val="32"/>
          <w:szCs w:val="32"/>
          <w:highlight w:val="none"/>
        </w:rPr>
      </w:pPr>
    </w:p>
    <w:p w14:paraId="6F2755D1">
      <w:pPr>
        <w:spacing w:line="600" w:lineRule="exact"/>
        <w:rPr>
          <w:rFonts w:eastAsia="仿宋_GB2312"/>
          <w:color w:val="auto"/>
          <w:sz w:val="32"/>
          <w:szCs w:val="32"/>
          <w:highlight w:val="none"/>
        </w:rPr>
      </w:pPr>
    </w:p>
    <w:p w14:paraId="33A76715">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5F2A8CBF">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7801E9A2">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0BEADCD3">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7C8CC500">
      <w:pPr>
        <w:rPr>
          <w:rFonts w:eastAsia="仿宋_GB2312"/>
          <w:color w:val="auto"/>
          <w:sz w:val="32"/>
          <w:szCs w:val="32"/>
          <w:highlight w:val="none"/>
        </w:rPr>
      </w:pPr>
    </w:p>
    <w:p w14:paraId="60DADA85">
      <w:pPr>
        <w:widowControl/>
        <w:jc w:val="both"/>
        <w:rPr>
          <w:rFonts w:eastAsia="仿宋_GB2312"/>
          <w:color w:val="auto"/>
          <w:sz w:val="32"/>
          <w:szCs w:val="32"/>
          <w:highlight w:val="none"/>
        </w:rPr>
      </w:pPr>
      <w:bookmarkStart w:id="2" w:name="_Toc384752807"/>
    </w:p>
    <w:p w14:paraId="7C9E3F38">
      <w:pPr>
        <w:pStyle w:val="20"/>
        <w:rPr>
          <w:color w:val="auto"/>
          <w:highlight w:val="none"/>
        </w:rPr>
      </w:pPr>
    </w:p>
    <w:p w14:paraId="467D7C0A">
      <w:pPr>
        <w:pStyle w:val="20"/>
        <w:rPr>
          <w:color w:val="auto"/>
          <w:highlight w:val="none"/>
        </w:rPr>
      </w:pPr>
    </w:p>
    <w:p w14:paraId="1E53B79D">
      <w:pPr>
        <w:pStyle w:val="20"/>
        <w:rPr>
          <w:color w:val="auto"/>
          <w:highlight w:val="none"/>
        </w:rPr>
      </w:pPr>
    </w:p>
    <w:p w14:paraId="7A8EF969">
      <w:pPr>
        <w:pStyle w:val="20"/>
        <w:ind w:left="0" w:leftChars="0" w:firstLine="0" w:firstLineChars="0"/>
        <w:rPr>
          <w:color w:val="auto"/>
          <w:highlight w:val="none"/>
        </w:rPr>
      </w:pPr>
    </w:p>
    <w:p w14:paraId="17BCBDBC">
      <w:pPr>
        <w:pStyle w:val="42"/>
        <w:ind w:firstLine="0" w:firstLineChars="0"/>
        <w:jc w:val="left"/>
        <w:outlineLvl w:val="1"/>
        <w:rPr>
          <w:rFonts w:eastAsia="仿宋_GB2312"/>
          <w:b/>
          <w:color w:val="auto"/>
          <w:sz w:val="32"/>
          <w:szCs w:val="32"/>
          <w:highlight w:val="none"/>
        </w:rPr>
      </w:pPr>
      <w:bookmarkStart w:id="3" w:name="_Hlk40704362"/>
      <w:r>
        <w:rPr>
          <w:rFonts w:hint="eastAsia" w:eastAsia="黑体"/>
          <w:color w:val="auto"/>
          <w:sz w:val="28"/>
          <w:szCs w:val="44"/>
          <w:highlight w:val="none"/>
        </w:rPr>
        <w:t>附件四法人授权书</w:t>
      </w:r>
    </w:p>
    <w:p w14:paraId="45509549">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2"/>
    </w:p>
    <w:p w14:paraId="6289C78E">
      <w:pPr>
        <w:pStyle w:val="41"/>
        <w:ind w:firstLine="0" w:firstLineChars="0"/>
        <w:rPr>
          <w:rFonts w:ascii="Times New Roman" w:hAnsi="Times New Roman"/>
          <w:color w:val="auto"/>
          <w:sz w:val="32"/>
          <w:szCs w:val="32"/>
          <w:highlight w:val="none"/>
        </w:rPr>
      </w:pPr>
    </w:p>
    <w:p w14:paraId="60575A14">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阳江开能环保能源有限公司</w:t>
      </w:r>
      <w:r>
        <w:rPr>
          <w:rFonts w:hint="eastAsia" w:eastAsia="仿宋_GB2312"/>
          <w:color w:val="auto"/>
          <w:sz w:val="32"/>
          <w:szCs w:val="32"/>
          <w:highlight w:val="none"/>
        </w:rPr>
        <w:t>：</w:t>
      </w:r>
    </w:p>
    <w:p w14:paraId="104125BD">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eastAsia="仿宋_GB2312"/>
          <w:color w:val="auto"/>
          <w:sz w:val="32"/>
          <w:szCs w:val="32"/>
          <w:highlight w:val="none"/>
          <w:u w:val="single"/>
        </w:rPr>
        <w:t>阳江开能环保能源有限公司202</w:t>
      </w:r>
      <w:r>
        <w:rPr>
          <w:rFonts w:hint="eastAsia"/>
          <w:color w:val="auto"/>
          <w:sz w:val="32"/>
          <w:szCs w:val="32"/>
          <w:highlight w:val="none"/>
          <w:u w:val="single"/>
          <w:lang w:val="en-US" w:eastAsia="zh-CN"/>
        </w:rPr>
        <w:t>6</w:t>
      </w:r>
      <w:r>
        <w:rPr>
          <w:rFonts w:hint="eastAsia" w:eastAsia="仿宋_GB2312"/>
          <w:color w:val="auto"/>
          <w:sz w:val="32"/>
          <w:szCs w:val="32"/>
          <w:highlight w:val="none"/>
          <w:u w:val="single"/>
        </w:rPr>
        <w:t>年水处理系统化学药品服务</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08DBF995">
      <w:pPr>
        <w:pStyle w:val="41"/>
        <w:ind w:firstLine="659"/>
        <w:rPr>
          <w:rFonts w:ascii="Times New Roman" w:hAnsi="Times New Roman"/>
          <w:color w:val="auto"/>
          <w:sz w:val="32"/>
          <w:szCs w:val="32"/>
          <w:highlight w:val="none"/>
        </w:rPr>
      </w:pPr>
    </w:p>
    <w:p w14:paraId="6E4F30C0">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日签字生效，有效期与询价有效期一致，特此声明。</w:t>
      </w:r>
    </w:p>
    <w:p w14:paraId="187DEAC2">
      <w:pPr>
        <w:pStyle w:val="41"/>
        <w:ind w:firstLine="659"/>
        <w:rPr>
          <w:rFonts w:ascii="Times New Roman" w:hAnsi="Times New Roman"/>
          <w:color w:val="auto"/>
          <w:sz w:val="32"/>
          <w:szCs w:val="32"/>
          <w:highlight w:val="none"/>
        </w:rPr>
      </w:pPr>
    </w:p>
    <w:p w14:paraId="2CB90564">
      <w:pPr>
        <w:pStyle w:val="41"/>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448DBF84">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2252FD09">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46A15EE9">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2436DB08">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6923C0A2">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38D93C2D">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3"/>
    <w:p w14:paraId="7FFB7A90">
      <w:pPr>
        <w:pStyle w:val="42"/>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4BE38379">
      <w:pPr>
        <w:pStyle w:val="42"/>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266A1CA0">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阳江开能环保能源有限公司</w:t>
      </w:r>
      <w:r>
        <w:rPr>
          <w:rFonts w:hint="eastAsia" w:eastAsia="仿宋_GB2312"/>
          <w:color w:val="auto"/>
          <w:sz w:val="32"/>
          <w:szCs w:val="32"/>
          <w:highlight w:val="none"/>
        </w:rPr>
        <w:t>：</w:t>
      </w:r>
    </w:p>
    <w:p w14:paraId="74D85C2B">
      <w:pPr>
        <w:pStyle w:val="41"/>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阳江开能环保能源有限公司202</w:t>
      </w:r>
      <w:r>
        <w:rPr>
          <w:rFonts w:hint="eastAsia"/>
          <w:color w:val="auto"/>
          <w:sz w:val="32"/>
          <w:szCs w:val="32"/>
          <w:highlight w:val="none"/>
          <w:u w:val="single"/>
          <w:lang w:val="en-US" w:eastAsia="zh-CN"/>
        </w:rPr>
        <w:t>6</w:t>
      </w:r>
      <w:r>
        <w:rPr>
          <w:rFonts w:hint="eastAsia"/>
          <w:color w:val="auto"/>
          <w:sz w:val="32"/>
          <w:szCs w:val="32"/>
          <w:highlight w:val="none"/>
          <w:u w:val="single"/>
        </w:rPr>
        <w:t>年水处理系统化学药品服务</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14:paraId="279646E8">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lang w:val="en-US" w:eastAsia="zh-CN"/>
        </w:rPr>
        <w:t xml:space="preserve">货物及服务 </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4283E7C3">
      <w:pPr>
        <w:pStyle w:val="41"/>
        <w:ind w:firstLine="659"/>
        <w:rPr>
          <w:rFonts w:ascii="Times New Roman" w:hAnsi="Times New Roman"/>
          <w:color w:val="auto"/>
          <w:sz w:val="32"/>
          <w:szCs w:val="32"/>
          <w:highlight w:val="none"/>
        </w:rPr>
      </w:pPr>
    </w:p>
    <w:p w14:paraId="1985616D">
      <w:pPr>
        <w:pStyle w:val="41"/>
        <w:ind w:firstLine="0" w:firstLineChars="0"/>
        <w:jc w:val="left"/>
        <w:rPr>
          <w:rFonts w:ascii="Times New Roman" w:hAnsi="Times New Roman"/>
          <w:color w:val="auto"/>
          <w:sz w:val="32"/>
          <w:szCs w:val="32"/>
          <w:highlight w:val="none"/>
        </w:rPr>
      </w:pPr>
    </w:p>
    <w:p w14:paraId="7511279E">
      <w:pPr>
        <w:jc w:val="left"/>
        <w:rPr>
          <w:rFonts w:eastAsia="仿宋"/>
          <w:color w:val="auto"/>
          <w:sz w:val="32"/>
          <w:szCs w:val="32"/>
          <w:highlight w:val="none"/>
        </w:rPr>
      </w:pPr>
    </w:p>
    <w:p w14:paraId="602277F4">
      <w:pPr>
        <w:jc w:val="left"/>
        <w:rPr>
          <w:rFonts w:eastAsia="仿宋"/>
          <w:color w:val="auto"/>
          <w:sz w:val="32"/>
          <w:szCs w:val="32"/>
          <w:highlight w:val="none"/>
        </w:rPr>
      </w:pPr>
    </w:p>
    <w:p w14:paraId="491EEB14">
      <w:pPr>
        <w:jc w:val="left"/>
        <w:rPr>
          <w:rFonts w:eastAsia="仿宋"/>
          <w:color w:val="auto"/>
          <w:sz w:val="32"/>
          <w:szCs w:val="32"/>
          <w:highlight w:val="none"/>
        </w:rPr>
      </w:pPr>
    </w:p>
    <w:p w14:paraId="50A49C2F">
      <w:pPr>
        <w:pStyle w:val="41"/>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1817AD56">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66728896">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1386C9A9">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5F532B01">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6445AE0A">
      <w:pPr>
        <w:pStyle w:val="41"/>
        <w:ind w:firstLine="0" w:firstLineChars="0"/>
        <w:jc w:val="left"/>
        <w:rPr>
          <w:rFonts w:ascii="Times New Roman" w:hAnsi="Times New Roman"/>
          <w:color w:val="auto"/>
          <w:sz w:val="32"/>
          <w:szCs w:val="32"/>
          <w:highlight w:val="none"/>
        </w:rPr>
      </w:pPr>
    </w:p>
    <w:p w14:paraId="4A668168">
      <w:pPr>
        <w:pStyle w:val="41"/>
        <w:ind w:firstLine="0" w:firstLineChars="0"/>
        <w:jc w:val="left"/>
        <w:rPr>
          <w:rFonts w:ascii="Times New Roman" w:hAnsi="Times New Roman"/>
          <w:color w:val="auto"/>
          <w:sz w:val="32"/>
          <w:szCs w:val="32"/>
          <w:highlight w:val="none"/>
        </w:rPr>
      </w:pPr>
    </w:p>
    <w:p w14:paraId="6586CF6F">
      <w:pPr>
        <w:pStyle w:val="10"/>
        <w:ind w:left="0" w:leftChars="0" w:firstLine="0" w:firstLineChars="0"/>
        <w:rPr>
          <w:color w:val="auto"/>
          <w:highlight w:val="none"/>
        </w:rPr>
      </w:pPr>
    </w:p>
    <w:p w14:paraId="3FD2D48E">
      <w:pPr>
        <w:pStyle w:val="42"/>
        <w:ind w:firstLine="0" w:firstLineChars="0"/>
        <w:jc w:val="left"/>
        <w:outlineLvl w:val="1"/>
        <w:rPr>
          <w:rFonts w:eastAsia="黑体"/>
          <w:color w:val="auto"/>
          <w:sz w:val="28"/>
          <w:szCs w:val="44"/>
          <w:highlight w:val="none"/>
        </w:rPr>
      </w:pPr>
      <w:bookmarkStart w:id="4" w:name="_Hlk40704598"/>
      <w:r>
        <w:rPr>
          <w:rFonts w:hint="eastAsia" w:eastAsia="黑体"/>
          <w:color w:val="auto"/>
          <w:sz w:val="28"/>
          <w:szCs w:val="44"/>
          <w:highlight w:val="none"/>
        </w:rPr>
        <w:t>附件六</w:t>
      </w:r>
      <w:r>
        <w:rPr>
          <w:rFonts w:hint="eastAsia" w:eastAsia="黑体"/>
          <w:color w:val="auto"/>
          <w:sz w:val="28"/>
          <w:szCs w:val="44"/>
          <w:highlight w:val="none"/>
          <w:lang w:val="en-US" w:eastAsia="zh-CN"/>
        </w:rPr>
        <w:t xml:space="preserve"> </w:t>
      </w:r>
      <w:r>
        <w:rPr>
          <w:rFonts w:hint="eastAsia"/>
          <w:b/>
          <w:bCs/>
          <w:color w:val="auto"/>
          <w:sz w:val="28"/>
          <w:szCs w:val="28"/>
          <w:highlight w:val="none"/>
          <w:lang w:val="en-US" w:eastAsia="zh-CN"/>
        </w:rPr>
        <w:t>循环水处理工艺参数及药品使用要求（标黄部分由响应人完善）</w:t>
      </w:r>
    </w:p>
    <w:bookmarkEnd w:id="1"/>
    <w:bookmarkEnd w:id="4"/>
    <w:p w14:paraId="3CECE080">
      <w:pPr>
        <w:numPr>
          <w:ilvl w:val="0"/>
          <w:numId w:val="4"/>
        </w:numPr>
        <w:ind w:left="0" w:leftChars="0" w:firstLine="0" w:firstLineChars="0"/>
        <w:rPr>
          <w:rFonts w:hint="eastAsia"/>
          <w:sz w:val="24"/>
          <w:szCs w:val="32"/>
          <w:lang w:val="en-US" w:eastAsia="zh-CN"/>
        </w:rPr>
      </w:pPr>
      <w:r>
        <w:rPr>
          <w:rFonts w:hint="eastAsia"/>
          <w:sz w:val="24"/>
          <w:szCs w:val="32"/>
          <w:lang w:val="en-US" w:eastAsia="zh-CN"/>
        </w:rPr>
        <w:t>工艺参数：</w:t>
      </w:r>
    </w:p>
    <w:p w14:paraId="36E7855F">
      <w:pPr>
        <w:tabs>
          <w:tab w:val="left" w:pos="720"/>
          <w:tab w:val="left" w:pos="5160"/>
        </w:tabs>
        <w:snapToGrid w:val="0"/>
        <w:spacing w:line="312" w:lineRule="auto"/>
        <w:rPr>
          <w:rFonts w:hint="eastAsia" w:ascii="宋体" w:hAnsi="宋体" w:cs="宋体"/>
          <w:color w:val="000000"/>
          <w:sz w:val="21"/>
          <w:szCs w:val="21"/>
        </w:rPr>
      </w:pPr>
      <w:r>
        <w:rPr>
          <w:rFonts w:hint="eastAsia" w:ascii="宋体" w:hAnsi="宋体" w:cs="宋体"/>
          <w:sz w:val="21"/>
          <w:szCs w:val="21"/>
          <w:lang w:val="en-US" w:eastAsia="zh-CN"/>
        </w:rPr>
        <w:t>1、余热发电</w:t>
      </w:r>
      <w:r>
        <w:rPr>
          <w:rFonts w:hint="eastAsia" w:ascii="宋体" w:hAnsi="宋体" w:cs="宋体"/>
          <w:sz w:val="21"/>
          <w:szCs w:val="21"/>
          <w:u w:val="single"/>
        </w:rPr>
        <w:t>冷却水系统参数</w:t>
      </w:r>
      <w:r>
        <w:rPr>
          <w:rFonts w:hint="eastAsia" w:ascii="宋体" w:hAnsi="宋体" w:cs="宋体"/>
          <w:sz w:val="21"/>
          <w:szCs w:val="21"/>
        </w:rPr>
        <w:t xml:space="preserve">                    </w:t>
      </w:r>
    </w:p>
    <w:p w14:paraId="22DDB4C9">
      <w:pPr>
        <w:tabs>
          <w:tab w:val="left" w:pos="360"/>
          <w:tab w:val="left" w:pos="600"/>
          <w:tab w:val="left" w:pos="5160"/>
        </w:tabs>
        <w:snapToGrid w:val="0"/>
        <w:spacing w:line="312" w:lineRule="auto"/>
        <w:rPr>
          <w:rFonts w:hint="eastAsia" w:ascii="宋体" w:hAnsi="宋体" w:cs="宋体"/>
          <w:sz w:val="21"/>
          <w:szCs w:val="21"/>
        </w:rPr>
      </w:pPr>
      <w:r>
        <w:rPr>
          <w:rFonts w:hint="eastAsia" w:ascii="宋体" w:hAnsi="宋体" w:cs="宋体"/>
          <w:sz w:val="21"/>
          <w:szCs w:val="21"/>
        </w:rPr>
        <w:tab/>
      </w:r>
      <w:r>
        <w:rPr>
          <w:rFonts w:hint="eastAsia" w:ascii="宋体" w:hAnsi="宋体" w:cs="宋体"/>
          <w:sz w:val="21"/>
          <w:szCs w:val="21"/>
        </w:rPr>
        <w:tab/>
      </w:r>
      <w:r>
        <w:rPr>
          <w:rFonts w:hint="eastAsia" w:ascii="宋体" w:hAnsi="宋体" w:cs="宋体"/>
          <w:sz w:val="21"/>
          <w:szCs w:val="21"/>
        </w:rPr>
        <w:t xml:space="preserve">循环水量                    </w:t>
      </w:r>
      <w:r>
        <w:rPr>
          <w:rFonts w:hint="eastAsia" w:ascii="宋体" w:hAnsi="宋体" w:cs="宋体"/>
          <w:sz w:val="21"/>
          <w:szCs w:val="21"/>
          <w:lang w:val="en-US" w:eastAsia="zh-CN"/>
        </w:rPr>
        <w:t>4000</w:t>
      </w:r>
      <w:r>
        <w:rPr>
          <w:rFonts w:hint="eastAsia" w:ascii="宋体" w:hAnsi="宋体" w:cs="宋体"/>
          <w:sz w:val="21"/>
          <w:szCs w:val="21"/>
        </w:rPr>
        <w:t xml:space="preserve"> M</w:t>
      </w:r>
      <w:r>
        <w:rPr>
          <w:rFonts w:hint="eastAsia" w:ascii="宋体" w:hAnsi="宋体" w:cs="宋体"/>
          <w:sz w:val="21"/>
          <w:szCs w:val="21"/>
          <w:vertAlign w:val="superscript"/>
        </w:rPr>
        <w:t>3</w:t>
      </w:r>
      <w:r>
        <w:rPr>
          <w:rFonts w:hint="eastAsia" w:ascii="宋体" w:hAnsi="宋体" w:cs="宋体"/>
          <w:sz w:val="21"/>
          <w:szCs w:val="21"/>
        </w:rPr>
        <w:t>/h（平均）；（</w:t>
      </w:r>
      <w:r>
        <w:rPr>
          <w:rFonts w:hint="eastAsia" w:ascii="宋体" w:hAnsi="宋体" w:cs="宋体"/>
          <w:sz w:val="21"/>
          <w:szCs w:val="21"/>
          <w:lang w:val="en-US" w:eastAsia="zh-CN"/>
        </w:rPr>
        <w:t>循环水泵</w:t>
      </w:r>
      <w:r>
        <w:rPr>
          <w:rFonts w:hint="eastAsia" w:ascii="宋体" w:hAnsi="宋体" w:cs="宋体"/>
          <w:sz w:val="21"/>
          <w:szCs w:val="21"/>
        </w:rPr>
        <w:t>2开1备）</w:t>
      </w:r>
    </w:p>
    <w:p w14:paraId="36440924">
      <w:pPr>
        <w:tabs>
          <w:tab w:val="left" w:pos="360"/>
          <w:tab w:val="left" w:pos="600"/>
          <w:tab w:val="left" w:pos="5160"/>
        </w:tabs>
        <w:snapToGrid w:val="0"/>
        <w:spacing w:line="312" w:lineRule="auto"/>
        <w:ind w:left="630" w:leftChars="200" w:hanging="210" w:hangingChars="100"/>
        <w:rPr>
          <w:rFonts w:hint="eastAsia" w:ascii="宋体" w:hAnsi="宋体" w:eastAsia="宋体" w:cs="宋体"/>
          <w:sz w:val="21"/>
          <w:szCs w:val="21"/>
          <w:lang w:eastAsia="zh-CN"/>
        </w:rPr>
      </w:pPr>
      <w:r>
        <w:rPr>
          <w:rFonts w:hint="eastAsia" w:ascii="宋体" w:hAnsi="宋体" w:cs="宋体"/>
          <w:sz w:val="21"/>
          <w:szCs w:val="21"/>
        </w:rPr>
        <w:t xml:space="preserve"> 系统容积                    </w:t>
      </w:r>
      <w:r>
        <w:rPr>
          <w:rFonts w:hint="eastAsia" w:ascii="宋体" w:hAnsi="宋体" w:cs="宋体"/>
          <w:sz w:val="21"/>
          <w:szCs w:val="21"/>
          <w:lang w:val="en-US" w:eastAsia="zh-CN"/>
        </w:rPr>
        <w:t>2000</w:t>
      </w:r>
      <w:r>
        <w:rPr>
          <w:rFonts w:hint="eastAsia" w:ascii="宋体" w:hAnsi="宋体" w:cs="宋体"/>
          <w:sz w:val="21"/>
          <w:szCs w:val="21"/>
        </w:rPr>
        <w:t xml:space="preserve"> M</w:t>
      </w:r>
      <w:r>
        <w:rPr>
          <w:rFonts w:hint="eastAsia" w:ascii="宋体" w:hAnsi="宋体" w:cs="宋体"/>
          <w:sz w:val="21"/>
          <w:szCs w:val="21"/>
          <w:vertAlign w:val="superscript"/>
        </w:rPr>
        <w:t>3</w:t>
      </w:r>
      <w:r>
        <w:rPr>
          <w:rFonts w:hint="eastAsia" w:ascii="宋体" w:hAnsi="宋体" w:cs="宋体"/>
          <w:sz w:val="21"/>
          <w:szCs w:val="21"/>
        </w:rPr>
        <w:t xml:space="preserve">凝汽器材质                   </w:t>
      </w:r>
      <w:r>
        <w:rPr>
          <w:rFonts w:hint="eastAsia" w:ascii="宋体" w:hAnsi="宋体" w:cs="宋体"/>
          <w:sz w:val="21"/>
          <w:szCs w:val="21"/>
          <w:lang w:val="en-US" w:eastAsia="zh-CN"/>
        </w:rPr>
        <w:t>管束不锈钢，筒体碳钢</w:t>
      </w:r>
    </w:p>
    <w:p w14:paraId="443BF98F">
      <w:pPr>
        <w:tabs>
          <w:tab w:val="left" w:pos="360"/>
          <w:tab w:val="left" w:pos="600"/>
          <w:tab w:val="left" w:pos="5160"/>
        </w:tabs>
        <w:snapToGrid w:val="0"/>
        <w:spacing w:line="312" w:lineRule="auto"/>
        <w:rPr>
          <w:rFonts w:hint="eastAsia" w:ascii="宋体" w:hAnsi="宋体" w:cs="宋体"/>
          <w:sz w:val="21"/>
          <w:szCs w:val="21"/>
          <w:lang w:val="en-US" w:eastAsia="zh-CN"/>
        </w:rPr>
      </w:pPr>
      <w:r>
        <w:rPr>
          <w:rFonts w:hint="eastAsia" w:ascii="宋体" w:hAnsi="宋体" w:cs="宋体"/>
          <w:sz w:val="21"/>
          <w:szCs w:val="21"/>
          <w:lang w:val="en-US" w:eastAsia="zh-CN"/>
        </w:rPr>
        <w:t>2、余热发电锅炉补给水处理系统：</w:t>
      </w:r>
    </w:p>
    <w:p w14:paraId="121E4113">
      <w:pPr>
        <w:tabs>
          <w:tab w:val="left" w:pos="360"/>
          <w:tab w:val="left" w:pos="600"/>
          <w:tab w:val="left" w:pos="5160"/>
        </w:tabs>
        <w:snapToGrid w:val="0"/>
        <w:spacing w:line="312" w:lineRule="auto"/>
        <w:ind w:firstLine="420" w:firstLineChars="200"/>
        <w:rPr>
          <w:rFonts w:hint="eastAsia" w:ascii="宋体" w:hAnsi="宋体" w:cs="宋体"/>
          <w:sz w:val="21"/>
          <w:szCs w:val="21"/>
          <w:lang w:val="en-US" w:eastAsia="zh-CN"/>
        </w:rPr>
      </w:pPr>
      <w:r>
        <w:rPr>
          <w:rFonts w:hint="eastAsia" w:ascii="宋体" w:hAnsi="宋体" w:cs="宋体"/>
          <w:sz w:val="21"/>
          <w:szCs w:val="21"/>
          <w:lang w:val="en-US" w:eastAsia="zh-CN"/>
        </w:rPr>
        <w:t xml:space="preserve">工艺流程：原水-多介质过滤器-活性炭过滤器-一级反渗透-二级反渗透  </w:t>
      </w:r>
    </w:p>
    <w:p w14:paraId="4C03D7EC">
      <w:pPr>
        <w:tabs>
          <w:tab w:val="left" w:pos="360"/>
          <w:tab w:val="left" w:pos="600"/>
          <w:tab w:val="left" w:pos="5160"/>
        </w:tabs>
        <w:snapToGrid w:val="0"/>
        <w:spacing w:line="312" w:lineRule="auto"/>
        <w:ind w:firstLine="420" w:firstLineChars="200"/>
        <w:rPr>
          <w:rFonts w:hint="eastAsia" w:ascii="宋体" w:hAnsi="宋体" w:cs="宋体"/>
          <w:sz w:val="21"/>
          <w:szCs w:val="21"/>
          <w:lang w:val="en-US" w:eastAsia="zh-CN"/>
        </w:rPr>
      </w:pPr>
      <w:r>
        <w:rPr>
          <w:rFonts w:hint="eastAsia" w:ascii="宋体" w:hAnsi="宋体" w:cs="宋体"/>
          <w:sz w:val="21"/>
          <w:szCs w:val="21"/>
          <w:lang w:val="en-US" w:eastAsia="zh-CN"/>
        </w:rPr>
        <w:t>系统制水能力28吨/时。</w:t>
      </w:r>
    </w:p>
    <w:p w14:paraId="1FDCC92E">
      <w:pPr>
        <w:numPr>
          <w:ilvl w:val="0"/>
          <w:numId w:val="4"/>
        </w:numPr>
        <w:ind w:left="0" w:leftChars="0" w:firstLine="0" w:firstLineChars="0"/>
        <w:rPr>
          <w:rFonts w:hint="eastAsia"/>
          <w:sz w:val="24"/>
          <w:szCs w:val="32"/>
          <w:lang w:val="en-US" w:eastAsia="zh-CN"/>
        </w:rPr>
      </w:pPr>
      <w:r>
        <w:rPr>
          <w:rFonts w:hint="eastAsia"/>
          <w:sz w:val="24"/>
          <w:szCs w:val="32"/>
          <w:lang w:val="en-US" w:eastAsia="zh-CN"/>
        </w:rPr>
        <w:t>执行标准</w:t>
      </w:r>
    </w:p>
    <w:p w14:paraId="617B9FB9">
      <w:pPr>
        <w:numPr>
          <w:ilvl w:val="0"/>
          <w:numId w:val="0"/>
        </w:numPr>
        <w:ind w:leftChars="0"/>
        <w:rPr>
          <w:rFonts w:hint="default"/>
          <w:color w:val="FF0000"/>
          <w:sz w:val="24"/>
          <w:szCs w:val="32"/>
          <w:highlight w:val="none"/>
          <w:lang w:val="en-US" w:eastAsia="zh-CN"/>
        </w:rPr>
      </w:pPr>
      <w:r>
        <w:rPr>
          <w:rFonts w:hint="eastAsia"/>
          <w:sz w:val="24"/>
          <w:szCs w:val="32"/>
          <w:highlight w:val="none"/>
          <w:lang w:val="en-US" w:eastAsia="zh-CN"/>
        </w:rPr>
        <w:t xml:space="preserve">    1、依据GB50050-2007工业循环水处理设计规范。循环水处理系统控制指标</w:t>
      </w:r>
      <w:r>
        <w:rPr>
          <w:rFonts w:hint="eastAsia"/>
          <w:color w:val="FF0000"/>
          <w:sz w:val="24"/>
          <w:szCs w:val="32"/>
          <w:highlight w:val="none"/>
          <w:lang w:val="en-US" w:eastAsia="zh-CN"/>
        </w:rPr>
        <w:t>（标黄部分由报价人修改完善）</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6"/>
        <w:gridCol w:w="3809"/>
      </w:tblGrid>
      <w:tr w14:paraId="10975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41438837">
            <w:pPr>
              <w:snapToGrid w:val="0"/>
              <w:spacing w:line="312" w:lineRule="auto"/>
              <w:ind w:right="-153"/>
              <w:rPr>
                <w:rFonts w:hint="default" w:ascii="宋体" w:hAnsi="宋体" w:eastAsia="宋体" w:cs="宋体"/>
                <w:sz w:val="24"/>
                <w:szCs w:val="24"/>
                <w:lang w:val="en-US" w:eastAsia="zh-CN"/>
              </w:rPr>
            </w:pPr>
            <w:r>
              <w:rPr>
                <w:rFonts w:hint="eastAsia" w:ascii="宋体" w:hAnsi="宋体" w:cs="宋体"/>
                <w:sz w:val="24"/>
                <w:szCs w:val="24"/>
              </w:rPr>
              <w:t>CoC (浓缩倍数)</w:t>
            </w:r>
            <w:r>
              <w:rPr>
                <w:rFonts w:hint="eastAsia" w:ascii="宋体" w:hAnsi="宋体" w:cs="宋体"/>
                <w:sz w:val="24"/>
                <w:szCs w:val="24"/>
                <w:lang w:val="en-US" w:eastAsia="zh-CN"/>
              </w:rPr>
              <w:t xml:space="preserve"> </w:t>
            </w:r>
            <w:r>
              <w:rPr>
                <w:rFonts w:hint="eastAsia" w:ascii="宋体" w:hAnsi="宋体" w:cs="宋体"/>
                <w:color w:val="FF0000"/>
                <w:sz w:val="24"/>
                <w:szCs w:val="24"/>
                <w:highlight w:val="none"/>
                <w:lang w:val="en-US" w:eastAsia="zh-CN"/>
              </w:rPr>
              <w:t>＞7</w:t>
            </w:r>
          </w:p>
        </w:tc>
        <w:tc>
          <w:tcPr>
            <w:tcW w:w="3809" w:type="dxa"/>
            <w:shd w:val="clear" w:color="auto" w:fill="FFFF00"/>
            <w:noWrap w:val="0"/>
            <w:vAlign w:val="top"/>
          </w:tcPr>
          <w:p w14:paraId="0783BF81">
            <w:pPr>
              <w:snapToGrid w:val="0"/>
              <w:spacing w:line="312" w:lineRule="auto"/>
              <w:ind w:right="-153"/>
              <w:rPr>
                <w:rFonts w:hint="eastAsia" w:ascii="宋体" w:hAnsi="宋体" w:cs="宋体"/>
                <w:color w:val="FF0000"/>
                <w:sz w:val="24"/>
                <w:szCs w:val="24"/>
                <w:highlight w:val="yellow"/>
              </w:rPr>
            </w:pPr>
          </w:p>
        </w:tc>
      </w:tr>
      <w:tr w14:paraId="5FA28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16" w:type="dxa"/>
            <w:noWrap w:val="0"/>
            <w:vAlign w:val="top"/>
          </w:tcPr>
          <w:p w14:paraId="7B64B062">
            <w:pPr>
              <w:snapToGrid w:val="0"/>
              <w:spacing w:line="312" w:lineRule="auto"/>
              <w:ind w:right="-153"/>
              <w:rPr>
                <w:rFonts w:hint="eastAsia" w:ascii="宋体" w:hAnsi="宋体" w:cs="宋体"/>
                <w:sz w:val="24"/>
                <w:szCs w:val="24"/>
              </w:rPr>
            </w:pPr>
            <w:r>
              <w:rPr>
                <w:rFonts w:hint="eastAsia" w:ascii="宋体" w:hAnsi="宋体" w:cs="宋体"/>
                <w:sz w:val="24"/>
                <w:szCs w:val="24"/>
              </w:rPr>
              <w:t>pH</w:t>
            </w:r>
          </w:p>
        </w:tc>
        <w:tc>
          <w:tcPr>
            <w:tcW w:w="3809" w:type="dxa"/>
            <w:shd w:val="clear" w:color="auto" w:fill="FFFF00"/>
            <w:noWrap w:val="0"/>
            <w:vAlign w:val="top"/>
          </w:tcPr>
          <w:p w14:paraId="15E86ACD">
            <w:pPr>
              <w:snapToGrid w:val="0"/>
              <w:spacing w:line="312" w:lineRule="auto"/>
              <w:ind w:right="-153"/>
              <w:rPr>
                <w:rFonts w:hint="eastAsia" w:ascii="宋体" w:hAnsi="宋体" w:cs="宋体"/>
                <w:color w:val="FF0000"/>
                <w:sz w:val="24"/>
                <w:szCs w:val="24"/>
                <w:highlight w:val="yellow"/>
              </w:rPr>
            </w:pPr>
          </w:p>
        </w:tc>
      </w:tr>
      <w:tr w14:paraId="64DAC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3ED5AFDF">
            <w:pPr>
              <w:snapToGrid w:val="0"/>
              <w:spacing w:line="312" w:lineRule="auto"/>
              <w:ind w:right="-153"/>
              <w:rPr>
                <w:rFonts w:hint="eastAsia" w:ascii="宋体" w:hAnsi="宋体" w:cs="宋体"/>
                <w:sz w:val="24"/>
                <w:szCs w:val="24"/>
              </w:rPr>
            </w:pPr>
            <w:r>
              <w:rPr>
                <w:rFonts w:hint="eastAsia" w:ascii="宋体" w:hAnsi="宋体" w:cs="宋体"/>
                <w:sz w:val="24"/>
                <w:szCs w:val="24"/>
              </w:rPr>
              <w:t>电导率</w:t>
            </w:r>
          </w:p>
        </w:tc>
        <w:tc>
          <w:tcPr>
            <w:tcW w:w="3809" w:type="dxa"/>
            <w:shd w:val="clear" w:color="auto" w:fill="FFFF00"/>
            <w:noWrap w:val="0"/>
            <w:vAlign w:val="top"/>
          </w:tcPr>
          <w:p w14:paraId="722A8132">
            <w:pPr>
              <w:snapToGrid w:val="0"/>
              <w:spacing w:line="312" w:lineRule="auto"/>
              <w:ind w:right="-153"/>
              <w:rPr>
                <w:rFonts w:hint="eastAsia" w:ascii="宋体" w:hAnsi="宋体" w:cs="宋体"/>
                <w:color w:val="FF0000"/>
                <w:sz w:val="24"/>
                <w:szCs w:val="24"/>
                <w:highlight w:val="yellow"/>
              </w:rPr>
            </w:pPr>
          </w:p>
        </w:tc>
      </w:tr>
      <w:tr w14:paraId="2FD63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2897136F">
            <w:pPr>
              <w:snapToGrid w:val="0"/>
              <w:spacing w:line="312" w:lineRule="auto"/>
              <w:ind w:right="-153"/>
              <w:rPr>
                <w:rFonts w:hint="eastAsia" w:ascii="宋体" w:hAnsi="宋体" w:cs="宋体"/>
                <w:sz w:val="24"/>
                <w:szCs w:val="24"/>
              </w:rPr>
            </w:pPr>
            <w:r>
              <w:rPr>
                <w:rFonts w:hint="eastAsia" w:ascii="宋体" w:hAnsi="宋体" w:cs="宋体"/>
                <w:sz w:val="24"/>
                <w:szCs w:val="24"/>
              </w:rPr>
              <w:t>硬度</w:t>
            </w:r>
          </w:p>
        </w:tc>
        <w:tc>
          <w:tcPr>
            <w:tcW w:w="3809" w:type="dxa"/>
            <w:shd w:val="clear" w:color="auto" w:fill="FFFF00"/>
            <w:noWrap w:val="0"/>
            <w:vAlign w:val="top"/>
          </w:tcPr>
          <w:p w14:paraId="6CDB17A1">
            <w:pPr>
              <w:snapToGrid w:val="0"/>
              <w:spacing w:line="312" w:lineRule="auto"/>
              <w:ind w:right="-153"/>
              <w:rPr>
                <w:rFonts w:hint="eastAsia" w:ascii="宋体" w:hAnsi="宋体" w:cs="宋体"/>
                <w:color w:val="FF0000"/>
                <w:sz w:val="24"/>
                <w:szCs w:val="24"/>
                <w:highlight w:val="yellow"/>
              </w:rPr>
            </w:pPr>
          </w:p>
        </w:tc>
      </w:tr>
      <w:tr w14:paraId="7888C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3A0693FD">
            <w:pPr>
              <w:snapToGrid w:val="0"/>
              <w:spacing w:line="312" w:lineRule="auto"/>
              <w:ind w:right="-153"/>
              <w:rPr>
                <w:rFonts w:hint="eastAsia" w:ascii="宋体" w:hAnsi="宋体" w:cs="宋体"/>
                <w:sz w:val="24"/>
                <w:szCs w:val="24"/>
              </w:rPr>
            </w:pPr>
            <w:r>
              <w:rPr>
                <w:rFonts w:hint="eastAsia" w:ascii="宋体" w:hAnsi="宋体" w:cs="宋体"/>
                <w:sz w:val="24"/>
                <w:szCs w:val="24"/>
              </w:rPr>
              <w:t>总碱度</w:t>
            </w:r>
          </w:p>
        </w:tc>
        <w:tc>
          <w:tcPr>
            <w:tcW w:w="3809" w:type="dxa"/>
            <w:shd w:val="clear" w:color="auto" w:fill="FFFF00"/>
            <w:noWrap w:val="0"/>
            <w:vAlign w:val="top"/>
          </w:tcPr>
          <w:p w14:paraId="1A5CFA68">
            <w:pPr>
              <w:snapToGrid w:val="0"/>
              <w:spacing w:line="312" w:lineRule="auto"/>
              <w:ind w:right="-153"/>
              <w:rPr>
                <w:rFonts w:hint="eastAsia" w:ascii="宋体" w:hAnsi="宋体" w:cs="宋体"/>
                <w:color w:val="FF0000"/>
                <w:sz w:val="24"/>
                <w:szCs w:val="24"/>
                <w:highlight w:val="yellow"/>
              </w:rPr>
            </w:pPr>
          </w:p>
        </w:tc>
      </w:tr>
      <w:tr w14:paraId="091B9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325C9761">
            <w:pPr>
              <w:snapToGrid w:val="0"/>
              <w:spacing w:line="312" w:lineRule="auto"/>
              <w:ind w:right="-153"/>
              <w:rPr>
                <w:rFonts w:hint="eastAsia" w:ascii="宋体" w:hAnsi="宋体" w:cs="宋体"/>
                <w:sz w:val="24"/>
                <w:szCs w:val="24"/>
              </w:rPr>
            </w:pPr>
            <w:r>
              <w:rPr>
                <w:rFonts w:hint="eastAsia" w:ascii="宋体" w:hAnsi="宋体" w:cs="宋体"/>
                <w:sz w:val="24"/>
                <w:szCs w:val="24"/>
              </w:rPr>
              <w:t>氯化物</w:t>
            </w:r>
          </w:p>
        </w:tc>
        <w:tc>
          <w:tcPr>
            <w:tcW w:w="3809" w:type="dxa"/>
            <w:shd w:val="clear" w:color="auto" w:fill="FFFF00"/>
            <w:noWrap w:val="0"/>
            <w:vAlign w:val="top"/>
          </w:tcPr>
          <w:p w14:paraId="0CF704D3">
            <w:pPr>
              <w:snapToGrid w:val="0"/>
              <w:spacing w:line="312" w:lineRule="auto"/>
              <w:ind w:right="-153"/>
              <w:rPr>
                <w:rFonts w:hint="eastAsia" w:ascii="宋体" w:hAnsi="宋体" w:cs="宋体"/>
                <w:color w:val="FF0000"/>
                <w:sz w:val="24"/>
                <w:szCs w:val="24"/>
                <w:highlight w:val="yellow"/>
              </w:rPr>
            </w:pPr>
          </w:p>
        </w:tc>
      </w:tr>
      <w:tr w14:paraId="1CE85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3B8CC8A9">
            <w:pPr>
              <w:snapToGrid w:val="0"/>
              <w:spacing w:line="312" w:lineRule="auto"/>
              <w:ind w:right="-153"/>
              <w:rPr>
                <w:rFonts w:hint="eastAsia" w:ascii="宋体" w:hAnsi="宋体" w:cs="宋体"/>
                <w:sz w:val="24"/>
                <w:szCs w:val="24"/>
              </w:rPr>
            </w:pPr>
            <w:r>
              <w:rPr>
                <w:rFonts w:hint="eastAsia" w:ascii="宋体" w:hAnsi="宋体" w:cs="宋体"/>
                <w:sz w:val="24"/>
                <w:szCs w:val="24"/>
              </w:rPr>
              <w:t>异氧菌总数</w:t>
            </w:r>
          </w:p>
        </w:tc>
        <w:tc>
          <w:tcPr>
            <w:tcW w:w="3809" w:type="dxa"/>
            <w:shd w:val="clear" w:color="auto" w:fill="FFFF00"/>
            <w:noWrap w:val="0"/>
            <w:vAlign w:val="top"/>
          </w:tcPr>
          <w:p w14:paraId="137AF96D">
            <w:pPr>
              <w:snapToGrid w:val="0"/>
              <w:spacing w:line="312" w:lineRule="auto"/>
              <w:ind w:right="-153"/>
              <w:rPr>
                <w:rFonts w:hint="eastAsia" w:ascii="宋体" w:hAnsi="宋体" w:cs="宋体"/>
                <w:color w:val="FF0000"/>
                <w:sz w:val="24"/>
                <w:szCs w:val="24"/>
                <w:highlight w:val="yellow"/>
              </w:rPr>
            </w:pPr>
          </w:p>
        </w:tc>
      </w:tr>
      <w:tr w14:paraId="6C8A6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0A570899">
            <w:pPr>
              <w:snapToGrid w:val="0"/>
              <w:spacing w:line="312" w:lineRule="auto"/>
              <w:ind w:right="-153"/>
              <w:rPr>
                <w:rFonts w:hint="eastAsia" w:ascii="宋体" w:hAnsi="宋体" w:cs="宋体"/>
                <w:sz w:val="24"/>
                <w:szCs w:val="24"/>
              </w:rPr>
            </w:pPr>
            <w:r>
              <w:rPr>
                <w:rFonts w:hint="eastAsia" w:ascii="宋体" w:hAnsi="宋体" w:cs="宋体"/>
                <w:sz w:val="24"/>
                <w:szCs w:val="24"/>
              </w:rPr>
              <w:t>腐蚀率(mm/a)</w:t>
            </w:r>
          </w:p>
        </w:tc>
        <w:tc>
          <w:tcPr>
            <w:tcW w:w="3809" w:type="dxa"/>
            <w:shd w:val="clear" w:color="auto" w:fill="FFFF00"/>
            <w:noWrap w:val="0"/>
            <w:vAlign w:val="top"/>
          </w:tcPr>
          <w:p w14:paraId="2E77F7D6">
            <w:pPr>
              <w:snapToGrid w:val="0"/>
              <w:spacing w:line="312" w:lineRule="auto"/>
              <w:ind w:right="-153"/>
              <w:rPr>
                <w:rFonts w:hint="eastAsia" w:ascii="宋体" w:hAnsi="宋体" w:cs="宋体"/>
                <w:color w:val="FF0000"/>
                <w:sz w:val="24"/>
                <w:szCs w:val="24"/>
                <w:highlight w:val="yellow"/>
              </w:rPr>
            </w:pPr>
          </w:p>
        </w:tc>
      </w:tr>
      <w:tr w14:paraId="733B2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4875F192">
            <w:pPr>
              <w:snapToGrid w:val="0"/>
              <w:spacing w:line="312" w:lineRule="auto"/>
              <w:ind w:right="-153"/>
              <w:rPr>
                <w:rFonts w:hint="eastAsia" w:ascii="宋体" w:hAnsi="宋体" w:cs="宋体"/>
                <w:sz w:val="24"/>
                <w:szCs w:val="24"/>
              </w:rPr>
            </w:pPr>
            <w:r>
              <w:rPr>
                <w:rFonts w:hint="eastAsia" w:ascii="宋体" w:hAnsi="宋体" w:cs="宋体"/>
                <w:sz w:val="24"/>
                <w:szCs w:val="24"/>
              </w:rPr>
              <w:t>碳钢</w:t>
            </w:r>
          </w:p>
        </w:tc>
        <w:tc>
          <w:tcPr>
            <w:tcW w:w="3809" w:type="dxa"/>
            <w:shd w:val="clear" w:color="auto" w:fill="FFFFFF" w:themeFill="background1"/>
            <w:noWrap w:val="0"/>
            <w:vAlign w:val="top"/>
          </w:tcPr>
          <w:p w14:paraId="035274B4">
            <w:pPr>
              <w:snapToGrid w:val="0"/>
              <w:spacing w:line="312" w:lineRule="auto"/>
              <w:ind w:right="-153"/>
              <w:rPr>
                <w:rFonts w:hint="default" w:ascii="宋体" w:hAnsi="宋体" w:eastAsia="宋体" w:cs="宋体"/>
                <w:color w:val="auto"/>
                <w:sz w:val="24"/>
                <w:szCs w:val="24"/>
                <w:highlight w:val="yellow"/>
                <w:lang w:val="en-US" w:eastAsia="zh-CN"/>
              </w:rPr>
            </w:pPr>
            <w:r>
              <w:rPr>
                <w:rFonts w:hint="eastAsia" w:ascii="宋体" w:hAnsi="宋体" w:cs="宋体"/>
                <w:color w:val="auto"/>
                <w:sz w:val="24"/>
                <w:szCs w:val="24"/>
                <w:highlight w:val="none"/>
              </w:rPr>
              <w:t>&lt;0.075</w:t>
            </w:r>
            <w:r>
              <w:rPr>
                <w:rFonts w:hint="eastAsia" w:ascii="宋体" w:hAnsi="宋体" w:cs="宋体"/>
                <w:color w:val="auto"/>
                <w:sz w:val="24"/>
                <w:szCs w:val="24"/>
                <w:highlight w:val="none"/>
                <w:lang w:val="en-US" w:eastAsia="zh-CN"/>
              </w:rPr>
              <w:t>mm/a</w:t>
            </w:r>
          </w:p>
        </w:tc>
      </w:tr>
      <w:tr w14:paraId="36B3F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5750C474">
            <w:pPr>
              <w:snapToGrid w:val="0"/>
              <w:spacing w:line="312" w:lineRule="auto"/>
              <w:ind w:right="-153"/>
              <w:rPr>
                <w:rFonts w:hint="eastAsia" w:ascii="宋体" w:hAnsi="宋体" w:cs="宋体"/>
                <w:sz w:val="24"/>
                <w:szCs w:val="24"/>
              </w:rPr>
            </w:pPr>
            <w:r>
              <w:rPr>
                <w:rFonts w:hint="eastAsia" w:ascii="宋体" w:hAnsi="宋体" w:cs="宋体"/>
                <w:sz w:val="24"/>
                <w:szCs w:val="24"/>
              </w:rPr>
              <w:t>铜质、不锈钢</w:t>
            </w:r>
          </w:p>
        </w:tc>
        <w:tc>
          <w:tcPr>
            <w:tcW w:w="3809" w:type="dxa"/>
            <w:shd w:val="clear" w:color="auto" w:fill="FFFFFF" w:themeFill="background1"/>
            <w:noWrap w:val="0"/>
            <w:vAlign w:val="top"/>
          </w:tcPr>
          <w:p w14:paraId="72151E22">
            <w:pPr>
              <w:snapToGrid w:val="0"/>
              <w:spacing w:line="312" w:lineRule="auto"/>
              <w:ind w:right="-153"/>
              <w:rPr>
                <w:rFonts w:hint="eastAsia" w:ascii="宋体" w:hAnsi="宋体" w:cs="宋体"/>
                <w:color w:val="auto"/>
                <w:sz w:val="24"/>
                <w:szCs w:val="24"/>
                <w:highlight w:val="none"/>
              </w:rPr>
            </w:pPr>
            <w:r>
              <w:rPr>
                <w:rFonts w:hint="eastAsia" w:ascii="宋体" w:hAnsi="宋体" w:cs="宋体"/>
                <w:color w:val="auto"/>
                <w:sz w:val="24"/>
                <w:szCs w:val="24"/>
                <w:highlight w:val="none"/>
              </w:rPr>
              <w:t>&lt;0.005</w:t>
            </w:r>
            <w:r>
              <w:rPr>
                <w:rFonts w:hint="eastAsia" w:ascii="宋体" w:hAnsi="宋体" w:cs="宋体"/>
                <w:color w:val="auto"/>
                <w:sz w:val="24"/>
                <w:szCs w:val="24"/>
                <w:highlight w:val="none"/>
                <w:lang w:val="en-US" w:eastAsia="zh-CN"/>
              </w:rPr>
              <w:t>mm/a</w:t>
            </w:r>
          </w:p>
        </w:tc>
      </w:tr>
      <w:tr w14:paraId="7151F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tcBorders>
              <w:top w:val="single" w:color="auto" w:sz="4" w:space="0"/>
              <w:left w:val="single" w:color="auto" w:sz="4" w:space="0"/>
              <w:bottom w:val="single" w:color="auto" w:sz="4" w:space="0"/>
              <w:right w:val="single" w:color="auto" w:sz="4" w:space="0"/>
            </w:tcBorders>
            <w:noWrap w:val="0"/>
            <w:vAlign w:val="top"/>
          </w:tcPr>
          <w:p w14:paraId="58C12C7A">
            <w:pPr>
              <w:snapToGrid w:val="0"/>
              <w:spacing w:line="312" w:lineRule="auto"/>
              <w:ind w:right="-153"/>
              <w:rPr>
                <w:rFonts w:hint="eastAsia" w:ascii="宋体" w:hAnsi="宋体" w:cs="宋体"/>
                <w:sz w:val="24"/>
                <w:szCs w:val="24"/>
              </w:rPr>
            </w:pPr>
            <w:r>
              <w:rPr>
                <w:rFonts w:hint="eastAsia" w:ascii="宋体" w:hAnsi="宋体" w:cs="宋体"/>
                <w:sz w:val="24"/>
                <w:szCs w:val="24"/>
              </w:rPr>
              <w:t>Fe离子</w:t>
            </w:r>
          </w:p>
        </w:tc>
        <w:tc>
          <w:tcPr>
            <w:tcW w:w="3809" w:type="dxa"/>
            <w:tcBorders>
              <w:top w:val="single" w:color="auto" w:sz="4" w:space="0"/>
              <w:left w:val="single" w:color="auto" w:sz="4" w:space="0"/>
              <w:bottom w:val="single" w:color="auto" w:sz="4" w:space="0"/>
              <w:right w:val="single" w:color="auto" w:sz="4" w:space="0"/>
            </w:tcBorders>
            <w:shd w:val="clear" w:color="auto" w:fill="FFFFFF" w:themeFill="background1"/>
            <w:noWrap w:val="0"/>
            <w:vAlign w:val="top"/>
          </w:tcPr>
          <w:p w14:paraId="2EB79D3C">
            <w:pPr>
              <w:snapToGrid w:val="0"/>
              <w:spacing w:line="312" w:lineRule="auto"/>
              <w:ind w:right="-153"/>
              <w:rPr>
                <w:rFonts w:hint="eastAsia" w:ascii="宋体" w:hAnsi="宋体" w:cs="宋体"/>
                <w:color w:val="auto"/>
                <w:sz w:val="24"/>
                <w:szCs w:val="24"/>
                <w:highlight w:val="none"/>
              </w:rPr>
            </w:pPr>
            <w:r>
              <w:rPr>
                <w:rFonts w:hint="eastAsia" w:ascii="宋体" w:hAnsi="宋体" w:cs="宋体"/>
                <w:color w:val="auto"/>
                <w:sz w:val="24"/>
                <w:szCs w:val="24"/>
                <w:highlight w:val="none"/>
              </w:rPr>
              <w:t>&lt;1ppm</w:t>
            </w:r>
          </w:p>
        </w:tc>
      </w:tr>
      <w:tr w14:paraId="2DB21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tcBorders>
              <w:top w:val="single" w:color="auto" w:sz="4" w:space="0"/>
              <w:left w:val="single" w:color="auto" w:sz="4" w:space="0"/>
              <w:bottom w:val="single" w:color="auto" w:sz="4" w:space="0"/>
              <w:right w:val="single" w:color="auto" w:sz="4" w:space="0"/>
            </w:tcBorders>
            <w:noWrap w:val="0"/>
            <w:vAlign w:val="top"/>
          </w:tcPr>
          <w:p w14:paraId="321E8A31">
            <w:pPr>
              <w:snapToGrid w:val="0"/>
              <w:spacing w:line="312" w:lineRule="auto"/>
              <w:ind w:right="-153"/>
              <w:rPr>
                <w:rFonts w:hint="default" w:ascii="宋体" w:hAnsi="宋体" w:eastAsia="宋体" w:cs="宋体"/>
                <w:sz w:val="24"/>
                <w:szCs w:val="24"/>
                <w:lang w:val="en-US" w:eastAsia="zh-CN"/>
              </w:rPr>
            </w:pPr>
            <w:r>
              <w:rPr>
                <w:rFonts w:hint="eastAsia" w:ascii="宋体" w:hAnsi="宋体" w:cs="宋体"/>
                <w:sz w:val="24"/>
                <w:szCs w:val="24"/>
                <w:lang w:val="en-US" w:eastAsia="zh-CN"/>
              </w:rPr>
              <w:t>污垢热阻值</w:t>
            </w:r>
          </w:p>
        </w:tc>
        <w:tc>
          <w:tcPr>
            <w:tcW w:w="3809" w:type="dxa"/>
            <w:tcBorders>
              <w:top w:val="single" w:color="auto" w:sz="4" w:space="0"/>
              <w:left w:val="single" w:color="auto" w:sz="4" w:space="0"/>
              <w:bottom w:val="single" w:color="auto" w:sz="4" w:space="0"/>
              <w:right w:val="single" w:color="auto" w:sz="4" w:space="0"/>
            </w:tcBorders>
            <w:shd w:val="clear" w:color="auto" w:fill="FFFF00"/>
            <w:noWrap w:val="0"/>
            <w:vAlign w:val="top"/>
          </w:tcPr>
          <w:p w14:paraId="3D2CE70A">
            <w:pPr>
              <w:snapToGrid w:val="0"/>
              <w:spacing w:line="312" w:lineRule="auto"/>
              <w:ind w:right="-153"/>
              <w:rPr>
                <w:rFonts w:hint="default" w:ascii="宋体" w:hAnsi="宋体" w:eastAsia="宋体" w:cs="宋体"/>
                <w:color w:val="FF0000"/>
                <w:sz w:val="24"/>
                <w:szCs w:val="24"/>
                <w:highlight w:val="yellow"/>
                <w:lang w:val="en-US" w:eastAsia="zh-CN"/>
              </w:rPr>
            </w:pPr>
          </w:p>
        </w:tc>
      </w:tr>
      <w:tr w14:paraId="1F2FB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tcBorders>
              <w:top w:val="single" w:color="auto" w:sz="4" w:space="0"/>
              <w:left w:val="single" w:color="auto" w:sz="4" w:space="0"/>
              <w:bottom w:val="single" w:color="auto" w:sz="4" w:space="0"/>
              <w:right w:val="single" w:color="auto" w:sz="4" w:space="0"/>
            </w:tcBorders>
            <w:noWrap w:val="0"/>
            <w:vAlign w:val="top"/>
          </w:tcPr>
          <w:p w14:paraId="6CADF213">
            <w:pPr>
              <w:snapToGrid w:val="0"/>
              <w:spacing w:line="312" w:lineRule="auto"/>
              <w:ind w:right="-153"/>
              <w:rPr>
                <w:rFonts w:hint="eastAsia" w:ascii="宋体" w:hAnsi="宋体" w:cs="宋体"/>
                <w:sz w:val="24"/>
                <w:szCs w:val="24"/>
              </w:rPr>
            </w:pPr>
            <w:r>
              <w:rPr>
                <w:rFonts w:hint="eastAsia" w:ascii="宋体" w:hAnsi="宋体" w:cs="宋体"/>
                <w:sz w:val="24"/>
                <w:szCs w:val="24"/>
              </w:rPr>
              <w:t>Cu离子</w:t>
            </w:r>
          </w:p>
        </w:tc>
        <w:tc>
          <w:tcPr>
            <w:tcW w:w="3809" w:type="dxa"/>
            <w:tcBorders>
              <w:top w:val="single" w:color="auto" w:sz="4" w:space="0"/>
              <w:left w:val="single" w:color="auto" w:sz="4" w:space="0"/>
              <w:bottom w:val="single" w:color="auto" w:sz="4" w:space="0"/>
              <w:right w:val="single" w:color="auto" w:sz="4" w:space="0"/>
            </w:tcBorders>
            <w:shd w:val="clear" w:color="auto" w:fill="FFFFFF" w:themeFill="background1"/>
            <w:noWrap w:val="0"/>
            <w:vAlign w:val="top"/>
          </w:tcPr>
          <w:p w14:paraId="730714E3">
            <w:pPr>
              <w:snapToGrid w:val="0"/>
              <w:spacing w:line="312" w:lineRule="auto"/>
              <w:ind w:right="-153"/>
              <w:rPr>
                <w:rFonts w:hint="eastAsia" w:ascii="宋体" w:hAnsi="宋体" w:cs="宋体"/>
                <w:color w:val="FF0000"/>
                <w:sz w:val="24"/>
                <w:szCs w:val="24"/>
                <w:highlight w:val="none"/>
              </w:rPr>
            </w:pPr>
            <w:r>
              <w:rPr>
                <w:rFonts w:hint="eastAsia" w:ascii="宋体" w:hAnsi="宋体" w:cs="宋体"/>
                <w:color w:val="auto"/>
                <w:sz w:val="24"/>
                <w:szCs w:val="24"/>
                <w:highlight w:val="none"/>
              </w:rPr>
              <w:t>&lt;0.1ppm</w:t>
            </w:r>
          </w:p>
        </w:tc>
      </w:tr>
    </w:tbl>
    <w:p w14:paraId="49C93AB4">
      <w:pPr>
        <w:numPr>
          <w:ilvl w:val="0"/>
          <w:numId w:val="0"/>
        </w:numPr>
        <w:ind w:firstLine="480" w:firstLineChars="200"/>
        <w:rPr>
          <w:rFonts w:hint="eastAsia"/>
          <w:color w:val="000000" w:themeColor="text1"/>
          <w:sz w:val="24"/>
          <w:szCs w:val="32"/>
          <w:highlight w:val="none"/>
          <w:lang w:val="en-US" w:eastAsia="zh-CN"/>
          <w14:textFill>
            <w14:solidFill>
              <w14:schemeClr w14:val="tx1"/>
            </w14:solidFill>
          </w14:textFill>
        </w:rPr>
      </w:pPr>
      <w:r>
        <w:rPr>
          <w:rFonts w:hint="eastAsia"/>
          <w:color w:val="000000" w:themeColor="text1"/>
          <w:sz w:val="24"/>
          <w:szCs w:val="32"/>
          <w:highlight w:val="none"/>
          <w:lang w:val="en-US" w:eastAsia="zh-CN"/>
          <w14:textFill>
            <w14:solidFill>
              <w14:schemeClr w14:val="tx1"/>
            </w14:solidFill>
          </w14:textFill>
        </w:rPr>
        <w:t>使用药剂品名：阻垢缓蚀剂、杀菌灭澡剂、粘泥剥离剂</w:t>
      </w:r>
    </w:p>
    <w:p w14:paraId="5D4430DD">
      <w:pPr>
        <w:numPr>
          <w:ilvl w:val="0"/>
          <w:numId w:val="0"/>
        </w:numPr>
        <w:ind w:firstLine="480" w:firstLineChars="200"/>
        <w:rPr>
          <w:rFonts w:hint="default"/>
          <w:color w:val="000000" w:themeColor="text1"/>
          <w:sz w:val="24"/>
          <w:szCs w:val="32"/>
          <w:highlight w:val="none"/>
          <w:lang w:val="en-US" w:eastAsia="zh-CN"/>
          <w14:textFill>
            <w14:solidFill>
              <w14:schemeClr w14:val="tx1"/>
            </w14:solidFill>
          </w14:textFill>
        </w:rPr>
      </w:pPr>
      <w:r>
        <w:rPr>
          <w:rFonts w:hint="eastAsia"/>
          <w:color w:val="000000" w:themeColor="text1"/>
          <w:sz w:val="24"/>
          <w:szCs w:val="32"/>
          <w:highlight w:val="none"/>
          <w:lang w:val="en-US" w:eastAsia="zh-CN"/>
          <w14:textFill>
            <w14:solidFill>
              <w14:schemeClr w14:val="tx1"/>
            </w14:solidFill>
          </w14:textFill>
        </w:rPr>
        <w:t>药剂商应根据现场水质进行小型试验，本着环保、节水的前提，筛选符合本项目的药剂配方，为我方提供优质的水处理药剂。</w:t>
      </w:r>
    </w:p>
    <w:p w14:paraId="4EF1492A">
      <w:pPr>
        <w:numPr>
          <w:ilvl w:val="0"/>
          <w:numId w:val="0"/>
        </w:numPr>
        <w:ind w:leftChars="0"/>
        <w:rPr>
          <w:rFonts w:hint="eastAsia"/>
          <w:color w:val="000000" w:themeColor="text1"/>
          <w:sz w:val="24"/>
          <w:szCs w:val="32"/>
          <w:highlight w:val="none"/>
          <w:lang w:val="en-US" w:eastAsia="zh-CN"/>
          <w14:textFill>
            <w14:solidFill>
              <w14:schemeClr w14:val="tx1"/>
            </w14:solidFill>
          </w14:textFill>
        </w:rPr>
      </w:pPr>
      <w:r>
        <w:rPr>
          <w:rFonts w:hint="eastAsia"/>
          <w:color w:val="000000" w:themeColor="text1"/>
          <w:sz w:val="24"/>
          <w:szCs w:val="32"/>
          <w:highlight w:val="none"/>
          <w:lang w:val="en-US" w:eastAsia="zh-CN"/>
          <w14:textFill>
            <w14:solidFill>
              <w14:schemeClr w14:val="tx1"/>
            </w14:solidFill>
          </w14:textFill>
        </w:rPr>
        <w:t>锅炉补给水处理系统：</w:t>
      </w:r>
    </w:p>
    <w:p w14:paraId="03294CA4">
      <w:pPr>
        <w:numPr>
          <w:ilvl w:val="0"/>
          <w:numId w:val="0"/>
        </w:numPr>
        <w:ind w:leftChars="0"/>
        <w:rPr>
          <w:rFonts w:hint="eastAsia"/>
          <w:color w:val="000000" w:themeColor="text1"/>
          <w:sz w:val="24"/>
          <w:szCs w:val="32"/>
          <w:highlight w:val="none"/>
          <w:lang w:val="en-US" w:eastAsia="zh-CN"/>
          <w14:textFill>
            <w14:solidFill>
              <w14:schemeClr w14:val="tx1"/>
            </w14:solidFill>
          </w14:textFill>
        </w:rPr>
      </w:pPr>
      <w:r>
        <w:rPr>
          <w:rFonts w:hint="eastAsia"/>
          <w:color w:val="000000" w:themeColor="text1"/>
          <w:sz w:val="24"/>
          <w:szCs w:val="32"/>
          <w:highlight w:val="none"/>
          <w:lang w:val="en-US" w:eastAsia="zh-CN"/>
          <w14:textFill>
            <w14:solidFill>
              <w14:schemeClr w14:val="tx1"/>
            </w14:solidFill>
          </w14:textFill>
        </w:rPr>
        <w:t xml:space="preserve">   2、余热发电系统的锅炉补给水处理系统，根据现场水质情况，进行药剂的筛选。</w:t>
      </w:r>
    </w:p>
    <w:p w14:paraId="49F33C3F">
      <w:pPr>
        <w:numPr>
          <w:ilvl w:val="0"/>
          <w:numId w:val="0"/>
        </w:numPr>
        <w:ind w:leftChars="0"/>
        <w:rPr>
          <w:rFonts w:hint="default"/>
          <w:color w:val="000000" w:themeColor="text1"/>
          <w:sz w:val="24"/>
          <w:szCs w:val="32"/>
          <w:highlight w:val="none"/>
          <w:lang w:val="en-US" w:eastAsia="zh-CN"/>
          <w14:textFill>
            <w14:solidFill>
              <w14:schemeClr w14:val="tx1"/>
            </w14:solidFill>
          </w14:textFill>
        </w:rPr>
      </w:pPr>
      <w:r>
        <w:rPr>
          <w:rFonts w:hint="eastAsia"/>
          <w:color w:val="000000" w:themeColor="text1"/>
          <w:sz w:val="24"/>
          <w:szCs w:val="32"/>
          <w:highlight w:val="none"/>
          <w:lang w:val="en-US" w:eastAsia="zh-CN"/>
          <w14:textFill>
            <w14:solidFill>
              <w14:schemeClr w14:val="tx1"/>
            </w14:solidFill>
          </w14:textFill>
        </w:rPr>
        <w:t xml:space="preserve">    采购药剂品名：絮凝剂、杀菌剂、还原剂、阻垢剂</w:t>
      </w:r>
    </w:p>
    <w:p w14:paraId="33555BB7">
      <w:pPr>
        <w:numPr>
          <w:ilvl w:val="0"/>
          <w:numId w:val="0"/>
        </w:numPr>
        <w:ind w:leftChars="0" w:firstLine="480" w:firstLineChars="200"/>
        <w:rPr>
          <w:rFonts w:hint="eastAsia"/>
          <w:color w:val="000000" w:themeColor="text1"/>
          <w:sz w:val="24"/>
          <w:szCs w:val="32"/>
          <w:highlight w:val="none"/>
          <w:lang w:val="en-US" w:eastAsia="zh-CN"/>
          <w14:textFill>
            <w14:solidFill>
              <w14:schemeClr w14:val="tx1"/>
            </w14:solidFill>
          </w14:textFill>
        </w:rPr>
      </w:pPr>
      <w:r>
        <w:rPr>
          <w:rFonts w:hint="eastAsia"/>
          <w:color w:val="000000" w:themeColor="text1"/>
          <w:sz w:val="24"/>
          <w:szCs w:val="32"/>
          <w:highlight w:val="none"/>
          <w:lang w:val="en-US" w:eastAsia="zh-CN"/>
          <w14:textFill>
            <w14:solidFill>
              <w14:schemeClr w14:val="tx1"/>
            </w14:solidFill>
          </w14:textFill>
        </w:rPr>
        <w:t>药剂商应根据现场水质进行小型试验，本着环保、节能减排的前提，筛选符合本项目的药剂配方，为我方提供优质的水处理药剂。</w:t>
      </w:r>
    </w:p>
    <w:p w14:paraId="004E4905">
      <w:pPr>
        <w:numPr>
          <w:ilvl w:val="0"/>
          <w:numId w:val="4"/>
        </w:numPr>
        <w:ind w:left="0" w:leftChars="0" w:firstLine="0" w:firstLineChars="0"/>
        <w:rPr>
          <w:rFonts w:hint="eastAsia"/>
          <w:sz w:val="24"/>
          <w:szCs w:val="32"/>
          <w:lang w:val="en-US" w:eastAsia="zh-CN"/>
        </w:rPr>
      </w:pPr>
      <w:r>
        <w:rPr>
          <w:rFonts w:hint="eastAsia"/>
          <w:sz w:val="24"/>
          <w:szCs w:val="32"/>
          <w:lang w:val="en-US" w:eastAsia="zh-CN"/>
        </w:rPr>
        <w:t>验收标准：</w:t>
      </w:r>
    </w:p>
    <w:p w14:paraId="77803B3B">
      <w:pPr>
        <w:numPr>
          <w:ilvl w:val="0"/>
          <w:numId w:val="0"/>
        </w:numPr>
        <w:ind w:leftChars="0" w:firstLine="480" w:firstLineChars="200"/>
        <w:rPr>
          <w:rFonts w:hint="eastAsia"/>
          <w:sz w:val="24"/>
          <w:szCs w:val="32"/>
          <w:lang w:val="en-US" w:eastAsia="zh-CN"/>
        </w:rPr>
      </w:pPr>
      <w:r>
        <w:rPr>
          <w:rFonts w:hint="eastAsia"/>
          <w:sz w:val="24"/>
          <w:szCs w:val="32"/>
          <w:lang w:val="en-US" w:eastAsia="zh-CN"/>
        </w:rPr>
        <w:t>循环水处理系统依据工业循环水处理GB/T50050-2017；锅炉补给水处理系统依据反渗透设计相关规范进行验收。</w:t>
      </w:r>
    </w:p>
    <w:p w14:paraId="4398DAD2">
      <w:pPr>
        <w:numPr>
          <w:ilvl w:val="0"/>
          <w:numId w:val="4"/>
        </w:numPr>
        <w:ind w:left="0" w:leftChars="0" w:firstLine="0" w:firstLineChars="0"/>
        <w:rPr>
          <w:rFonts w:hint="eastAsia"/>
          <w:sz w:val="24"/>
          <w:szCs w:val="32"/>
          <w:lang w:val="en-US" w:eastAsia="zh-CN"/>
        </w:rPr>
      </w:pPr>
      <w:r>
        <w:rPr>
          <w:rFonts w:hint="eastAsia"/>
          <w:sz w:val="24"/>
          <w:szCs w:val="32"/>
          <w:lang w:val="en-US" w:eastAsia="zh-CN"/>
        </w:rPr>
        <w:t>售后服务：</w:t>
      </w:r>
    </w:p>
    <w:p w14:paraId="19342E63">
      <w:pPr>
        <w:numPr>
          <w:ilvl w:val="0"/>
          <w:numId w:val="0"/>
        </w:numPr>
        <w:ind w:leftChars="0" w:firstLine="480"/>
        <w:rPr>
          <w:rFonts w:hint="default"/>
          <w:sz w:val="24"/>
          <w:szCs w:val="32"/>
          <w:lang w:val="en-US" w:eastAsia="zh-CN"/>
        </w:rPr>
      </w:pPr>
      <w:r>
        <w:rPr>
          <w:rFonts w:hint="eastAsia"/>
          <w:sz w:val="24"/>
          <w:szCs w:val="32"/>
          <w:lang w:val="en-US" w:eastAsia="zh-CN"/>
        </w:rPr>
        <w:t>每月定期现场服务一次，依据现场水质情况进行及时有效的调整控制指标或加药量，并出具分析报告和指导性的建议。</w:t>
      </w:r>
    </w:p>
    <w:p w14:paraId="139618A9">
      <w:pPr>
        <w:numPr>
          <w:ilvl w:val="0"/>
          <w:numId w:val="4"/>
        </w:numPr>
        <w:ind w:left="0" w:leftChars="0" w:firstLine="0" w:firstLineChars="0"/>
        <w:jc w:val="left"/>
        <w:rPr>
          <w:rFonts w:hint="eastAsia"/>
          <w:sz w:val="24"/>
          <w:szCs w:val="32"/>
          <w:lang w:val="en-US" w:eastAsia="zh-CN"/>
        </w:rPr>
      </w:pPr>
      <w:r>
        <w:rPr>
          <w:rFonts w:hint="eastAsia"/>
          <w:sz w:val="24"/>
          <w:szCs w:val="32"/>
          <w:lang w:val="en-US" w:eastAsia="zh-CN"/>
        </w:rPr>
        <w:t>质量保证：</w:t>
      </w:r>
    </w:p>
    <w:p w14:paraId="2D535B6C">
      <w:pPr>
        <w:numPr>
          <w:ilvl w:val="0"/>
          <w:numId w:val="0"/>
        </w:numPr>
        <w:ind w:leftChars="0" w:firstLine="480" w:firstLineChars="200"/>
        <w:rPr>
          <w:rFonts w:hint="eastAsia"/>
          <w:sz w:val="24"/>
          <w:szCs w:val="32"/>
          <w:lang w:val="en-US" w:eastAsia="zh-CN"/>
        </w:rPr>
      </w:pPr>
      <w:r>
        <w:rPr>
          <w:rFonts w:hint="eastAsia"/>
          <w:sz w:val="24"/>
          <w:szCs w:val="32"/>
          <w:lang w:val="en-US" w:eastAsia="zh-CN"/>
        </w:rPr>
        <w:t>1、因产品质量原因造成凝结器和冷油器结垢、腐蚀，使设备无法正常运行的情况由供药商方承担所有责任（结垢清洗所有费用，腐蚀造成的更换设备费用）。</w:t>
      </w:r>
    </w:p>
    <w:p w14:paraId="79F11DA5">
      <w:pPr>
        <w:numPr>
          <w:ilvl w:val="0"/>
          <w:numId w:val="0"/>
        </w:numPr>
        <w:ind w:leftChars="0" w:firstLine="480" w:firstLineChars="200"/>
        <w:rPr>
          <w:rFonts w:hint="eastAsia"/>
          <w:sz w:val="24"/>
          <w:szCs w:val="32"/>
          <w:lang w:val="en-US" w:eastAsia="zh-CN"/>
        </w:rPr>
      </w:pPr>
      <w:r>
        <w:rPr>
          <w:rFonts w:hint="eastAsia"/>
          <w:sz w:val="24"/>
          <w:szCs w:val="32"/>
          <w:lang w:val="en-US" w:eastAsia="zh-CN"/>
        </w:rPr>
        <w:t>2、因产品质量原因造成反渗透膜的氧化、污堵，应由药剂商免费提供化学清洗或更换反渗透膜。</w:t>
      </w:r>
    </w:p>
    <w:p w14:paraId="287D93EF">
      <w:pPr>
        <w:jc w:val="center"/>
        <w:rPr>
          <w:rFonts w:hint="default" w:ascii="Times New Roman" w:hAnsi="Times New Roman" w:cs="Times New Roman"/>
          <w:b/>
          <w:bCs/>
          <w:sz w:val="28"/>
          <w:szCs w:val="28"/>
          <w:highlight w:val="none"/>
          <w:lang w:val="en-US" w:eastAsia="zh-CN"/>
        </w:rPr>
      </w:pPr>
      <w:r>
        <w:rPr>
          <w:rFonts w:hint="default" w:ascii="Times New Roman" w:hAnsi="Times New Roman" w:cs="Times New Roman"/>
          <w:b/>
          <w:bCs/>
          <w:sz w:val="28"/>
          <w:szCs w:val="28"/>
          <w:highlight w:val="none"/>
          <w:lang w:eastAsia="zh-CN"/>
        </w:rPr>
        <w:t>药剂用量</w:t>
      </w:r>
      <w:r>
        <w:rPr>
          <w:rFonts w:hint="eastAsia" w:cs="Times New Roman"/>
          <w:b/>
          <w:bCs/>
          <w:sz w:val="28"/>
          <w:szCs w:val="28"/>
          <w:highlight w:val="none"/>
          <w:lang w:val="en-US" w:eastAsia="zh-CN"/>
        </w:rPr>
        <w:t>使用参考表</w:t>
      </w:r>
    </w:p>
    <w:tbl>
      <w:tblPr>
        <w:tblStyle w:val="21"/>
        <w:tblW w:w="822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77"/>
        <w:gridCol w:w="1630"/>
        <w:gridCol w:w="1354"/>
        <w:gridCol w:w="1906"/>
        <w:gridCol w:w="1077"/>
        <w:gridCol w:w="1077"/>
      </w:tblGrid>
      <w:tr w14:paraId="47931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24F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系统名称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4F3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产品型号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819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投加浓度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687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天（次）用量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30B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月用量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415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年用量</w:t>
            </w:r>
          </w:p>
        </w:tc>
      </w:tr>
      <w:tr w14:paraId="064F8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8874F">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9438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70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mg/L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1A0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709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7CE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kg</w:t>
            </w:r>
          </w:p>
        </w:tc>
      </w:tr>
      <w:tr w14:paraId="47002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080D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余热发电循环水系统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FA8E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缓蚀阻垢剂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D84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E85C9">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5743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8F1A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3600</w:t>
            </w:r>
          </w:p>
        </w:tc>
      </w:tr>
      <w:tr w14:paraId="252FC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7288D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2BFD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杀菌灭藻剂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3E5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C973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25/每月4次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E5537">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4550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1200</w:t>
            </w:r>
          </w:p>
        </w:tc>
      </w:tr>
      <w:tr w14:paraId="4E2B4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44BFE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C32F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黏泥剥离剂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42E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E5E9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sz w:val="24"/>
                <w:szCs w:val="24"/>
                <w:u w:val="none"/>
                <w:lang w:val="en-US" w:eastAsia="zh-CN"/>
              </w:rPr>
              <w:t>75/每月2次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E197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DEF99">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1800</w:t>
            </w:r>
          </w:p>
        </w:tc>
      </w:tr>
      <w:tr w14:paraId="758F4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E77E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余热发电反渗透系统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2671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阻垢剂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BB5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D935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B969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84973">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600</w:t>
            </w:r>
          </w:p>
        </w:tc>
      </w:tr>
      <w:tr w14:paraId="33AF5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932A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5974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杀菌剂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34F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001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1.67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8D29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A40E3">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600</w:t>
            </w:r>
          </w:p>
        </w:tc>
      </w:tr>
      <w:tr w14:paraId="665CF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A476F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3912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絮凝剂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09F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A34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1.67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CC0A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AFC6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600</w:t>
            </w:r>
          </w:p>
        </w:tc>
      </w:tr>
      <w:tr w14:paraId="52E38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9E332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FA25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还原剂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511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B3A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1.67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A54D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E8A39">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600</w:t>
            </w:r>
          </w:p>
        </w:tc>
      </w:tr>
      <w:tr w14:paraId="56F92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EC379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BA22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碱性清洗剂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D13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4A3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D01D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6630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300</w:t>
            </w:r>
          </w:p>
        </w:tc>
      </w:tr>
      <w:tr w14:paraId="75B5C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A7EC6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BB13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酸性清洗剂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540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BBE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83EB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C35A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300</w:t>
            </w:r>
          </w:p>
        </w:tc>
      </w:tr>
    </w:tbl>
    <w:p w14:paraId="4DAC8908">
      <w:pPr>
        <w:pStyle w:val="41"/>
        <w:wordWrap w:val="0"/>
        <w:ind w:firstLine="0" w:firstLineChars="0"/>
        <w:jc w:val="left"/>
        <w:rPr>
          <w:rFonts w:eastAsia="黑体"/>
          <w:color w:val="000000" w:themeColor="text1"/>
          <w:sz w:val="28"/>
          <w:szCs w:val="44"/>
          <w:highlight w:val="none"/>
          <w14:textFill>
            <w14:solidFill>
              <w14:schemeClr w14:val="tx1"/>
            </w14:solidFill>
          </w14:textFill>
        </w:rPr>
      </w:pPr>
    </w:p>
    <w:p w14:paraId="5C206418">
      <w:pPr>
        <w:tabs>
          <w:tab w:val="left" w:pos="7503"/>
        </w:tabs>
        <w:bidi w:val="0"/>
        <w:jc w:val="left"/>
        <w:rPr>
          <w:rFonts w:hint="default"/>
          <w:lang w:val="en-US" w:eastAsia="zh-CN"/>
        </w:rPr>
      </w:pPr>
      <w:r>
        <w:rPr>
          <w:rFonts w:hint="eastAsia"/>
          <w:lang w:val="en-US" w:eastAsia="zh-CN"/>
        </w:rPr>
        <w:t>备注：上述药剂使用量为项目正常运行情况下的使用量，此用量仅作参考，具体用量由响应人根据现场水质、设备等情况综合考虑报价。</w:t>
      </w:r>
    </w:p>
    <w:p w14:paraId="53652294">
      <w:pPr>
        <w:pStyle w:val="41"/>
        <w:wordWrap w:val="0"/>
        <w:ind w:firstLine="0" w:firstLineChars="0"/>
        <w:jc w:val="left"/>
        <w:rPr>
          <w:rFonts w:eastAsia="黑体"/>
          <w:color w:val="000000" w:themeColor="text1"/>
          <w:sz w:val="28"/>
          <w:szCs w:val="44"/>
          <w:highlight w:val="none"/>
          <w14:textFill>
            <w14:solidFill>
              <w14:schemeClr w14:val="tx1"/>
            </w14:solidFill>
          </w14:textFill>
        </w:rPr>
      </w:pPr>
    </w:p>
    <w:p w14:paraId="63D50391">
      <w:pPr>
        <w:pStyle w:val="41"/>
        <w:wordWrap w:val="0"/>
        <w:ind w:firstLine="0" w:firstLineChars="0"/>
        <w:jc w:val="left"/>
        <w:rPr>
          <w:rFonts w:eastAsia="黑体"/>
          <w:color w:val="000000" w:themeColor="text1"/>
          <w:sz w:val="28"/>
          <w:szCs w:val="44"/>
          <w:highlight w:val="none"/>
          <w14:textFill>
            <w14:solidFill>
              <w14:schemeClr w14:val="tx1"/>
            </w14:solidFill>
          </w14:textFill>
        </w:rPr>
      </w:pPr>
    </w:p>
    <w:p w14:paraId="71382CCE">
      <w:pPr>
        <w:pStyle w:val="41"/>
        <w:wordWrap w:val="0"/>
        <w:ind w:firstLine="0" w:firstLineChars="0"/>
        <w:jc w:val="left"/>
        <w:rPr>
          <w:rFonts w:eastAsia="黑体"/>
          <w:color w:val="000000" w:themeColor="text1"/>
          <w:sz w:val="28"/>
          <w:szCs w:val="44"/>
          <w:highlight w:val="none"/>
          <w14:textFill>
            <w14:solidFill>
              <w14:schemeClr w14:val="tx1"/>
            </w14:solidFill>
          </w14:textFill>
        </w:rPr>
      </w:pPr>
    </w:p>
    <w:p w14:paraId="511BBCF6">
      <w:pPr>
        <w:pStyle w:val="41"/>
        <w:wordWrap w:val="0"/>
        <w:ind w:firstLine="0" w:firstLineChars="0"/>
        <w:jc w:val="left"/>
        <w:rPr>
          <w:rFonts w:eastAsia="黑体"/>
          <w:color w:val="000000" w:themeColor="text1"/>
          <w:sz w:val="28"/>
          <w:szCs w:val="44"/>
          <w:highlight w:val="none"/>
          <w14:textFill>
            <w14:solidFill>
              <w14:schemeClr w14:val="tx1"/>
            </w14:solidFill>
          </w14:textFill>
        </w:rPr>
      </w:pPr>
    </w:p>
    <w:p w14:paraId="773E8D56">
      <w:pPr>
        <w:pStyle w:val="41"/>
        <w:wordWrap w:val="0"/>
        <w:ind w:firstLine="0" w:firstLineChars="0"/>
        <w:jc w:val="left"/>
        <w:rPr>
          <w:rFonts w:eastAsia="黑体"/>
          <w:color w:val="000000" w:themeColor="text1"/>
          <w:sz w:val="28"/>
          <w:szCs w:val="44"/>
          <w:highlight w:val="none"/>
          <w14:textFill>
            <w14:solidFill>
              <w14:schemeClr w14:val="tx1"/>
            </w14:solidFill>
          </w14:textFill>
        </w:rPr>
      </w:pPr>
    </w:p>
    <w:p w14:paraId="13AB6682">
      <w:pPr>
        <w:pStyle w:val="41"/>
        <w:wordWrap w:val="0"/>
        <w:ind w:firstLine="0" w:firstLineChars="0"/>
        <w:jc w:val="left"/>
        <w:rPr>
          <w:rFonts w:eastAsia="黑体"/>
          <w:color w:val="000000" w:themeColor="text1"/>
          <w:sz w:val="28"/>
          <w:szCs w:val="44"/>
          <w:highlight w:val="none"/>
          <w14:textFill>
            <w14:solidFill>
              <w14:schemeClr w14:val="tx1"/>
            </w14:solidFill>
          </w14:textFill>
        </w:rPr>
      </w:pPr>
    </w:p>
    <w:p w14:paraId="00AAFF2A">
      <w:pPr>
        <w:pStyle w:val="41"/>
        <w:wordWrap w:val="0"/>
        <w:ind w:firstLine="0" w:firstLineChars="0"/>
        <w:jc w:val="left"/>
        <w:rPr>
          <w:rFonts w:hint="eastAsia" w:eastAsia="黑体"/>
          <w:color w:val="auto"/>
          <w:sz w:val="28"/>
          <w:szCs w:val="44"/>
          <w:highlight w:val="none"/>
          <w:lang w:eastAsia="zh-CN"/>
        </w:rPr>
      </w:pPr>
      <w:r>
        <w:rPr>
          <w:rFonts w:eastAsia="黑体"/>
          <w:color w:val="000000" w:themeColor="text1"/>
          <w:sz w:val="28"/>
          <w:szCs w:val="44"/>
          <w:highlight w:val="none"/>
          <w14:textFill>
            <w14:solidFill>
              <w14:schemeClr w14:val="tx1"/>
            </w14:solidFill>
          </w14:textFill>
        </w:rPr>
        <w:t>附件</w:t>
      </w:r>
      <w:r>
        <w:rPr>
          <w:rFonts w:hint="eastAsia" w:eastAsia="黑体"/>
          <w:color w:val="000000" w:themeColor="text1"/>
          <w:sz w:val="28"/>
          <w:szCs w:val="44"/>
          <w:highlight w:val="none"/>
          <w:lang w:val="en-US" w:eastAsia="zh-CN"/>
          <w14:textFill>
            <w14:solidFill>
              <w14:schemeClr w14:val="tx1"/>
            </w14:solidFill>
          </w14:textFill>
        </w:rPr>
        <w:t xml:space="preserve">七 </w:t>
      </w:r>
      <w:r>
        <w:rPr>
          <w:rFonts w:hint="eastAsia" w:eastAsia="黑体"/>
          <w:color w:val="000000" w:themeColor="text1"/>
          <w:sz w:val="28"/>
          <w:szCs w:val="44"/>
          <w:highlight w:val="none"/>
          <w14:textFill>
            <w14:solidFill>
              <w14:schemeClr w14:val="tx1"/>
            </w14:solidFill>
          </w14:textFill>
        </w:rPr>
        <w:t>合同模板</w:t>
      </w:r>
    </w:p>
    <w:p w14:paraId="7B7C7203">
      <w:pPr>
        <w:rPr>
          <w:color w:val="auto"/>
          <w:highlight w:val="none"/>
        </w:rPr>
      </w:pPr>
    </w:p>
    <w:p w14:paraId="35DDB2B7">
      <w:pPr>
        <w:spacing w:after="156" w:afterLines="50" w:line="360" w:lineRule="auto"/>
        <w:jc w:val="center"/>
        <w:rPr>
          <w:rFonts w:hint="eastAsia" w:eastAsia="黑体"/>
          <w:b/>
          <w:color w:val="auto"/>
          <w:sz w:val="36"/>
          <w:szCs w:val="36"/>
          <w:highlight w:val="none"/>
          <w:lang w:val="en-US" w:eastAsia="zh-CN"/>
        </w:rPr>
      </w:pPr>
      <w:r>
        <w:rPr>
          <w:rFonts w:hint="eastAsia" w:eastAsia="黑体"/>
          <w:b/>
          <w:color w:val="auto"/>
          <w:sz w:val="36"/>
          <w:szCs w:val="36"/>
          <w:highlight w:val="none"/>
          <w:lang w:val="en-US" w:eastAsia="zh-CN"/>
        </w:rPr>
        <w:t>阳江开能环保能源有限公司</w:t>
      </w:r>
    </w:p>
    <w:p w14:paraId="7B28A5FB">
      <w:pPr>
        <w:spacing w:after="156" w:afterLines="50" w:line="360" w:lineRule="auto"/>
        <w:jc w:val="center"/>
        <w:rPr>
          <w:rFonts w:hint="default" w:eastAsia="黑体"/>
          <w:b/>
          <w:color w:val="auto"/>
          <w:sz w:val="36"/>
          <w:szCs w:val="36"/>
          <w:highlight w:val="none"/>
          <w:lang w:val="en-US"/>
        </w:rPr>
      </w:pPr>
      <w:r>
        <w:rPr>
          <w:rFonts w:hint="eastAsia" w:eastAsia="黑体"/>
          <w:b/>
          <w:color w:val="auto"/>
          <w:sz w:val="36"/>
          <w:szCs w:val="36"/>
          <w:highlight w:val="none"/>
          <w:lang w:val="en-US" w:eastAsia="zh-CN"/>
        </w:rPr>
        <w:t>2026年水处理系统化学药品服务项目合同</w:t>
      </w:r>
    </w:p>
    <w:p w14:paraId="00DE1717">
      <w:pPr>
        <w:spacing w:line="360" w:lineRule="auto"/>
        <w:ind w:firstLine="363" w:firstLineChars="173"/>
        <w:rPr>
          <w:rFonts w:ascii="宋体" w:hAnsi="宋体"/>
          <w:color w:val="auto"/>
          <w:szCs w:val="21"/>
          <w:highlight w:val="none"/>
        </w:rPr>
      </w:pPr>
    </w:p>
    <w:p w14:paraId="4508DED6">
      <w:pPr>
        <w:adjustRightInd w:val="0"/>
        <w:snapToGrid w:val="0"/>
        <w:spacing w:line="360" w:lineRule="auto"/>
        <w:jc w:val="left"/>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lang w:val="en-US" w:eastAsia="zh-CN"/>
        </w:rPr>
        <w:t>甲方（全称）</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szCs w:val="21"/>
          <w:highlight w:val="none"/>
          <w:u w:val="single"/>
        </w:rPr>
        <w:t>阳江开能环保能源有限公司</w:t>
      </w:r>
    </w:p>
    <w:p w14:paraId="3E84498E">
      <w:pPr>
        <w:spacing w:line="360" w:lineRule="auto"/>
        <w:ind w:firstLine="363" w:firstLineChars="173"/>
        <w:rPr>
          <w:rFonts w:asciiTheme="minorEastAsia" w:hAnsiTheme="minorEastAsia" w:eastAsiaTheme="minorEastAsia"/>
          <w:color w:val="auto"/>
          <w:szCs w:val="21"/>
          <w:highlight w:val="none"/>
        </w:rPr>
      </w:pPr>
    </w:p>
    <w:p w14:paraId="49C7F5EB">
      <w:pPr>
        <w:spacing w:line="360" w:lineRule="auto"/>
        <w:rPr>
          <w:rFonts w:ascii="宋体"/>
          <w:color w:val="auto"/>
          <w:szCs w:val="21"/>
          <w:highlight w:val="none"/>
        </w:rPr>
      </w:pPr>
      <w:r>
        <w:rPr>
          <w:rFonts w:hint="eastAsia" w:ascii="宋体" w:hAnsi="宋体"/>
          <w:color w:val="auto"/>
          <w:szCs w:val="21"/>
          <w:highlight w:val="none"/>
          <w:lang w:val="en-US" w:eastAsia="zh-CN"/>
        </w:rPr>
        <w:t>乙方（全称）</w:t>
      </w:r>
      <w:r>
        <w:rPr>
          <w:rFonts w:hint="eastAsia" w:ascii="宋体" w:hAnsi="宋体"/>
          <w:color w:val="auto"/>
          <w:szCs w:val="21"/>
          <w:highlight w:val="none"/>
        </w:rPr>
        <w:t>：</w:t>
      </w:r>
    </w:p>
    <w:p w14:paraId="57DE4DB5">
      <w:pPr>
        <w:spacing w:line="360" w:lineRule="auto"/>
        <w:rPr>
          <w:rFonts w:asciiTheme="minorEastAsia" w:hAnsiTheme="minorEastAsia" w:eastAsiaTheme="minorEastAsia"/>
          <w:color w:val="auto"/>
          <w:szCs w:val="21"/>
          <w:highlight w:val="none"/>
        </w:rPr>
      </w:pPr>
    </w:p>
    <w:p w14:paraId="3B553ABE">
      <w:pPr>
        <w:spacing w:before="156" w:beforeLines="50" w:line="360" w:lineRule="auto"/>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根据《中华人民共和国</w:t>
      </w:r>
      <w:r>
        <w:rPr>
          <w:rFonts w:hint="eastAsia" w:asciiTheme="minorEastAsia" w:hAnsiTheme="minorEastAsia" w:eastAsiaTheme="minorEastAsia"/>
          <w:color w:val="auto"/>
          <w:szCs w:val="21"/>
          <w:highlight w:val="none"/>
          <w:lang w:val="en-US" w:eastAsia="zh-CN"/>
        </w:rPr>
        <w:t>民法典</w:t>
      </w:r>
      <w:r>
        <w:rPr>
          <w:rFonts w:hint="eastAsia" w:asciiTheme="minorEastAsia" w:hAnsiTheme="minorEastAsia" w:eastAsiaTheme="minorEastAsia"/>
          <w:color w:val="auto"/>
          <w:szCs w:val="21"/>
          <w:highlight w:val="none"/>
        </w:rPr>
        <w:t>》等法规，甲乙双方本着平等互利、友好合作的精神，就</w:t>
      </w:r>
      <w:r>
        <w:rPr>
          <w:rFonts w:hint="eastAsia" w:asciiTheme="minorEastAsia" w:hAnsiTheme="minorEastAsia" w:eastAsiaTheme="minorEastAsia"/>
          <w:color w:val="auto"/>
          <w:szCs w:val="21"/>
          <w:highlight w:val="none"/>
          <w:lang w:val="en-US" w:eastAsia="zh-CN"/>
        </w:rPr>
        <w:t>甲方</w:t>
      </w:r>
      <w:r>
        <w:rPr>
          <w:rFonts w:hint="eastAsia" w:asciiTheme="minorEastAsia" w:hAnsiTheme="minorEastAsia" w:eastAsiaTheme="minorEastAsia"/>
          <w:color w:val="auto"/>
          <w:szCs w:val="21"/>
          <w:highlight w:val="none"/>
          <w:u w:val="single"/>
          <w:lang w:val="en-US" w:eastAsia="zh-CN"/>
        </w:rPr>
        <w:t>2024年水处理系统化学药品服务项目</w:t>
      </w:r>
      <w:r>
        <w:rPr>
          <w:rFonts w:hint="eastAsia" w:asciiTheme="minorEastAsia" w:hAnsiTheme="minorEastAsia" w:eastAsiaTheme="minorEastAsia"/>
          <w:color w:val="auto"/>
          <w:szCs w:val="21"/>
          <w:highlight w:val="none"/>
        </w:rPr>
        <w:t>达成一致意见，签订合同条款如下：</w:t>
      </w:r>
    </w:p>
    <w:p w14:paraId="58DAB02D">
      <w:pPr>
        <w:pStyle w:val="44"/>
        <w:numPr>
          <w:ilvl w:val="0"/>
          <w:numId w:val="5"/>
        </w:numPr>
        <w:spacing w:before="156" w:beforeLines="50"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lang w:val="en-US" w:eastAsia="zh-CN"/>
        </w:rPr>
        <w:t>服务项目内容</w:t>
      </w:r>
      <w:r>
        <w:rPr>
          <w:rFonts w:hint="eastAsia" w:asciiTheme="minorEastAsia" w:hAnsiTheme="minorEastAsia" w:eastAsiaTheme="minorEastAsia"/>
          <w:b/>
          <w:color w:val="auto"/>
          <w:szCs w:val="21"/>
          <w:highlight w:val="none"/>
        </w:rPr>
        <w:t>：</w:t>
      </w:r>
    </w:p>
    <w:p w14:paraId="1D5CFAB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b/>
          <w:color w:val="auto"/>
          <w:szCs w:val="21"/>
          <w:highlight w:val="none"/>
        </w:rPr>
      </w:pPr>
      <w:r>
        <w:rPr>
          <w:rFonts w:hint="eastAsia" w:asciiTheme="minorEastAsia" w:hAnsiTheme="minorEastAsia" w:eastAsiaTheme="minorEastAsia"/>
          <w:color w:val="auto"/>
          <w:szCs w:val="21"/>
          <w:highlight w:val="none"/>
          <w:lang w:val="en-US" w:eastAsia="zh-CN"/>
        </w:rPr>
        <w:t>合同项下服务项目包含阳江开能环保能源有限公司余热发电锅炉补给水处理系统（反渗透系统）化学药品及循环水处理药剂服务的供应。乙方应根据项目现场水质进行小型试验，本着环保、节能减排的前提，筛选符合本项目的药剂配方，为甲方提供优质的水处理药剂。同时，乙方应每月定期现场服务一次，依据现场水质情况进行及时有效的调整控制指标或加药量，并出具分析报告和指导性的建议。锅炉补给水处理系统（反渗透系统）化学药品供应种类:絮凝剂、杀菌剂、还原剂、阻垢剂、碱性清洗剂、酸性清洗剂。循环水处理系统化学药品供应种类:缓蚀阻垢剂、杀菌灭藻剂、黏泥剥离剂。相关技术导则、规范、标准依据GB50050-2007工业循环水处理设计规范。    </w:t>
      </w:r>
      <w:r>
        <w:rPr>
          <w:rFonts w:hint="eastAsia" w:asciiTheme="minorEastAsia" w:hAnsiTheme="minorEastAsia" w:eastAsiaTheme="minorEastAsia"/>
          <w:color w:val="auto"/>
          <w:szCs w:val="21"/>
          <w:highlight w:val="none"/>
        </w:rPr>
        <w:t xml:space="preserve">       </w:t>
      </w:r>
    </w:p>
    <w:p w14:paraId="6F0F3D81">
      <w:pPr>
        <w:numPr>
          <w:ilvl w:val="0"/>
          <w:numId w:val="5"/>
        </w:numPr>
        <w:spacing w:line="360" w:lineRule="auto"/>
        <w:ind w:left="870" w:hanging="870"/>
        <w:rPr>
          <w:rFonts w:hint="eastAsia"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lang w:val="en-US" w:eastAsia="zh-CN"/>
        </w:rPr>
        <w:t>服务项目相关要求</w:t>
      </w:r>
      <w:r>
        <w:rPr>
          <w:rFonts w:hint="eastAsia" w:asciiTheme="minorEastAsia" w:hAnsiTheme="minorEastAsia" w:eastAsiaTheme="minorEastAsia"/>
          <w:b/>
          <w:color w:val="auto"/>
          <w:szCs w:val="21"/>
          <w:highlight w:val="none"/>
        </w:rPr>
        <w:t>：</w:t>
      </w:r>
    </w:p>
    <w:p w14:paraId="03E0257F">
      <w:pPr>
        <w:spacing w:line="360" w:lineRule="auto"/>
        <w:rPr>
          <w:rFonts w:ascii="宋体" w:hAnsi="宋体"/>
          <w:b w:val="0"/>
          <w:bCs/>
          <w:color w:val="auto"/>
          <w:szCs w:val="21"/>
          <w:highlight w:val="none"/>
        </w:rPr>
      </w:pPr>
      <w:r>
        <w:rPr>
          <w:rFonts w:hint="eastAsia" w:asciiTheme="minorEastAsia" w:hAnsiTheme="minorEastAsia" w:eastAsiaTheme="minorEastAsia"/>
          <w:b w:val="0"/>
          <w:bCs/>
          <w:color w:val="auto"/>
          <w:szCs w:val="21"/>
          <w:highlight w:val="none"/>
        </w:rPr>
        <w:t>（</w:t>
      </w:r>
      <w:r>
        <w:rPr>
          <w:rFonts w:hint="eastAsia" w:asciiTheme="minorEastAsia" w:hAnsiTheme="minorEastAsia" w:eastAsiaTheme="minorEastAsia"/>
          <w:b w:val="0"/>
          <w:bCs/>
          <w:color w:val="auto"/>
          <w:szCs w:val="21"/>
          <w:highlight w:val="none"/>
          <w:lang w:val="en-US" w:eastAsia="zh-CN"/>
        </w:rPr>
        <w:t>一</w:t>
      </w:r>
      <w:r>
        <w:rPr>
          <w:rFonts w:hint="eastAsia" w:asciiTheme="minorEastAsia" w:hAnsiTheme="minorEastAsia" w:eastAsiaTheme="minorEastAsia"/>
          <w:b w:val="0"/>
          <w:bCs/>
          <w:color w:val="auto"/>
          <w:szCs w:val="21"/>
          <w:highlight w:val="none"/>
        </w:rPr>
        <w:t>）</w:t>
      </w:r>
      <w:r>
        <w:rPr>
          <w:rFonts w:hint="eastAsia" w:asciiTheme="minorEastAsia" w:hAnsiTheme="minorEastAsia" w:eastAsiaTheme="minorEastAsia"/>
          <w:b w:val="0"/>
          <w:bCs/>
          <w:color w:val="auto"/>
          <w:szCs w:val="21"/>
          <w:highlight w:val="none"/>
          <w:lang w:val="en-US" w:eastAsia="zh-CN"/>
        </w:rPr>
        <w:t>循环水处理工艺参数及药品使用要求</w:t>
      </w:r>
      <w:r>
        <w:rPr>
          <w:rFonts w:hint="eastAsia" w:ascii="宋体" w:hAnsi="宋体"/>
          <w:b w:val="0"/>
          <w:bCs/>
          <w:color w:val="auto"/>
          <w:szCs w:val="21"/>
          <w:highlight w:val="none"/>
        </w:rPr>
        <w:t>：</w:t>
      </w:r>
    </w:p>
    <w:p w14:paraId="3A975170">
      <w:pPr>
        <w:numPr>
          <w:ilvl w:val="0"/>
          <w:numId w:val="0"/>
        </w:numPr>
        <w:ind w:left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1、工艺参数：</w:t>
      </w:r>
    </w:p>
    <w:p w14:paraId="37ADB363">
      <w:pPr>
        <w:tabs>
          <w:tab w:val="left" w:pos="720"/>
          <w:tab w:val="left" w:pos="5160"/>
        </w:tabs>
        <w:snapToGrid w:val="0"/>
        <w:spacing w:line="312"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（1）余热发电</w:t>
      </w:r>
      <w:r>
        <w:rPr>
          <w:rFonts w:hint="eastAsia" w:ascii="宋体" w:hAnsi="宋体" w:eastAsia="宋体" w:cs="宋体"/>
          <w:color w:val="auto"/>
          <w:sz w:val="21"/>
          <w:szCs w:val="21"/>
          <w:highlight w:val="none"/>
          <w:u w:val="single"/>
        </w:rPr>
        <w:t>冷却水系统参数</w:t>
      </w:r>
      <w:r>
        <w:rPr>
          <w:rFonts w:hint="eastAsia" w:ascii="宋体" w:hAnsi="宋体" w:eastAsia="宋体" w:cs="宋体"/>
          <w:color w:val="auto"/>
          <w:sz w:val="21"/>
          <w:szCs w:val="21"/>
          <w:highlight w:val="none"/>
        </w:rPr>
        <w:t xml:space="preserve">                    </w:t>
      </w:r>
    </w:p>
    <w:p w14:paraId="1379C9EF">
      <w:pPr>
        <w:tabs>
          <w:tab w:val="left" w:pos="360"/>
          <w:tab w:val="left" w:pos="600"/>
          <w:tab w:val="left" w:pos="5160"/>
        </w:tabs>
        <w:snapToGrid w:val="0"/>
        <w:spacing w:line="312"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循环水量                    </w:t>
      </w:r>
      <w:r>
        <w:rPr>
          <w:rFonts w:hint="eastAsia" w:ascii="宋体" w:hAnsi="宋体" w:cs="宋体"/>
          <w:color w:val="auto"/>
          <w:sz w:val="21"/>
          <w:szCs w:val="21"/>
          <w:highlight w:val="none"/>
          <w:lang w:val="en-US" w:eastAsia="zh-CN"/>
        </w:rPr>
        <w:t>40</w:t>
      </w:r>
      <w:r>
        <w:rPr>
          <w:rFonts w:hint="eastAsia" w:ascii="宋体" w:hAnsi="宋体" w:eastAsia="宋体" w:cs="宋体"/>
          <w:color w:val="auto"/>
          <w:sz w:val="21"/>
          <w:szCs w:val="21"/>
          <w:highlight w:val="none"/>
        </w:rPr>
        <w:t>00 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/h（平均）；（2开1备）</w:t>
      </w:r>
    </w:p>
    <w:p w14:paraId="0F74B680">
      <w:pPr>
        <w:tabs>
          <w:tab w:val="left" w:pos="360"/>
          <w:tab w:val="left" w:pos="600"/>
          <w:tab w:val="left" w:pos="5160"/>
        </w:tabs>
        <w:snapToGrid w:val="0"/>
        <w:spacing w:line="312" w:lineRule="auto"/>
        <w:ind w:left="0" w:leftChars="0" w:firstLine="558" w:firstLineChars="266"/>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 xml:space="preserve">凝汽器材质                   </w:t>
      </w:r>
      <w:r>
        <w:rPr>
          <w:rFonts w:hint="eastAsia" w:ascii="宋体" w:hAnsi="宋体" w:eastAsia="宋体" w:cs="宋体"/>
          <w:color w:val="auto"/>
          <w:sz w:val="21"/>
          <w:szCs w:val="21"/>
          <w:highlight w:val="none"/>
          <w:lang w:val="en-US" w:eastAsia="zh-CN"/>
        </w:rPr>
        <w:t>管束不锈钢，筒体碳钢</w:t>
      </w:r>
    </w:p>
    <w:p w14:paraId="286AFD8A">
      <w:pPr>
        <w:tabs>
          <w:tab w:val="left" w:pos="360"/>
          <w:tab w:val="left" w:pos="600"/>
          <w:tab w:val="left" w:pos="5160"/>
        </w:tabs>
        <w:snapToGrid w:val="0"/>
        <w:spacing w:line="312"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）余热发电锅炉补给水处理系统：</w:t>
      </w:r>
    </w:p>
    <w:p w14:paraId="3076E167">
      <w:pPr>
        <w:tabs>
          <w:tab w:val="left" w:pos="360"/>
          <w:tab w:val="left" w:pos="600"/>
          <w:tab w:val="left" w:pos="5160"/>
        </w:tabs>
        <w:snapToGrid w:val="0"/>
        <w:spacing w:line="312"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工艺流程：原水-多介质过滤器-活性炭过滤器-一级反渗透-二级反渗透  </w:t>
      </w:r>
    </w:p>
    <w:p w14:paraId="2FE5F7B0">
      <w:pPr>
        <w:tabs>
          <w:tab w:val="left" w:pos="360"/>
          <w:tab w:val="left" w:pos="600"/>
          <w:tab w:val="left" w:pos="5160"/>
        </w:tabs>
        <w:snapToGrid w:val="0"/>
        <w:spacing w:line="312"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系统制水能力28吨/时。</w:t>
      </w:r>
    </w:p>
    <w:p w14:paraId="20095967">
      <w:pPr>
        <w:numPr>
          <w:ilvl w:val="0"/>
          <w:numId w:val="0"/>
        </w:numPr>
        <w:ind w:left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2、执行标准</w:t>
      </w:r>
    </w:p>
    <w:p w14:paraId="18C6CE40">
      <w:pPr>
        <w:numPr>
          <w:ilvl w:val="0"/>
          <w:numId w:val="0"/>
        </w:numPr>
        <w:ind w:left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1、依据GB50050-2007工业循环水处理设计规范。循环水处理系统控制指标满足以下要求：</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6"/>
        <w:gridCol w:w="3809"/>
      </w:tblGrid>
      <w:tr w14:paraId="61581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2D523C59">
            <w:pPr>
              <w:snapToGrid w:val="0"/>
              <w:spacing w:line="312" w:lineRule="auto"/>
              <w:ind w:right="-153"/>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CoC (浓缩倍数)</w:t>
            </w:r>
            <w:r>
              <w:rPr>
                <w:rFonts w:hint="eastAsia" w:ascii="宋体" w:hAnsi="宋体" w:eastAsia="宋体" w:cs="宋体"/>
                <w:color w:val="auto"/>
                <w:sz w:val="21"/>
                <w:szCs w:val="21"/>
                <w:highlight w:val="none"/>
                <w:lang w:val="en-US" w:eastAsia="zh-CN"/>
              </w:rPr>
              <w:t xml:space="preserve"> ＞7</w:t>
            </w:r>
          </w:p>
        </w:tc>
        <w:tc>
          <w:tcPr>
            <w:tcW w:w="3809" w:type="dxa"/>
            <w:shd w:val="clear" w:color="auto" w:fill="FFFF00"/>
            <w:noWrap w:val="0"/>
            <w:vAlign w:val="top"/>
          </w:tcPr>
          <w:p w14:paraId="3F5C7B0C">
            <w:pPr>
              <w:snapToGrid w:val="0"/>
              <w:spacing w:line="312" w:lineRule="auto"/>
              <w:ind w:right="-153"/>
              <w:rPr>
                <w:rFonts w:hint="eastAsia" w:ascii="宋体" w:hAnsi="宋体" w:eastAsia="宋体" w:cs="宋体"/>
                <w:color w:val="auto"/>
                <w:sz w:val="21"/>
                <w:szCs w:val="21"/>
                <w:highlight w:val="none"/>
              </w:rPr>
            </w:pPr>
          </w:p>
        </w:tc>
      </w:tr>
      <w:tr w14:paraId="21879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16" w:type="dxa"/>
            <w:noWrap w:val="0"/>
            <w:vAlign w:val="top"/>
          </w:tcPr>
          <w:p w14:paraId="2E04594F">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pH</w:t>
            </w:r>
          </w:p>
        </w:tc>
        <w:tc>
          <w:tcPr>
            <w:tcW w:w="3809" w:type="dxa"/>
            <w:shd w:val="clear" w:color="auto" w:fill="FFFF00"/>
            <w:noWrap w:val="0"/>
            <w:vAlign w:val="top"/>
          </w:tcPr>
          <w:p w14:paraId="6F48A041">
            <w:pPr>
              <w:snapToGrid w:val="0"/>
              <w:spacing w:line="312" w:lineRule="auto"/>
              <w:ind w:right="-153"/>
              <w:rPr>
                <w:rFonts w:hint="eastAsia" w:ascii="宋体" w:hAnsi="宋体" w:eastAsia="宋体" w:cs="宋体"/>
                <w:color w:val="auto"/>
                <w:sz w:val="21"/>
                <w:szCs w:val="21"/>
                <w:highlight w:val="none"/>
              </w:rPr>
            </w:pPr>
          </w:p>
        </w:tc>
      </w:tr>
      <w:tr w14:paraId="0341B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724E66AC">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电导率</w:t>
            </w:r>
          </w:p>
        </w:tc>
        <w:tc>
          <w:tcPr>
            <w:tcW w:w="3809" w:type="dxa"/>
            <w:shd w:val="clear" w:color="auto" w:fill="FFFF00"/>
            <w:noWrap w:val="0"/>
            <w:vAlign w:val="top"/>
          </w:tcPr>
          <w:p w14:paraId="7E9CCACB">
            <w:pPr>
              <w:snapToGrid w:val="0"/>
              <w:spacing w:line="312" w:lineRule="auto"/>
              <w:ind w:right="-153"/>
              <w:rPr>
                <w:rFonts w:hint="eastAsia" w:ascii="宋体" w:hAnsi="宋体" w:eastAsia="宋体" w:cs="宋体"/>
                <w:color w:val="auto"/>
                <w:sz w:val="21"/>
                <w:szCs w:val="21"/>
                <w:highlight w:val="none"/>
              </w:rPr>
            </w:pPr>
          </w:p>
        </w:tc>
      </w:tr>
      <w:tr w14:paraId="43E7E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4F0BF6B0">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硬度</w:t>
            </w:r>
          </w:p>
        </w:tc>
        <w:tc>
          <w:tcPr>
            <w:tcW w:w="3809" w:type="dxa"/>
            <w:shd w:val="clear" w:color="auto" w:fill="FFFF00"/>
            <w:noWrap w:val="0"/>
            <w:vAlign w:val="top"/>
          </w:tcPr>
          <w:p w14:paraId="76486D7D">
            <w:pPr>
              <w:snapToGrid w:val="0"/>
              <w:spacing w:line="312" w:lineRule="auto"/>
              <w:ind w:right="-153"/>
              <w:rPr>
                <w:rFonts w:hint="eastAsia" w:ascii="宋体" w:hAnsi="宋体" w:eastAsia="宋体" w:cs="宋体"/>
                <w:color w:val="auto"/>
                <w:sz w:val="21"/>
                <w:szCs w:val="21"/>
                <w:highlight w:val="none"/>
              </w:rPr>
            </w:pPr>
          </w:p>
        </w:tc>
      </w:tr>
      <w:tr w14:paraId="109DB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44D9A8D8">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总碱度</w:t>
            </w:r>
          </w:p>
        </w:tc>
        <w:tc>
          <w:tcPr>
            <w:tcW w:w="3809" w:type="dxa"/>
            <w:shd w:val="clear" w:color="auto" w:fill="FFFF00"/>
            <w:noWrap w:val="0"/>
            <w:vAlign w:val="top"/>
          </w:tcPr>
          <w:p w14:paraId="4C06DD59">
            <w:pPr>
              <w:snapToGrid w:val="0"/>
              <w:spacing w:line="312" w:lineRule="auto"/>
              <w:ind w:right="-153"/>
              <w:rPr>
                <w:rFonts w:hint="eastAsia" w:ascii="宋体" w:hAnsi="宋体" w:eastAsia="宋体" w:cs="宋体"/>
                <w:color w:val="auto"/>
                <w:sz w:val="21"/>
                <w:szCs w:val="21"/>
                <w:highlight w:val="none"/>
              </w:rPr>
            </w:pPr>
          </w:p>
        </w:tc>
      </w:tr>
      <w:tr w14:paraId="2B1C5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34C5B46C">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氯化物</w:t>
            </w:r>
          </w:p>
        </w:tc>
        <w:tc>
          <w:tcPr>
            <w:tcW w:w="3809" w:type="dxa"/>
            <w:shd w:val="clear" w:color="auto" w:fill="FFFF00"/>
            <w:noWrap w:val="0"/>
            <w:vAlign w:val="top"/>
          </w:tcPr>
          <w:p w14:paraId="70984563">
            <w:pPr>
              <w:snapToGrid w:val="0"/>
              <w:spacing w:line="312" w:lineRule="auto"/>
              <w:ind w:right="-153"/>
              <w:rPr>
                <w:rFonts w:hint="eastAsia" w:ascii="宋体" w:hAnsi="宋体" w:eastAsia="宋体" w:cs="宋体"/>
                <w:color w:val="auto"/>
                <w:sz w:val="21"/>
                <w:szCs w:val="21"/>
                <w:highlight w:val="none"/>
              </w:rPr>
            </w:pPr>
          </w:p>
        </w:tc>
      </w:tr>
      <w:tr w14:paraId="3F30C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479D1C4D">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异氧菌总数</w:t>
            </w:r>
          </w:p>
        </w:tc>
        <w:tc>
          <w:tcPr>
            <w:tcW w:w="3809" w:type="dxa"/>
            <w:shd w:val="clear" w:color="auto" w:fill="FFFF00"/>
            <w:noWrap w:val="0"/>
            <w:vAlign w:val="top"/>
          </w:tcPr>
          <w:p w14:paraId="79ABEAA0">
            <w:pPr>
              <w:snapToGrid w:val="0"/>
              <w:spacing w:line="312" w:lineRule="auto"/>
              <w:ind w:right="-153"/>
              <w:rPr>
                <w:rFonts w:hint="eastAsia" w:ascii="宋体" w:hAnsi="宋体" w:eastAsia="宋体" w:cs="宋体"/>
                <w:color w:val="auto"/>
                <w:sz w:val="21"/>
                <w:szCs w:val="21"/>
                <w:highlight w:val="none"/>
              </w:rPr>
            </w:pPr>
          </w:p>
        </w:tc>
      </w:tr>
      <w:tr w14:paraId="535BF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39FC91FE">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腐蚀率(mm/a)</w:t>
            </w:r>
          </w:p>
        </w:tc>
        <w:tc>
          <w:tcPr>
            <w:tcW w:w="3809" w:type="dxa"/>
            <w:shd w:val="clear" w:color="auto" w:fill="FFFF00"/>
            <w:noWrap w:val="0"/>
            <w:vAlign w:val="top"/>
          </w:tcPr>
          <w:p w14:paraId="671A9B52">
            <w:pPr>
              <w:snapToGrid w:val="0"/>
              <w:spacing w:line="312" w:lineRule="auto"/>
              <w:ind w:right="-153"/>
              <w:rPr>
                <w:rFonts w:hint="eastAsia" w:ascii="宋体" w:hAnsi="宋体" w:eastAsia="宋体" w:cs="宋体"/>
                <w:color w:val="auto"/>
                <w:sz w:val="21"/>
                <w:szCs w:val="21"/>
                <w:highlight w:val="none"/>
              </w:rPr>
            </w:pPr>
          </w:p>
        </w:tc>
      </w:tr>
      <w:tr w14:paraId="2ABBB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3B1A0A88">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碳钢</w:t>
            </w:r>
          </w:p>
        </w:tc>
        <w:tc>
          <w:tcPr>
            <w:tcW w:w="3809" w:type="dxa"/>
            <w:shd w:val="clear" w:color="auto" w:fill="FFFFFF" w:themeFill="background1"/>
            <w:noWrap w:val="0"/>
            <w:vAlign w:val="top"/>
          </w:tcPr>
          <w:p w14:paraId="63B905B2">
            <w:pPr>
              <w:snapToGrid w:val="0"/>
              <w:spacing w:line="312" w:lineRule="auto"/>
              <w:ind w:right="-153"/>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&lt;0.075</w:t>
            </w:r>
            <w:r>
              <w:rPr>
                <w:rFonts w:hint="eastAsia" w:ascii="宋体" w:hAnsi="宋体" w:eastAsia="宋体" w:cs="宋体"/>
                <w:color w:val="auto"/>
                <w:sz w:val="21"/>
                <w:szCs w:val="21"/>
                <w:highlight w:val="none"/>
                <w:lang w:val="en-US" w:eastAsia="zh-CN"/>
              </w:rPr>
              <w:t>mm/a</w:t>
            </w:r>
          </w:p>
        </w:tc>
      </w:tr>
      <w:tr w14:paraId="19D4C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noWrap w:val="0"/>
            <w:vAlign w:val="top"/>
          </w:tcPr>
          <w:p w14:paraId="2121A9D6">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铜质、不锈钢</w:t>
            </w:r>
          </w:p>
        </w:tc>
        <w:tc>
          <w:tcPr>
            <w:tcW w:w="3809" w:type="dxa"/>
            <w:shd w:val="clear" w:color="auto" w:fill="FFFFFF" w:themeFill="background1"/>
            <w:noWrap w:val="0"/>
            <w:vAlign w:val="top"/>
          </w:tcPr>
          <w:p w14:paraId="2FD21961">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&lt;0.005</w:t>
            </w:r>
            <w:r>
              <w:rPr>
                <w:rFonts w:hint="eastAsia" w:ascii="宋体" w:hAnsi="宋体" w:eastAsia="宋体" w:cs="宋体"/>
                <w:color w:val="auto"/>
                <w:sz w:val="21"/>
                <w:szCs w:val="21"/>
                <w:highlight w:val="none"/>
                <w:lang w:val="en-US" w:eastAsia="zh-CN"/>
              </w:rPr>
              <w:t>mm/a</w:t>
            </w:r>
          </w:p>
        </w:tc>
      </w:tr>
      <w:tr w14:paraId="43E7B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tcBorders>
              <w:top w:val="single" w:color="auto" w:sz="4" w:space="0"/>
              <w:left w:val="single" w:color="auto" w:sz="4" w:space="0"/>
              <w:bottom w:val="single" w:color="auto" w:sz="4" w:space="0"/>
              <w:right w:val="single" w:color="auto" w:sz="4" w:space="0"/>
            </w:tcBorders>
            <w:noWrap w:val="0"/>
            <w:vAlign w:val="top"/>
          </w:tcPr>
          <w:p w14:paraId="1D59E5F3">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Fe离子</w:t>
            </w:r>
          </w:p>
        </w:tc>
        <w:tc>
          <w:tcPr>
            <w:tcW w:w="3809" w:type="dxa"/>
            <w:tcBorders>
              <w:top w:val="single" w:color="auto" w:sz="4" w:space="0"/>
              <w:left w:val="single" w:color="auto" w:sz="4" w:space="0"/>
              <w:bottom w:val="single" w:color="auto" w:sz="4" w:space="0"/>
              <w:right w:val="single" w:color="auto" w:sz="4" w:space="0"/>
            </w:tcBorders>
            <w:shd w:val="clear" w:color="auto" w:fill="FFFFFF" w:themeFill="background1"/>
            <w:noWrap w:val="0"/>
            <w:vAlign w:val="top"/>
          </w:tcPr>
          <w:p w14:paraId="0F5D7E96">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&lt;1ppm</w:t>
            </w:r>
          </w:p>
        </w:tc>
      </w:tr>
      <w:tr w14:paraId="518E7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tcBorders>
              <w:top w:val="single" w:color="auto" w:sz="4" w:space="0"/>
              <w:left w:val="single" w:color="auto" w:sz="4" w:space="0"/>
              <w:bottom w:val="single" w:color="auto" w:sz="4" w:space="0"/>
              <w:right w:val="single" w:color="auto" w:sz="4" w:space="0"/>
            </w:tcBorders>
            <w:noWrap w:val="0"/>
            <w:vAlign w:val="top"/>
          </w:tcPr>
          <w:p w14:paraId="357F57FC">
            <w:pPr>
              <w:snapToGrid w:val="0"/>
              <w:spacing w:line="312" w:lineRule="auto"/>
              <w:ind w:right="-153"/>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污垢热阻值</w:t>
            </w:r>
          </w:p>
        </w:tc>
        <w:tc>
          <w:tcPr>
            <w:tcW w:w="3809" w:type="dxa"/>
            <w:tcBorders>
              <w:top w:val="single" w:color="auto" w:sz="4" w:space="0"/>
              <w:left w:val="single" w:color="auto" w:sz="4" w:space="0"/>
              <w:bottom w:val="single" w:color="auto" w:sz="4" w:space="0"/>
              <w:right w:val="single" w:color="auto" w:sz="4" w:space="0"/>
            </w:tcBorders>
            <w:shd w:val="clear" w:color="auto" w:fill="FFFF00"/>
            <w:noWrap w:val="0"/>
            <w:vAlign w:val="top"/>
          </w:tcPr>
          <w:p w14:paraId="1D48B333">
            <w:pPr>
              <w:snapToGrid w:val="0"/>
              <w:spacing w:line="312" w:lineRule="auto"/>
              <w:ind w:right="-153"/>
              <w:rPr>
                <w:rFonts w:hint="eastAsia" w:ascii="宋体" w:hAnsi="宋体" w:eastAsia="宋体" w:cs="宋体"/>
                <w:color w:val="auto"/>
                <w:sz w:val="21"/>
                <w:szCs w:val="21"/>
                <w:highlight w:val="none"/>
                <w:lang w:val="en-US" w:eastAsia="zh-CN"/>
              </w:rPr>
            </w:pPr>
          </w:p>
        </w:tc>
      </w:tr>
      <w:tr w14:paraId="471EE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816" w:type="dxa"/>
            <w:tcBorders>
              <w:top w:val="single" w:color="auto" w:sz="4" w:space="0"/>
              <w:left w:val="single" w:color="auto" w:sz="4" w:space="0"/>
              <w:bottom w:val="single" w:color="auto" w:sz="4" w:space="0"/>
              <w:right w:val="single" w:color="auto" w:sz="4" w:space="0"/>
            </w:tcBorders>
            <w:noWrap w:val="0"/>
            <w:vAlign w:val="top"/>
          </w:tcPr>
          <w:p w14:paraId="048E8BED">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Cu离子</w:t>
            </w:r>
          </w:p>
        </w:tc>
        <w:tc>
          <w:tcPr>
            <w:tcW w:w="3809" w:type="dxa"/>
            <w:tcBorders>
              <w:top w:val="single" w:color="auto" w:sz="4" w:space="0"/>
              <w:left w:val="single" w:color="auto" w:sz="4" w:space="0"/>
              <w:bottom w:val="single" w:color="auto" w:sz="4" w:space="0"/>
              <w:right w:val="single" w:color="auto" w:sz="4" w:space="0"/>
            </w:tcBorders>
            <w:shd w:val="clear" w:color="auto" w:fill="FFFFFF" w:themeFill="background1"/>
            <w:noWrap w:val="0"/>
            <w:vAlign w:val="top"/>
          </w:tcPr>
          <w:p w14:paraId="064B5572">
            <w:pPr>
              <w:snapToGrid w:val="0"/>
              <w:spacing w:line="312" w:lineRule="auto"/>
              <w:ind w:right="-15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&lt;0.1ppm</w:t>
            </w:r>
          </w:p>
        </w:tc>
      </w:tr>
    </w:tbl>
    <w:p w14:paraId="743EB003">
      <w:pPr>
        <w:numPr>
          <w:ilvl w:val="0"/>
          <w:numId w:val="0"/>
        </w:numP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（1）使用药剂品名：阻垢缓蚀</w:t>
      </w:r>
      <w:bookmarkStart w:id="9" w:name="_GoBack"/>
      <w:r>
        <w:rPr>
          <w:rFonts w:hint="eastAsia" w:ascii="宋体" w:hAnsi="宋体" w:eastAsia="宋体" w:cs="宋体"/>
          <w:color w:val="auto"/>
          <w:sz w:val="21"/>
          <w:szCs w:val="21"/>
          <w:highlight w:val="none"/>
          <w:lang w:val="en-US" w:eastAsia="zh-CN"/>
        </w:rPr>
        <w:t>剂、杀菌灭澡剂、粘泥剥离剂。</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应根据现场水质进行小型试验，本着环保、节水的前提，筛选符合本项目的药剂配方，为甲方提供优质的水处理药剂。</w:t>
      </w:r>
    </w:p>
    <w:p w14:paraId="197A4D94">
      <w:pPr>
        <w:numPr>
          <w:ilvl w:val="0"/>
          <w:numId w:val="0"/>
        </w:numPr>
        <w:ind w:left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（2）乙方因根据甲方余热发电系统的锅炉补给水处理系统及现场水质情况，进行药剂的筛选。</w:t>
      </w:r>
    </w:p>
    <w:p w14:paraId="59166611">
      <w:pPr>
        <w:numPr>
          <w:ilvl w:val="0"/>
          <w:numId w:val="0"/>
        </w:numPr>
        <w:ind w:left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（3）乙方提供药剂品名：絮凝剂、杀菌剂、还原剂、阻垢剂。</w:t>
      </w:r>
    </w:p>
    <w:p w14:paraId="2D86BB2C">
      <w:pPr>
        <w:numPr>
          <w:ilvl w:val="0"/>
          <w:numId w:val="0"/>
        </w:numPr>
        <w:ind w:leftChars="0"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（4）乙方应根据现场水质进行小型试验，本着环保、节能减排的前提，筛选符合本项目的药剂配方，为甲方提供优质的水处理药剂。</w:t>
      </w:r>
    </w:p>
    <w:p w14:paraId="7C19A387">
      <w:pPr>
        <w:numPr>
          <w:ilvl w:val="0"/>
          <w:numId w:val="0"/>
        </w:numPr>
        <w:ind w:left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3、验收标准：</w:t>
      </w:r>
    </w:p>
    <w:p w14:paraId="54D6693A">
      <w:pPr>
        <w:numPr>
          <w:ilvl w:val="0"/>
          <w:numId w:val="0"/>
        </w:numPr>
        <w:ind w:leftChars="0"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循环水处理系统依据工业循环水处理GB/T50050-2017；锅炉补给水处理系统依据反渗透设计相关规范进行验收。</w:t>
      </w:r>
    </w:p>
    <w:p w14:paraId="6D161918">
      <w:pPr>
        <w:numPr>
          <w:ilvl w:val="0"/>
          <w:numId w:val="0"/>
        </w:numPr>
        <w:ind w:left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4、售后服务：</w:t>
      </w:r>
    </w:p>
    <w:p w14:paraId="12CD2311">
      <w:pPr>
        <w:numPr>
          <w:ilvl w:val="0"/>
          <w:numId w:val="0"/>
        </w:numPr>
        <w:ind w:leftChars="0" w:firstLine="480"/>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每月定期现场服务一次，依据现场水质情况进行及时有效的调整控制指标或加药量，并出具分析报告和指导性的建议。</w:t>
      </w:r>
      <w:r>
        <w:rPr>
          <w:rFonts w:hint="eastAsia" w:ascii="宋体" w:hAnsi="宋体" w:cs="宋体"/>
          <w:color w:val="auto"/>
          <w:sz w:val="21"/>
          <w:szCs w:val="21"/>
          <w:highlight w:val="none"/>
          <w:lang w:val="en-US" w:eastAsia="zh-CN"/>
        </w:rPr>
        <w:t>因加药或水质调整不当等乙方原因导致的</w:t>
      </w:r>
      <w:r>
        <w:rPr>
          <w:rFonts w:hint="eastAsia" w:ascii="宋体" w:hAnsi="宋体" w:eastAsia="宋体" w:cs="宋体"/>
          <w:color w:val="auto"/>
          <w:sz w:val="21"/>
          <w:szCs w:val="21"/>
          <w:highlight w:val="none"/>
          <w:lang w:val="en-US" w:eastAsia="zh-CN"/>
        </w:rPr>
        <w:t>水处理</w:t>
      </w:r>
      <w:r>
        <w:rPr>
          <w:rFonts w:hint="eastAsia" w:ascii="宋体" w:hAnsi="宋体" w:cs="宋体"/>
          <w:color w:val="auto"/>
          <w:sz w:val="21"/>
          <w:szCs w:val="21"/>
          <w:highlight w:val="none"/>
          <w:lang w:val="en-US" w:eastAsia="zh-CN"/>
        </w:rPr>
        <w:t>不符合本合同约定，乙方应当及时采取措施进行修复，由此导致的设备清理、更换费用及其他损失全部由乙方承担。</w:t>
      </w:r>
    </w:p>
    <w:p w14:paraId="24B05E41">
      <w:pPr>
        <w:numPr>
          <w:ilvl w:val="0"/>
          <w:numId w:val="0"/>
        </w:numPr>
        <w:ind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5、质量保证：</w:t>
      </w:r>
    </w:p>
    <w:p w14:paraId="60A69CA5">
      <w:pPr>
        <w:numPr>
          <w:ilvl w:val="0"/>
          <w:numId w:val="0"/>
        </w:numPr>
        <w:ind w:leftChars="0"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（1）因产品质量原因造成凝结器和冷油器结垢、腐蚀，使设备运行</w:t>
      </w:r>
      <w:r>
        <w:rPr>
          <w:rFonts w:hint="eastAsia" w:ascii="宋体" w:hAnsi="宋体" w:cs="宋体"/>
          <w:color w:val="auto"/>
          <w:sz w:val="21"/>
          <w:szCs w:val="21"/>
          <w:highlight w:val="none"/>
          <w:lang w:val="en-US" w:eastAsia="zh-CN"/>
        </w:rPr>
        <w:t>异常</w:t>
      </w:r>
      <w:r>
        <w:rPr>
          <w:rFonts w:hint="eastAsia" w:ascii="宋体" w:hAnsi="宋体" w:eastAsia="宋体" w:cs="宋体"/>
          <w:color w:val="auto"/>
          <w:sz w:val="21"/>
          <w:szCs w:val="21"/>
          <w:highlight w:val="none"/>
          <w:lang w:val="en-US" w:eastAsia="zh-CN"/>
        </w:rPr>
        <w:t>的情况由</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承担所有责任（结垢清洗所有费用，腐蚀造成的更换设备费用）。</w:t>
      </w:r>
    </w:p>
    <w:p w14:paraId="6EE71A7F">
      <w:pPr>
        <w:numPr>
          <w:ilvl w:val="0"/>
          <w:numId w:val="0"/>
        </w:numPr>
        <w:ind w:leftChars="0"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（2）因</w:t>
      </w:r>
      <w:r>
        <w:rPr>
          <w:rFonts w:hint="eastAsia" w:ascii="宋体" w:hAnsi="宋体" w:cs="宋体"/>
          <w:color w:val="auto"/>
          <w:sz w:val="21"/>
          <w:szCs w:val="21"/>
          <w:highlight w:val="none"/>
          <w:lang w:val="en-US" w:eastAsia="zh-CN"/>
        </w:rPr>
        <w:t>乙方提供</w:t>
      </w:r>
      <w:r>
        <w:rPr>
          <w:rFonts w:hint="eastAsia" w:ascii="宋体" w:hAnsi="宋体" w:eastAsia="宋体" w:cs="宋体"/>
          <w:color w:val="auto"/>
          <w:sz w:val="21"/>
          <w:szCs w:val="21"/>
          <w:highlight w:val="none"/>
          <w:lang w:val="en-US" w:eastAsia="zh-CN"/>
        </w:rPr>
        <w:t>产品质量原因造成</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反渗透膜的氧化、污堵，应由</w:t>
      </w:r>
      <w:r>
        <w:rPr>
          <w:rFonts w:hint="eastAsia" w:ascii="宋体" w:hAnsi="宋体" w:cs="宋体"/>
          <w:color w:val="auto"/>
          <w:sz w:val="21"/>
          <w:szCs w:val="21"/>
          <w:highlight w:val="none"/>
          <w:lang w:val="en-US" w:eastAsia="zh-CN"/>
        </w:rPr>
        <w:t>乙方</w:t>
      </w:r>
      <w:r>
        <w:rPr>
          <w:rFonts w:hint="eastAsia" w:ascii="宋体" w:hAnsi="宋体" w:eastAsia="宋体" w:cs="宋体"/>
          <w:color w:val="auto"/>
          <w:sz w:val="21"/>
          <w:szCs w:val="21"/>
          <w:highlight w:val="none"/>
          <w:lang w:val="en-US" w:eastAsia="zh-CN"/>
        </w:rPr>
        <w:t>免费提供化学清洗或更换反渗透膜。</w:t>
      </w:r>
    </w:p>
    <w:p w14:paraId="5677435A">
      <w:pPr>
        <w:pStyle w:val="9"/>
        <w:rPr>
          <w:rFonts w:hint="default"/>
          <w:color w:val="auto"/>
          <w:highlight w:val="none"/>
          <w:lang w:val="en-US"/>
        </w:rPr>
      </w:pPr>
      <w:r>
        <w:rPr>
          <w:rFonts w:hint="eastAsia" w:ascii="宋体" w:hAnsi="宋体" w:cs="宋体"/>
          <w:color w:val="auto"/>
          <w:sz w:val="21"/>
          <w:szCs w:val="21"/>
          <w:highlight w:val="none"/>
          <w:lang w:val="en-US" w:eastAsia="zh-CN"/>
        </w:rPr>
        <w:t>6、甲方发现水处理运行异常，对乙方产品及服务提出异议的，可邀请当地监督部门或行业专业部门协助解决，异议成立的，由此产生的费用由乙方承担，如异议不成立的，费用由甲方自行承担。双方共同提出的，费用由双方共同承担或分理分担。</w:t>
      </w:r>
    </w:p>
    <w:p w14:paraId="2B010AD2">
      <w:pPr>
        <w:spacing w:line="360" w:lineRule="auto"/>
        <w:rPr>
          <w:rFonts w:ascii="宋体" w:hAnsi="宋体"/>
          <w:b/>
          <w:color w:val="auto"/>
          <w:szCs w:val="21"/>
          <w:highlight w:val="none"/>
        </w:rPr>
      </w:pPr>
      <w:r>
        <w:rPr>
          <w:rFonts w:hint="eastAsia" w:ascii="宋体" w:hAnsi="宋体"/>
          <w:b/>
          <w:color w:val="auto"/>
          <w:szCs w:val="21"/>
          <w:highlight w:val="none"/>
        </w:rPr>
        <w:t xml:space="preserve">第三条 </w:t>
      </w:r>
      <w:r>
        <w:rPr>
          <w:rFonts w:hint="eastAsia" w:ascii="宋体" w:hAnsi="宋体"/>
          <w:b/>
          <w:color w:val="auto"/>
          <w:szCs w:val="21"/>
          <w:highlight w:val="none"/>
          <w:lang w:val="en-US" w:eastAsia="zh-CN"/>
        </w:rPr>
        <w:t>合同款项支付及履约担保</w:t>
      </w:r>
      <w:r>
        <w:rPr>
          <w:rFonts w:hint="eastAsia" w:ascii="宋体" w:hAnsi="宋体"/>
          <w:b/>
          <w:color w:val="auto"/>
          <w:szCs w:val="21"/>
          <w:highlight w:val="none"/>
        </w:rPr>
        <w:t>：</w:t>
      </w:r>
      <w:bookmarkStart w:id="5" w:name="_Hlk479246736"/>
    </w:p>
    <w:bookmarkEnd w:id="5"/>
    <w:p w14:paraId="325153F2">
      <w:pPr>
        <w:pStyle w:val="44"/>
        <w:numPr>
          <w:ilvl w:val="0"/>
          <w:numId w:val="6"/>
        </w:numPr>
        <w:spacing w:line="360" w:lineRule="auto"/>
        <w:ind w:firstLineChars="0"/>
        <w:rPr>
          <w:rFonts w:ascii="宋体" w:hAnsi="宋体"/>
          <w:color w:val="auto"/>
          <w:szCs w:val="21"/>
          <w:highlight w:val="none"/>
        </w:rPr>
      </w:pPr>
      <w:r>
        <w:rPr>
          <w:rFonts w:hint="eastAsia" w:ascii="宋体" w:hAnsi="宋体"/>
          <w:color w:val="auto"/>
          <w:szCs w:val="21"/>
          <w:highlight w:val="none"/>
          <w:lang w:val="en-US" w:eastAsia="zh-CN"/>
        </w:rPr>
        <w:t>本合同含税固定包干总价为人民币xxx元（大写：人民币），价格包含13%的增值税专用发票。本价格包括但不限于：完成本项目的成本、利润、税金等在项目过程中可能产生的一切费用。乙方已充分考虑了本项目服务内容及要求描述工作量可能与最终实际工作量存在差距的风险。</w:t>
      </w:r>
    </w:p>
    <w:p w14:paraId="361104DA">
      <w:pPr>
        <w:pStyle w:val="44"/>
        <w:numPr>
          <w:ilvl w:val="0"/>
          <w:numId w:val="0"/>
        </w:numPr>
        <w:spacing w:line="360" w:lineRule="auto"/>
        <w:ind w:leftChars="0"/>
        <w:rPr>
          <w:rFonts w:hint="default" w:ascii="宋体" w:hAnsi="宋体"/>
          <w:color w:val="auto"/>
          <w:szCs w:val="21"/>
          <w:highlight w:val="none"/>
          <w:lang w:val="en-US"/>
        </w:rPr>
      </w:pPr>
      <w:r>
        <w:rPr>
          <w:rFonts w:hint="eastAsia" w:ascii="宋体" w:hAnsi="宋体"/>
          <w:color w:val="auto"/>
          <w:szCs w:val="21"/>
          <w:highlight w:val="none"/>
          <w:lang w:val="en-US" w:eastAsia="zh-CN"/>
        </w:rPr>
        <w:t xml:space="preserve">   本合同不含税固定包干总价为人民币xxx元（大写：人民币）。</w:t>
      </w:r>
    </w:p>
    <w:p w14:paraId="302A468C">
      <w:pPr>
        <w:spacing w:line="360" w:lineRule="auto"/>
        <w:ind w:left="283" w:hanging="283" w:hangingChars="135"/>
        <w:rPr>
          <w:rFonts w:hint="default" w:ascii="宋体" w:hAnsi="宋体"/>
          <w:b/>
          <w:bCs/>
          <w:color w:val="auto"/>
          <w:szCs w:val="21"/>
          <w:highlight w:val="none"/>
          <w:lang w:val="en-US"/>
        </w:rPr>
      </w:pP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本合同款项以包干总价的形式分4个季度平均支付，每个季度完成供货及服务后，下个月15号前支付上个季度服务款项。每笔款项前，乙方需提供相应的化学药品送货单及13%等额增值税专用发票。</w:t>
      </w:r>
      <w:r>
        <w:rPr>
          <w:rFonts w:hint="eastAsia" w:ascii="宋体" w:hAnsi="宋体"/>
          <w:b/>
          <w:bCs/>
          <w:color w:val="auto"/>
          <w:szCs w:val="21"/>
          <w:highlight w:val="none"/>
          <w:lang w:val="en-US" w:eastAsia="zh-CN"/>
        </w:rPr>
        <w:t>如因本项目现场停机等情况，导致实际化学药品供货用量较乙方所报药剂价格清单明细表中所述用量减少超过10%或供货服务时间较本项目约定服务时间减少超过一个月，则项目最终结算价格=附件1药剂价格清单明细表×化学药品实际供货量。</w:t>
      </w:r>
    </w:p>
    <w:p w14:paraId="35ED687B">
      <w:pPr>
        <w:spacing w:line="360" w:lineRule="auto"/>
        <w:rPr>
          <w:rFonts w:ascii="宋体" w:hAnsi="宋体"/>
          <w:b/>
          <w:color w:val="auto"/>
          <w:szCs w:val="21"/>
          <w:highlight w:val="none"/>
        </w:rPr>
      </w:pPr>
      <w:r>
        <w:rPr>
          <w:rFonts w:hint="eastAsia" w:ascii="宋体" w:hAnsi="宋体"/>
          <w:b/>
          <w:color w:val="auto"/>
          <w:szCs w:val="21"/>
          <w:highlight w:val="none"/>
          <w:lang w:val="en-US" w:eastAsia="zh-CN"/>
        </w:rPr>
        <w:t>3</w:t>
      </w:r>
      <w:r>
        <w:rPr>
          <w:rFonts w:hint="eastAsia" w:ascii="宋体" w:hAnsi="宋体"/>
          <w:b/>
          <w:color w:val="auto"/>
          <w:szCs w:val="21"/>
          <w:highlight w:val="none"/>
        </w:rPr>
        <w:t>、支付方式：</w:t>
      </w:r>
    </w:p>
    <w:p w14:paraId="55CC5D7B">
      <w:pPr>
        <w:spacing w:line="360" w:lineRule="auto"/>
        <w:ind w:left="210" w:leftChars="100" w:firstLine="105" w:firstLineChars="50"/>
        <w:rPr>
          <w:rFonts w:ascii="宋体" w:hAnsi="宋体"/>
          <w:color w:val="auto"/>
          <w:szCs w:val="21"/>
          <w:highlight w:val="none"/>
        </w:rPr>
      </w:pPr>
      <w:r>
        <w:rPr>
          <w:rFonts w:hint="eastAsia" w:ascii="宋体" w:hAnsi="宋体"/>
          <w:color w:val="auto"/>
          <w:szCs w:val="21"/>
          <w:highlight w:val="none"/>
        </w:rPr>
        <w:t>支付方式为：现金或支票或直接汇入乙方指定账户：</w:t>
      </w:r>
    </w:p>
    <w:p w14:paraId="5A3CB2BA">
      <w:pPr>
        <w:spacing w:line="360" w:lineRule="auto"/>
        <w:ind w:firstLine="315"/>
        <w:rPr>
          <w:rFonts w:hint="eastAsia" w:ascii="宋体" w:hAnsi="宋体"/>
          <w:color w:val="auto"/>
          <w:szCs w:val="21"/>
          <w:highlight w:val="none"/>
        </w:rPr>
      </w:pPr>
      <w:r>
        <w:rPr>
          <w:rFonts w:hint="eastAsia" w:ascii="宋体" w:hAnsi="宋体"/>
          <w:color w:val="auto"/>
          <w:szCs w:val="21"/>
          <w:highlight w:val="none"/>
        </w:rPr>
        <w:t>账户：</w:t>
      </w:r>
    </w:p>
    <w:p w14:paraId="4F0C94DD">
      <w:pPr>
        <w:spacing w:line="360" w:lineRule="auto"/>
        <w:ind w:firstLine="315"/>
        <w:rPr>
          <w:rFonts w:hint="eastAsia" w:ascii="宋体" w:hAnsi="宋体"/>
          <w:color w:val="auto"/>
          <w:szCs w:val="21"/>
          <w:highlight w:val="none"/>
        </w:rPr>
      </w:pPr>
      <w:r>
        <w:rPr>
          <w:rFonts w:hint="eastAsia" w:ascii="宋体" w:hAnsi="宋体"/>
          <w:color w:val="auto"/>
          <w:szCs w:val="21"/>
          <w:highlight w:val="none"/>
        </w:rPr>
        <w:t>开户行：</w:t>
      </w:r>
    </w:p>
    <w:p w14:paraId="5A710E14">
      <w:pPr>
        <w:spacing w:line="360" w:lineRule="auto"/>
        <w:ind w:firstLine="315"/>
        <w:rPr>
          <w:rFonts w:ascii="宋体" w:hAnsi="宋体"/>
          <w:color w:val="auto"/>
          <w:szCs w:val="21"/>
          <w:highlight w:val="none"/>
        </w:rPr>
      </w:pPr>
      <w:r>
        <w:rPr>
          <w:rFonts w:hint="eastAsia" w:ascii="宋体" w:hAnsi="宋体"/>
          <w:color w:val="auto"/>
          <w:szCs w:val="21"/>
          <w:highlight w:val="none"/>
        </w:rPr>
        <w:t>账号：</w:t>
      </w:r>
    </w:p>
    <w:p w14:paraId="2EE8D89E">
      <w:pPr>
        <w:spacing w:line="360" w:lineRule="auto"/>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4、</w:t>
      </w:r>
      <w:r>
        <w:rPr>
          <w:rFonts w:hint="eastAsia" w:ascii="宋体" w:hAnsi="宋体"/>
          <w:b/>
          <w:bCs/>
          <w:color w:val="auto"/>
          <w:szCs w:val="21"/>
          <w:highlight w:val="none"/>
          <w:lang w:val="en-US" w:eastAsia="zh-CN"/>
        </w:rPr>
        <w:t>履约担保的形式：</w:t>
      </w:r>
      <w:r>
        <w:rPr>
          <w:rFonts w:hint="eastAsia" w:ascii="宋体" w:hAnsi="宋体"/>
          <w:color w:val="auto"/>
          <w:szCs w:val="21"/>
          <w:highlight w:val="none"/>
          <w:lang w:val="en-US" w:eastAsia="zh-CN"/>
        </w:rPr>
        <w:t>以履约保函或现金方式担保，担保金额按中标金额的5%计取，金额为xxx。在宣布中标结果后5个工作日内，中标人必须交纳履约保证金（以现金形式打入甲方指定的账户）或提交不可撤销银行履约保函（可提供保函的银行必须是支行一级或以上银行机构。合同服务期限到期并经甲方确认服务期间满足要求的15天内，甲方退回全部的履约保证金或履约保函给乙方，期中履约保证金均以不计取利息的方式退还给乙方。</w:t>
      </w:r>
    </w:p>
    <w:p w14:paraId="0E8E3402">
      <w:pPr>
        <w:spacing w:line="360" w:lineRule="auto"/>
        <w:rPr>
          <w:rFonts w:hint="default" w:ascii="宋体" w:hAnsi="宋体" w:eastAsia="宋体"/>
          <w:b/>
          <w:color w:val="auto"/>
          <w:szCs w:val="21"/>
          <w:highlight w:val="none"/>
          <w:lang w:val="en-US" w:eastAsia="zh-CN"/>
        </w:rPr>
      </w:pPr>
      <w:r>
        <w:rPr>
          <w:rFonts w:hint="eastAsia" w:ascii="宋体" w:hAnsi="宋体"/>
          <w:b/>
          <w:color w:val="auto"/>
          <w:szCs w:val="21"/>
          <w:highlight w:val="none"/>
        </w:rPr>
        <w:t>第四条  合同</w:t>
      </w:r>
      <w:r>
        <w:rPr>
          <w:rFonts w:hint="eastAsia" w:ascii="宋体" w:hAnsi="宋体"/>
          <w:b/>
          <w:color w:val="auto"/>
          <w:szCs w:val="21"/>
          <w:highlight w:val="none"/>
          <w:lang w:val="en-US" w:eastAsia="zh-CN"/>
        </w:rPr>
        <w:t>服务期限</w:t>
      </w:r>
    </w:p>
    <w:p w14:paraId="58FE089F">
      <w:pPr>
        <w:tabs>
          <w:tab w:val="left" w:pos="426"/>
        </w:tabs>
        <w:spacing w:line="360" w:lineRule="auto"/>
        <w:ind w:left="420" w:hanging="420" w:hangingChars="200"/>
        <w:rPr>
          <w:rFonts w:ascii="宋体" w:hAnsi="宋体"/>
          <w:color w:val="auto"/>
          <w:szCs w:val="21"/>
          <w:highlight w:val="none"/>
        </w:rPr>
      </w:pPr>
      <w:r>
        <w:rPr>
          <w:rFonts w:hint="eastAsia" w:ascii="宋体" w:hAnsi="宋体"/>
          <w:color w:val="auto"/>
          <w:szCs w:val="21"/>
          <w:highlight w:val="none"/>
        </w:rPr>
        <w:t xml:space="preserve">1、 </w:t>
      </w:r>
      <w:bookmarkStart w:id="6" w:name="_Hlk479246326"/>
      <w:r>
        <w:rPr>
          <w:rFonts w:hint="eastAsia" w:ascii="宋体" w:hAnsi="宋体"/>
          <w:color w:val="auto"/>
          <w:szCs w:val="21"/>
          <w:highlight w:val="none"/>
          <w:lang w:val="en-US" w:eastAsia="zh-CN"/>
        </w:rPr>
        <w:t>项目预计服务期限为：</w:t>
      </w:r>
      <w:r>
        <w:rPr>
          <w:rFonts w:hint="eastAsia" w:ascii="宋体" w:hAnsi="宋体"/>
          <w:color w:val="auto"/>
          <w:szCs w:val="21"/>
          <w:highlight w:val="none"/>
          <w:u w:val="single"/>
          <w:lang w:val="en-US" w:eastAsia="zh-CN"/>
        </w:rPr>
        <w:t>2026年1月1日</w:t>
      </w:r>
      <w:r>
        <w:rPr>
          <w:rFonts w:hint="eastAsia" w:ascii="宋体" w:hAnsi="宋体"/>
          <w:color w:val="auto"/>
          <w:szCs w:val="21"/>
          <w:highlight w:val="none"/>
          <w:lang w:val="en-US" w:eastAsia="zh-CN"/>
        </w:rPr>
        <w:t>至</w:t>
      </w:r>
      <w:r>
        <w:rPr>
          <w:rFonts w:hint="eastAsia" w:ascii="宋体" w:hAnsi="宋体"/>
          <w:color w:val="auto"/>
          <w:szCs w:val="21"/>
          <w:highlight w:val="none"/>
          <w:u w:val="single"/>
          <w:lang w:val="en-US" w:eastAsia="zh-CN"/>
        </w:rPr>
        <w:t>2026年12月31日</w:t>
      </w:r>
      <w:r>
        <w:rPr>
          <w:rFonts w:hint="eastAsia" w:ascii="宋体" w:hAnsi="宋体"/>
          <w:color w:val="auto"/>
          <w:szCs w:val="21"/>
          <w:highlight w:val="none"/>
          <w:lang w:val="en-US" w:eastAsia="zh-CN"/>
        </w:rPr>
        <w:t>，暂定1年</w:t>
      </w:r>
      <w:r>
        <w:rPr>
          <w:rFonts w:hint="eastAsia" w:ascii="宋体" w:hAnsi="宋体"/>
          <w:color w:val="auto"/>
          <w:szCs w:val="21"/>
          <w:highlight w:val="none"/>
        </w:rPr>
        <w:t>。</w:t>
      </w:r>
      <w:bookmarkEnd w:id="6"/>
    </w:p>
    <w:p w14:paraId="4CED13BD">
      <w:pPr>
        <w:spacing w:line="360" w:lineRule="auto"/>
        <w:rPr>
          <w:rFonts w:ascii="宋体" w:hAnsi="宋体"/>
          <w:color w:val="auto"/>
          <w:szCs w:val="21"/>
          <w:highlight w:val="none"/>
        </w:rPr>
      </w:pPr>
      <w:r>
        <w:rPr>
          <w:rFonts w:hint="eastAsia" w:ascii="宋体" w:hAnsi="宋体"/>
          <w:color w:val="auto"/>
          <w:szCs w:val="21"/>
          <w:highlight w:val="none"/>
        </w:rPr>
        <w:t>2、因不可抗力因素导致本合同无法履行的，本合同自动终止。</w:t>
      </w:r>
    </w:p>
    <w:p w14:paraId="520D26B6">
      <w:pPr>
        <w:tabs>
          <w:tab w:val="left" w:pos="426"/>
        </w:tabs>
        <w:spacing w:line="360" w:lineRule="auto"/>
        <w:ind w:left="284"/>
        <w:rPr>
          <w:rFonts w:ascii="宋体" w:hAnsi="宋体"/>
          <w:color w:val="auto"/>
          <w:szCs w:val="21"/>
          <w:highlight w:val="none"/>
        </w:rPr>
      </w:pPr>
    </w:p>
    <w:p w14:paraId="5F62570E">
      <w:pPr>
        <w:spacing w:line="360" w:lineRule="auto"/>
        <w:rPr>
          <w:rFonts w:ascii="宋体" w:hAnsi="宋体"/>
          <w:b/>
          <w:color w:val="auto"/>
          <w:szCs w:val="21"/>
          <w:highlight w:val="none"/>
        </w:rPr>
      </w:pPr>
      <w:r>
        <w:rPr>
          <w:rFonts w:hint="eastAsia" w:ascii="宋体" w:hAnsi="宋体"/>
          <w:b/>
          <w:color w:val="auto"/>
          <w:szCs w:val="21"/>
          <w:highlight w:val="none"/>
        </w:rPr>
        <w:t>第五条  甲方责任</w:t>
      </w:r>
    </w:p>
    <w:p w14:paraId="0BEA6DDD">
      <w:pPr>
        <w:numPr>
          <w:ilvl w:val="0"/>
          <w:numId w:val="7"/>
        </w:numPr>
        <w:tabs>
          <w:tab w:val="left" w:pos="360"/>
        </w:tabs>
        <w:spacing w:line="360" w:lineRule="auto"/>
        <w:ind w:left="360" w:hanging="36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甲方需保证合同项下系统状况良好。</w:t>
      </w:r>
    </w:p>
    <w:p w14:paraId="68243AA1">
      <w:pPr>
        <w:numPr>
          <w:ilvl w:val="0"/>
          <w:numId w:val="7"/>
        </w:numPr>
        <w:tabs>
          <w:tab w:val="left" w:pos="360"/>
        </w:tabs>
        <w:spacing w:line="360" w:lineRule="auto"/>
        <w:ind w:left="360" w:hanging="36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在正常工作时间内，甲方允许及协助乙方委派的技术人员进入甲方的系统及工作区。</w:t>
      </w:r>
    </w:p>
    <w:p w14:paraId="51B82509">
      <w:pPr>
        <w:numPr>
          <w:ilvl w:val="0"/>
          <w:numId w:val="7"/>
        </w:numPr>
        <w:tabs>
          <w:tab w:val="left" w:pos="360"/>
        </w:tabs>
        <w:spacing w:line="360" w:lineRule="auto"/>
        <w:ind w:left="360" w:hanging="360"/>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及时足额地向乙方支付本合同约定的费用。</w:t>
      </w:r>
    </w:p>
    <w:p w14:paraId="2B6E1734">
      <w:pPr>
        <w:spacing w:line="360" w:lineRule="auto"/>
        <w:ind w:left="360"/>
        <w:rPr>
          <w:rFonts w:ascii="宋体" w:hAnsi="宋体"/>
          <w:color w:val="auto"/>
          <w:szCs w:val="21"/>
          <w:highlight w:val="none"/>
        </w:rPr>
      </w:pPr>
    </w:p>
    <w:p w14:paraId="6505D057">
      <w:pPr>
        <w:spacing w:line="360" w:lineRule="auto"/>
        <w:rPr>
          <w:rFonts w:ascii="宋体" w:hAnsi="宋体"/>
          <w:b/>
          <w:color w:val="auto"/>
          <w:szCs w:val="21"/>
          <w:highlight w:val="none"/>
        </w:rPr>
      </w:pPr>
      <w:r>
        <w:rPr>
          <w:rFonts w:hint="eastAsia" w:ascii="宋体" w:hAnsi="宋体"/>
          <w:b/>
          <w:color w:val="auto"/>
          <w:szCs w:val="21"/>
          <w:highlight w:val="none"/>
        </w:rPr>
        <w:t>第六条  乙方责任</w:t>
      </w:r>
    </w:p>
    <w:p w14:paraId="17E05E79">
      <w:pPr>
        <w:numPr>
          <w:ilvl w:val="0"/>
          <w:numId w:val="8"/>
        </w:numPr>
        <w:spacing w:line="360" w:lineRule="auto"/>
        <w:ind w:left="406" w:hanging="406"/>
        <w:rPr>
          <w:rFonts w:ascii="宋体" w:hAnsi="宋体"/>
          <w:color w:val="auto"/>
          <w:szCs w:val="21"/>
          <w:highlight w:val="none"/>
        </w:rPr>
      </w:pPr>
      <w:r>
        <w:rPr>
          <w:rFonts w:hint="eastAsia" w:ascii="宋体" w:hAnsi="宋体"/>
          <w:color w:val="auto"/>
          <w:szCs w:val="21"/>
          <w:highlight w:val="none"/>
        </w:rPr>
        <w:t>遵守有关法规和商业道德，勤勉、谨慎地为甲方服务。</w:t>
      </w:r>
    </w:p>
    <w:p w14:paraId="77552CE2">
      <w:pPr>
        <w:numPr>
          <w:ilvl w:val="0"/>
          <w:numId w:val="8"/>
        </w:numPr>
        <w:spacing w:line="360" w:lineRule="auto"/>
        <w:ind w:left="406" w:hanging="406"/>
        <w:rPr>
          <w:rFonts w:ascii="宋体" w:hAnsi="宋体"/>
          <w:color w:val="auto"/>
          <w:szCs w:val="21"/>
          <w:highlight w:val="none"/>
        </w:rPr>
      </w:pPr>
      <w:r>
        <w:rPr>
          <w:rFonts w:hint="eastAsia" w:ascii="宋体" w:hAnsi="宋体"/>
          <w:color w:val="auto"/>
          <w:szCs w:val="21"/>
          <w:highlight w:val="none"/>
          <w:lang w:val="en-US" w:eastAsia="zh-CN"/>
        </w:rPr>
        <w:t>乙方保证提供的</w:t>
      </w:r>
      <w:r>
        <w:rPr>
          <w:rFonts w:hint="eastAsia" w:ascii="宋体" w:hAnsi="宋体"/>
          <w:color w:val="auto"/>
          <w:szCs w:val="21"/>
          <w:highlight w:val="none"/>
          <w:lang w:val="en-GB"/>
        </w:rPr>
        <w:t>每批水处理药剂</w:t>
      </w:r>
      <w:r>
        <w:rPr>
          <w:rFonts w:hint="eastAsia" w:ascii="宋体" w:hAnsi="宋体"/>
          <w:color w:val="auto"/>
          <w:szCs w:val="21"/>
          <w:highlight w:val="none"/>
          <w:lang w:val="en-US" w:eastAsia="zh-CN"/>
        </w:rPr>
        <w:t>需</w:t>
      </w:r>
      <w:r>
        <w:rPr>
          <w:rFonts w:hint="eastAsia" w:ascii="宋体" w:hAnsi="宋体"/>
          <w:color w:val="auto"/>
          <w:szCs w:val="21"/>
          <w:highlight w:val="none"/>
          <w:lang w:val="en-GB"/>
        </w:rPr>
        <w:t>附有质量分析报告单，</w:t>
      </w:r>
      <w:r>
        <w:rPr>
          <w:rFonts w:hint="eastAsia" w:ascii="宋体" w:hAnsi="宋体"/>
          <w:color w:val="auto"/>
          <w:szCs w:val="21"/>
          <w:highlight w:val="none"/>
          <w:lang w:val="en-US" w:eastAsia="zh-CN"/>
        </w:rPr>
        <w:t>且</w:t>
      </w:r>
      <w:r>
        <w:rPr>
          <w:rFonts w:hint="eastAsia" w:ascii="宋体" w:hAnsi="宋体"/>
          <w:color w:val="auto"/>
          <w:szCs w:val="21"/>
          <w:highlight w:val="none"/>
          <w:lang w:val="en-GB"/>
        </w:rPr>
        <w:t>保证药剂都是有效、足量、高品质</w:t>
      </w:r>
      <w:r>
        <w:rPr>
          <w:rFonts w:hint="eastAsia" w:ascii="宋体" w:hAnsi="宋体"/>
          <w:color w:val="auto"/>
          <w:szCs w:val="21"/>
          <w:highlight w:val="none"/>
          <w:lang w:val="en-US" w:eastAsia="zh-CN"/>
        </w:rPr>
        <w:t>的。</w:t>
      </w:r>
    </w:p>
    <w:p w14:paraId="1A45929F">
      <w:pPr>
        <w:numPr>
          <w:ilvl w:val="0"/>
          <w:numId w:val="0"/>
        </w:numPr>
        <w:spacing w:line="360" w:lineRule="auto"/>
        <w:ind w:leftChars="0"/>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3、乙方应</w:t>
      </w:r>
      <w:r>
        <w:rPr>
          <w:rFonts w:hint="eastAsia" w:ascii="宋体" w:hAnsi="宋体"/>
          <w:color w:val="auto"/>
          <w:szCs w:val="21"/>
          <w:highlight w:val="none"/>
        </w:rPr>
        <w:t>组织专每月提供</w:t>
      </w:r>
      <w:r>
        <w:rPr>
          <w:rFonts w:hint="eastAsia" w:ascii="宋体" w:hAnsi="宋体"/>
          <w:color w:val="auto"/>
          <w:szCs w:val="21"/>
          <w:highlight w:val="none"/>
          <w:lang w:val="en-US" w:eastAsia="zh-CN"/>
        </w:rPr>
        <w:t>1</w:t>
      </w:r>
      <w:r>
        <w:rPr>
          <w:rFonts w:hint="eastAsia" w:ascii="宋体" w:hAnsi="宋体"/>
          <w:color w:val="auto"/>
          <w:szCs w:val="21"/>
          <w:highlight w:val="none"/>
        </w:rPr>
        <w:t>次现场服务，每次工作内容包括：检查各系统运行状况、维护加药及控制设备；现场收集水样并进行测试，出具水质测试报告；对电导率、总硬度、PH、总碱量、氯化物、药剂含量等进行检测；添加药剂；在甲方条件允许的情况下，提供实验室测试服务（如垢样分析、挂片、微生物分析、LSI指数分析等等），并且对以上所有检测项目负责免费培训</w:t>
      </w:r>
      <w:r>
        <w:rPr>
          <w:rFonts w:hint="eastAsia" w:ascii="宋体" w:hAnsi="宋体"/>
          <w:color w:val="auto"/>
          <w:szCs w:val="21"/>
          <w:highlight w:val="none"/>
          <w:lang w:val="en-US" w:eastAsia="zh-CN"/>
        </w:rPr>
        <w:t>.</w:t>
      </w:r>
    </w:p>
    <w:p w14:paraId="4C771EEE">
      <w:pPr>
        <w:spacing w:line="360" w:lineRule="auto"/>
        <w:rPr>
          <w:rFonts w:hint="eastAsia" w:ascii="宋体" w:hAnsi="宋体" w:eastAsia="宋体"/>
          <w:b/>
          <w:color w:val="auto"/>
          <w:szCs w:val="21"/>
          <w:highlight w:val="none"/>
          <w:lang w:val="en-US" w:eastAsia="zh-CN"/>
        </w:rPr>
      </w:pPr>
      <w:r>
        <w:rPr>
          <w:rFonts w:hint="eastAsia" w:ascii="宋体" w:hAnsi="宋体"/>
          <w:color w:val="auto"/>
          <w:szCs w:val="21"/>
          <w:highlight w:val="none"/>
          <w:lang w:val="en-US" w:eastAsia="zh-CN"/>
        </w:rPr>
        <w:t xml:space="preserve">4、 </w:t>
      </w:r>
      <w:r>
        <w:rPr>
          <w:rFonts w:hint="eastAsia" w:ascii="宋体" w:hAnsi="宋体"/>
          <w:color w:val="auto"/>
          <w:szCs w:val="21"/>
          <w:highlight w:val="none"/>
        </w:rPr>
        <w:t>应急处理：当甲方设备或水处理系统出现紧急异常情况需要处理时，乙方承诺接到通知后</w:t>
      </w:r>
      <w:r>
        <w:rPr>
          <w:rFonts w:hint="eastAsia" w:ascii="宋体" w:hAnsi="宋体"/>
          <w:color w:val="auto"/>
          <w:szCs w:val="21"/>
          <w:highlight w:val="none"/>
          <w:lang w:val="en-US" w:eastAsia="zh-CN"/>
        </w:rPr>
        <w:t>48</w:t>
      </w:r>
      <w:r>
        <w:rPr>
          <w:rFonts w:hint="eastAsia" w:ascii="宋体" w:hAnsi="宋体"/>
          <w:color w:val="auto"/>
          <w:szCs w:val="21"/>
          <w:highlight w:val="none"/>
        </w:rPr>
        <w:t>小时内派技术人员上门处理</w:t>
      </w:r>
      <w:r>
        <w:rPr>
          <w:rFonts w:hint="eastAsia" w:ascii="宋体" w:hAnsi="宋体"/>
          <w:color w:val="auto"/>
          <w:szCs w:val="21"/>
          <w:highlight w:val="none"/>
          <w:lang w:val="en-US" w:eastAsia="zh-CN"/>
        </w:rPr>
        <w:t>.</w:t>
      </w:r>
    </w:p>
    <w:p w14:paraId="33118B22">
      <w:pPr>
        <w:spacing w:line="360" w:lineRule="auto"/>
        <w:rPr>
          <w:rFonts w:ascii="宋体" w:hAnsi="宋体"/>
          <w:b/>
          <w:color w:val="auto"/>
          <w:szCs w:val="21"/>
          <w:highlight w:val="none"/>
        </w:rPr>
      </w:pPr>
      <w:r>
        <w:rPr>
          <w:rFonts w:hint="eastAsia" w:ascii="宋体" w:hAnsi="宋体"/>
          <w:b/>
          <w:color w:val="auto"/>
          <w:szCs w:val="21"/>
          <w:highlight w:val="none"/>
        </w:rPr>
        <w:t>第七条  保密责任</w:t>
      </w:r>
    </w:p>
    <w:p w14:paraId="4F25876A">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1、</w:t>
      </w:r>
      <w:r>
        <w:rPr>
          <w:rFonts w:hint="eastAsia" w:ascii="宋体" w:hAnsi="宋体"/>
          <w:color w:val="auto"/>
          <w:szCs w:val="21"/>
          <w:highlight w:val="none"/>
        </w:rPr>
        <w:t>本合同的任何一方因本合同的洽谈、缔约以及履行过程中而获得或知悉的对方的任何资料和信息均视为保密内容，应当承担保密义务。任何一方未经对方书面同意，不可将上述保密内容以任何方式透露给第三方或用于本合同以外的其他事项。</w:t>
      </w:r>
    </w:p>
    <w:p w14:paraId="0905A2DE">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2、</w:t>
      </w:r>
      <w:r>
        <w:rPr>
          <w:rFonts w:hint="eastAsia" w:ascii="宋体" w:hAnsi="宋体"/>
          <w:color w:val="auto"/>
          <w:szCs w:val="21"/>
          <w:highlight w:val="none"/>
        </w:rPr>
        <w:t>本条款不因合同的不生效、合同的无效或者部分无效、合同的终止或者部分终止而失去对合同各方的约束力。</w:t>
      </w:r>
    </w:p>
    <w:p w14:paraId="773776CE">
      <w:pPr>
        <w:spacing w:line="360" w:lineRule="auto"/>
        <w:rPr>
          <w:rFonts w:ascii="宋体" w:hAnsi="宋体"/>
          <w:b/>
          <w:color w:val="auto"/>
          <w:szCs w:val="21"/>
          <w:highlight w:val="none"/>
        </w:rPr>
      </w:pPr>
    </w:p>
    <w:p w14:paraId="2C06E8B6">
      <w:pPr>
        <w:spacing w:line="360" w:lineRule="auto"/>
        <w:rPr>
          <w:rFonts w:ascii="宋体" w:hAnsi="宋体"/>
          <w:b/>
          <w:color w:val="auto"/>
          <w:szCs w:val="21"/>
          <w:highlight w:val="none"/>
        </w:rPr>
      </w:pPr>
      <w:r>
        <w:rPr>
          <w:rFonts w:hint="eastAsia" w:ascii="宋体" w:hAnsi="宋体"/>
          <w:b/>
          <w:color w:val="auto"/>
          <w:szCs w:val="21"/>
          <w:highlight w:val="none"/>
        </w:rPr>
        <w:t>第八条  违约责任</w:t>
      </w:r>
    </w:p>
    <w:p w14:paraId="66FAB384">
      <w:pPr>
        <w:tabs>
          <w:tab w:val="left" w:pos="360"/>
        </w:tabs>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1</w:t>
      </w:r>
      <w:r>
        <w:rPr>
          <w:rFonts w:hint="eastAsia" w:ascii="宋体" w:hAnsi="宋体"/>
          <w:color w:val="auto"/>
          <w:szCs w:val="21"/>
          <w:highlight w:val="none"/>
        </w:rPr>
        <w:t>、甲方如未按本合同约定时间</w:t>
      </w:r>
      <w:r>
        <w:rPr>
          <w:rFonts w:hint="eastAsia" w:ascii="宋体" w:hAnsi="宋体"/>
          <w:color w:val="auto"/>
          <w:szCs w:val="21"/>
          <w:highlight w:val="none"/>
          <w:lang w:val="en-US" w:eastAsia="zh-CN"/>
        </w:rPr>
        <w:t>支付款项</w:t>
      </w:r>
      <w:r>
        <w:rPr>
          <w:rFonts w:hint="eastAsia" w:ascii="宋体" w:hAnsi="宋体"/>
          <w:color w:val="auto"/>
          <w:szCs w:val="21"/>
          <w:highlight w:val="none"/>
        </w:rPr>
        <w:t>，甲方需按未</w:t>
      </w:r>
      <w:r>
        <w:rPr>
          <w:rFonts w:hint="eastAsia" w:ascii="宋体" w:hAnsi="宋体"/>
          <w:color w:val="auto"/>
          <w:szCs w:val="21"/>
          <w:highlight w:val="none"/>
          <w:lang w:val="en-US" w:eastAsia="zh-CN"/>
        </w:rPr>
        <w:t>按时</w:t>
      </w:r>
      <w:r>
        <w:rPr>
          <w:rFonts w:hint="eastAsia" w:ascii="宋体" w:hAnsi="宋体"/>
          <w:color w:val="auto"/>
          <w:szCs w:val="21"/>
          <w:highlight w:val="none"/>
        </w:rPr>
        <w:t>支付款项的</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以</w:t>
      </w:r>
      <w:r>
        <w:rPr>
          <w:rFonts w:hint="eastAsia" w:ascii="宋体" w:hAnsi="宋体"/>
          <w:color w:val="auto"/>
          <w:szCs w:val="21"/>
          <w:highlight w:val="none"/>
        </w:rPr>
        <w:t>1%</w:t>
      </w:r>
      <w:r>
        <w:rPr>
          <w:rFonts w:ascii="宋体" w:hAnsi="宋体"/>
          <w:color w:val="auto"/>
          <w:szCs w:val="21"/>
          <w:highlight w:val="none"/>
        </w:rPr>
        <w:t>/</w:t>
      </w:r>
      <w:r>
        <w:rPr>
          <w:rFonts w:hint="eastAsia" w:ascii="宋体" w:hAnsi="宋体"/>
          <w:color w:val="auto"/>
          <w:szCs w:val="21"/>
          <w:highlight w:val="none"/>
        </w:rPr>
        <w:t>天向乙方支付滞纳金。</w:t>
      </w:r>
    </w:p>
    <w:p w14:paraId="3949D3E2">
      <w:pPr>
        <w:pStyle w:val="20"/>
        <w:ind w:left="0" w:leftChars="0" w:firstLine="0" w:firstLineChars="0"/>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2、乙方化学药品送货不及时造成项目现场断货，每次罚款2000元，乙方并承担由此给甲方造成的相关损失。</w:t>
      </w:r>
    </w:p>
    <w:p w14:paraId="364ADD7F">
      <w:pPr>
        <w:pStyle w:val="20"/>
        <w:ind w:left="0" w:leftChars="0" w:firstLine="0" w:firstLineChars="0"/>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3、乙方每个月需向甲方现场提供技术服务至少一次并提供水质报告，每少一次罚款2000元。</w:t>
      </w:r>
    </w:p>
    <w:p w14:paraId="03421823">
      <w:pPr>
        <w:pStyle w:val="20"/>
        <w:ind w:left="0" w:leftChars="0" w:firstLine="0" w:firstLineChars="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4、当甲方项目现场系统出现水质异常状况，甲方通知乙方后的48小时之内，乙方需赶到现场协助现场处理解决问题，并给出指导性的意见，未能及时赶到现场处理的，每次罚款5000元。</w:t>
      </w:r>
    </w:p>
    <w:p w14:paraId="69EA35B2">
      <w:pPr>
        <w:pStyle w:val="20"/>
        <w:ind w:left="0" w:leftChars="0" w:firstLine="0" w:firstLineChars="0"/>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5、</w:t>
      </w:r>
      <w:r>
        <w:rPr>
          <w:rFonts w:hint="eastAsia" w:ascii="宋体" w:hAnsi="宋体" w:cs="宋体"/>
          <w:color w:val="auto"/>
          <w:sz w:val="21"/>
          <w:szCs w:val="21"/>
          <w:highlight w:val="none"/>
          <w:lang w:val="en-US" w:eastAsia="zh-CN"/>
        </w:rPr>
        <w:t>乙方产品及服务质量违约合同约定，拒绝采取措施修复或无法限期完成修复的，甲方有权解除本合同，双方按照实际供货量进行结算；因乙方违约导致合同解除的，乙方应当承担合同总价20%的违约金，及由此造成的甲方全部损失，包括但不限于直接损失、律师费、鉴定费、公证费、保全费等。</w:t>
      </w:r>
    </w:p>
    <w:p w14:paraId="487D6372">
      <w:pPr>
        <w:spacing w:line="360" w:lineRule="auto"/>
        <w:rPr>
          <w:rFonts w:ascii="宋体" w:hAnsi="宋体"/>
          <w:b/>
          <w:color w:val="auto"/>
          <w:szCs w:val="21"/>
          <w:highlight w:val="none"/>
        </w:rPr>
      </w:pPr>
      <w:r>
        <w:rPr>
          <w:rFonts w:hint="eastAsia" w:ascii="宋体" w:hAnsi="宋体"/>
          <w:b/>
          <w:color w:val="auto"/>
          <w:szCs w:val="21"/>
          <w:highlight w:val="none"/>
        </w:rPr>
        <w:t>第九条  合同生效及其他</w:t>
      </w:r>
    </w:p>
    <w:p w14:paraId="66808928">
      <w:pPr>
        <w:spacing w:line="360" w:lineRule="auto"/>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、经双方协商达成一致可以书面形式对本合同进行修改并签订补充协议。</w:t>
      </w:r>
    </w:p>
    <w:p w14:paraId="73F955C6">
      <w:pPr>
        <w:spacing w:line="360" w:lineRule="auto"/>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、本合同未尽事宜，由双方协商解决，如协商不成，提交中国广州仲裁委员会</w:t>
      </w:r>
      <w:r>
        <w:rPr>
          <w:rFonts w:hint="eastAsia" w:ascii="宋体" w:hAnsi="宋体"/>
          <w:color w:val="auto"/>
          <w:szCs w:val="21"/>
          <w:highlight w:val="none"/>
          <w:lang w:val="en-US" w:eastAsia="zh-CN"/>
        </w:rPr>
        <w:t>在东莞申请</w:t>
      </w:r>
      <w:r>
        <w:rPr>
          <w:rFonts w:hint="eastAsia" w:ascii="宋体" w:hAnsi="宋体"/>
          <w:color w:val="auto"/>
          <w:szCs w:val="21"/>
          <w:highlight w:val="none"/>
        </w:rPr>
        <w:t>仲裁解决。</w:t>
      </w:r>
    </w:p>
    <w:p w14:paraId="200B325B">
      <w:pPr>
        <w:spacing w:line="360" w:lineRule="auto"/>
        <w:ind w:left="210" w:hanging="210" w:hangingChars="10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、本合同的补充协议及双方认同的附件与本合同具同等法律效力。如补充协议的约定与本合同不一致的，则以补充协议为准。</w:t>
      </w:r>
    </w:p>
    <w:p w14:paraId="5E58717C">
      <w:pPr>
        <w:spacing w:line="360" w:lineRule="auto"/>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、本合同一式</w:t>
      </w:r>
      <w:r>
        <w:rPr>
          <w:rFonts w:hint="eastAsia" w:ascii="宋体" w:hAnsi="宋体"/>
          <w:color w:val="auto"/>
          <w:szCs w:val="21"/>
          <w:highlight w:val="none"/>
          <w:lang w:val="en-US" w:eastAsia="zh-CN"/>
        </w:rPr>
        <w:t>肆</w:t>
      </w:r>
      <w:r>
        <w:rPr>
          <w:rFonts w:hint="eastAsia" w:ascii="宋体" w:hAnsi="宋体"/>
          <w:color w:val="auto"/>
          <w:szCs w:val="21"/>
          <w:highlight w:val="none"/>
        </w:rPr>
        <w:t>份，双方各执</w:t>
      </w:r>
      <w:r>
        <w:rPr>
          <w:rFonts w:hint="eastAsia" w:ascii="宋体" w:hAnsi="宋体"/>
          <w:color w:val="auto"/>
          <w:szCs w:val="21"/>
          <w:highlight w:val="none"/>
          <w:lang w:val="en-US" w:eastAsia="zh-CN"/>
        </w:rPr>
        <w:t>贰</w:t>
      </w:r>
      <w:r>
        <w:rPr>
          <w:rFonts w:hint="eastAsia" w:ascii="宋体" w:hAnsi="宋体"/>
          <w:color w:val="auto"/>
          <w:szCs w:val="21"/>
          <w:highlight w:val="none"/>
        </w:rPr>
        <w:t>份，自双方代表签字并加盖公司印章之日起生效。</w:t>
      </w:r>
    </w:p>
    <w:p w14:paraId="31D745E8">
      <w:pPr>
        <w:spacing w:line="360" w:lineRule="auto"/>
        <w:rPr>
          <w:rFonts w:ascii="宋体" w:hAnsi="宋体"/>
          <w:color w:val="auto"/>
          <w:szCs w:val="21"/>
          <w:highlight w:val="none"/>
        </w:rPr>
      </w:pPr>
    </w:p>
    <w:p w14:paraId="15A26601">
      <w:pPr>
        <w:spacing w:line="360" w:lineRule="auto"/>
        <w:rPr>
          <w:rFonts w:ascii="宋体" w:hAnsi="宋体"/>
          <w:color w:val="auto"/>
          <w:szCs w:val="21"/>
          <w:highlight w:val="none"/>
        </w:rPr>
      </w:pPr>
    </w:p>
    <w:p w14:paraId="6BE27843">
      <w:pPr>
        <w:spacing w:line="360" w:lineRule="auto"/>
        <w:rPr>
          <w:rFonts w:hint="eastAsia" w:ascii="宋体" w:hAnsi="宋体" w:eastAsia="宋体"/>
          <w:color w:val="auto"/>
          <w:szCs w:val="21"/>
          <w:highlight w:val="none"/>
        </w:rPr>
      </w:pPr>
      <w:r>
        <w:rPr>
          <w:rFonts w:hint="eastAsia" w:ascii="宋体" w:hAnsi="宋体"/>
          <w:color w:val="auto"/>
          <w:szCs w:val="21"/>
          <w:highlight w:val="none"/>
        </w:rPr>
        <w:t>甲方（盖章）</w:t>
      </w:r>
      <w:r>
        <w:rPr>
          <w:rFonts w:hint="eastAsia" w:ascii="宋体" w:hAnsi="宋体"/>
          <w:color w:val="auto"/>
          <w:sz w:val="21"/>
          <w:szCs w:val="21"/>
          <w:highlight w:val="none"/>
        </w:rPr>
        <w:t>：阳江开能环保能源有限公司</w:t>
      </w:r>
    </w:p>
    <w:p w14:paraId="72F57BD8">
      <w:pPr>
        <w:spacing w:line="360" w:lineRule="auto"/>
        <w:rPr>
          <w:rFonts w:ascii="宋体" w:hAnsi="宋体"/>
          <w:color w:val="auto"/>
          <w:szCs w:val="21"/>
          <w:highlight w:val="none"/>
        </w:rPr>
      </w:pPr>
      <w:r>
        <w:rPr>
          <w:rFonts w:hint="eastAsia" w:ascii="宋体" w:hAnsi="宋体"/>
          <w:color w:val="auto"/>
          <w:szCs w:val="21"/>
          <w:highlight w:val="none"/>
        </w:rPr>
        <w:t xml:space="preserve">代表（签名）：                        </w:t>
      </w:r>
    </w:p>
    <w:p w14:paraId="2C805ECF">
      <w:pPr>
        <w:spacing w:line="360" w:lineRule="auto"/>
        <w:rPr>
          <w:rFonts w:ascii="宋体" w:hAnsi="宋体"/>
          <w:color w:val="auto"/>
          <w:szCs w:val="21"/>
          <w:highlight w:val="none"/>
        </w:rPr>
      </w:pPr>
      <w:r>
        <w:rPr>
          <w:rFonts w:hint="eastAsia" w:ascii="宋体" w:hAnsi="宋体"/>
          <w:color w:val="auto"/>
          <w:szCs w:val="21"/>
          <w:highlight w:val="none"/>
        </w:rPr>
        <w:t xml:space="preserve">签订日期：     年      月      日        </w:t>
      </w:r>
    </w:p>
    <w:p w14:paraId="6FF01831">
      <w:pPr>
        <w:spacing w:before="156" w:line="360" w:lineRule="auto"/>
        <w:rPr>
          <w:rFonts w:ascii="宋体" w:hAnsi="宋体"/>
          <w:color w:val="auto"/>
          <w:szCs w:val="21"/>
          <w:highlight w:val="none"/>
        </w:rPr>
      </w:pPr>
    </w:p>
    <w:p w14:paraId="59CC1D35">
      <w:pPr>
        <w:spacing w:before="156" w:line="360" w:lineRule="auto"/>
        <w:rPr>
          <w:rFonts w:ascii="宋体" w:hAnsi="宋体"/>
          <w:color w:val="auto"/>
          <w:szCs w:val="21"/>
          <w:highlight w:val="none"/>
        </w:rPr>
      </w:pPr>
    </w:p>
    <w:p w14:paraId="6B88B54C">
      <w:pPr>
        <w:spacing w:before="156" w:line="360" w:lineRule="auto"/>
        <w:rPr>
          <w:rFonts w:ascii="宋体" w:hAnsi="宋体"/>
          <w:color w:val="auto"/>
          <w:szCs w:val="21"/>
          <w:highlight w:val="none"/>
        </w:rPr>
      </w:pPr>
    </w:p>
    <w:p w14:paraId="78FC01CD">
      <w:pPr>
        <w:spacing w:before="156" w:line="360" w:lineRule="auto"/>
        <w:rPr>
          <w:rFonts w:ascii="宋体" w:hAnsi="宋体"/>
          <w:color w:val="auto"/>
          <w:szCs w:val="21"/>
          <w:highlight w:val="none"/>
        </w:rPr>
      </w:pPr>
      <w:r>
        <w:rPr>
          <w:rFonts w:hint="eastAsia" w:ascii="宋体" w:hAnsi="宋体"/>
          <w:color w:val="auto"/>
          <w:szCs w:val="21"/>
          <w:highlight w:val="none"/>
        </w:rPr>
        <w:t>乙方（盖章）：</w:t>
      </w:r>
    </w:p>
    <w:p w14:paraId="6891241B">
      <w:pPr>
        <w:spacing w:line="360" w:lineRule="auto"/>
        <w:rPr>
          <w:rFonts w:ascii="宋体" w:hAnsi="宋体"/>
          <w:color w:val="auto"/>
          <w:szCs w:val="21"/>
          <w:highlight w:val="none"/>
        </w:rPr>
      </w:pPr>
      <w:r>
        <w:rPr>
          <w:rFonts w:hint="eastAsia" w:ascii="宋体" w:hAnsi="宋体"/>
          <w:color w:val="auto"/>
          <w:szCs w:val="21"/>
          <w:highlight w:val="none"/>
        </w:rPr>
        <w:t>代表（签名）：</w:t>
      </w:r>
    </w:p>
    <w:p w14:paraId="0B3F3F2E">
      <w:pPr>
        <w:spacing w:line="360" w:lineRule="auto"/>
        <w:rPr>
          <w:rFonts w:hint="eastAsia" w:ascii="宋体" w:hAnsi="宋体"/>
          <w:color w:val="auto"/>
          <w:szCs w:val="21"/>
          <w:highlight w:val="none"/>
        </w:rPr>
      </w:pPr>
      <w:r>
        <w:rPr>
          <w:rFonts w:hint="eastAsia" w:ascii="宋体" w:hAnsi="宋体"/>
          <w:color w:val="auto"/>
          <w:szCs w:val="21"/>
          <w:highlight w:val="none"/>
        </w:rPr>
        <w:t xml:space="preserve">签订日期：     年      月      日     </w:t>
      </w:r>
    </w:p>
    <w:p w14:paraId="6F000DE0">
      <w:pPr>
        <w:spacing w:line="360" w:lineRule="auto"/>
        <w:rPr>
          <w:rFonts w:hint="eastAsia" w:ascii="宋体" w:hAnsi="宋体"/>
          <w:color w:val="auto"/>
          <w:szCs w:val="21"/>
          <w:highlight w:val="none"/>
        </w:rPr>
      </w:pPr>
    </w:p>
    <w:p w14:paraId="13A9BE4D">
      <w:pPr>
        <w:spacing w:line="360" w:lineRule="auto"/>
        <w:rPr>
          <w:rFonts w:hint="eastAsia" w:ascii="宋体" w:hAnsi="宋体"/>
          <w:color w:val="auto"/>
          <w:szCs w:val="21"/>
          <w:highlight w:val="none"/>
        </w:rPr>
      </w:pPr>
    </w:p>
    <w:p w14:paraId="567B69F0">
      <w:pPr>
        <w:pStyle w:val="20"/>
        <w:ind w:left="0" w:leftChars="0" w:firstLine="0" w:firstLineChars="0"/>
        <w:rPr>
          <w:rFonts w:hint="eastAsia"/>
          <w:color w:val="auto"/>
          <w:highlight w:val="none"/>
        </w:rPr>
      </w:pPr>
    </w:p>
    <w:p w14:paraId="6061AA44">
      <w:pPr>
        <w:pStyle w:val="20"/>
        <w:ind w:left="0" w:leftChars="0" w:firstLine="0" w:firstLineChars="0"/>
        <w:rPr>
          <w:rFonts w:hint="eastAsia"/>
          <w:color w:val="auto"/>
          <w:highlight w:val="none"/>
        </w:rPr>
      </w:pPr>
    </w:p>
    <w:p w14:paraId="2B7141A8">
      <w:pPr>
        <w:pStyle w:val="20"/>
        <w:ind w:left="0" w:leftChars="0" w:firstLine="0" w:firstLineChars="0"/>
        <w:rPr>
          <w:rFonts w:hint="eastAsia"/>
          <w:color w:val="auto"/>
          <w:highlight w:val="none"/>
        </w:rPr>
      </w:pPr>
    </w:p>
    <w:p w14:paraId="408F6433">
      <w:pPr>
        <w:pStyle w:val="20"/>
        <w:rPr>
          <w:rFonts w:hint="eastAsia"/>
          <w:color w:val="auto"/>
          <w:highlight w:val="none"/>
        </w:rPr>
      </w:pPr>
    </w:p>
    <w:p w14:paraId="533887ED">
      <w:pPr>
        <w:snapToGrid w:val="0"/>
        <w:spacing w:after="312" w:afterLines="100"/>
        <w:ind w:firstLine="360" w:firstLineChars="15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附件1</w:t>
      </w:r>
    </w:p>
    <w:tbl>
      <w:tblPr>
        <w:tblStyle w:val="21"/>
        <w:tblW w:w="904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76"/>
        <w:gridCol w:w="1461"/>
        <w:gridCol w:w="1213"/>
        <w:gridCol w:w="1708"/>
        <w:gridCol w:w="965"/>
        <w:gridCol w:w="965"/>
        <w:gridCol w:w="842"/>
        <w:gridCol w:w="718"/>
      </w:tblGrid>
      <w:tr w14:paraId="2F08A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4F2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系统名称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FA9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产品型号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2E3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投加浓度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6F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天（次）用量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F41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月用量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08C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年用量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CF0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2B2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总价</w:t>
            </w:r>
          </w:p>
        </w:tc>
      </w:tr>
      <w:tr w14:paraId="4543F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DD70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4DEE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898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mg/L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A47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9AA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1A4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619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元/kg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F45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元</w:t>
            </w:r>
          </w:p>
        </w:tc>
      </w:tr>
      <w:tr w14:paraId="38458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A481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余热发电循环水系统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597C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缓蚀阻垢剂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385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92BF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C819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7B664">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30CA9">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1065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r>
      <w:tr w14:paraId="036E4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6D38E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787F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杀菌灭藻剂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292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4923D">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B9B12">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DBE2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5742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A3007">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r>
      <w:tr w14:paraId="31928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BC316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1EA2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黏泥剥离剂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8F3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91501">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F865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0900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D98F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4EBD4">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r>
      <w:tr w14:paraId="509C0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CEC5B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5839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CC6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AF32D">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r>
      <w:tr w14:paraId="63B2D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4930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余热发电反渗透系统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ECAC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阻垢剂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9CF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5786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BB65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9BFA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B0E8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D6A9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r>
      <w:tr w14:paraId="5FC36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44EFC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3760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杀菌剂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1BE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E86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B5DF4">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7135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800A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6ECD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r>
      <w:tr w14:paraId="6EC46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B2E4C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B2D1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絮凝剂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81B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BDD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0F2FD">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E9C85">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F70A7">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66825">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r>
      <w:tr w14:paraId="22825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39296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7746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还原剂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1A0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7BA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C321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F52E9">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EBC15">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FA81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r>
      <w:tr w14:paraId="136B0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CFC28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D930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碱性清洗剂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815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270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3015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5199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567E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7006D">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r>
      <w:tr w14:paraId="3FD44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3BFCA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5E11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酸性清洗剂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852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7C1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B6081">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B6AC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A0864">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11E5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r>
      <w:tr w14:paraId="6279A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58E6D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303B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058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A613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r>
      <w:tr w14:paraId="43A7B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73A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总计</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95E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C74B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r>
    </w:tbl>
    <w:p w14:paraId="1AFA4D22">
      <w:pPr>
        <w:pStyle w:val="41"/>
        <w:wordWrap w:val="0"/>
        <w:ind w:firstLine="0" w:firstLineChars="0"/>
        <w:jc w:val="left"/>
        <w:rPr>
          <w:rFonts w:hint="eastAsia" w:ascii="宋体" w:hAnsi="宋体" w:eastAsia="宋体" w:cs="宋体"/>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p>
    <w:p w14:paraId="3580DCD0">
      <w:pPr>
        <w:snapToGrid w:val="0"/>
        <w:spacing w:after="312" w:afterLines="100"/>
        <w:ind w:firstLine="360" w:firstLineChars="150"/>
        <w:rPr>
          <w:rFonts w:hint="eastAsia" w:ascii="宋体" w:hAnsi="宋体"/>
          <w:b/>
          <w:color w:val="auto"/>
          <w:sz w:val="24"/>
          <w:szCs w:val="24"/>
          <w:highlight w:val="none"/>
          <w:lang w:val="en-US" w:eastAsia="zh-CN"/>
        </w:rPr>
      </w:pPr>
    </w:p>
    <w:p w14:paraId="66BBD8D1">
      <w:pPr>
        <w:pStyle w:val="9"/>
        <w:rPr>
          <w:rFonts w:hint="eastAsia"/>
          <w:lang w:val="en-US" w:eastAsia="zh-CN"/>
        </w:rPr>
      </w:pPr>
    </w:p>
    <w:p w14:paraId="75DBC248">
      <w:pPr>
        <w:pStyle w:val="10"/>
        <w:rPr>
          <w:rFonts w:hint="eastAsia"/>
          <w:lang w:val="en-US" w:eastAsia="zh-CN"/>
        </w:rPr>
      </w:pPr>
    </w:p>
    <w:p w14:paraId="2F3D2596">
      <w:pPr>
        <w:pStyle w:val="10"/>
        <w:rPr>
          <w:rFonts w:hint="eastAsia"/>
          <w:lang w:val="en-US" w:eastAsia="zh-CN"/>
        </w:rPr>
      </w:pPr>
    </w:p>
    <w:p w14:paraId="272CD3C7">
      <w:pPr>
        <w:pStyle w:val="10"/>
        <w:rPr>
          <w:rFonts w:hint="eastAsia"/>
          <w:lang w:val="en-US" w:eastAsia="zh-CN"/>
        </w:rPr>
      </w:pPr>
    </w:p>
    <w:p w14:paraId="7E1CCE85">
      <w:pPr>
        <w:snapToGrid w:val="0"/>
        <w:spacing w:after="312" w:afterLines="100"/>
        <w:ind w:firstLine="360" w:firstLineChars="150"/>
        <w:rPr>
          <w:rFonts w:hint="default" w:ascii="宋体" w:hAnsi="宋体" w:eastAsia="宋体"/>
          <w:b/>
          <w:color w:val="auto"/>
          <w:sz w:val="24"/>
          <w:szCs w:val="24"/>
          <w:highlight w:val="none"/>
          <w:lang w:val="en-US" w:eastAsia="zh-CN"/>
        </w:rPr>
      </w:pPr>
      <w:r>
        <w:rPr>
          <w:rFonts w:hint="eastAsia" w:ascii="宋体" w:hAnsi="宋体"/>
          <w:b/>
          <w:color w:val="auto"/>
          <w:sz w:val="24"/>
          <w:szCs w:val="24"/>
          <w:highlight w:val="none"/>
          <w:lang w:val="en-US" w:eastAsia="zh-CN"/>
        </w:rPr>
        <w:t>附件2</w:t>
      </w:r>
    </w:p>
    <w:p w14:paraId="3FB88208">
      <w:pPr>
        <w:pStyle w:val="9"/>
        <w:rPr>
          <w:rFonts w:hint="default"/>
          <w:lang w:val="en-US" w:eastAsia="zh-CN"/>
        </w:rPr>
      </w:pPr>
    </w:p>
    <w:p w14:paraId="2599F991">
      <w:pPr>
        <w:snapToGrid/>
        <w:spacing w:before="0" w:beforeAutospacing="0" w:after="0" w:afterAutospacing="0" w:line="480" w:lineRule="exact"/>
        <w:jc w:val="center"/>
        <w:textAlignment w:val="baseline"/>
        <w:rPr>
          <w:rFonts w:ascii="宋体"/>
          <w:b/>
          <w:i w:val="0"/>
          <w:caps w:val="0"/>
          <w:color w:val="auto"/>
          <w:spacing w:val="0"/>
          <w:w w:val="100"/>
          <w:sz w:val="28"/>
          <w:szCs w:val="28"/>
          <w:highlight w:val="none"/>
        </w:rPr>
      </w:pPr>
      <w:r>
        <w:rPr>
          <w:rFonts w:hint="eastAsia" w:ascii="方正小标宋简体" w:hAnsi="黑体" w:eastAsia="方正小标宋简体"/>
          <w:b/>
          <w:i w:val="0"/>
          <w:caps w:val="0"/>
          <w:color w:val="auto"/>
          <w:spacing w:val="0"/>
          <w:w w:val="100"/>
          <w:sz w:val="30"/>
          <w:szCs w:val="30"/>
          <w:highlight w:val="none"/>
        </w:rPr>
        <w:t>阳光合作协议</w:t>
      </w:r>
    </w:p>
    <w:p w14:paraId="21ECF4FB">
      <w:pPr>
        <w:snapToGrid/>
        <w:spacing w:before="156" w:beforeAutospacing="0" w:after="156" w:afterAutospacing="0" w:line="480" w:lineRule="exact"/>
        <w:ind w:firstLine="420" w:firstLineChars="200"/>
        <w:jc w:val="both"/>
        <w:textAlignment w:val="baseline"/>
        <w:rPr>
          <w:rFonts w:asci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甲方（全称）：</w:t>
      </w:r>
      <w:r>
        <w:rPr>
          <w:rFonts w:hint="eastAsia" w:ascii="宋体" w:hAnsi="宋体" w:cs="宋体"/>
          <w:b w:val="0"/>
          <w:i w:val="0"/>
          <w:caps w:val="0"/>
          <w:color w:val="auto"/>
          <w:spacing w:val="0"/>
          <w:w w:val="100"/>
          <w:sz w:val="21"/>
          <w:szCs w:val="21"/>
          <w:highlight w:val="none"/>
          <w:u w:val="single"/>
          <w:lang w:eastAsia="zh-CN"/>
        </w:rPr>
        <w:t>阳江</w:t>
      </w:r>
      <w:r>
        <w:rPr>
          <w:rFonts w:hint="eastAsia" w:ascii="宋体" w:hAnsi="宋体" w:cs="宋体"/>
          <w:b w:val="0"/>
          <w:i w:val="0"/>
          <w:caps w:val="0"/>
          <w:color w:val="auto"/>
          <w:spacing w:val="0"/>
          <w:w w:val="100"/>
          <w:sz w:val="21"/>
          <w:szCs w:val="21"/>
          <w:highlight w:val="none"/>
          <w:u w:val="single"/>
        </w:rPr>
        <w:t>开能环保能源有限公司</w:t>
      </w:r>
    </w:p>
    <w:p w14:paraId="2FDB6ABE">
      <w:pPr>
        <w:snapToGrid/>
        <w:spacing w:before="156" w:beforeAutospacing="0" w:after="156" w:afterAutospacing="0" w:line="480" w:lineRule="exact"/>
        <w:ind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乙方（全称）：</w:t>
      </w:r>
    </w:p>
    <w:p w14:paraId="0796890A">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 xml:space="preserve"> 甲乙双方于</w:t>
      </w:r>
      <w:r>
        <w:rPr>
          <w:rFonts w:hint="eastAsia" w:ascii="宋体" w:hAnsi="宋体"/>
          <w:b w:val="0"/>
          <w:i w:val="0"/>
          <w:caps w:val="0"/>
          <w:color w:val="auto"/>
          <w:spacing w:val="0"/>
          <w:w w:val="100"/>
          <w:sz w:val="21"/>
          <w:highlight w:val="none"/>
          <w:lang w:val="en-US" w:eastAsia="zh-CN"/>
        </w:rPr>
        <w:t xml:space="preserve">   </w:t>
      </w:r>
      <w:r>
        <w:rPr>
          <w:rFonts w:hint="eastAsia" w:ascii="宋体" w:hAnsi="宋体"/>
          <w:b w:val="0"/>
          <w:i w:val="0"/>
          <w:caps w:val="0"/>
          <w:color w:val="auto"/>
          <w:spacing w:val="0"/>
          <w:w w:val="100"/>
          <w:sz w:val="21"/>
          <w:highlight w:val="none"/>
        </w:rPr>
        <w:t xml:space="preserve">年 </w:t>
      </w:r>
      <w:r>
        <w:rPr>
          <w:rFonts w:hint="eastAsia" w:ascii="宋体" w:hAnsi="宋体"/>
          <w:b w:val="0"/>
          <w:i w:val="0"/>
          <w:caps w:val="0"/>
          <w:color w:val="auto"/>
          <w:spacing w:val="0"/>
          <w:w w:val="100"/>
          <w:sz w:val="21"/>
          <w:highlight w:val="none"/>
          <w:lang w:val="en-US" w:eastAsia="zh-CN"/>
        </w:rPr>
        <w:t xml:space="preserve">  </w:t>
      </w:r>
      <w:r>
        <w:rPr>
          <w:rFonts w:hint="eastAsia" w:ascii="宋体" w:hAnsi="宋体"/>
          <w:b w:val="0"/>
          <w:i w:val="0"/>
          <w:caps w:val="0"/>
          <w:color w:val="auto"/>
          <w:spacing w:val="0"/>
          <w:w w:val="100"/>
          <w:sz w:val="21"/>
          <w:highlight w:val="none"/>
        </w:rPr>
        <w:t>月</w:t>
      </w:r>
      <w:r>
        <w:rPr>
          <w:rFonts w:hint="eastAsia" w:ascii="宋体" w:hAnsi="宋体"/>
          <w:b w:val="0"/>
          <w:i w:val="0"/>
          <w:caps w:val="0"/>
          <w:color w:val="auto"/>
          <w:spacing w:val="0"/>
          <w:w w:val="100"/>
          <w:sz w:val="21"/>
          <w:highlight w:val="none"/>
          <w:lang w:val="en-US" w:eastAsia="zh-CN"/>
        </w:rPr>
        <w:t xml:space="preserve">   </w:t>
      </w:r>
      <w:r>
        <w:rPr>
          <w:rFonts w:hint="eastAsia" w:ascii="宋体" w:hAnsi="宋体"/>
          <w:b w:val="0"/>
          <w:i w:val="0"/>
          <w:caps w:val="0"/>
          <w:color w:val="auto"/>
          <w:spacing w:val="0"/>
          <w:w w:val="100"/>
          <w:sz w:val="21"/>
          <w:highlight w:val="none"/>
        </w:rPr>
        <w:t>日签署了</w:t>
      </w:r>
      <w:r>
        <w:rPr>
          <w:rFonts w:hint="eastAsia" w:ascii="宋体" w:hAnsi="宋体"/>
          <w:b w:val="0"/>
          <w:i w:val="0"/>
          <w:caps w:val="0"/>
          <w:color w:val="auto"/>
          <w:spacing w:val="0"/>
          <w:w w:val="100"/>
          <w:sz w:val="21"/>
          <w:highlight w:val="none"/>
          <w:u w:val="single"/>
          <w:lang w:val="en-US" w:eastAsia="zh-CN"/>
        </w:rPr>
        <w:t>阳江开能环保能源有限公司2024年水处理系统化学药品服务项目合同</w:t>
      </w:r>
      <w:r>
        <w:rPr>
          <w:rFonts w:hint="eastAsia" w:ascii="宋体" w:hAnsi="宋体"/>
          <w:b w:val="0"/>
          <w:i w:val="0"/>
          <w:caps w:val="0"/>
          <w:color w:val="auto"/>
          <w:spacing w:val="0"/>
          <w:w w:val="100"/>
          <w:sz w:val="21"/>
          <w:highlight w:val="none"/>
        </w:rPr>
        <w:t>（以下简称原合同），为加强双方阳光合作，保证职员职业安全，甲乙双方经协商签定本协议并作为双方共同遵守的阳光合作行为准则。</w:t>
      </w:r>
    </w:p>
    <w:p w14:paraId="3D3E29B0">
      <w:pPr>
        <w:widowControl/>
        <w:numPr>
          <w:ilvl w:val="0"/>
          <w:numId w:val="9"/>
        </w:numPr>
        <w:snapToGrid/>
        <w:spacing w:before="156" w:beforeAutospacing="0" w:after="156" w:afterAutospacing="0" w:line="480" w:lineRule="exact"/>
        <w:jc w:val="left"/>
        <w:textAlignment w:val="baseline"/>
        <w:rPr>
          <w:rFonts w:ascii="宋体" w:hAnsi="宋体"/>
          <w:b/>
          <w:i w:val="0"/>
          <w:caps w:val="0"/>
          <w:color w:val="auto"/>
          <w:spacing w:val="0"/>
          <w:w w:val="100"/>
          <w:sz w:val="20"/>
          <w:highlight w:val="none"/>
        </w:rPr>
      </w:pPr>
      <w:r>
        <w:rPr>
          <w:rFonts w:hint="eastAsia" w:ascii="宋体" w:hAnsi="宋体"/>
          <w:b/>
          <w:i w:val="0"/>
          <w:caps w:val="0"/>
          <w:color w:val="auto"/>
          <w:spacing w:val="0"/>
          <w:w w:val="100"/>
          <w:sz w:val="21"/>
          <w:highlight w:val="none"/>
        </w:rPr>
        <w:t>甲方责任</w:t>
      </w:r>
    </w:p>
    <w:p w14:paraId="7E070C98">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1.甲方有责任向乙方介绍本单位有关采购管理通用原则和本协议的规定。</w:t>
      </w:r>
    </w:p>
    <w:p w14:paraId="78580558">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2.甲方有责任对本单位相关人员进行阳光合作教育。</w:t>
      </w:r>
    </w:p>
    <w:p w14:paraId="1F2FA67C">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3.甲方人员应严格遵守本单位有关阳光合作管理的规定，不得接受乙方任何形式的回扣、实物、现金、有价证券、礼券等有价物品，不得参加乙方提供的旅游或其他可能影响职务行为公正履行的活动。</w:t>
      </w:r>
      <w:r>
        <w:rPr>
          <w:rFonts w:ascii="宋体" w:hAnsi="宋体"/>
          <w:b w:val="0"/>
          <w:i w:val="0"/>
          <w:caps w:val="0"/>
          <w:color w:val="auto"/>
          <w:spacing w:val="0"/>
          <w:w w:val="100"/>
          <w:sz w:val="21"/>
          <w:highlight w:val="none"/>
        </w:rPr>
        <w:t xml:space="preserve"> </w:t>
      </w:r>
    </w:p>
    <w:p w14:paraId="4255A9A8">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4.甲方人员如违反阳光合作管理制度及本协议规定，甲方视情节轻重、影响大小给予行政及经济处罚。</w:t>
      </w:r>
    </w:p>
    <w:p w14:paraId="34A738D2">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5．对于乙方举报甲方人员违反阳光合作规定的情况，甲方应及时进行调查，根据调查情况进行处理，并将调查结果向乙方反馈。</w:t>
      </w:r>
    </w:p>
    <w:p w14:paraId="41633EEE">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6.接受举报的一方应为举报方保密，不得对举报方进行报复，对举报属实和严格遵守《阳光合作协议》的合作方，在同等条件下给予后续合作的优先权。</w:t>
      </w:r>
    </w:p>
    <w:p w14:paraId="7E780C66">
      <w:pPr>
        <w:widowControl/>
        <w:numPr>
          <w:ilvl w:val="0"/>
          <w:numId w:val="9"/>
        </w:numPr>
        <w:snapToGrid/>
        <w:spacing w:before="156" w:beforeAutospacing="0" w:after="156" w:afterAutospacing="0" w:line="480" w:lineRule="exact"/>
        <w:jc w:val="left"/>
        <w:textAlignment w:val="baseline"/>
        <w:rPr>
          <w:rFonts w:ascii="宋体" w:hAnsi="宋体"/>
          <w:b/>
          <w:i w:val="0"/>
          <w:caps w:val="0"/>
          <w:color w:val="auto"/>
          <w:spacing w:val="0"/>
          <w:w w:val="100"/>
          <w:sz w:val="20"/>
          <w:highlight w:val="none"/>
        </w:rPr>
      </w:pPr>
      <w:r>
        <w:rPr>
          <w:rFonts w:hint="eastAsia" w:ascii="宋体" w:hAnsi="宋体"/>
          <w:b/>
          <w:i w:val="0"/>
          <w:caps w:val="0"/>
          <w:color w:val="auto"/>
          <w:spacing w:val="0"/>
          <w:w w:val="100"/>
          <w:sz w:val="21"/>
          <w:highlight w:val="none"/>
        </w:rPr>
        <w:t>乙方责任</w:t>
      </w:r>
    </w:p>
    <w:p w14:paraId="394A2030">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1.乙方应保证乙方人员了解甲方有关采购管理通用原则和及本协议的规定，并遵照执行。</w:t>
      </w:r>
    </w:p>
    <w:p w14:paraId="7537C270">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2.乙方不得以任何形式给予甲方人员回扣、赠送实物、现金、有价证券、礼券等有价物品或提供旅游等其他可能影响职务行为公正履行的活动（以下统称“财物”）。</w:t>
      </w:r>
    </w:p>
    <w:p w14:paraId="6F168DDD">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3.乙方有责任接受甲方对乙方在合作期间阳光合作管理执行情况的监督，并对甲方相关调查工作主动配合。</w:t>
      </w:r>
    </w:p>
    <w:p w14:paraId="73C6A608">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4.乙方有义务就甲方人员任何形式的索取或收受财物行为及时向甲方（直接联系人为东莞实业投资控股集团有限公司</w:t>
      </w:r>
      <w:r>
        <w:rPr>
          <w:rFonts w:hint="eastAsia" w:ascii="宋体" w:hAnsi="宋体"/>
          <w:b w:val="0"/>
          <w:i w:val="0"/>
          <w:caps w:val="0"/>
          <w:color w:val="auto"/>
          <w:spacing w:val="0"/>
          <w:w w:val="100"/>
          <w:sz w:val="21"/>
          <w:highlight w:val="none"/>
          <w:lang w:val="en-US" w:eastAsia="zh-CN"/>
        </w:rPr>
        <w:t>法律合规</w:t>
      </w:r>
      <w:r>
        <w:rPr>
          <w:rFonts w:hint="eastAsia" w:ascii="宋体" w:hAnsi="宋体"/>
          <w:b w:val="0"/>
          <w:i w:val="0"/>
          <w:caps w:val="0"/>
          <w:color w:val="auto"/>
          <w:spacing w:val="0"/>
          <w:w w:val="100"/>
          <w:sz w:val="21"/>
          <w:highlight w:val="none"/>
        </w:rPr>
        <w:t>部）举报。如乙方或其人员向甲方人员给予财物，或甲方人员向乙方索取财物，乙方满足其要求并且未向甲方举报的，一经查实（包括但不限于被甲方核实属实，或者被司法机关或第三人核实属实的），甲方将在内部通报；乙方除应向甲方赔偿由此给甲方造成的损失外，乙方还应向甲方支付相当于原合同总价的</w:t>
      </w:r>
      <w:r>
        <w:rPr>
          <w:rFonts w:ascii="宋体" w:hAnsi="宋体"/>
          <w:b w:val="0"/>
          <w:i w:val="0"/>
          <w:caps w:val="0"/>
          <w:color w:val="auto"/>
          <w:spacing w:val="0"/>
          <w:w w:val="100"/>
          <w:sz w:val="21"/>
          <w:highlight w:val="none"/>
        </w:rPr>
        <w:t>10%</w:t>
      </w:r>
      <w:r>
        <w:rPr>
          <w:rFonts w:hint="eastAsia" w:ascii="宋体" w:hAnsi="宋体"/>
          <w:b w:val="0"/>
          <w:i w:val="0"/>
          <w:caps w:val="0"/>
          <w:color w:val="auto"/>
          <w:spacing w:val="0"/>
          <w:w w:val="100"/>
          <w:sz w:val="21"/>
          <w:highlight w:val="none"/>
        </w:rPr>
        <w:t>的违约金，并对乙方知情不报人员进行相应处罚；连续出现</w:t>
      </w:r>
      <w:r>
        <w:rPr>
          <w:rFonts w:ascii="宋体" w:hAnsi="宋体"/>
          <w:b w:val="0"/>
          <w:i w:val="0"/>
          <w:caps w:val="0"/>
          <w:color w:val="auto"/>
          <w:spacing w:val="0"/>
          <w:w w:val="100"/>
          <w:sz w:val="21"/>
          <w:highlight w:val="none"/>
        </w:rPr>
        <w:t>2</w:t>
      </w:r>
      <w:r>
        <w:rPr>
          <w:rFonts w:hint="eastAsia" w:ascii="宋体" w:hAnsi="宋体"/>
          <w:b w:val="0"/>
          <w:i w:val="0"/>
          <w:caps w:val="0"/>
          <w:color w:val="auto"/>
          <w:spacing w:val="0"/>
          <w:w w:val="100"/>
          <w:sz w:val="21"/>
          <w:highlight w:val="none"/>
        </w:rPr>
        <w:t>次及以上类似情况或者如因乙方在合作期间贿赂甲方人员，被检察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53ED89E9">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 xml:space="preserve">5．甲方接受乙方实名或匿名举报，保证为举报者的信息保密，常设举报部门及电话： </w:t>
      </w:r>
    </w:p>
    <w:p w14:paraId="26991803">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举报受理部门：东莞实业投资控股集团有限公司纪</w:t>
      </w:r>
      <w:r>
        <w:rPr>
          <w:rFonts w:hint="eastAsia" w:ascii="宋体" w:hAnsi="宋体"/>
          <w:b w:val="0"/>
          <w:i w:val="0"/>
          <w:caps w:val="0"/>
          <w:color w:val="auto"/>
          <w:spacing w:val="0"/>
          <w:w w:val="100"/>
          <w:sz w:val="21"/>
          <w:highlight w:val="none"/>
          <w:lang w:val="en-US" w:eastAsia="zh-CN"/>
        </w:rPr>
        <w:t>法律合规</w:t>
      </w:r>
      <w:r>
        <w:rPr>
          <w:rFonts w:hint="eastAsia" w:ascii="宋体" w:hAnsi="宋体"/>
          <w:b w:val="0"/>
          <w:i w:val="0"/>
          <w:caps w:val="0"/>
          <w:color w:val="auto"/>
          <w:spacing w:val="0"/>
          <w:w w:val="100"/>
          <w:sz w:val="21"/>
          <w:highlight w:val="none"/>
        </w:rPr>
        <w:t>部</w:t>
      </w:r>
    </w:p>
    <w:p w14:paraId="31EBEB26">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东实集团举报邮箱：dgsyxf@163.com</w:t>
      </w:r>
    </w:p>
    <w:p w14:paraId="2305A212">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东实集团举报电话：0769-28820703（周一至周五9:00-12:00和14:00-18:00）</w:t>
      </w:r>
    </w:p>
    <w:p w14:paraId="72976AD2">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邮寄地址：东莞市东城区八一路东莞市机关二号大院9号楼，东莞实业投资控股集团有限公司</w:t>
      </w:r>
      <w:r>
        <w:rPr>
          <w:rFonts w:hint="eastAsia" w:ascii="宋体" w:hAnsi="宋体"/>
          <w:b w:val="0"/>
          <w:i w:val="0"/>
          <w:caps w:val="0"/>
          <w:color w:val="auto"/>
          <w:spacing w:val="0"/>
          <w:w w:val="100"/>
          <w:sz w:val="21"/>
          <w:highlight w:val="none"/>
          <w:lang w:val="en-US" w:eastAsia="zh-CN"/>
        </w:rPr>
        <w:t>法律合规</w:t>
      </w:r>
      <w:r>
        <w:rPr>
          <w:rFonts w:hint="eastAsia" w:ascii="宋体" w:hAnsi="宋体"/>
          <w:b w:val="0"/>
          <w:i w:val="0"/>
          <w:caps w:val="0"/>
          <w:color w:val="auto"/>
          <w:spacing w:val="0"/>
          <w:w w:val="100"/>
          <w:sz w:val="21"/>
          <w:highlight w:val="none"/>
        </w:rPr>
        <w:t>部收，邮编523000。</w:t>
      </w:r>
    </w:p>
    <w:p w14:paraId="03F6C71C">
      <w:pPr>
        <w:widowControl/>
        <w:numPr>
          <w:ilvl w:val="0"/>
          <w:numId w:val="9"/>
        </w:numPr>
        <w:snapToGrid/>
        <w:spacing w:before="156" w:beforeAutospacing="0" w:after="156" w:afterAutospacing="0" w:line="480" w:lineRule="exact"/>
        <w:jc w:val="left"/>
        <w:textAlignment w:val="baseline"/>
        <w:rPr>
          <w:rFonts w:ascii="宋体" w:hAnsi="宋体"/>
          <w:b/>
          <w:i w:val="0"/>
          <w:caps w:val="0"/>
          <w:color w:val="auto"/>
          <w:spacing w:val="0"/>
          <w:w w:val="100"/>
          <w:sz w:val="20"/>
          <w:highlight w:val="none"/>
        </w:rPr>
      </w:pPr>
      <w:r>
        <w:rPr>
          <w:rFonts w:hint="eastAsia" w:ascii="宋体" w:hAnsi="宋体"/>
          <w:b/>
          <w:i w:val="0"/>
          <w:caps w:val="0"/>
          <w:color w:val="auto"/>
          <w:spacing w:val="0"/>
          <w:w w:val="100"/>
          <w:sz w:val="21"/>
          <w:highlight w:val="none"/>
        </w:rPr>
        <w:t>其他</w:t>
      </w:r>
    </w:p>
    <w:p w14:paraId="746D36B0">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1.本协议是原合同的补充协议，与原合同有同等法律效力。</w:t>
      </w:r>
    </w:p>
    <w:p w14:paraId="35EB0801">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2.本协议</w:t>
      </w:r>
      <w:r>
        <w:rPr>
          <w:rFonts w:hint="eastAsia" w:ascii="宋体" w:hAnsi="宋体"/>
          <w:b w:val="0"/>
          <w:i w:val="0"/>
          <w:caps w:val="0"/>
          <w:color w:val="auto"/>
          <w:spacing w:val="0"/>
          <w:w w:val="100"/>
          <w:sz w:val="21"/>
          <w:szCs w:val="21"/>
          <w:highlight w:val="none"/>
        </w:rPr>
        <w:t>一式肆份，甲方持有贰份，乙方持贰份，</w:t>
      </w:r>
      <w:r>
        <w:rPr>
          <w:rFonts w:hint="eastAsia" w:ascii="宋体" w:hAnsi="宋体"/>
          <w:b w:val="0"/>
          <w:i w:val="0"/>
          <w:caps w:val="0"/>
          <w:color w:val="auto"/>
          <w:spacing w:val="0"/>
          <w:w w:val="100"/>
          <w:sz w:val="21"/>
          <w:highlight w:val="none"/>
        </w:rPr>
        <w:t>具有同等法律效力。</w:t>
      </w:r>
    </w:p>
    <w:p w14:paraId="7EF1C236">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3.本协议经双方签署后生效。</w:t>
      </w:r>
    </w:p>
    <w:p w14:paraId="6C387C85">
      <w:pPr>
        <w:snapToGrid/>
        <w:spacing w:before="156" w:beforeAutospacing="0" w:after="156" w:afterAutospacing="0" w:line="480" w:lineRule="exact"/>
        <w:ind w:right="26" w:firstLine="315" w:firstLineChars="15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甲方（公章）：</w:t>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hAnsi="宋体"/>
          <w:b w:val="0"/>
          <w:i w:val="0"/>
          <w:caps w:val="0"/>
          <w:color w:val="auto"/>
          <w:spacing w:val="0"/>
          <w:w w:val="100"/>
          <w:sz w:val="21"/>
          <w:highlight w:val="none"/>
        </w:rPr>
        <w:t xml:space="preserve">         </w:t>
      </w:r>
      <w:r>
        <w:rPr>
          <w:rFonts w:hint="eastAsia" w:ascii="宋体" w:hAnsi="宋体"/>
          <w:b w:val="0"/>
          <w:i w:val="0"/>
          <w:caps w:val="0"/>
          <w:color w:val="auto"/>
          <w:spacing w:val="0"/>
          <w:w w:val="100"/>
          <w:sz w:val="21"/>
          <w:highlight w:val="none"/>
        </w:rPr>
        <w:t xml:space="preserve"> 乙方（公章）：</w:t>
      </w:r>
    </w:p>
    <w:p w14:paraId="1DFA7378">
      <w:pPr>
        <w:snapToGrid/>
        <w:spacing w:before="156" w:beforeAutospacing="0" w:after="156" w:afterAutospacing="0" w:line="480" w:lineRule="exact"/>
        <w:ind w:right="26" w:firstLine="315" w:firstLineChars="15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法定代表人（授权代表）：</w:t>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hint="eastAsia" w:ascii="宋体"/>
          <w:b w:val="0"/>
          <w:i w:val="0"/>
          <w:caps w:val="0"/>
          <w:color w:val="auto"/>
          <w:spacing w:val="0"/>
          <w:w w:val="100"/>
          <w:sz w:val="21"/>
          <w:highlight w:val="none"/>
        </w:rPr>
        <w:t xml:space="preserve">      </w:t>
      </w:r>
      <w:r>
        <w:rPr>
          <w:rFonts w:hint="eastAsia" w:ascii="宋体" w:hAnsi="宋体"/>
          <w:b w:val="0"/>
          <w:i w:val="0"/>
          <w:caps w:val="0"/>
          <w:color w:val="auto"/>
          <w:spacing w:val="0"/>
          <w:w w:val="100"/>
          <w:sz w:val="21"/>
          <w:highlight w:val="none"/>
        </w:rPr>
        <w:t>法定代表人（授权代表）：</w:t>
      </w:r>
    </w:p>
    <w:p w14:paraId="36430537">
      <w:pPr>
        <w:snapToGrid/>
        <w:spacing w:before="0" w:beforeAutospacing="0" w:after="0" w:afterAutospacing="0" w:line="360" w:lineRule="auto"/>
        <w:ind w:firstLine="315" w:firstLineChars="150"/>
        <w:jc w:val="both"/>
        <w:textAlignment w:val="baseline"/>
        <w:rPr>
          <w:rFonts w:hint="eastAsia" w:ascii="宋体" w:hAnsi="宋体"/>
          <w:b w:val="0"/>
          <w:i w:val="0"/>
          <w:caps w:val="0"/>
          <w:color w:val="auto"/>
          <w:spacing w:val="0"/>
          <w:w w:val="100"/>
          <w:sz w:val="21"/>
          <w:highlight w:val="none"/>
          <w:u w:val="single"/>
        </w:rPr>
      </w:pPr>
      <w:r>
        <w:rPr>
          <w:rFonts w:hint="eastAsia" w:ascii="宋体" w:hAnsi="宋体"/>
          <w:b w:val="0"/>
          <w:i w:val="0"/>
          <w:caps w:val="0"/>
          <w:color w:val="auto"/>
          <w:spacing w:val="0"/>
          <w:w w:val="100"/>
          <w:sz w:val="21"/>
          <w:highlight w:val="none"/>
        </w:rPr>
        <w:t>签约日期：</w:t>
      </w:r>
      <w:bookmarkStart w:id="7" w:name="现场签证通知单"/>
      <w:bookmarkEnd w:id="7"/>
      <w:bookmarkStart w:id="8" w:name="设计变更通知单"/>
      <w:bookmarkEnd w:id="8"/>
      <w:r>
        <w:rPr>
          <w:rFonts w:hint="eastAsia" w:ascii="宋体" w:hAnsi="宋体"/>
          <w:b w:val="0"/>
          <w:i w:val="0"/>
          <w:caps w:val="0"/>
          <w:color w:val="auto"/>
          <w:spacing w:val="0"/>
          <w:w w:val="100"/>
          <w:sz w:val="21"/>
          <w:highlight w:val="none"/>
          <w:u w:val="single"/>
        </w:rPr>
        <w:t xml:space="preserve"> </w:t>
      </w:r>
      <w:r>
        <w:rPr>
          <w:rFonts w:hint="eastAsia" w:ascii="宋体" w:hAnsi="宋体"/>
          <w:b w:val="0"/>
          <w:i w:val="0"/>
          <w:caps w:val="0"/>
          <w:color w:val="auto"/>
          <w:spacing w:val="0"/>
          <w:w w:val="100"/>
          <w:sz w:val="21"/>
          <w:highlight w:val="none"/>
          <w:u w:val="single"/>
          <w:lang w:val="en-US" w:eastAsia="zh-CN"/>
        </w:rPr>
        <w:t xml:space="preserve">  </w:t>
      </w:r>
      <w:r>
        <w:rPr>
          <w:rFonts w:hint="eastAsia" w:ascii="宋体" w:hAnsi="宋体"/>
          <w:b w:val="0"/>
          <w:i w:val="0"/>
          <w:caps w:val="0"/>
          <w:color w:val="auto"/>
          <w:spacing w:val="0"/>
          <w:w w:val="100"/>
          <w:sz w:val="21"/>
          <w:highlight w:val="none"/>
          <w:u w:val="single"/>
        </w:rPr>
        <w:t xml:space="preserve"> 年  月  日</w:t>
      </w:r>
      <w:r>
        <w:rPr>
          <w:rFonts w:ascii="Times New Roman" w:hAnsi="Times New Roman" w:eastAsia="宋体" w:cs="Times New Roman"/>
          <w:b w:val="0"/>
          <w:i w:val="0"/>
          <w:caps w:val="0"/>
          <w:color w:val="auto"/>
          <w:spacing w:val="0"/>
          <w:w w:val="100"/>
          <w:sz w:val="21"/>
          <w:highlight w:val="none"/>
        </w:rPr>
        <w:tab/>
      </w:r>
      <w:r>
        <w:rPr>
          <w:rFonts w:hint="eastAsia"/>
          <w:b w:val="0"/>
          <w:i w:val="0"/>
          <w:caps w:val="0"/>
          <w:color w:val="auto"/>
          <w:spacing w:val="0"/>
          <w:w w:val="100"/>
          <w:sz w:val="21"/>
          <w:highlight w:val="none"/>
        </w:rPr>
        <w:t xml:space="preserve">              </w:t>
      </w:r>
      <w:r>
        <w:rPr>
          <w:rFonts w:hint="eastAsia" w:ascii="宋体" w:hAnsi="宋体"/>
          <w:b w:val="0"/>
          <w:i w:val="0"/>
          <w:caps w:val="0"/>
          <w:color w:val="auto"/>
          <w:spacing w:val="0"/>
          <w:w w:val="100"/>
          <w:sz w:val="21"/>
          <w:highlight w:val="none"/>
        </w:rPr>
        <w:t>签约日期：</w:t>
      </w:r>
      <w:r>
        <w:rPr>
          <w:rFonts w:hint="eastAsia" w:ascii="宋体" w:hAnsi="宋体"/>
          <w:b w:val="0"/>
          <w:i w:val="0"/>
          <w:caps w:val="0"/>
          <w:color w:val="auto"/>
          <w:spacing w:val="0"/>
          <w:w w:val="100"/>
          <w:sz w:val="21"/>
          <w:highlight w:val="none"/>
          <w:u w:val="single"/>
          <w:lang w:val="en-US" w:eastAsia="zh-CN"/>
        </w:rPr>
        <w:t xml:space="preserve">   </w:t>
      </w:r>
      <w:r>
        <w:rPr>
          <w:rFonts w:hint="eastAsia" w:ascii="宋体" w:hAnsi="宋体"/>
          <w:b w:val="0"/>
          <w:i w:val="0"/>
          <w:caps w:val="0"/>
          <w:color w:val="auto"/>
          <w:spacing w:val="0"/>
          <w:w w:val="100"/>
          <w:sz w:val="21"/>
          <w:highlight w:val="none"/>
          <w:u w:val="single"/>
        </w:rPr>
        <w:t>年  月   日</w:t>
      </w:r>
    </w:p>
    <w:p w14:paraId="5635AFC8">
      <w:pPr>
        <w:snapToGrid/>
        <w:spacing w:before="0" w:beforeAutospacing="0" w:after="0" w:afterAutospacing="0" w:line="360" w:lineRule="auto"/>
        <w:ind w:firstLine="420" w:firstLineChars="150"/>
        <w:jc w:val="both"/>
        <w:textAlignment w:val="baseline"/>
        <w:rPr>
          <w:rFonts w:hint="eastAsia" w:eastAsia="黑体"/>
          <w:color w:val="000000" w:themeColor="text1"/>
          <w:sz w:val="28"/>
          <w:szCs w:val="44"/>
          <w:highlight w:val="none"/>
          <w14:textFill>
            <w14:solidFill>
              <w14:schemeClr w14:val="tx1"/>
            </w14:solidFill>
          </w14:textFill>
        </w:rPr>
      </w:pPr>
    </w:p>
    <w:p w14:paraId="3A1209E9">
      <w:pPr>
        <w:snapToGrid/>
        <w:spacing w:before="0" w:beforeAutospacing="0" w:after="0" w:afterAutospacing="0" w:line="360" w:lineRule="auto"/>
        <w:ind w:firstLine="420" w:firstLineChars="150"/>
        <w:jc w:val="both"/>
        <w:textAlignment w:val="baseline"/>
        <w:rPr>
          <w:rFonts w:hint="eastAsia" w:eastAsia="黑体"/>
          <w:color w:val="000000" w:themeColor="text1"/>
          <w:sz w:val="28"/>
          <w:szCs w:val="44"/>
          <w:highlight w:val="none"/>
          <w14:textFill>
            <w14:solidFill>
              <w14:schemeClr w14:val="tx1"/>
            </w14:solidFill>
          </w14:textFill>
        </w:rPr>
      </w:pPr>
    </w:p>
    <w:p w14:paraId="42AEA7E0">
      <w:pPr>
        <w:snapToGrid/>
        <w:spacing w:before="0" w:beforeAutospacing="0" w:after="0" w:afterAutospacing="0" w:line="360" w:lineRule="auto"/>
        <w:ind w:firstLine="420" w:firstLineChars="150"/>
        <w:jc w:val="both"/>
        <w:textAlignment w:val="baseline"/>
        <w:rPr>
          <w:rFonts w:hint="eastAsia" w:eastAsia="黑体"/>
          <w:color w:val="000000" w:themeColor="text1"/>
          <w:sz w:val="28"/>
          <w:szCs w:val="44"/>
          <w:highlight w:val="none"/>
          <w14:textFill>
            <w14:solidFill>
              <w14:schemeClr w14:val="tx1"/>
            </w14:solidFill>
          </w14:textFill>
        </w:rPr>
      </w:pPr>
    </w:p>
    <w:p w14:paraId="2C92F357">
      <w:pPr>
        <w:snapToGrid/>
        <w:spacing w:before="0" w:beforeAutospacing="0" w:after="0" w:afterAutospacing="0" w:line="360" w:lineRule="auto"/>
        <w:ind w:firstLine="420" w:firstLineChars="150"/>
        <w:jc w:val="both"/>
        <w:textAlignment w:val="baseline"/>
        <w:rPr>
          <w:rFonts w:hint="eastAsia" w:eastAsia="黑体"/>
          <w:color w:val="000000" w:themeColor="text1"/>
          <w:sz w:val="28"/>
          <w:szCs w:val="44"/>
          <w:highlight w:val="none"/>
          <w14:textFill>
            <w14:solidFill>
              <w14:schemeClr w14:val="tx1"/>
            </w14:solidFill>
          </w14:textFill>
        </w:rPr>
      </w:pPr>
    </w:p>
    <w:p w14:paraId="1A131407">
      <w:pPr>
        <w:snapToGrid/>
        <w:spacing w:before="0" w:beforeAutospacing="0" w:after="0" w:afterAutospacing="0" w:line="360" w:lineRule="auto"/>
        <w:ind w:firstLine="420" w:firstLineChars="150"/>
        <w:jc w:val="both"/>
        <w:textAlignment w:val="baseline"/>
        <w:rPr>
          <w:rFonts w:hint="eastAsia" w:eastAsia="黑体"/>
          <w:color w:val="000000" w:themeColor="text1"/>
          <w:sz w:val="28"/>
          <w:szCs w:val="44"/>
          <w:highlight w:val="none"/>
          <w14:textFill>
            <w14:solidFill>
              <w14:schemeClr w14:val="tx1"/>
            </w14:solidFill>
          </w14:textFill>
        </w:rPr>
      </w:pPr>
    </w:p>
    <w:p w14:paraId="4F21664A">
      <w:pPr>
        <w:snapToGrid/>
        <w:spacing w:before="0" w:beforeAutospacing="0" w:after="0" w:afterAutospacing="0" w:line="360" w:lineRule="auto"/>
        <w:ind w:firstLine="420" w:firstLineChars="150"/>
        <w:jc w:val="both"/>
        <w:textAlignment w:val="baseline"/>
        <w:rPr>
          <w:rFonts w:hint="eastAsia" w:eastAsia="黑体"/>
          <w:color w:val="000000" w:themeColor="text1"/>
          <w:sz w:val="28"/>
          <w:szCs w:val="44"/>
          <w:highlight w:val="none"/>
          <w14:textFill>
            <w14:solidFill>
              <w14:schemeClr w14:val="tx1"/>
            </w14:solidFill>
          </w14:textFill>
        </w:rPr>
      </w:pPr>
    </w:p>
    <w:p w14:paraId="3B9E2DE3">
      <w:pPr>
        <w:snapToGrid/>
        <w:spacing w:before="0" w:beforeAutospacing="0" w:after="0" w:afterAutospacing="0" w:line="360" w:lineRule="auto"/>
        <w:ind w:firstLine="420" w:firstLineChars="150"/>
        <w:jc w:val="both"/>
        <w:textAlignment w:val="baseline"/>
        <w:rPr>
          <w:rFonts w:eastAsia="黑体"/>
          <w:color w:val="000000" w:themeColor="text1"/>
          <w:sz w:val="28"/>
          <w:szCs w:val="44"/>
          <w:highlight w:val="none"/>
          <w14:textFill>
            <w14:solidFill>
              <w14:schemeClr w14:val="tx1"/>
            </w14:solidFill>
          </w14:textFill>
        </w:rPr>
      </w:pPr>
      <w:r>
        <w:rPr>
          <w:rFonts w:hint="eastAsia" w:eastAsia="黑体"/>
          <w:color w:val="000000" w:themeColor="text1"/>
          <w:sz w:val="28"/>
          <w:szCs w:val="44"/>
          <w:highlight w:val="none"/>
          <w14:textFill>
            <w14:solidFill>
              <w14:schemeClr w14:val="tx1"/>
            </w14:solidFill>
          </w14:textFill>
        </w:rPr>
        <w:t>附件</w:t>
      </w:r>
      <w:r>
        <w:rPr>
          <w:rFonts w:hint="eastAsia" w:eastAsia="黑体"/>
          <w:color w:val="000000" w:themeColor="text1"/>
          <w:sz w:val="28"/>
          <w:szCs w:val="44"/>
          <w:highlight w:val="none"/>
          <w:lang w:val="en-US" w:eastAsia="zh-CN"/>
          <w14:textFill>
            <w14:solidFill>
              <w14:schemeClr w14:val="tx1"/>
            </w14:solidFill>
          </w14:textFill>
        </w:rPr>
        <w:t>八</w:t>
      </w:r>
      <w:r>
        <w:rPr>
          <w:rFonts w:hint="eastAsia" w:eastAsia="黑体"/>
          <w:color w:val="000000" w:themeColor="text1"/>
          <w:sz w:val="28"/>
          <w:szCs w:val="44"/>
          <w:highlight w:val="none"/>
          <w14:textFill>
            <w14:solidFill>
              <w14:schemeClr w14:val="tx1"/>
            </w14:solidFill>
          </w14:textFill>
        </w:rPr>
        <w:t xml:space="preserve"> 营业执照复印件（加盖公章）</w:t>
      </w:r>
    </w:p>
    <w:p w14:paraId="7BAA5FC2">
      <w:pPr>
        <w:pStyle w:val="28"/>
        <w:ind w:firstLine="640"/>
        <w:rPr>
          <w:rFonts w:eastAsia="仿宋_GB2312"/>
          <w:color w:val="000000" w:themeColor="text1"/>
          <w:sz w:val="32"/>
          <w:szCs w:val="32"/>
          <w:highlight w:val="none"/>
          <w14:textFill>
            <w14:solidFill>
              <w14:schemeClr w14:val="tx1"/>
            </w14:solidFill>
          </w14:textFill>
        </w:rPr>
      </w:pPr>
    </w:p>
    <w:p w14:paraId="19627EAC">
      <w:pPr>
        <w:rPr>
          <w:color w:val="000000" w:themeColor="text1"/>
          <w:highlight w:val="none"/>
          <w14:textFill>
            <w14:solidFill>
              <w14:schemeClr w14:val="tx1"/>
            </w14:solidFill>
          </w14:textFill>
        </w:rPr>
      </w:pPr>
    </w:p>
    <w:p w14:paraId="1FFADDA9">
      <w:pPr>
        <w:pStyle w:val="9"/>
        <w:rPr>
          <w:color w:val="000000" w:themeColor="text1"/>
          <w:highlight w:val="none"/>
          <w14:textFill>
            <w14:solidFill>
              <w14:schemeClr w14:val="tx1"/>
            </w14:solidFill>
          </w14:textFill>
        </w:rPr>
      </w:pPr>
    </w:p>
    <w:p w14:paraId="48D8F0BA">
      <w:pPr>
        <w:pStyle w:val="10"/>
        <w:ind w:firstLine="210"/>
        <w:rPr>
          <w:color w:val="000000" w:themeColor="text1"/>
          <w:highlight w:val="none"/>
          <w14:textFill>
            <w14:solidFill>
              <w14:schemeClr w14:val="tx1"/>
            </w14:solidFill>
          </w14:textFill>
        </w:rPr>
      </w:pPr>
    </w:p>
    <w:p w14:paraId="6B362146">
      <w:pPr>
        <w:pStyle w:val="28"/>
        <w:ind w:firstLine="420"/>
        <w:rPr>
          <w:color w:val="000000" w:themeColor="text1"/>
          <w:highlight w:val="none"/>
          <w14:textFill>
            <w14:solidFill>
              <w14:schemeClr w14:val="tx1"/>
            </w14:solidFill>
          </w14:textFill>
        </w:rPr>
      </w:pPr>
    </w:p>
    <w:p w14:paraId="2DA2C9C2">
      <w:pPr>
        <w:rPr>
          <w:color w:val="000000" w:themeColor="text1"/>
          <w:highlight w:val="none"/>
          <w14:textFill>
            <w14:solidFill>
              <w14:schemeClr w14:val="tx1"/>
            </w14:solidFill>
          </w14:textFill>
        </w:rPr>
      </w:pPr>
    </w:p>
    <w:p w14:paraId="0C8B3160">
      <w:pPr>
        <w:pStyle w:val="9"/>
        <w:rPr>
          <w:color w:val="000000" w:themeColor="text1"/>
          <w:highlight w:val="none"/>
          <w14:textFill>
            <w14:solidFill>
              <w14:schemeClr w14:val="tx1"/>
            </w14:solidFill>
          </w14:textFill>
        </w:rPr>
      </w:pPr>
    </w:p>
    <w:p w14:paraId="2FA54D24">
      <w:pPr>
        <w:pStyle w:val="10"/>
        <w:ind w:firstLine="210"/>
        <w:rPr>
          <w:color w:val="000000" w:themeColor="text1"/>
          <w:highlight w:val="none"/>
          <w14:textFill>
            <w14:solidFill>
              <w14:schemeClr w14:val="tx1"/>
            </w14:solidFill>
          </w14:textFill>
        </w:rPr>
      </w:pPr>
    </w:p>
    <w:p w14:paraId="69735F1B">
      <w:pPr>
        <w:pStyle w:val="28"/>
        <w:ind w:firstLine="420"/>
        <w:rPr>
          <w:color w:val="000000" w:themeColor="text1"/>
          <w:highlight w:val="none"/>
          <w14:textFill>
            <w14:solidFill>
              <w14:schemeClr w14:val="tx1"/>
            </w14:solidFill>
          </w14:textFill>
        </w:rPr>
      </w:pPr>
    </w:p>
    <w:p w14:paraId="3E3DDA3E">
      <w:pPr>
        <w:rPr>
          <w:color w:val="000000" w:themeColor="text1"/>
          <w:highlight w:val="none"/>
          <w14:textFill>
            <w14:solidFill>
              <w14:schemeClr w14:val="tx1"/>
            </w14:solidFill>
          </w14:textFill>
        </w:rPr>
      </w:pPr>
    </w:p>
    <w:p w14:paraId="46FE11A0">
      <w:pPr>
        <w:pStyle w:val="9"/>
        <w:rPr>
          <w:color w:val="000000" w:themeColor="text1"/>
          <w:highlight w:val="none"/>
          <w14:textFill>
            <w14:solidFill>
              <w14:schemeClr w14:val="tx1"/>
            </w14:solidFill>
          </w14:textFill>
        </w:rPr>
      </w:pPr>
    </w:p>
    <w:p w14:paraId="7875F743">
      <w:pPr>
        <w:pStyle w:val="10"/>
        <w:ind w:firstLine="210"/>
        <w:rPr>
          <w:color w:val="000000" w:themeColor="text1"/>
          <w:highlight w:val="none"/>
          <w14:textFill>
            <w14:solidFill>
              <w14:schemeClr w14:val="tx1"/>
            </w14:solidFill>
          </w14:textFill>
        </w:rPr>
      </w:pPr>
    </w:p>
    <w:p w14:paraId="46F9FA0D">
      <w:pPr>
        <w:pStyle w:val="28"/>
        <w:ind w:firstLine="420"/>
        <w:rPr>
          <w:color w:val="000000" w:themeColor="text1"/>
          <w:highlight w:val="none"/>
          <w14:textFill>
            <w14:solidFill>
              <w14:schemeClr w14:val="tx1"/>
            </w14:solidFill>
          </w14:textFill>
        </w:rPr>
      </w:pPr>
    </w:p>
    <w:p w14:paraId="0CA1E27C">
      <w:pPr>
        <w:rPr>
          <w:color w:val="000000" w:themeColor="text1"/>
          <w:highlight w:val="none"/>
          <w14:textFill>
            <w14:solidFill>
              <w14:schemeClr w14:val="tx1"/>
            </w14:solidFill>
          </w14:textFill>
        </w:rPr>
      </w:pPr>
    </w:p>
    <w:p w14:paraId="0523B802">
      <w:pPr>
        <w:pStyle w:val="9"/>
        <w:rPr>
          <w:color w:val="000000" w:themeColor="text1"/>
          <w:highlight w:val="none"/>
          <w14:textFill>
            <w14:solidFill>
              <w14:schemeClr w14:val="tx1"/>
            </w14:solidFill>
          </w14:textFill>
        </w:rPr>
      </w:pPr>
    </w:p>
    <w:p w14:paraId="49BFBFA9">
      <w:pPr>
        <w:pStyle w:val="28"/>
        <w:ind w:left="0" w:leftChars="0" w:firstLine="0" w:firstLineChars="0"/>
        <w:rPr>
          <w:color w:val="000000" w:themeColor="text1"/>
          <w:highlight w:val="none"/>
          <w14:textFill>
            <w14:solidFill>
              <w14:schemeClr w14:val="tx1"/>
            </w14:solidFill>
          </w14:textFill>
        </w:rPr>
      </w:pPr>
    </w:p>
    <w:p w14:paraId="61E5F356">
      <w:pPr>
        <w:rPr>
          <w:color w:val="000000" w:themeColor="text1"/>
          <w:highlight w:val="none"/>
          <w14:textFill>
            <w14:solidFill>
              <w14:schemeClr w14:val="tx1"/>
            </w14:solidFill>
          </w14:textFill>
        </w:rPr>
      </w:pPr>
    </w:p>
    <w:p w14:paraId="5F5BC71B">
      <w:pPr>
        <w:pStyle w:val="9"/>
        <w:rPr>
          <w:color w:val="000000" w:themeColor="text1"/>
          <w:highlight w:val="none"/>
          <w14:textFill>
            <w14:solidFill>
              <w14:schemeClr w14:val="tx1"/>
            </w14:solidFill>
          </w14:textFill>
        </w:rPr>
      </w:pPr>
    </w:p>
    <w:p w14:paraId="68CF9C1D">
      <w:pPr>
        <w:pStyle w:val="10"/>
        <w:rPr>
          <w:color w:val="000000" w:themeColor="text1"/>
          <w:highlight w:val="none"/>
          <w14:textFill>
            <w14:solidFill>
              <w14:schemeClr w14:val="tx1"/>
            </w14:solidFill>
          </w14:textFill>
        </w:rPr>
      </w:pPr>
    </w:p>
    <w:p w14:paraId="0C9541D7">
      <w:pPr>
        <w:pStyle w:val="10"/>
        <w:rPr>
          <w:color w:val="000000" w:themeColor="text1"/>
          <w:highlight w:val="none"/>
          <w14:textFill>
            <w14:solidFill>
              <w14:schemeClr w14:val="tx1"/>
            </w14:solidFill>
          </w14:textFill>
        </w:rPr>
      </w:pPr>
    </w:p>
    <w:p w14:paraId="53C76061">
      <w:pPr>
        <w:pStyle w:val="10"/>
        <w:rPr>
          <w:color w:val="000000" w:themeColor="text1"/>
          <w:highlight w:val="none"/>
          <w14:textFill>
            <w14:solidFill>
              <w14:schemeClr w14:val="tx1"/>
            </w14:solidFill>
          </w14:textFill>
        </w:rPr>
      </w:pPr>
    </w:p>
    <w:p w14:paraId="28F9D319">
      <w:pPr>
        <w:pStyle w:val="10"/>
        <w:rPr>
          <w:color w:val="000000" w:themeColor="text1"/>
          <w:highlight w:val="none"/>
          <w14:textFill>
            <w14:solidFill>
              <w14:schemeClr w14:val="tx1"/>
            </w14:solidFill>
          </w14:textFill>
        </w:rPr>
      </w:pPr>
    </w:p>
    <w:p w14:paraId="17616B6C">
      <w:pPr>
        <w:pStyle w:val="10"/>
        <w:rPr>
          <w:color w:val="000000" w:themeColor="text1"/>
          <w:highlight w:val="none"/>
          <w14:textFill>
            <w14:solidFill>
              <w14:schemeClr w14:val="tx1"/>
            </w14:solidFill>
          </w14:textFill>
        </w:rPr>
      </w:pPr>
    </w:p>
    <w:p w14:paraId="32BC4DD1">
      <w:pPr>
        <w:pStyle w:val="10"/>
        <w:rPr>
          <w:color w:val="000000" w:themeColor="text1"/>
          <w:highlight w:val="none"/>
          <w14:textFill>
            <w14:solidFill>
              <w14:schemeClr w14:val="tx1"/>
            </w14:solidFill>
          </w14:textFill>
        </w:rPr>
      </w:pPr>
    </w:p>
    <w:p w14:paraId="1CFFF42C">
      <w:pPr>
        <w:pStyle w:val="10"/>
        <w:rPr>
          <w:color w:val="000000" w:themeColor="text1"/>
          <w:highlight w:val="none"/>
          <w14:textFill>
            <w14:solidFill>
              <w14:schemeClr w14:val="tx1"/>
            </w14:solidFill>
          </w14:textFill>
        </w:rPr>
      </w:pPr>
    </w:p>
    <w:p w14:paraId="66720AFD">
      <w:pPr>
        <w:pStyle w:val="10"/>
        <w:rPr>
          <w:color w:val="000000" w:themeColor="text1"/>
          <w:highlight w:val="none"/>
          <w14:textFill>
            <w14:solidFill>
              <w14:schemeClr w14:val="tx1"/>
            </w14:solidFill>
          </w14:textFill>
        </w:rPr>
      </w:pPr>
    </w:p>
    <w:p w14:paraId="2034FBC3">
      <w:pPr>
        <w:pStyle w:val="10"/>
        <w:rPr>
          <w:color w:val="000000" w:themeColor="text1"/>
          <w:highlight w:val="none"/>
          <w14:textFill>
            <w14:solidFill>
              <w14:schemeClr w14:val="tx1"/>
            </w14:solidFill>
          </w14:textFill>
        </w:rPr>
      </w:pPr>
    </w:p>
    <w:p w14:paraId="155886F8">
      <w:pPr>
        <w:pStyle w:val="10"/>
        <w:rPr>
          <w:color w:val="000000" w:themeColor="text1"/>
          <w:highlight w:val="none"/>
          <w14:textFill>
            <w14:solidFill>
              <w14:schemeClr w14:val="tx1"/>
            </w14:solidFill>
          </w14:textFill>
        </w:rPr>
      </w:pPr>
    </w:p>
    <w:p w14:paraId="25129717">
      <w:pPr>
        <w:pStyle w:val="10"/>
        <w:rPr>
          <w:color w:val="000000" w:themeColor="text1"/>
          <w:highlight w:val="none"/>
          <w14:textFill>
            <w14:solidFill>
              <w14:schemeClr w14:val="tx1"/>
            </w14:solidFill>
          </w14:textFill>
        </w:rPr>
      </w:pPr>
    </w:p>
    <w:p w14:paraId="08E13A21">
      <w:pPr>
        <w:pStyle w:val="10"/>
        <w:rPr>
          <w:color w:val="000000" w:themeColor="text1"/>
          <w:highlight w:val="none"/>
          <w14:textFill>
            <w14:solidFill>
              <w14:schemeClr w14:val="tx1"/>
            </w14:solidFill>
          </w14:textFill>
        </w:rPr>
      </w:pPr>
    </w:p>
    <w:p w14:paraId="32F2AC90">
      <w:pPr>
        <w:pStyle w:val="42"/>
        <w:numPr>
          <w:ilvl w:val="255"/>
          <w:numId w:val="0"/>
        </w:numPr>
        <w:spacing w:line="360" w:lineRule="auto"/>
        <w:jc w:val="left"/>
        <w:outlineLvl w:val="1"/>
        <w:rPr>
          <w:rFonts w:eastAsia="黑体"/>
          <w:color w:val="000000" w:themeColor="text1"/>
          <w:sz w:val="28"/>
          <w:szCs w:val="44"/>
          <w:highlight w:val="none"/>
          <w14:textFill>
            <w14:solidFill>
              <w14:schemeClr w14:val="tx1"/>
            </w14:solidFill>
          </w14:textFill>
        </w:rPr>
      </w:pPr>
      <w:r>
        <w:rPr>
          <w:rFonts w:hint="eastAsia" w:eastAsia="黑体"/>
          <w:color w:val="000000" w:themeColor="text1"/>
          <w:sz w:val="28"/>
          <w:szCs w:val="44"/>
          <w:highlight w:val="none"/>
          <w14:textFill>
            <w14:solidFill>
              <w14:schemeClr w14:val="tx1"/>
            </w14:solidFill>
          </w14:textFill>
        </w:rPr>
        <w:t>附件</w:t>
      </w:r>
      <w:r>
        <w:rPr>
          <w:rFonts w:hint="eastAsia" w:eastAsia="黑体"/>
          <w:color w:val="000000" w:themeColor="text1"/>
          <w:sz w:val="28"/>
          <w:szCs w:val="44"/>
          <w:highlight w:val="none"/>
          <w:lang w:val="en-US" w:eastAsia="zh-CN"/>
          <w14:textFill>
            <w14:solidFill>
              <w14:schemeClr w14:val="tx1"/>
            </w14:solidFill>
          </w14:textFill>
        </w:rPr>
        <w:t>九</w:t>
      </w:r>
      <w:r>
        <w:rPr>
          <w:rFonts w:hint="eastAsia" w:eastAsia="黑体"/>
          <w:color w:val="000000" w:themeColor="text1"/>
          <w:sz w:val="28"/>
          <w:szCs w:val="44"/>
          <w:highlight w:val="none"/>
          <w14:textFill>
            <w14:solidFill>
              <w14:schemeClr w14:val="tx1"/>
            </w14:solidFill>
          </w14:textFill>
        </w:rPr>
        <w:t xml:space="preserve"> 同类项目业绩合同（加盖公章）</w:t>
      </w:r>
    </w:p>
    <w:p w14:paraId="3E00F18B">
      <w:pPr>
        <w:pStyle w:val="42"/>
        <w:spacing w:line="360" w:lineRule="auto"/>
        <w:ind w:firstLine="0" w:firstLineChars="0"/>
        <w:jc w:val="left"/>
        <w:outlineLvl w:val="1"/>
        <w:rPr>
          <w:rFonts w:eastAsia="黑体"/>
          <w:color w:val="000000" w:themeColor="text1"/>
          <w:sz w:val="28"/>
          <w:szCs w:val="44"/>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提供过往业绩合同主要页复印件（包含但不限于合同首页、合同金额页、合同盖章签字页等）及该项目任意一期已开具的发票复印件（加盖公章）】；</w:t>
      </w:r>
    </w:p>
    <w:p w14:paraId="7FDCDF4D">
      <w:pPr>
        <w:rPr>
          <w:color w:val="000000" w:themeColor="text1"/>
          <w:highlight w:val="none"/>
          <w14:textFill>
            <w14:solidFill>
              <w14:schemeClr w14:val="tx1"/>
            </w14:solidFill>
          </w14:textFill>
        </w:rPr>
      </w:pPr>
    </w:p>
    <w:p w14:paraId="580CD27C">
      <w:pPr>
        <w:pStyle w:val="9"/>
        <w:rPr>
          <w:color w:val="000000" w:themeColor="text1"/>
          <w:highlight w:val="none"/>
          <w14:textFill>
            <w14:solidFill>
              <w14:schemeClr w14:val="tx1"/>
            </w14:solidFill>
          </w14:textFill>
        </w:rPr>
      </w:pPr>
    </w:p>
    <w:p w14:paraId="5725F449">
      <w:pPr>
        <w:pStyle w:val="10"/>
        <w:ind w:firstLine="210"/>
        <w:rPr>
          <w:color w:val="000000" w:themeColor="text1"/>
          <w:highlight w:val="none"/>
          <w14:textFill>
            <w14:solidFill>
              <w14:schemeClr w14:val="tx1"/>
            </w14:solidFill>
          </w14:textFill>
        </w:rPr>
      </w:pPr>
    </w:p>
    <w:p w14:paraId="04480509">
      <w:pPr>
        <w:pStyle w:val="28"/>
        <w:ind w:firstLine="420"/>
        <w:rPr>
          <w:color w:val="000000" w:themeColor="text1"/>
          <w:highlight w:val="none"/>
          <w14:textFill>
            <w14:solidFill>
              <w14:schemeClr w14:val="tx1"/>
            </w14:solidFill>
          </w14:textFill>
        </w:rPr>
      </w:pPr>
    </w:p>
    <w:p w14:paraId="3F69ED38">
      <w:pPr>
        <w:rPr>
          <w:color w:val="000000" w:themeColor="text1"/>
          <w:highlight w:val="none"/>
          <w14:textFill>
            <w14:solidFill>
              <w14:schemeClr w14:val="tx1"/>
            </w14:solidFill>
          </w14:textFill>
        </w:rPr>
      </w:pPr>
    </w:p>
    <w:p w14:paraId="111384A8">
      <w:pPr>
        <w:rPr>
          <w:color w:val="000000" w:themeColor="text1"/>
          <w:highlight w:val="none"/>
          <w14:textFill>
            <w14:solidFill>
              <w14:schemeClr w14:val="tx1"/>
            </w14:solidFill>
          </w14:textFill>
        </w:rPr>
      </w:pPr>
    </w:p>
    <w:p w14:paraId="68F9628A">
      <w:pPr>
        <w:spacing w:before="332" w:beforeLines="100" w:after="332" w:afterLines="100"/>
        <w:outlineLvl w:val="1"/>
        <w:rPr>
          <w:rFonts w:ascii="宋体" w:hAnsi="宋体" w:eastAsia="黑体" w:cs="宋体"/>
          <w:b/>
          <w:bCs/>
          <w:color w:val="000000" w:themeColor="text1"/>
          <w:sz w:val="44"/>
          <w:szCs w:val="44"/>
          <w:highlight w:val="none"/>
          <w14:textFill>
            <w14:solidFill>
              <w14:schemeClr w14:val="tx1"/>
            </w14:solidFill>
          </w14:textFill>
        </w:rPr>
      </w:pPr>
      <w:r>
        <w:rPr>
          <w:rFonts w:eastAsia="黑体"/>
          <w:color w:val="000000" w:themeColor="text1"/>
          <w:sz w:val="28"/>
          <w:szCs w:val="44"/>
          <w:highlight w:val="none"/>
          <w14:textFill>
            <w14:solidFill>
              <w14:schemeClr w14:val="tx1"/>
            </w14:solidFill>
          </w14:textFill>
        </w:rPr>
        <w:t>附件</w:t>
      </w:r>
      <w:r>
        <w:rPr>
          <w:rFonts w:hint="eastAsia" w:eastAsia="黑体"/>
          <w:color w:val="000000" w:themeColor="text1"/>
          <w:sz w:val="28"/>
          <w:szCs w:val="44"/>
          <w:highlight w:val="none"/>
          <w14:textFill>
            <w14:solidFill>
              <w14:schemeClr w14:val="tx1"/>
            </w14:solidFill>
          </w14:textFill>
        </w:rPr>
        <w:t>十</w:t>
      </w:r>
      <w:r>
        <w:rPr>
          <w:rFonts w:hint="eastAsia" w:eastAsia="黑体"/>
          <w:color w:val="000000" w:themeColor="text1"/>
          <w:sz w:val="28"/>
          <w:szCs w:val="44"/>
          <w:highlight w:val="none"/>
          <w:lang w:val="en-US" w:eastAsia="zh-CN"/>
          <w14:textFill>
            <w14:solidFill>
              <w14:schemeClr w14:val="tx1"/>
            </w14:solidFill>
          </w14:textFill>
        </w:rPr>
        <w:t xml:space="preserve"> </w:t>
      </w:r>
      <w:r>
        <w:rPr>
          <w:rFonts w:hint="eastAsia"/>
          <w:b/>
          <w:bCs/>
          <w:color w:val="000000" w:themeColor="text1"/>
          <w:sz w:val="28"/>
          <w:szCs w:val="28"/>
          <w:highlight w:val="none"/>
          <w:lang w:val="en-US" w:eastAsia="zh-CN"/>
          <w14:textFill>
            <w14:solidFill>
              <w14:schemeClr w14:val="tx1"/>
            </w14:solidFill>
          </w14:textFill>
        </w:rPr>
        <w:t>技术处理方案（格式由响应人填写自拟）</w:t>
      </w:r>
    </w:p>
    <w:p w14:paraId="11C5D648">
      <w:pPr>
        <w:rPr>
          <w:color w:val="000000" w:themeColor="text1"/>
          <w:highlight w:val="none"/>
          <w14:textFill>
            <w14:solidFill>
              <w14:schemeClr w14:val="tx1"/>
            </w14:solidFill>
          </w14:textFill>
        </w:rPr>
      </w:pPr>
    </w:p>
    <w:p w14:paraId="7A708433">
      <w:pPr>
        <w:pStyle w:val="9"/>
        <w:rPr>
          <w:color w:val="000000" w:themeColor="text1"/>
          <w:highlight w:val="none"/>
          <w14:textFill>
            <w14:solidFill>
              <w14:schemeClr w14:val="tx1"/>
            </w14:solidFill>
          </w14:textFill>
        </w:rPr>
      </w:pPr>
    </w:p>
    <w:p w14:paraId="16C23683">
      <w:pPr>
        <w:pStyle w:val="10"/>
        <w:ind w:firstLine="210"/>
        <w:rPr>
          <w:color w:val="000000" w:themeColor="text1"/>
          <w:highlight w:val="none"/>
          <w14:textFill>
            <w14:solidFill>
              <w14:schemeClr w14:val="tx1"/>
            </w14:solidFill>
          </w14:textFill>
        </w:rPr>
      </w:pPr>
    </w:p>
    <w:p w14:paraId="7EE84737">
      <w:pPr>
        <w:pStyle w:val="10"/>
        <w:ind w:left="0" w:leftChars="0" w:firstLine="0" w:firstLineChars="0"/>
        <w:rPr>
          <w:color w:val="000000" w:themeColor="text1"/>
          <w:highlight w:val="none"/>
          <w14:textFill>
            <w14:solidFill>
              <w14:schemeClr w14:val="tx1"/>
            </w14:solidFill>
          </w14:textFill>
        </w:rPr>
      </w:pPr>
    </w:p>
    <w:p w14:paraId="18FD1474">
      <w:pPr>
        <w:pStyle w:val="10"/>
        <w:ind w:left="0" w:leftChars="0" w:firstLine="0" w:firstLineChars="0"/>
        <w:rPr>
          <w:color w:val="000000" w:themeColor="text1"/>
          <w:highlight w:val="none"/>
          <w14:textFill>
            <w14:solidFill>
              <w14:schemeClr w14:val="tx1"/>
            </w14:solidFill>
          </w14:textFill>
        </w:rPr>
      </w:pPr>
    </w:p>
    <w:p w14:paraId="2FA6F4A5">
      <w:pPr>
        <w:pStyle w:val="10"/>
        <w:ind w:left="0" w:leftChars="0" w:firstLine="0" w:firstLineChars="0"/>
        <w:rPr>
          <w:color w:val="000000" w:themeColor="text1"/>
          <w:highlight w:val="none"/>
          <w14:textFill>
            <w14:solidFill>
              <w14:schemeClr w14:val="tx1"/>
            </w14:solidFill>
          </w14:textFill>
        </w:rPr>
      </w:pPr>
    </w:p>
    <w:p w14:paraId="3C04BAB3">
      <w:pPr>
        <w:pStyle w:val="10"/>
        <w:ind w:left="0" w:leftChars="0" w:firstLine="0" w:firstLineChars="0"/>
        <w:rPr>
          <w:color w:val="000000" w:themeColor="text1"/>
          <w:highlight w:val="none"/>
          <w14:textFill>
            <w14:solidFill>
              <w14:schemeClr w14:val="tx1"/>
            </w14:solidFill>
          </w14:textFill>
        </w:rPr>
      </w:pPr>
    </w:p>
    <w:p w14:paraId="33A5E9C2">
      <w:pPr>
        <w:pStyle w:val="10"/>
        <w:ind w:left="0" w:leftChars="0" w:firstLine="0" w:firstLineChars="0"/>
        <w:rPr>
          <w:color w:val="000000" w:themeColor="text1"/>
          <w:highlight w:val="none"/>
          <w14:textFill>
            <w14:solidFill>
              <w14:schemeClr w14:val="tx1"/>
            </w14:solidFill>
          </w14:textFill>
        </w:rPr>
      </w:pPr>
    </w:p>
    <w:p w14:paraId="29582742">
      <w:pPr>
        <w:pStyle w:val="10"/>
        <w:ind w:left="0" w:leftChars="0" w:firstLine="0" w:firstLineChars="0"/>
        <w:rPr>
          <w:color w:val="000000" w:themeColor="text1"/>
          <w:highlight w:val="none"/>
          <w14:textFill>
            <w14:solidFill>
              <w14:schemeClr w14:val="tx1"/>
            </w14:solidFill>
          </w14:textFill>
        </w:rPr>
      </w:pPr>
    </w:p>
    <w:p w14:paraId="77D040E4">
      <w:pPr>
        <w:pStyle w:val="10"/>
        <w:ind w:left="0" w:leftChars="0" w:firstLine="0" w:firstLineChars="0"/>
        <w:rPr>
          <w:color w:val="000000" w:themeColor="text1"/>
          <w:highlight w:val="none"/>
          <w14:textFill>
            <w14:solidFill>
              <w14:schemeClr w14:val="tx1"/>
            </w14:solidFill>
          </w14:textFill>
        </w:rPr>
      </w:pPr>
    </w:p>
    <w:p w14:paraId="56FA17AB">
      <w:pPr>
        <w:pStyle w:val="10"/>
        <w:ind w:left="0" w:leftChars="0" w:firstLine="0" w:firstLineChars="0"/>
        <w:rPr>
          <w:color w:val="000000" w:themeColor="text1"/>
          <w:highlight w:val="none"/>
          <w14:textFill>
            <w14:solidFill>
              <w14:schemeClr w14:val="tx1"/>
            </w14:solidFill>
          </w14:textFill>
        </w:rPr>
      </w:pPr>
    </w:p>
    <w:p w14:paraId="0FDF6F7B">
      <w:pPr>
        <w:pStyle w:val="10"/>
        <w:ind w:left="0" w:leftChars="0" w:firstLine="0" w:firstLineChars="0"/>
        <w:rPr>
          <w:color w:val="000000" w:themeColor="text1"/>
          <w:highlight w:val="none"/>
          <w14:textFill>
            <w14:solidFill>
              <w14:schemeClr w14:val="tx1"/>
            </w14:solidFill>
          </w14:textFill>
        </w:rPr>
      </w:pPr>
    </w:p>
    <w:p w14:paraId="01BBCECE">
      <w:pPr>
        <w:pStyle w:val="10"/>
        <w:ind w:left="0" w:leftChars="0" w:firstLine="0" w:firstLineChars="0"/>
        <w:rPr>
          <w:color w:val="000000" w:themeColor="text1"/>
          <w:highlight w:val="none"/>
          <w14:textFill>
            <w14:solidFill>
              <w14:schemeClr w14:val="tx1"/>
            </w14:solidFill>
          </w14:textFill>
        </w:rPr>
      </w:pPr>
    </w:p>
    <w:p w14:paraId="2D81E4F3">
      <w:pPr>
        <w:pStyle w:val="10"/>
        <w:ind w:left="0" w:leftChars="0" w:firstLine="0" w:firstLineChars="0"/>
        <w:rPr>
          <w:color w:val="000000" w:themeColor="text1"/>
          <w:highlight w:val="none"/>
          <w14:textFill>
            <w14:solidFill>
              <w14:schemeClr w14:val="tx1"/>
            </w14:solidFill>
          </w14:textFill>
        </w:rPr>
      </w:pPr>
    </w:p>
    <w:p w14:paraId="7D67D7BC">
      <w:pPr>
        <w:pStyle w:val="10"/>
        <w:ind w:left="0" w:leftChars="0" w:firstLine="0" w:firstLineChars="0"/>
        <w:rPr>
          <w:color w:val="000000" w:themeColor="text1"/>
          <w:highlight w:val="none"/>
          <w14:textFill>
            <w14:solidFill>
              <w14:schemeClr w14:val="tx1"/>
            </w14:solidFill>
          </w14:textFill>
        </w:rPr>
      </w:pPr>
    </w:p>
    <w:p w14:paraId="2FA11F68">
      <w:pPr>
        <w:pStyle w:val="10"/>
        <w:ind w:left="0" w:leftChars="0" w:firstLine="0" w:firstLineChars="0"/>
        <w:rPr>
          <w:color w:val="000000" w:themeColor="text1"/>
          <w:highlight w:val="none"/>
          <w14:textFill>
            <w14:solidFill>
              <w14:schemeClr w14:val="tx1"/>
            </w14:solidFill>
          </w14:textFill>
        </w:rPr>
      </w:pPr>
    </w:p>
    <w:p w14:paraId="2B3DB7FB">
      <w:pPr>
        <w:pStyle w:val="10"/>
        <w:ind w:left="0" w:leftChars="0" w:firstLine="0" w:firstLineChars="0"/>
        <w:rPr>
          <w:color w:val="000000" w:themeColor="text1"/>
          <w:highlight w:val="none"/>
          <w14:textFill>
            <w14:solidFill>
              <w14:schemeClr w14:val="tx1"/>
            </w14:solidFill>
          </w14:textFill>
        </w:rPr>
      </w:pPr>
    </w:p>
    <w:p w14:paraId="6604FF43">
      <w:pPr>
        <w:spacing w:before="332" w:beforeLines="100" w:after="332" w:afterLines="100"/>
        <w:outlineLvl w:val="1"/>
        <w:rPr>
          <w:rFonts w:ascii="宋体" w:hAnsi="宋体" w:eastAsia="黑体" w:cs="宋体"/>
          <w:b/>
          <w:bCs/>
          <w:color w:val="000000" w:themeColor="text1"/>
          <w:sz w:val="44"/>
          <w:szCs w:val="44"/>
          <w:highlight w:val="none"/>
          <w14:textFill>
            <w14:solidFill>
              <w14:schemeClr w14:val="tx1"/>
            </w14:solidFill>
          </w14:textFill>
        </w:rPr>
      </w:pPr>
      <w:r>
        <w:rPr>
          <w:rFonts w:eastAsia="黑体"/>
          <w:color w:val="000000" w:themeColor="text1"/>
          <w:sz w:val="28"/>
          <w:szCs w:val="44"/>
          <w:highlight w:val="none"/>
          <w14:textFill>
            <w14:solidFill>
              <w14:schemeClr w14:val="tx1"/>
            </w14:solidFill>
          </w14:textFill>
        </w:rPr>
        <w:t>附件</w:t>
      </w:r>
      <w:r>
        <w:rPr>
          <w:rFonts w:hint="eastAsia" w:eastAsia="黑体"/>
          <w:color w:val="000000" w:themeColor="text1"/>
          <w:sz w:val="28"/>
          <w:szCs w:val="44"/>
          <w:highlight w:val="none"/>
          <w14:textFill>
            <w14:solidFill>
              <w14:schemeClr w14:val="tx1"/>
            </w14:solidFill>
          </w14:textFill>
        </w:rPr>
        <w:t>十一商务偏离表</w:t>
      </w:r>
    </w:p>
    <w:p w14:paraId="12DDB44D">
      <w:pPr>
        <w:spacing w:before="332" w:beforeLines="100" w:after="332" w:afterLines="100"/>
        <w:jc w:val="center"/>
        <w:outlineLvl w:val="1"/>
        <w:rPr>
          <w:rFonts w:ascii="宋体" w:hAnsi="宋体" w:cs="宋体"/>
          <w:b/>
          <w:bCs/>
          <w:color w:val="000000" w:themeColor="text1"/>
          <w:sz w:val="44"/>
          <w:szCs w:val="44"/>
          <w:highlight w:val="none"/>
          <w14:textFill>
            <w14:solidFill>
              <w14:schemeClr w14:val="tx1"/>
            </w14:solidFill>
          </w14:textFill>
        </w:rPr>
      </w:pPr>
      <w:r>
        <w:rPr>
          <w:rFonts w:hint="eastAsia" w:ascii="宋体" w:hAnsi="宋体" w:cs="宋体"/>
          <w:b/>
          <w:bCs/>
          <w:color w:val="000000" w:themeColor="text1"/>
          <w:sz w:val="44"/>
          <w:szCs w:val="44"/>
          <w:highlight w:val="none"/>
          <w14:textFill>
            <w14:solidFill>
              <w14:schemeClr w14:val="tx1"/>
            </w14:solidFill>
          </w14:textFill>
        </w:rPr>
        <w:t>商务/技术条款偏离表</w:t>
      </w:r>
    </w:p>
    <w:p w14:paraId="129A4632">
      <w:pPr>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项目名称：</w:t>
      </w:r>
      <w:r>
        <w:rPr>
          <w:rFonts w:hint="eastAsia" w:ascii="宋体" w:hAnsi="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 xml:space="preserve"> 采购编号：</w:t>
      </w:r>
      <w:r>
        <w:rPr>
          <w:rFonts w:hint="eastAsia" w:ascii="宋体" w:hAnsi="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 xml:space="preserve"> </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1AB41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E3FDFDB">
            <w:pPr>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序号</w:t>
            </w:r>
          </w:p>
        </w:tc>
        <w:tc>
          <w:tcPr>
            <w:tcW w:w="2120" w:type="dxa"/>
            <w:vAlign w:val="center"/>
          </w:tcPr>
          <w:p w14:paraId="42A01F85">
            <w:pPr>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项目名称</w:t>
            </w:r>
          </w:p>
        </w:tc>
        <w:tc>
          <w:tcPr>
            <w:tcW w:w="1958" w:type="dxa"/>
            <w:vAlign w:val="center"/>
          </w:tcPr>
          <w:p w14:paraId="36E42120">
            <w:pPr>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询价文件商务/技术条款</w:t>
            </w:r>
          </w:p>
        </w:tc>
        <w:tc>
          <w:tcPr>
            <w:tcW w:w="1955" w:type="dxa"/>
            <w:vAlign w:val="center"/>
          </w:tcPr>
          <w:p w14:paraId="21C43CE6">
            <w:pPr>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报价文件商务/技术条款</w:t>
            </w:r>
          </w:p>
        </w:tc>
        <w:tc>
          <w:tcPr>
            <w:tcW w:w="832" w:type="dxa"/>
            <w:vAlign w:val="center"/>
          </w:tcPr>
          <w:p w14:paraId="1A088A09">
            <w:pPr>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偏离</w:t>
            </w:r>
          </w:p>
        </w:tc>
        <w:tc>
          <w:tcPr>
            <w:tcW w:w="831" w:type="dxa"/>
            <w:vAlign w:val="center"/>
          </w:tcPr>
          <w:p w14:paraId="71B59021">
            <w:pPr>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说明</w:t>
            </w:r>
          </w:p>
        </w:tc>
      </w:tr>
      <w:tr w14:paraId="453C0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48EF96A">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5003822D">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6B235BAC">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421B3F71">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454B27A3">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1514F34A">
            <w:pPr>
              <w:jc w:val="center"/>
              <w:rPr>
                <w:rFonts w:ascii="宋体" w:hAnsi="宋体" w:cs="宋体"/>
                <w:color w:val="000000" w:themeColor="text1"/>
                <w:sz w:val="24"/>
                <w:highlight w:val="none"/>
                <w14:textFill>
                  <w14:solidFill>
                    <w14:schemeClr w14:val="tx1"/>
                  </w14:solidFill>
                </w14:textFill>
              </w:rPr>
            </w:pPr>
          </w:p>
        </w:tc>
      </w:tr>
      <w:tr w14:paraId="64C75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3A2067BD">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4CB0FF92">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3E32F26F">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314CDFA9">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262E7816">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43CEDE27">
            <w:pPr>
              <w:jc w:val="center"/>
              <w:rPr>
                <w:rFonts w:ascii="宋体" w:hAnsi="宋体" w:cs="宋体"/>
                <w:color w:val="000000" w:themeColor="text1"/>
                <w:sz w:val="24"/>
                <w:highlight w:val="none"/>
                <w14:textFill>
                  <w14:solidFill>
                    <w14:schemeClr w14:val="tx1"/>
                  </w14:solidFill>
                </w14:textFill>
              </w:rPr>
            </w:pPr>
          </w:p>
        </w:tc>
      </w:tr>
      <w:tr w14:paraId="03000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626FB4A7">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67FB5EEB">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2D9322C9">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11EB03C4">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4FBA63E7">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733CE475">
            <w:pPr>
              <w:jc w:val="center"/>
              <w:rPr>
                <w:rFonts w:ascii="宋体" w:hAnsi="宋体" w:cs="宋体"/>
                <w:color w:val="000000" w:themeColor="text1"/>
                <w:sz w:val="24"/>
                <w:highlight w:val="none"/>
                <w14:textFill>
                  <w14:solidFill>
                    <w14:schemeClr w14:val="tx1"/>
                  </w14:solidFill>
                </w14:textFill>
              </w:rPr>
            </w:pPr>
          </w:p>
        </w:tc>
      </w:tr>
      <w:tr w14:paraId="27A7C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6018B682">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7FDCE165">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57A7199A">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1504D34B">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50765D20">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3DE4E173">
            <w:pPr>
              <w:jc w:val="center"/>
              <w:rPr>
                <w:rFonts w:ascii="宋体" w:hAnsi="宋体" w:cs="宋体"/>
                <w:color w:val="000000" w:themeColor="text1"/>
                <w:sz w:val="24"/>
                <w:highlight w:val="none"/>
                <w14:textFill>
                  <w14:solidFill>
                    <w14:schemeClr w14:val="tx1"/>
                  </w14:solidFill>
                </w14:textFill>
              </w:rPr>
            </w:pPr>
          </w:p>
        </w:tc>
      </w:tr>
      <w:tr w14:paraId="21F51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CD773FB">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36689549">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03EFDF64">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0C0D2DC5">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68F33FDF">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63066B2F">
            <w:pPr>
              <w:jc w:val="center"/>
              <w:rPr>
                <w:rFonts w:ascii="宋体" w:hAnsi="宋体" w:cs="宋体"/>
                <w:color w:val="000000" w:themeColor="text1"/>
                <w:sz w:val="24"/>
                <w:highlight w:val="none"/>
                <w14:textFill>
                  <w14:solidFill>
                    <w14:schemeClr w14:val="tx1"/>
                  </w14:solidFill>
                </w14:textFill>
              </w:rPr>
            </w:pPr>
          </w:p>
        </w:tc>
      </w:tr>
      <w:tr w14:paraId="3DDA9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059C9A1">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3F3AAFFD">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0338016A">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3D500EA5">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1B7B6A1D">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388CDAB7">
            <w:pPr>
              <w:jc w:val="center"/>
              <w:rPr>
                <w:rFonts w:ascii="宋体" w:hAnsi="宋体" w:cs="宋体"/>
                <w:color w:val="000000" w:themeColor="text1"/>
                <w:sz w:val="24"/>
                <w:highlight w:val="none"/>
                <w14:textFill>
                  <w14:solidFill>
                    <w14:schemeClr w14:val="tx1"/>
                  </w14:solidFill>
                </w14:textFill>
              </w:rPr>
            </w:pPr>
          </w:p>
        </w:tc>
      </w:tr>
      <w:tr w14:paraId="7DB76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D69B93F">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576D249B">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578995EC">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0CC14A39">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253C53E3">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6582CA6A">
            <w:pPr>
              <w:jc w:val="center"/>
              <w:rPr>
                <w:rFonts w:ascii="宋体" w:hAnsi="宋体" w:cs="宋体"/>
                <w:color w:val="000000" w:themeColor="text1"/>
                <w:sz w:val="24"/>
                <w:highlight w:val="none"/>
                <w14:textFill>
                  <w14:solidFill>
                    <w14:schemeClr w14:val="tx1"/>
                  </w14:solidFill>
                </w14:textFill>
              </w:rPr>
            </w:pPr>
          </w:p>
        </w:tc>
      </w:tr>
      <w:tr w14:paraId="056CC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58F9347">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1284E7CC">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0FBC08E2">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14C63746">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7FF9AC17">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7646D2A5">
            <w:pPr>
              <w:jc w:val="center"/>
              <w:rPr>
                <w:rFonts w:ascii="宋体" w:hAnsi="宋体" w:cs="宋体"/>
                <w:color w:val="000000" w:themeColor="text1"/>
                <w:sz w:val="24"/>
                <w:highlight w:val="none"/>
                <w14:textFill>
                  <w14:solidFill>
                    <w14:schemeClr w14:val="tx1"/>
                  </w14:solidFill>
                </w14:textFill>
              </w:rPr>
            </w:pPr>
          </w:p>
        </w:tc>
      </w:tr>
      <w:tr w14:paraId="5AE16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3511BAF">
            <w:pPr>
              <w:jc w:val="center"/>
              <w:rPr>
                <w:rFonts w:ascii="宋体" w:hAnsi="宋体" w:cs="宋体"/>
                <w:color w:val="000000" w:themeColor="text1"/>
                <w:sz w:val="24"/>
                <w:highlight w:val="none"/>
                <w14:textFill>
                  <w14:solidFill>
                    <w14:schemeClr w14:val="tx1"/>
                  </w14:solidFill>
                </w14:textFill>
              </w:rPr>
            </w:pPr>
          </w:p>
        </w:tc>
        <w:tc>
          <w:tcPr>
            <w:tcW w:w="2120" w:type="dxa"/>
            <w:vAlign w:val="center"/>
          </w:tcPr>
          <w:p w14:paraId="4FC4CA82">
            <w:pPr>
              <w:jc w:val="center"/>
              <w:rPr>
                <w:rFonts w:ascii="宋体" w:hAnsi="宋体" w:cs="宋体"/>
                <w:color w:val="000000" w:themeColor="text1"/>
                <w:sz w:val="24"/>
                <w:highlight w:val="none"/>
                <w14:textFill>
                  <w14:solidFill>
                    <w14:schemeClr w14:val="tx1"/>
                  </w14:solidFill>
                </w14:textFill>
              </w:rPr>
            </w:pPr>
          </w:p>
        </w:tc>
        <w:tc>
          <w:tcPr>
            <w:tcW w:w="1958" w:type="dxa"/>
            <w:vAlign w:val="center"/>
          </w:tcPr>
          <w:p w14:paraId="3CAFF8F5">
            <w:pPr>
              <w:jc w:val="center"/>
              <w:rPr>
                <w:rFonts w:ascii="宋体" w:hAnsi="宋体" w:cs="宋体"/>
                <w:color w:val="000000" w:themeColor="text1"/>
                <w:sz w:val="24"/>
                <w:highlight w:val="none"/>
                <w14:textFill>
                  <w14:solidFill>
                    <w14:schemeClr w14:val="tx1"/>
                  </w14:solidFill>
                </w14:textFill>
              </w:rPr>
            </w:pPr>
          </w:p>
        </w:tc>
        <w:tc>
          <w:tcPr>
            <w:tcW w:w="1955" w:type="dxa"/>
            <w:vAlign w:val="center"/>
          </w:tcPr>
          <w:p w14:paraId="0635C25C">
            <w:pPr>
              <w:jc w:val="center"/>
              <w:rPr>
                <w:rFonts w:ascii="宋体" w:hAnsi="宋体" w:cs="宋体"/>
                <w:color w:val="000000" w:themeColor="text1"/>
                <w:sz w:val="24"/>
                <w:highlight w:val="none"/>
                <w14:textFill>
                  <w14:solidFill>
                    <w14:schemeClr w14:val="tx1"/>
                  </w14:solidFill>
                </w14:textFill>
              </w:rPr>
            </w:pPr>
          </w:p>
        </w:tc>
        <w:tc>
          <w:tcPr>
            <w:tcW w:w="832" w:type="dxa"/>
            <w:vAlign w:val="center"/>
          </w:tcPr>
          <w:p w14:paraId="652C0107">
            <w:pPr>
              <w:jc w:val="center"/>
              <w:rPr>
                <w:rFonts w:ascii="宋体" w:hAnsi="宋体" w:cs="宋体"/>
                <w:color w:val="000000" w:themeColor="text1"/>
                <w:sz w:val="24"/>
                <w:highlight w:val="none"/>
                <w14:textFill>
                  <w14:solidFill>
                    <w14:schemeClr w14:val="tx1"/>
                  </w14:solidFill>
                </w14:textFill>
              </w:rPr>
            </w:pPr>
          </w:p>
        </w:tc>
        <w:tc>
          <w:tcPr>
            <w:tcW w:w="831" w:type="dxa"/>
            <w:vAlign w:val="center"/>
          </w:tcPr>
          <w:p w14:paraId="39C881A5">
            <w:pPr>
              <w:jc w:val="center"/>
              <w:rPr>
                <w:rFonts w:ascii="宋体" w:hAnsi="宋体" w:cs="宋体"/>
                <w:color w:val="000000" w:themeColor="text1"/>
                <w:sz w:val="24"/>
                <w:highlight w:val="none"/>
                <w14:textFill>
                  <w14:solidFill>
                    <w14:schemeClr w14:val="tx1"/>
                  </w14:solidFill>
                </w14:textFill>
              </w:rPr>
            </w:pPr>
          </w:p>
        </w:tc>
      </w:tr>
    </w:tbl>
    <w:p w14:paraId="2A1BEFE0">
      <w:pPr>
        <w:ind w:firstLine="480" w:firstLineChars="200"/>
        <w:jc w:val="left"/>
        <w:rPr>
          <w:rFonts w:ascii="宋体" w:hAnsi="宋体" w:cs="宋体"/>
          <w:color w:val="000000" w:themeColor="text1"/>
          <w:sz w:val="24"/>
          <w:highlight w:val="none"/>
          <w14:textFill>
            <w14:solidFill>
              <w14:schemeClr w14:val="tx1"/>
            </w14:solidFill>
          </w14:textFill>
        </w:rPr>
      </w:pPr>
    </w:p>
    <w:p w14:paraId="68AA99F7">
      <w:pPr>
        <w:spacing w:line="360" w:lineRule="exact"/>
        <w:jc w:val="lef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注：</w:t>
      </w:r>
    </w:p>
    <w:p w14:paraId="109E0CA1">
      <w:pPr>
        <w:spacing w:line="360" w:lineRule="exact"/>
        <w:ind w:firstLine="480" w:firstLineChars="200"/>
        <w:jc w:val="lef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1、响应人应对照询价文件商务要求，在“偏离”项中填写“正”、“负”或“无”，逐条说明已对询价文件的商务内容做出了实质性的报价，并申明与询价文件的偏差和例外。</w:t>
      </w:r>
    </w:p>
    <w:p w14:paraId="4E1B17D0">
      <w:pPr>
        <w:spacing w:line="360" w:lineRule="exact"/>
        <w:ind w:firstLine="480" w:firstLineChars="200"/>
        <w:jc w:val="lef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2、商务条款包括但不限于合格供应商条件、</w:t>
      </w:r>
      <w:r>
        <w:rPr>
          <w:rFonts w:hint="eastAsia" w:ascii="宋体" w:hAnsi="宋体" w:cs="宋体"/>
          <w:color w:val="000000" w:themeColor="text1"/>
          <w:sz w:val="24"/>
          <w:highlight w:val="none"/>
          <w:lang w:val="en-US" w:eastAsia="zh-CN"/>
          <w14:textFill>
            <w14:solidFill>
              <w14:schemeClr w14:val="tx1"/>
            </w14:solidFill>
          </w14:textFill>
        </w:rPr>
        <w:t>供货时间</w:t>
      </w:r>
      <w:r>
        <w:rPr>
          <w:rFonts w:hint="eastAsia" w:ascii="宋体" w:hAnsi="宋体" w:cs="宋体"/>
          <w:color w:val="000000" w:themeColor="text1"/>
          <w:sz w:val="24"/>
          <w:highlight w:val="none"/>
          <w14:textFill>
            <w14:solidFill>
              <w14:schemeClr w14:val="tx1"/>
            </w14:solidFill>
          </w14:textFill>
        </w:rPr>
        <w:t>、付款方式、品牌等要求。</w:t>
      </w:r>
    </w:p>
    <w:p w14:paraId="1717643F">
      <w:pPr>
        <w:pStyle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 xml:space="preserve">  3、技术条款包括但不限于</w:t>
      </w:r>
      <w:r>
        <w:rPr>
          <w:rFonts w:hint="eastAsia" w:ascii="宋体" w:hAnsi="宋体" w:cs="宋体"/>
          <w:color w:val="000000" w:themeColor="text1"/>
          <w:sz w:val="24"/>
          <w:highlight w:val="none"/>
          <w:lang w:val="en-US" w:eastAsia="zh-CN"/>
          <w14:textFill>
            <w14:solidFill>
              <w14:schemeClr w14:val="tx1"/>
            </w14:solidFill>
          </w14:textFill>
        </w:rPr>
        <w:t>询价文件中循环水处理工艺参数及药品使用要求</w:t>
      </w:r>
      <w:r>
        <w:rPr>
          <w:rFonts w:hint="eastAsia" w:ascii="宋体" w:hAnsi="宋体" w:cs="宋体"/>
          <w:color w:val="000000" w:themeColor="text1"/>
          <w:sz w:val="24"/>
          <w:highlight w:val="none"/>
          <w14:textFill>
            <w14:solidFill>
              <w14:schemeClr w14:val="tx1"/>
            </w14:solidFill>
          </w14:textFill>
        </w:rPr>
        <w:t>。</w:t>
      </w:r>
    </w:p>
    <w:p w14:paraId="5D7501B5">
      <w:pPr>
        <w:spacing w:line="360" w:lineRule="exact"/>
        <w:ind w:firstLine="480" w:firstLineChars="200"/>
        <w:jc w:val="left"/>
        <w:rPr>
          <w:rFonts w:ascii="宋体" w:hAnsi="宋体" w:cs="宋体"/>
          <w:color w:val="000000" w:themeColor="text1"/>
          <w:sz w:val="24"/>
          <w:highlight w:val="none"/>
          <w14:textFill>
            <w14:solidFill>
              <w14:schemeClr w14:val="tx1"/>
            </w14:solidFill>
          </w14:textFill>
        </w:rPr>
      </w:pPr>
    </w:p>
    <w:p w14:paraId="5A0E9FE0">
      <w:pPr>
        <w:spacing w:line="360" w:lineRule="exact"/>
        <w:ind w:firstLine="480" w:firstLineChars="200"/>
        <w:jc w:val="left"/>
        <w:rPr>
          <w:rFonts w:ascii="宋体" w:hAnsi="宋体" w:cs="宋体"/>
          <w:color w:val="000000" w:themeColor="text1"/>
          <w:sz w:val="24"/>
          <w:highlight w:val="none"/>
          <w14:textFill>
            <w14:solidFill>
              <w14:schemeClr w14:val="tx1"/>
            </w14:solidFill>
          </w14:textFill>
        </w:rPr>
      </w:pPr>
    </w:p>
    <w:p w14:paraId="0973C160">
      <w:pPr>
        <w:spacing w:line="360" w:lineRule="exact"/>
        <w:ind w:firstLine="480" w:firstLineChars="200"/>
        <w:jc w:val="left"/>
        <w:rPr>
          <w:rFonts w:ascii="宋体" w:hAnsi="宋体" w:cs="宋体"/>
          <w:color w:val="000000" w:themeColor="text1"/>
          <w:sz w:val="24"/>
          <w:highlight w:val="none"/>
          <w14:textFill>
            <w14:solidFill>
              <w14:schemeClr w14:val="tx1"/>
            </w14:solidFill>
          </w14:textFill>
        </w:rPr>
      </w:pPr>
    </w:p>
    <w:p w14:paraId="6D5442AC">
      <w:pPr>
        <w:pStyle w:val="9"/>
        <w:spacing w:after="0" w:line="360" w:lineRule="exact"/>
        <w:ind w:firstLine="480" w:firstLineChars="200"/>
        <w:jc w:val="lef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响应人名称（加盖公章）：</w:t>
      </w:r>
    </w:p>
    <w:p w14:paraId="2EC3059B">
      <w:pPr>
        <w:pStyle w:val="9"/>
        <w:spacing w:after="0" w:line="360" w:lineRule="exact"/>
        <w:ind w:firstLine="480" w:firstLineChars="200"/>
        <w:jc w:val="lef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响应人法定代表人或受委托人（签名或盖私章）：</w:t>
      </w:r>
    </w:p>
    <w:p w14:paraId="43A3E3B9">
      <w:pPr>
        <w:spacing w:line="360" w:lineRule="exact"/>
        <w:ind w:firstLine="480" w:firstLineChars="200"/>
        <w:jc w:val="left"/>
        <w:rPr>
          <w:rFonts w:eastAsia="黑体"/>
          <w:color w:val="000000" w:themeColor="text1"/>
          <w:sz w:val="28"/>
          <w:szCs w:val="4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日      期：</w:t>
      </w:r>
    </w:p>
    <w:p w14:paraId="75803A25">
      <w:pPr>
        <w:pStyle w:val="42"/>
        <w:spacing w:line="360" w:lineRule="auto"/>
        <w:ind w:firstLine="0" w:firstLineChars="0"/>
        <w:jc w:val="left"/>
        <w:outlineLvl w:val="1"/>
        <w:rPr>
          <w:rFonts w:hint="eastAsia" w:eastAsia="黑体"/>
          <w:color w:val="000000" w:themeColor="text1"/>
          <w:sz w:val="28"/>
          <w:szCs w:val="44"/>
          <w:highlight w:val="none"/>
          <w14:textFill>
            <w14:solidFill>
              <w14:schemeClr w14:val="tx1"/>
            </w14:solidFill>
          </w14:textFill>
        </w:rPr>
      </w:pPr>
    </w:p>
    <w:p w14:paraId="2E357D7A">
      <w:pPr>
        <w:spacing w:before="332" w:beforeLines="100" w:after="332" w:afterLines="100"/>
        <w:outlineLvl w:val="1"/>
        <w:rPr>
          <w:rFonts w:ascii="宋体" w:hAnsi="宋体" w:eastAsia="黑体" w:cs="宋体"/>
          <w:b/>
          <w:bCs/>
          <w:color w:val="000000" w:themeColor="text1"/>
          <w:sz w:val="44"/>
          <w:szCs w:val="44"/>
          <w:highlight w:val="none"/>
          <w14:textFill>
            <w14:solidFill>
              <w14:schemeClr w14:val="tx1"/>
            </w14:solidFill>
          </w14:textFill>
        </w:rPr>
      </w:pPr>
      <w:r>
        <w:rPr>
          <w:rFonts w:eastAsia="黑体"/>
          <w:color w:val="000000" w:themeColor="text1"/>
          <w:sz w:val="28"/>
          <w:szCs w:val="44"/>
          <w:highlight w:val="none"/>
          <w14:textFill>
            <w14:solidFill>
              <w14:schemeClr w14:val="tx1"/>
            </w14:solidFill>
          </w14:textFill>
        </w:rPr>
        <w:t>附件</w:t>
      </w:r>
      <w:r>
        <w:rPr>
          <w:rFonts w:hint="eastAsia" w:eastAsia="黑体"/>
          <w:color w:val="000000" w:themeColor="text1"/>
          <w:sz w:val="28"/>
          <w:szCs w:val="44"/>
          <w:highlight w:val="none"/>
          <w14:textFill>
            <w14:solidFill>
              <w14:schemeClr w14:val="tx1"/>
            </w14:solidFill>
          </w14:textFill>
        </w:rPr>
        <w:t>十</w:t>
      </w:r>
      <w:r>
        <w:rPr>
          <w:rFonts w:hint="eastAsia" w:eastAsia="黑体"/>
          <w:color w:val="000000" w:themeColor="text1"/>
          <w:sz w:val="28"/>
          <w:szCs w:val="44"/>
          <w:highlight w:val="none"/>
          <w:lang w:val="en-US" w:eastAsia="zh-CN"/>
          <w14:textFill>
            <w14:solidFill>
              <w14:schemeClr w14:val="tx1"/>
            </w14:solidFill>
          </w14:textFill>
        </w:rPr>
        <w:t>二</w:t>
      </w:r>
      <w:r>
        <w:rPr>
          <w:rFonts w:hint="eastAsia" w:eastAsia="黑体"/>
          <w:color w:val="000000" w:themeColor="text1"/>
          <w:sz w:val="28"/>
          <w:szCs w:val="44"/>
          <w:highlight w:val="none"/>
          <w14:textFill>
            <w14:solidFill>
              <w14:schemeClr w14:val="tx1"/>
            </w14:solidFill>
          </w14:textFill>
        </w:rPr>
        <w:t xml:space="preserve"> 投标人未到场声明</w:t>
      </w:r>
      <w:r>
        <w:rPr>
          <w:rFonts w:hint="eastAsia" w:eastAsia="黑体"/>
          <w:color w:val="000000" w:themeColor="text1"/>
          <w:sz w:val="28"/>
          <w:szCs w:val="44"/>
          <w:highlight w:val="none"/>
          <w:lang w:eastAsia="zh-CN"/>
          <w14:textFill>
            <w14:solidFill>
              <w14:schemeClr w14:val="tx1"/>
            </w14:solidFill>
          </w14:textFill>
        </w:rPr>
        <w:t>（</w:t>
      </w:r>
      <w:r>
        <w:rPr>
          <w:rFonts w:hint="eastAsia" w:eastAsia="黑体"/>
          <w:color w:val="000000" w:themeColor="text1"/>
          <w:sz w:val="28"/>
          <w:szCs w:val="44"/>
          <w:highlight w:val="none"/>
          <w:lang w:val="en-US" w:eastAsia="zh-CN"/>
          <w14:textFill>
            <w14:solidFill>
              <w14:schemeClr w14:val="tx1"/>
            </w14:solidFill>
          </w14:textFill>
        </w:rPr>
        <w:t>由寄送报价文件方式的响应人填写提交</w:t>
      </w:r>
      <w:r>
        <w:rPr>
          <w:rFonts w:hint="eastAsia" w:eastAsia="黑体"/>
          <w:color w:val="000000" w:themeColor="text1"/>
          <w:sz w:val="28"/>
          <w:szCs w:val="44"/>
          <w:highlight w:val="none"/>
          <w:lang w:eastAsia="zh-CN"/>
          <w14:textFill>
            <w14:solidFill>
              <w14:schemeClr w14:val="tx1"/>
            </w14:solidFill>
          </w14:textFill>
        </w:rPr>
        <w:t>）</w:t>
      </w:r>
    </w:p>
    <w:p w14:paraId="3F673E5E">
      <w:pPr>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u w:val="none"/>
          <w:lang w:val="en-US" w:eastAsia="zh-CN"/>
          <w14:textFill>
            <w14:solidFill>
              <w14:schemeClr w14:val="tx1"/>
            </w14:solidFill>
          </w14:textFill>
        </w:rPr>
        <w:t>阳江开能环保能源</w:t>
      </w:r>
      <w:r>
        <w:rPr>
          <w:rFonts w:hint="eastAsia" w:eastAsia="仿宋_GB2312"/>
          <w:color w:val="000000" w:themeColor="text1"/>
          <w:sz w:val="32"/>
          <w:szCs w:val="32"/>
          <w:highlight w:val="none"/>
          <w:u w:val="none"/>
          <w14:textFill>
            <w14:solidFill>
              <w14:schemeClr w14:val="tx1"/>
            </w14:solidFill>
          </w14:textFill>
        </w:rPr>
        <w:t>有限公司</w:t>
      </w:r>
      <w:r>
        <w:rPr>
          <w:rFonts w:hint="eastAsia" w:eastAsia="仿宋_GB2312"/>
          <w:color w:val="000000" w:themeColor="text1"/>
          <w:sz w:val="32"/>
          <w:szCs w:val="32"/>
          <w:highlight w:val="none"/>
          <w14:textFill>
            <w14:solidFill>
              <w14:schemeClr w14:val="tx1"/>
            </w14:solidFill>
          </w14:textFill>
        </w:rPr>
        <w:t>：</w:t>
      </w:r>
    </w:p>
    <w:p w14:paraId="293B4B7C">
      <w:pPr>
        <w:pStyle w:val="41"/>
        <w:ind w:firstLine="659"/>
        <w:rPr>
          <w:rFonts w:hint="eastAsia"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我司就参加</w:t>
      </w:r>
      <w:r>
        <w:rPr>
          <w:rFonts w:hint="eastAsia" w:ascii="Times New Roman" w:hAnsi="Times New Roman"/>
          <w:color w:val="000000" w:themeColor="text1"/>
          <w:sz w:val="32"/>
          <w:szCs w:val="32"/>
          <w:highlight w:val="none"/>
          <w:u w:val="single"/>
          <w14:textFill>
            <w14:solidFill>
              <w14:schemeClr w14:val="tx1"/>
            </w14:solidFill>
          </w14:textFill>
        </w:rPr>
        <w:t>阳江开能环保能源有限公司202</w:t>
      </w:r>
      <w:r>
        <w:rPr>
          <w:rFonts w:hint="eastAsia" w:ascii="Times New Roman" w:hAnsi="Times New Roman"/>
          <w:color w:val="000000" w:themeColor="text1"/>
          <w:sz w:val="32"/>
          <w:szCs w:val="32"/>
          <w:highlight w:val="none"/>
          <w:u w:val="single"/>
          <w:lang w:val="en-US" w:eastAsia="zh-CN"/>
          <w14:textFill>
            <w14:solidFill>
              <w14:schemeClr w14:val="tx1"/>
            </w14:solidFill>
          </w14:textFill>
        </w:rPr>
        <w:t>6</w:t>
      </w:r>
      <w:r>
        <w:rPr>
          <w:rFonts w:hint="eastAsia" w:ascii="Times New Roman" w:hAnsi="Times New Roman"/>
          <w:color w:val="000000" w:themeColor="text1"/>
          <w:sz w:val="32"/>
          <w:szCs w:val="32"/>
          <w:highlight w:val="none"/>
          <w:u w:val="single"/>
          <w14:textFill>
            <w14:solidFill>
              <w14:schemeClr w14:val="tx1"/>
            </w14:solidFill>
          </w14:textFill>
        </w:rPr>
        <w:t>年水处理系统化学药品服务项目</w:t>
      </w:r>
      <w:r>
        <w:rPr>
          <w:rFonts w:hint="eastAsia" w:ascii="Times New Roman" w:hAnsi="Times New Roman"/>
          <w:color w:val="000000" w:themeColor="text1"/>
          <w:sz w:val="32"/>
          <w:szCs w:val="32"/>
          <w:highlight w:val="none"/>
          <w14:textFill>
            <w14:solidFill>
              <w14:schemeClr w14:val="tx1"/>
            </w14:solidFill>
          </w14:textFill>
        </w:rPr>
        <w:t>，作出郑重说明：</w:t>
      </w:r>
    </w:p>
    <w:p w14:paraId="07E1459A">
      <w:pPr>
        <w:pStyle w:val="41"/>
        <w:ind w:firstLine="659"/>
        <w:rPr>
          <w:rFonts w:hint="eastAsia"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我司保证投标资格审查材料及其后提供的一切材料都是真实的；</w:t>
      </w:r>
    </w:p>
    <w:p w14:paraId="43F305F8">
      <w:pPr>
        <w:pStyle w:val="41"/>
        <w:ind w:firstLine="659"/>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我司承诺未能参加开标工作皆我司原因导致，我司对开标结果不存在任何异议。</w:t>
      </w:r>
    </w:p>
    <w:p w14:paraId="6C5585BA">
      <w:pPr>
        <w:pStyle w:val="41"/>
        <w:ind w:firstLine="0" w:firstLineChars="0"/>
        <w:jc w:val="left"/>
        <w:rPr>
          <w:rFonts w:ascii="Times New Roman" w:hAnsi="Times New Roman"/>
          <w:color w:val="000000" w:themeColor="text1"/>
          <w:sz w:val="32"/>
          <w:szCs w:val="32"/>
          <w:highlight w:val="none"/>
          <w14:textFill>
            <w14:solidFill>
              <w14:schemeClr w14:val="tx1"/>
            </w14:solidFill>
          </w14:textFill>
        </w:rPr>
      </w:pPr>
    </w:p>
    <w:p w14:paraId="2DE721D3">
      <w:pPr>
        <w:jc w:val="left"/>
        <w:rPr>
          <w:rFonts w:eastAsia="仿宋"/>
          <w:color w:val="000000" w:themeColor="text1"/>
          <w:sz w:val="32"/>
          <w:szCs w:val="32"/>
          <w:highlight w:val="none"/>
          <w14:textFill>
            <w14:solidFill>
              <w14:schemeClr w14:val="tx1"/>
            </w14:solidFill>
          </w14:textFill>
        </w:rPr>
      </w:pPr>
    </w:p>
    <w:p w14:paraId="3811D81F">
      <w:pPr>
        <w:spacing w:line="360" w:lineRule="auto"/>
        <w:ind w:firstLine="640" w:firstLineChars="200"/>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lang w:val="en-US" w:eastAsia="zh-CN"/>
          <w14:textFill>
            <w14:solidFill>
              <w14:schemeClr w14:val="tx1"/>
            </w14:solidFill>
          </w14:textFill>
        </w:rPr>
        <w:t>响应人</w:t>
      </w:r>
      <w:r>
        <w:rPr>
          <w:rFonts w:hint="eastAsia" w:eastAsia="仿宋_GB2312"/>
          <w:color w:val="000000" w:themeColor="text1"/>
          <w:sz w:val="32"/>
          <w:szCs w:val="32"/>
          <w:highlight w:val="none"/>
          <w14:textFill>
            <w14:solidFill>
              <w14:schemeClr w14:val="tx1"/>
            </w14:solidFill>
          </w14:textFill>
        </w:rPr>
        <w:t>名称（加盖公章）：</w:t>
      </w:r>
    </w:p>
    <w:p w14:paraId="054566E4">
      <w:pPr>
        <w:spacing w:line="360" w:lineRule="auto"/>
        <w:ind w:firstLine="640" w:firstLineChars="200"/>
        <w:rPr>
          <w:rFonts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法定代表人（签字或盖章）：</w:t>
      </w:r>
    </w:p>
    <w:p w14:paraId="68B8D9D1">
      <w:pPr>
        <w:spacing w:line="360" w:lineRule="auto"/>
        <w:ind w:firstLine="640" w:firstLineChars="200"/>
        <w:rPr>
          <w:rFonts w:hint="eastAsia" w:eastAsia="仿宋_GB2312"/>
          <w:color w:val="000000" w:themeColor="text1"/>
          <w:sz w:val="32"/>
          <w:szCs w:val="32"/>
          <w:highlight w:val="none"/>
          <w14:textFill>
            <w14:solidFill>
              <w14:schemeClr w14:val="tx1"/>
            </w14:solidFill>
          </w14:textFill>
        </w:rPr>
      </w:pPr>
      <w:r>
        <w:rPr>
          <w:rFonts w:hint="eastAsia" w:eastAsia="仿宋_GB2312"/>
          <w:color w:val="000000" w:themeColor="text1"/>
          <w:sz w:val="32"/>
          <w:szCs w:val="32"/>
          <w:highlight w:val="none"/>
          <w14:textFill>
            <w14:solidFill>
              <w14:schemeClr w14:val="tx1"/>
            </w14:solidFill>
          </w14:textFill>
        </w:rPr>
        <w:t>日期：</w:t>
      </w:r>
    </w:p>
    <w:p w14:paraId="0FC52A3F">
      <w:pPr>
        <w:spacing w:line="360" w:lineRule="auto"/>
        <w:rPr>
          <w:rFonts w:eastAsia="仿宋_GB2312"/>
          <w:color w:val="000000" w:themeColor="text1"/>
          <w:sz w:val="32"/>
          <w:szCs w:val="32"/>
          <w:highlight w:val="none"/>
          <w14:textFill>
            <w14:solidFill>
              <w14:schemeClr w14:val="tx1"/>
            </w14:solidFill>
          </w14:textFill>
        </w:rPr>
      </w:pPr>
    </w:p>
    <w:p w14:paraId="0772D33B">
      <w:pPr>
        <w:pStyle w:val="20"/>
        <w:ind w:left="0" w:leftChars="0" w:firstLine="0" w:firstLineChars="0"/>
        <w:rPr>
          <w:rFonts w:eastAsia="仿宋_GB2312"/>
          <w:color w:val="000000" w:themeColor="text1"/>
          <w:sz w:val="32"/>
          <w:szCs w:val="32"/>
          <w:highlight w:val="none"/>
          <w14:textFill>
            <w14:solidFill>
              <w14:schemeClr w14:val="tx1"/>
            </w14:solidFill>
          </w14:textFill>
        </w:rPr>
      </w:pPr>
    </w:p>
    <w:bookmarkEnd w:id="9"/>
    <w:sectPr>
      <w:headerReference r:id="rId5" w:type="default"/>
      <w:footerReference r:id="rId6"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2000000000000000000"/>
    <w:charset w:val="86"/>
    <w:family w:val="script"/>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3FAFB2">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BB7422">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fupl/LAQAAnAMAAA4AAAAAAAAAAQAgAAAAHgEAAGRycy9lMm9E&#10;b2MueG1sUEsFBgAAAAAGAAYAWQEAAFsFAAAAAA==&#10;">
              <v:fill on="f" focussize="0,0"/>
              <v:stroke on="f"/>
              <v:imagedata o:title=""/>
              <o:lock v:ext="edit" aspectratio="f"/>
              <v:textbox inset="0mm,0mm,0mm,0mm" style="mso-fit-shape-to-text:t;">
                <w:txbxContent>
                  <w:p w14:paraId="4ABB7422">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CAAEB2">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024D8E">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nTcacsBAACcAwAADgAAAGRycy9lMm9Eb2MueG1srVNLbtswEN0XyB0I&#10;7mPKWhSu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Ng4+qH2X9yjVA397iNhE7i1VGGGnwji0zG5asLQVf95z1vNPtfk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p03GnLAQAAnAMAAA4AAAAAAAAAAQAgAAAAHgEAAGRycy9lMm9E&#10;b2MueG1sUEsFBgAAAAAGAAYAWQEAAFsFAAAAAA==&#10;">
              <v:fill on="f" focussize="0,0"/>
              <v:stroke on="f"/>
              <v:imagedata o:title=""/>
              <o:lock v:ext="edit" aspectratio="f"/>
              <v:textbox inset="0mm,0mm,0mm,0mm" style="mso-fit-shape-to-text:t;">
                <w:txbxContent>
                  <w:p w14:paraId="7C024D8E">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p w14:paraId="7F8DEB36">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BD6F0">
    <w:pPr>
      <w:pStyle w:val="1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14F77">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9"/>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0A57500B"/>
    <w:multiLevelType w:val="multilevel"/>
    <w:tmpl w:val="0A57500B"/>
    <w:lvl w:ilvl="0" w:tentative="0">
      <w:start w:val="1"/>
      <w:numFmt w:val="japaneseCounting"/>
      <w:lvlText w:val="%1、"/>
      <w:lvlJc w:val="left"/>
      <w:pPr>
        <w:ind w:left="1110" w:hanging="51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2">
    <w:nsid w:val="167B11A5"/>
    <w:multiLevelType w:val="multilevel"/>
    <w:tmpl w:val="167B11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9276F23"/>
    <w:multiLevelType w:val="multilevel"/>
    <w:tmpl w:val="29276F23"/>
    <w:lvl w:ilvl="0" w:tentative="0">
      <w:start w:val="1"/>
      <w:numFmt w:val="japaneseCounting"/>
      <w:lvlText w:val="第%1条"/>
      <w:lvlJc w:val="left"/>
      <w:pPr>
        <w:ind w:left="870" w:hanging="87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4842C53"/>
    <w:multiLevelType w:val="multilevel"/>
    <w:tmpl w:val="44842C53"/>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8B40337"/>
    <w:multiLevelType w:val="multilevel"/>
    <w:tmpl w:val="68B40337"/>
    <w:lvl w:ilvl="0" w:tentative="0">
      <w:start w:val="1"/>
      <w:numFmt w:val="japaneseCounting"/>
      <w:pStyle w:val="50"/>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72877308"/>
    <w:multiLevelType w:val="multilevel"/>
    <w:tmpl w:val="72877308"/>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7941D84C"/>
    <w:multiLevelType w:val="singleLevel"/>
    <w:tmpl w:val="7941D84C"/>
    <w:lvl w:ilvl="0" w:tentative="0">
      <w:start w:val="1"/>
      <w:numFmt w:val="chineseCounting"/>
      <w:suff w:val="nothing"/>
      <w:lvlText w:val="%1、"/>
      <w:lvlJc w:val="left"/>
      <w:rPr>
        <w:rFonts w:hint="eastAsia"/>
      </w:rPr>
    </w:lvl>
  </w:abstractNum>
  <w:num w:numId="1">
    <w:abstractNumId w:val="6"/>
  </w:num>
  <w:num w:numId="2">
    <w:abstractNumId w:val="0"/>
  </w:num>
  <w:num w:numId="3">
    <w:abstractNumId w:val="5"/>
  </w:num>
  <w:num w:numId="4">
    <w:abstractNumId w:val="8"/>
  </w:num>
  <w:num w:numId="5">
    <w:abstractNumId w:val="3"/>
  </w:num>
  <w:num w:numId="6">
    <w:abstractNumId w:val="2"/>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iNTM0Mjk3Nzk4YWY0OGVhMjUyNDM2Y2U4ZDA1ZTY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179C9"/>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2141A6"/>
    <w:rsid w:val="028F0228"/>
    <w:rsid w:val="035D4211"/>
    <w:rsid w:val="03667363"/>
    <w:rsid w:val="037D5EE3"/>
    <w:rsid w:val="04CF6E29"/>
    <w:rsid w:val="05111DAD"/>
    <w:rsid w:val="059366CF"/>
    <w:rsid w:val="05D00163"/>
    <w:rsid w:val="064275A1"/>
    <w:rsid w:val="068D2A48"/>
    <w:rsid w:val="06F15928"/>
    <w:rsid w:val="077C34B8"/>
    <w:rsid w:val="07A209C4"/>
    <w:rsid w:val="080D26DA"/>
    <w:rsid w:val="08284245"/>
    <w:rsid w:val="086F1260"/>
    <w:rsid w:val="0880226D"/>
    <w:rsid w:val="089F2BDE"/>
    <w:rsid w:val="08A952DB"/>
    <w:rsid w:val="08BB2505"/>
    <w:rsid w:val="099A07E1"/>
    <w:rsid w:val="0A2F748D"/>
    <w:rsid w:val="0A9B4FED"/>
    <w:rsid w:val="0B0C0A79"/>
    <w:rsid w:val="0B451F6A"/>
    <w:rsid w:val="0B907557"/>
    <w:rsid w:val="0BA14D3A"/>
    <w:rsid w:val="0BD701D2"/>
    <w:rsid w:val="0C6F4C8D"/>
    <w:rsid w:val="0CB5493A"/>
    <w:rsid w:val="0D0E0EB6"/>
    <w:rsid w:val="0D706506"/>
    <w:rsid w:val="0DE142CB"/>
    <w:rsid w:val="0FDC1CDC"/>
    <w:rsid w:val="10223C48"/>
    <w:rsid w:val="11A97DFC"/>
    <w:rsid w:val="12475EA9"/>
    <w:rsid w:val="133360BD"/>
    <w:rsid w:val="137F7471"/>
    <w:rsid w:val="146E4633"/>
    <w:rsid w:val="1493162A"/>
    <w:rsid w:val="150412EA"/>
    <w:rsid w:val="171438BA"/>
    <w:rsid w:val="17230955"/>
    <w:rsid w:val="172309AA"/>
    <w:rsid w:val="17EE51EA"/>
    <w:rsid w:val="180F5427"/>
    <w:rsid w:val="182770BA"/>
    <w:rsid w:val="185262A5"/>
    <w:rsid w:val="187E2975"/>
    <w:rsid w:val="18863017"/>
    <w:rsid w:val="18AC6D73"/>
    <w:rsid w:val="1A947B3A"/>
    <w:rsid w:val="1B4716B4"/>
    <w:rsid w:val="1B69793D"/>
    <w:rsid w:val="1BEE7E74"/>
    <w:rsid w:val="1C08419D"/>
    <w:rsid w:val="1C8C71B8"/>
    <w:rsid w:val="1D4D5FFD"/>
    <w:rsid w:val="1EB43554"/>
    <w:rsid w:val="1F245F41"/>
    <w:rsid w:val="1F7A0970"/>
    <w:rsid w:val="209E2C67"/>
    <w:rsid w:val="21581D11"/>
    <w:rsid w:val="216F32CA"/>
    <w:rsid w:val="22124112"/>
    <w:rsid w:val="225C19C8"/>
    <w:rsid w:val="23643F6C"/>
    <w:rsid w:val="23AF0BF0"/>
    <w:rsid w:val="23C81EED"/>
    <w:rsid w:val="23F57352"/>
    <w:rsid w:val="249A7996"/>
    <w:rsid w:val="261C543B"/>
    <w:rsid w:val="267E2359"/>
    <w:rsid w:val="267E2989"/>
    <w:rsid w:val="26BC7CBC"/>
    <w:rsid w:val="26BD437F"/>
    <w:rsid w:val="27447ED5"/>
    <w:rsid w:val="275F3A77"/>
    <w:rsid w:val="284F0253"/>
    <w:rsid w:val="28644870"/>
    <w:rsid w:val="28941B11"/>
    <w:rsid w:val="28C36138"/>
    <w:rsid w:val="2A891206"/>
    <w:rsid w:val="2AC5216B"/>
    <w:rsid w:val="2AE949DF"/>
    <w:rsid w:val="2B2C3F7A"/>
    <w:rsid w:val="2B3B474B"/>
    <w:rsid w:val="2B8D044E"/>
    <w:rsid w:val="2B8E43CA"/>
    <w:rsid w:val="2BE231B8"/>
    <w:rsid w:val="2C016BB8"/>
    <w:rsid w:val="2D62205D"/>
    <w:rsid w:val="2D77461B"/>
    <w:rsid w:val="2E015014"/>
    <w:rsid w:val="2E1D1BA2"/>
    <w:rsid w:val="2E400C5F"/>
    <w:rsid w:val="2E5209E3"/>
    <w:rsid w:val="2EB01AFE"/>
    <w:rsid w:val="2F02606D"/>
    <w:rsid w:val="2F3B3CD8"/>
    <w:rsid w:val="2FB921E3"/>
    <w:rsid w:val="30592C7B"/>
    <w:rsid w:val="30D1119A"/>
    <w:rsid w:val="30D91EED"/>
    <w:rsid w:val="30F12F4C"/>
    <w:rsid w:val="3112402E"/>
    <w:rsid w:val="313D3E38"/>
    <w:rsid w:val="324C6A81"/>
    <w:rsid w:val="32611BF0"/>
    <w:rsid w:val="33A83294"/>
    <w:rsid w:val="34011E26"/>
    <w:rsid w:val="341B4D23"/>
    <w:rsid w:val="345C5D91"/>
    <w:rsid w:val="35363278"/>
    <w:rsid w:val="35613714"/>
    <w:rsid w:val="358C4411"/>
    <w:rsid w:val="36A81FB2"/>
    <w:rsid w:val="3722158D"/>
    <w:rsid w:val="375E09FC"/>
    <w:rsid w:val="38525FA9"/>
    <w:rsid w:val="39003F1D"/>
    <w:rsid w:val="39276876"/>
    <w:rsid w:val="392B2930"/>
    <w:rsid w:val="3AB56764"/>
    <w:rsid w:val="3AC853CC"/>
    <w:rsid w:val="3B66136D"/>
    <w:rsid w:val="3C1029C7"/>
    <w:rsid w:val="3C582CD8"/>
    <w:rsid w:val="3CAB5734"/>
    <w:rsid w:val="3E094E14"/>
    <w:rsid w:val="3E2546CD"/>
    <w:rsid w:val="3E4208DC"/>
    <w:rsid w:val="3E5874B7"/>
    <w:rsid w:val="3F953281"/>
    <w:rsid w:val="3FB85844"/>
    <w:rsid w:val="40531C58"/>
    <w:rsid w:val="405D53B5"/>
    <w:rsid w:val="41192D98"/>
    <w:rsid w:val="413E5CD9"/>
    <w:rsid w:val="433264B9"/>
    <w:rsid w:val="43425F9D"/>
    <w:rsid w:val="43F465D0"/>
    <w:rsid w:val="442A053D"/>
    <w:rsid w:val="44440739"/>
    <w:rsid w:val="446F65B8"/>
    <w:rsid w:val="44F057A6"/>
    <w:rsid w:val="45923555"/>
    <w:rsid w:val="45A95346"/>
    <w:rsid w:val="46416F41"/>
    <w:rsid w:val="467D6748"/>
    <w:rsid w:val="46C4203A"/>
    <w:rsid w:val="470E29AE"/>
    <w:rsid w:val="48BC411A"/>
    <w:rsid w:val="496C09B9"/>
    <w:rsid w:val="49CB0CCD"/>
    <w:rsid w:val="4AA610D6"/>
    <w:rsid w:val="4AD618B2"/>
    <w:rsid w:val="4B0C055A"/>
    <w:rsid w:val="4C1B7A56"/>
    <w:rsid w:val="4C610D2E"/>
    <w:rsid w:val="4C8B4A7C"/>
    <w:rsid w:val="4CFC368B"/>
    <w:rsid w:val="4D183236"/>
    <w:rsid w:val="4E7D412D"/>
    <w:rsid w:val="4EBE4481"/>
    <w:rsid w:val="4F086AAF"/>
    <w:rsid w:val="5069668A"/>
    <w:rsid w:val="50A83CB2"/>
    <w:rsid w:val="51147285"/>
    <w:rsid w:val="511C46FB"/>
    <w:rsid w:val="512B42F2"/>
    <w:rsid w:val="51AA58C4"/>
    <w:rsid w:val="5247520B"/>
    <w:rsid w:val="525E3DD9"/>
    <w:rsid w:val="538E5DEC"/>
    <w:rsid w:val="55E27D0D"/>
    <w:rsid w:val="56D076DF"/>
    <w:rsid w:val="56E34736"/>
    <w:rsid w:val="56FB15A3"/>
    <w:rsid w:val="572C3C94"/>
    <w:rsid w:val="576203AF"/>
    <w:rsid w:val="57806BBC"/>
    <w:rsid w:val="58963DA7"/>
    <w:rsid w:val="592C3305"/>
    <w:rsid w:val="5A2C7551"/>
    <w:rsid w:val="5A400720"/>
    <w:rsid w:val="5B33669F"/>
    <w:rsid w:val="5C072B21"/>
    <w:rsid w:val="5CF4139A"/>
    <w:rsid w:val="5D693C9C"/>
    <w:rsid w:val="5D9D7735"/>
    <w:rsid w:val="5DE973D6"/>
    <w:rsid w:val="5E5E457D"/>
    <w:rsid w:val="5E8D2D21"/>
    <w:rsid w:val="5EBD1212"/>
    <w:rsid w:val="5F1D6CF6"/>
    <w:rsid w:val="5F616FA8"/>
    <w:rsid w:val="5FAD0DCB"/>
    <w:rsid w:val="60C82A21"/>
    <w:rsid w:val="61EE5BEB"/>
    <w:rsid w:val="623F329A"/>
    <w:rsid w:val="62695E27"/>
    <w:rsid w:val="628242DE"/>
    <w:rsid w:val="62BE7007"/>
    <w:rsid w:val="636127C3"/>
    <w:rsid w:val="637528F4"/>
    <w:rsid w:val="6381342F"/>
    <w:rsid w:val="650B601A"/>
    <w:rsid w:val="651C2317"/>
    <w:rsid w:val="6541100E"/>
    <w:rsid w:val="654C0BA8"/>
    <w:rsid w:val="664352EB"/>
    <w:rsid w:val="67173EFD"/>
    <w:rsid w:val="672079BD"/>
    <w:rsid w:val="681A6B9A"/>
    <w:rsid w:val="683E7EE4"/>
    <w:rsid w:val="68752FBF"/>
    <w:rsid w:val="69356912"/>
    <w:rsid w:val="696610E4"/>
    <w:rsid w:val="697C3181"/>
    <w:rsid w:val="6A83721D"/>
    <w:rsid w:val="6AE21101"/>
    <w:rsid w:val="6B0C558D"/>
    <w:rsid w:val="6B4F3B9E"/>
    <w:rsid w:val="6B59484F"/>
    <w:rsid w:val="6BD63153"/>
    <w:rsid w:val="6BFE0B4D"/>
    <w:rsid w:val="6C124214"/>
    <w:rsid w:val="6C5B55DC"/>
    <w:rsid w:val="6CA565D4"/>
    <w:rsid w:val="6CAE03DD"/>
    <w:rsid w:val="6CE56E6B"/>
    <w:rsid w:val="6D032DAA"/>
    <w:rsid w:val="6E005A26"/>
    <w:rsid w:val="6E6329C5"/>
    <w:rsid w:val="6EFF345A"/>
    <w:rsid w:val="6F0E41D6"/>
    <w:rsid w:val="6F4F7C8F"/>
    <w:rsid w:val="6FB4540B"/>
    <w:rsid w:val="70C73255"/>
    <w:rsid w:val="70C81923"/>
    <w:rsid w:val="71126C39"/>
    <w:rsid w:val="715F328E"/>
    <w:rsid w:val="71610FBE"/>
    <w:rsid w:val="725008FF"/>
    <w:rsid w:val="72760778"/>
    <w:rsid w:val="743104E3"/>
    <w:rsid w:val="74320C3C"/>
    <w:rsid w:val="744D0596"/>
    <w:rsid w:val="74513162"/>
    <w:rsid w:val="74EC2A72"/>
    <w:rsid w:val="75431AF8"/>
    <w:rsid w:val="757B75BC"/>
    <w:rsid w:val="76330164"/>
    <w:rsid w:val="76A665D3"/>
    <w:rsid w:val="776150BB"/>
    <w:rsid w:val="77CC4ECF"/>
    <w:rsid w:val="78932DAB"/>
    <w:rsid w:val="78BD1F9D"/>
    <w:rsid w:val="79201CE1"/>
    <w:rsid w:val="79B14724"/>
    <w:rsid w:val="7B3450D7"/>
    <w:rsid w:val="7B3E0A41"/>
    <w:rsid w:val="7B6C7DDD"/>
    <w:rsid w:val="7C323980"/>
    <w:rsid w:val="7D331B3C"/>
    <w:rsid w:val="7D4607F9"/>
    <w:rsid w:val="7D730629"/>
    <w:rsid w:val="7E01395C"/>
    <w:rsid w:val="7E1815B6"/>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0"/>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1"/>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2"/>
    <w:qFormat/>
    <w:uiPriority w:val="99"/>
    <w:pPr>
      <w:keepNext/>
      <w:keepLines/>
      <w:spacing w:before="280" w:after="290" w:line="376" w:lineRule="auto"/>
      <w:outlineLvl w:val="3"/>
    </w:pPr>
    <w:rPr>
      <w:rFonts w:ascii="Arial" w:hAnsi="Arial" w:eastAsia="黑体"/>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9"/>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3"/>
    <w:qFormat/>
    <w:uiPriority w:val="99"/>
    <w:rPr>
      <w:rFonts w:ascii="宋体"/>
      <w:sz w:val="18"/>
      <w:szCs w:val="18"/>
    </w:rPr>
  </w:style>
  <w:style w:type="paragraph" w:styleId="8">
    <w:name w:val="annotation text"/>
    <w:basedOn w:val="1"/>
    <w:link w:val="34"/>
    <w:qFormat/>
    <w:uiPriority w:val="99"/>
    <w:pPr>
      <w:jc w:val="left"/>
    </w:pPr>
  </w:style>
  <w:style w:type="paragraph" w:styleId="9">
    <w:name w:val="Body Text"/>
    <w:basedOn w:val="1"/>
    <w:next w:val="10"/>
    <w:link w:val="35"/>
    <w:qFormat/>
    <w:uiPriority w:val="99"/>
    <w:pPr>
      <w:spacing w:after="120"/>
    </w:pPr>
  </w:style>
  <w:style w:type="paragraph" w:styleId="10">
    <w:name w:val="Body Text First Indent"/>
    <w:basedOn w:val="9"/>
    <w:link w:val="39"/>
    <w:qFormat/>
    <w:uiPriority w:val="99"/>
    <w:pPr>
      <w:widowControl/>
      <w:ind w:firstLine="420" w:firstLineChars="100"/>
    </w:pPr>
    <w:rPr>
      <w:rFonts w:ascii="Calibri" w:hAnsi="Calibri" w:cs="宋体"/>
      <w:szCs w:val="22"/>
    </w:rPr>
  </w:style>
  <w:style w:type="paragraph" w:styleId="11">
    <w:name w:val="Body Text Indent"/>
    <w:basedOn w:val="1"/>
    <w:next w:val="12"/>
    <w:qFormat/>
    <w:uiPriority w:val="0"/>
    <w:pPr>
      <w:spacing w:after="120"/>
      <w:ind w:left="420" w:leftChars="200"/>
    </w:pPr>
  </w:style>
  <w:style w:type="paragraph" w:styleId="12">
    <w:name w:val="envelope return"/>
    <w:basedOn w:val="1"/>
    <w:unhideWhenUsed/>
    <w:qFormat/>
    <w:uiPriority w:val="99"/>
    <w:rPr>
      <w:rFonts w:hint="eastAsia" w:ascii="Arial" w:hAnsi="Arial"/>
    </w:rPr>
  </w:style>
  <w:style w:type="paragraph" w:styleId="13">
    <w:name w:val="Plain Text"/>
    <w:basedOn w:val="1"/>
    <w:link w:val="51"/>
    <w:qFormat/>
    <w:uiPriority w:val="99"/>
    <w:pPr>
      <w:tabs>
        <w:tab w:val="left" w:pos="-105"/>
      </w:tabs>
      <w:spacing w:line="440" w:lineRule="exact"/>
      <w:ind w:right="-147" w:rightChars="-70"/>
      <w:outlineLvl w:val="2"/>
    </w:pPr>
    <w:rPr>
      <w:rFonts w:ascii="宋体" w:hAnsi="Courier New"/>
      <w:sz w:val="24"/>
      <w:szCs w:val="21"/>
    </w:rPr>
  </w:style>
  <w:style w:type="paragraph" w:styleId="14">
    <w:name w:val="Balloon Text"/>
    <w:basedOn w:val="1"/>
    <w:link w:val="36"/>
    <w:qFormat/>
    <w:uiPriority w:val="99"/>
    <w:rPr>
      <w:sz w:val="18"/>
      <w:szCs w:val="18"/>
    </w:rPr>
  </w:style>
  <w:style w:type="paragraph" w:styleId="15">
    <w:name w:val="footer"/>
    <w:basedOn w:val="1"/>
    <w:link w:val="37"/>
    <w:qFormat/>
    <w:uiPriority w:val="99"/>
    <w:pPr>
      <w:tabs>
        <w:tab w:val="center" w:pos="4153"/>
        <w:tab w:val="right" w:pos="8306"/>
      </w:tabs>
      <w:snapToGrid w:val="0"/>
      <w:jc w:val="left"/>
    </w:pPr>
    <w:rPr>
      <w:sz w:val="18"/>
      <w:szCs w:val="18"/>
    </w:rPr>
  </w:style>
  <w:style w:type="paragraph" w:styleId="16">
    <w:name w:val="header"/>
    <w:basedOn w:val="1"/>
    <w:link w:val="38"/>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8">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8"/>
    <w:next w:val="8"/>
    <w:link w:val="56"/>
    <w:semiHidden/>
    <w:qFormat/>
    <w:uiPriority w:val="99"/>
    <w:rPr>
      <w:b/>
      <w:bCs/>
    </w:rPr>
  </w:style>
  <w:style w:type="paragraph" w:styleId="20">
    <w:name w:val="Body Text First Indent 2"/>
    <w:basedOn w:val="11"/>
    <w:qFormat/>
    <w:uiPriority w:val="99"/>
    <w:pPr>
      <w:ind w:left="567" w:leftChars="270" w:firstLine="420" w:firstLineChars="200"/>
    </w:pPr>
    <w:rPr>
      <w:color w:val="000000"/>
    </w:rPr>
  </w:style>
  <w:style w:type="table" w:styleId="22">
    <w:name w:val="Table Grid"/>
    <w:basedOn w:val="21"/>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locked/>
    <w:uiPriority w:val="22"/>
    <w:rPr>
      <w:b/>
    </w:rPr>
  </w:style>
  <w:style w:type="character" w:styleId="25">
    <w:name w:val="Hyperlink"/>
    <w:basedOn w:val="23"/>
    <w:qFormat/>
    <w:uiPriority w:val="99"/>
    <w:rPr>
      <w:rFonts w:cs="Times New Roman"/>
      <w:color w:val="0000FF"/>
      <w:u w:val="single"/>
    </w:rPr>
  </w:style>
  <w:style w:type="character" w:styleId="26">
    <w:name w:val="annotation reference"/>
    <w:basedOn w:val="23"/>
    <w:qFormat/>
    <w:uiPriority w:val="99"/>
    <w:rPr>
      <w:rFonts w:cs="Times New Roman"/>
      <w:sz w:val="21"/>
      <w:szCs w:val="21"/>
    </w:rPr>
  </w:style>
  <w:style w:type="character" w:customStyle="1" w:styleId="27">
    <w:name w:val="标题 1 Char"/>
    <w:basedOn w:val="23"/>
    <w:link w:val="2"/>
    <w:qFormat/>
    <w:locked/>
    <w:uiPriority w:val="99"/>
    <w:rPr>
      <w:rFonts w:ascii="Times New Roman" w:hAnsi="Times New Roman" w:eastAsia="宋体" w:cs="Times New Roman"/>
      <w:b/>
      <w:bCs/>
      <w:kern w:val="44"/>
      <w:sz w:val="44"/>
      <w:szCs w:val="44"/>
    </w:rPr>
  </w:style>
  <w:style w:type="paragraph" w:customStyle="1" w:styleId="28">
    <w:name w:val="样式 正文首行缩进 + 首行缩进:  1 字符"/>
    <w:basedOn w:val="1"/>
    <w:next w:val="1"/>
    <w:qFormat/>
    <w:uiPriority w:val="0"/>
    <w:pPr>
      <w:ind w:firstLine="200" w:firstLineChars="200"/>
    </w:pPr>
    <w:rPr>
      <w:rFonts w:cs="宋体"/>
      <w:szCs w:val="20"/>
    </w:rPr>
  </w:style>
  <w:style w:type="paragraph" w:customStyle="1" w:styleId="29">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0">
    <w:name w:val="标题 2 Char"/>
    <w:basedOn w:val="23"/>
    <w:link w:val="3"/>
    <w:qFormat/>
    <w:locked/>
    <w:uiPriority w:val="99"/>
    <w:rPr>
      <w:rFonts w:ascii="Cambria" w:hAnsi="Cambria" w:eastAsia="宋体" w:cs="Times New Roman"/>
      <w:b/>
      <w:bCs/>
      <w:kern w:val="2"/>
      <w:sz w:val="32"/>
      <w:szCs w:val="32"/>
    </w:rPr>
  </w:style>
  <w:style w:type="character" w:customStyle="1" w:styleId="31">
    <w:name w:val="标题 3 Char"/>
    <w:basedOn w:val="23"/>
    <w:link w:val="4"/>
    <w:qFormat/>
    <w:locked/>
    <w:uiPriority w:val="99"/>
    <w:rPr>
      <w:rFonts w:eastAsia="宋体" w:cs="Times New Roman"/>
      <w:b/>
      <w:sz w:val="32"/>
    </w:rPr>
  </w:style>
  <w:style w:type="character" w:customStyle="1" w:styleId="32">
    <w:name w:val="标题 4 Char"/>
    <w:basedOn w:val="23"/>
    <w:link w:val="5"/>
    <w:qFormat/>
    <w:locked/>
    <w:uiPriority w:val="99"/>
    <w:rPr>
      <w:rFonts w:ascii="Arial" w:hAnsi="Arial" w:eastAsia="黑体" w:cs="Times New Roman"/>
      <w:b/>
      <w:bCs/>
      <w:kern w:val="2"/>
      <w:sz w:val="28"/>
      <w:szCs w:val="28"/>
    </w:rPr>
  </w:style>
  <w:style w:type="character" w:customStyle="1" w:styleId="33">
    <w:name w:val="文档结构图 Char"/>
    <w:basedOn w:val="23"/>
    <w:link w:val="7"/>
    <w:qFormat/>
    <w:locked/>
    <w:uiPriority w:val="99"/>
    <w:rPr>
      <w:rFonts w:ascii="宋体" w:hAnsi="Times New Roman" w:eastAsia="宋体" w:cs="Times New Roman"/>
      <w:kern w:val="2"/>
      <w:sz w:val="18"/>
      <w:szCs w:val="18"/>
    </w:rPr>
  </w:style>
  <w:style w:type="character" w:customStyle="1" w:styleId="34">
    <w:name w:val="批注文字 Char"/>
    <w:basedOn w:val="23"/>
    <w:link w:val="8"/>
    <w:qFormat/>
    <w:locked/>
    <w:uiPriority w:val="99"/>
    <w:rPr>
      <w:rFonts w:ascii="Times New Roman" w:hAnsi="Times New Roman" w:cs="Times New Roman"/>
      <w:kern w:val="2"/>
      <w:sz w:val="21"/>
    </w:rPr>
  </w:style>
  <w:style w:type="character" w:customStyle="1" w:styleId="35">
    <w:name w:val="正文文本 Char"/>
    <w:basedOn w:val="23"/>
    <w:link w:val="9"/>
    <w:qFormat/>
    <w:locked/>
    <w:uiPriority w:val="99"/>
    <w:rPr>
      <w:rFonts w:ascii="Times New Roman" w:hAnsi="Times New Roman" w:eastAsia="宋体" w:cs="Times New Roman"/>
      <w:sz w:val="20"/>
      <w:szCs w:val="20"/>
    </w:rPr>
  </w:style>
  <w:style w:type="character" w:customStyle="1" w:styleId="36">
    <w:name w:val="批注框文本 Char"/>
    <w:basedOn w:val="23"/>
    <w:link w:val="14"/>
    <w:qFormat/>
    <w:locked/>
    <w:uiPriority w:val="99"/>
    <w:rPr>
      <w:rFonts w:ascii="Times New Roman" w:hAnsi="Times New Roman" w:eastAsia="宋体" w:cs="Times New Roman"/>
      <w:kern w:val="2"/>
      <w:sz w:val="18"/>
      <w:szCs w:val="18"/>
    </w:rPr>
  </w:style>
  <w:style w:type="character" w:customStyle="1" w:styleId="37">
    <w:name w:val="页脚 Char"/>
    <w:basedOn w:val="23"/>
    <w:link w:val="15"/>
    <w:qFormat/>
    <w:locked/>
    <w:uiPriority w:val="99"/>
    <w:rPr>
      <w:rFonts w:ascii="Times New Roman" w:hAnsi="Times New Roman" w:eastAsia="宋体" w:cs="Times New Roman"/>
      <w:sz w:val="18"/>
      <w:szCs w:val="18"/>
    </w:rPr>
  </w:style>
  <w:style w:type="character" w:customStyle="1" w:styleId="38">
    <w:name w:val="页眉 Char"/>
    <w:basedOn w:val="23"/>
    <w:link w:val="16"/>
    <w:qFormat/>
    <w:locked/>
    <w:uiPriority w:val="99"/>
    <w:rPr>
      <w:rFonts w:ascii="Times New Roman" w:hAnsi="Times New Roman" w:eastAsia="宋体" w:cs="Times New Roman"/>
      <w:sz w:val="18"/>
      <w:szCs w:val="18"/>
    </w:rPr>
  </w:style>
  <w:style w:type="character" w:customStyle="1" w:styleId="39">
    <w:name w:val="正文首行缩进 Char"/>
    <w:basedOn w:val="35"/>
    <w:link w:val="10"/>
    <w:qFormat/>
    <w:locked/>
    <w:uiPriority w:val="99"/>
    <w:rPr>
      <w:rFonts w:ascii="Times New Roman" w:hAnsi="Times New Roman" w:eastAsia="宋体" w:cs="Times New Roman"/>
      <w:sz w:val="20"/>
      <w:szCs w:val="20"/>
    </w:rPr>
  </w:style>
  <w:style w:type="character" w:customStyle="1" w:styleId="40">
    <w:name w:val="正文缩进2格 Char"/>
    <w:link w:val="41"/>
    <w:qFormat/>
    <w:locked/>
    <w:uiPriority w:val="99"/>
    <w:rPr>
      <w:rFonts w:ascii="仿宋_GB2312" w:hAnsi="宋体" w:eastAsia="仿宋_GB2312"/>
      <w:sz w:val="31"/>
    </w:rPr>
  </w:style>
  <w:style w:type="paragraph" w:customStyle="1" w:styleId="41">
    <w:name w:val="正文缩进2格"/>
    <w:basedOn w:val="1"/>
    <w:link w:val="40"/>
    <w:qFormat/>
    <w:uiPriority w:val="99"/>
    <w:pPr>
      <w:spacing w:line="600" w:lineRule="exact"/>
      <w:ind w:firstLine="639" w:firstLineChars="206"/>
    </w:pPr>
    <w:rPr>
      <w:rFonts w:ascii="仿宋_GB2312" w:hAnsi="宋体" w:eastAsia="仿宋_GB2312"/>
      <w:kern w:val="0"/>
      <w:sz w:val="31"/>
      <w:szCs w:val="31"/>
    </w:rPr>
  </w:style>
  <w:style w:type="paragraph" w:customStyle="1" w:styleId="42">
    <w:name w:val="列出段落1"/>
    <w:basedOn w:val="1"/>
    <w:qFormat/>
    <w:uiPriority w:val="99"/>
    <w:pPr>
      <w:ind w:firstLine="420" w:firstLineChars="200"/>
    </w:pPr>
  </w:style>
  <w:style w:type="paragraph" w:customStyle="1" w:styleId="43">
    <w:name w:val="列出段落2"/>
    <w:basedOn w:val="1"/>
    <w:qFormat/>
    <w:uiPriority w:val="99"/>
    <w:pPr>
      <w:ind w:firstLine="420" w:firstLineChars="200"/>
    </w:pPr>
  </w:style>
  <w:style w:type="paragraph" w:styleId="44">
    <w:name w:val="List Paragraph"/>
    <w:basedOn w:val="1"/>
    <w:qFormat/>
    <w:uiPriority w:val="99"/>
    <w:pPr>
      <w:ind w:firstLine="420" w:firstLineChars="200"/>
    </w:pPr>
  </w:style>
  <w:style w:type="character" w:customStyle="1" w:styleId="45">
    <w:name w:val="fontstyle01"/>
    <w:basedOn w:val="23"/>
    <w:qFormat/>
    <w:uiPriority w:val="99"/>
    <w:rPr>
      <w:rFonts w:ascii="仿宋" w:hAnsi="仿宋" w:eastAsia="仿宋" w:cs="Times New Roman"/>
      <w:color w:val="000000"/>
      <w:sz w:val="28"/>
      <w:szCs w:val="28"/>
    </w:rPr>
  </w:style>
  <w:style w:type="character" w:customStyle="1" w:styleId="46">
    <w:name w:val="！正文 Char"/>
    <w:link w:val="47"/>
    <w:qFormat/>
    <w:locked/>
    <w:uiPriority w:val="99"/>
    <w:rPr>
      <w:rFonts w:ascii="Arial" w:hAnsi="Arial"/>
      <w:sz w:val="24"/>
    </w:rPr>
  </w:style>
  <w:style w:type="paragraph" w:customStyle="1" w:styleId="47">
    <w:name w:val="！正文"/>
    <w:basedOn w:val="1"/>
    <w:link w:val="46"/>
    <w:qFormat/>
    <w:uiPriority w:val="99"/>
    <w:pPr>
      <w:spacing w:line="360" w:lineRule="auto"/>
      <w:ind w:firstLine="200" w:firstLineChars="200"/>
    </w:pPr>
    <w:rPr>
      <w:rFonts w:ascii="Arial" w:hAnsi="Arial" w:eastAsia="等线"/>
      <w:kern w:val="0"/>
      <w:sz w:val="24"/>
      <w:szCs w:val="24"/>
    </w:rPr>
  </w:style>
  <w:style w:type="paragraph" w:customStyle="1" w:styleId="48">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9">
    <w:name w:val="正文缩进 Char"/>
    <w:link w:val="6"/>
    <w:qFormat/>
    <w:locked/>
    <w:uiPriority w:val="99"/>
    <w:rPr>
      <w:sz w:val="24"/>
    </w:rPr>
  </w:style>
  <w:style w:type="paragraph" w:customStyle="1" w:styleId="50">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51">
    <w:name w:val="纯文本 Char"/>
    <w:basedOn w:val="23"/>
    <w:link w:val="13"/>
    <w:qFormat/>
    <w:locked/>
    <w:uiPriority w:val="99"/>
    <w:rPr>
      <w:rFonts w:ascii="宋体" w:hAnsi="Courier New" w:eastAsia="宋体" w:cs="Times New Roman"/>
      <w:kern w:val="2"/>
      <w:sz w:val="21"/>
      <w:szCs w:val="21"/>
    </w:rPr>
  </w:style>
  <w:style w:type="character" w:customStyle="1" w:styleId="52">
    <w:name w:val="未处理的提及1"/>
    <w:basedOn w:val="23"/>
    <w:semiHidden/>
    <w:qFormat/>
    <w:uiPriority w:val="99"/>
    <w:rPr>
      <w:rFonts w:cs="Times New Roman"/>
      <w:color w:val="605E5C"/>
      <w:shd w:val="clear" w:color="auto" w:fill="E1DFDD"/>
    </w:rPr>
  </w:style>
  <w:style w:type="paragraph" w:customStyle="1" w:styleId="53">
    <w:name w:val="样式"/>
    <w:basedOn w:val="1"/>
    <w:next w:val="44"/>
    <w:qFormat/>
    <w:uiPriority w:val="99"/>
    <w:pPr>
      <w:ind w:firstLine="420" w:firstLineChars="200"/>
    </w:pPr>
    <w:rPr>
      <w:rFonts w:ascii="Calibri" w:hAnsi="Calibri"/>
      <w:szCs w:val="22"/>
    </w:rPr>
  </w:style>
  <w:style w:type="character" w:customStyle="1" w:styleId="54">
    <w:name w:val="Body Text Indent 2 Char Char"/>
    <w:link w:val="55"/>
    <w:qFormat/>
    <w:locked/>
    <w:uiPriority w:val="99"/>
  </w:style>
  <w:style w:type="paragraph" w:customStyle="1" w:styleId="55">
    <w:name w:val="正文文本缩进 21"/>
    <w:basedOn w:val="1"/>
    <w:link w:val="54"/>
    <w:qFormat/>
    <w:uiPriority w:val="99"/>
    <w:pPr>
      <w:adjustRightInd w:val="0"/>
      <w:spacing w:line="480" w:lineRule="auto"/>
      <w:ind w:firstLine="540"/>
    </w:pPr>
    <w:rPr>
      <w:rFonts w:ascii="Calibri" w:hAnsi="Calibri" w:eastAsia="等线"/>
      <w:kern w:val="0"/>
      <w:sz w:val="20"/>
    </w:rPr>
  </w:style>
  <w:style w:type="character" w:customStyle="1" w:styleId="56">
    <w:name w:val="批注主题 Char"/>
    <w:basedOn w:val="34"/>
    <w:link w:val="19"/>
    <w:semiHidden/>
    <w:qFormat/>
    <w:locked/>
    <w:uiPriority w:val="99"/>
    <w:rPr>
      <w:rFonts w:ascii="Times New Roman" w:hAnsi="Times New Roman" w:eastAsia="宋体" w:cs="Times New Roman"/>
      <w:b/>
      <w:bCs/>
      <w:kern w:val="2"/>
      <w:sz w:val="21"/>
    </w:rPr>
  </w:style>
  <w:style w:type="character" w:customStyle="1" w:styleId="57">
    <w:name w:val="标题 4 字符"/>
    <w:basedOn w:val="23"/>
    <w:semiHidden/>
    <w:qFormat/>
    <w:uiPriority w:val="99"/>
    <w:rPr>
      <w:rFonts w:ascii="Cambria" w:hAnsi="Cambria" w:eastAsia="宋体" w:cs="Times New Roman"/>
      <w:b/>
      <w:bCs/>
      <w:kern w:val="2"/>
      <w:sz w:val="28"/>
      <w:szCs w:val="28"/>
    </w:rPr>
  </w:style>
  <w:style w:type="paragraph" w:customStyle="1" w:styleId="58">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9">
    <w:name w:val="致远要点"/>
    <w:basedOn w:val="44"/>
    <w:link w:val="60"/>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0">
    <w:name w:val="致远要点 字符"/>
    <w:basedOn w:val="23"/>
    <w:link w:val="59"/>
    <w:qFormat/>
    <w:locked/>
    <w:uiPriority w:val="99"/>
    <w:rPr>
      <w:rFonts w:ascii="黑体" w:hAnsi="黑体" w:eastAsia="黑体" w:cs="宋体"/>
      <w:kern w:val="2"/>
      <w:sz w:val="22"/>
      <w:szCs w:val="22"/>
    </w:rPr>
  </w:style>
  <w:style w:type="paragraph" w:customStyle="1" w:styleId="61">
    <w:name w:val="SANGFOR_6_正文"/>
    <w:basedOn w:val="1"/>
    <w:qFormat/>
    <w:uiPriority w:val="99"/>
    <w:pPr>
      <w:spacing w:line="360" w:lineRule="auto"/>
    </w:pPr>
    <w:rPr>
      <w:szCs w:val="24"/>
    </w:rPr>
  </w:style>
  <w:style w:type="character" w:customStyle="1" w:styleId="62">
    <w:name w:val="font01"/>
    <w:basedOn w:val="23"/>
    <w:qFormat/>
    <w:uiPriority w:val="0"/>
    <w:rPr>
      <w:rFonts w:hint="eastAsia" w:ascii="宋体" w:hAnsi="宋体" w:eastAsia="宋体" w:cs="宋体"/>
      <w:color w:val="FF0000"/>
      <w:sz w:val="24"/>
      <w:szCs w:val="24"/>
      <w:u w:val="none"/>
    </w:rPr>
  </w:style>
  <w:style w:type="character" w:customStyle="1" w:styleId="63">
    <w:name w:val="font21"/>
    <w:basedOn w:val="23"/>
    <w:qFormat/>
    <w:uiPriority w:val="0"/>
    <w:rPr>
      <w:rFonts w:hint="eastAsia" w:ascii="宋体" w:hAnsi="宋体" w:eastAsia="宋体" w:cs="宋体"/>
      <w:color w:val="000000"/>
      <w:sz w:val="24"/>
      <w:szCs w:val="24"/>
      <w:u w:val="none"/>
    </w:rPr>
  </w:style>
  <w:style w:type="paragraph" w:customStyle="1" w:styleId="64">
    <w:name w:val="Char Char Char"/>
    <w:basedOn w:val="1"/>
    <w:qFormat/>
    <w:uiPriority w:val="0"/>
    <w:rPr>
      <w:rFonts w:ascii="Tahoma" w:hAnsi="Tahoma"/>
      <w:sz w:val="24"/>
    </w:rPr>
  </w:style>
  <w:style w:type="paragraph" w:customStyle="1" w:styleId="65">
    <w:name w:val="标书正文文本"/>
    <w:qFormat/>
    <w:uiPriority w:val="0"/>
    <w:pPr>
      <w:spacing w:line="360" w:lineRule="auto"/>
      <w:ind w:firstLine="200" w:firstLineChars="200"/>
    </w:pPr>
    <w:rPr>
      <w:rFonts w:ascii="Calibri" w:hAnsi="Calibri"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31</Pages>
  <Words>6180</Words>
  <Characters>6442</Characters>
  <Lines>4</Lines>
  <Paragraphs>7</Paragraphs>
  <TotalTime>5</TotalTime>
  <ScaleCrop>false</ScaleCrop>
  <LinksUpToDate>false</LinksUpToDate>
  <CharactersWithSpaces>6734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2025-11-07T01:54:53Z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30A02CF9DDA2451D933581F4CE5B878D_13</vt:lpwstr>
  </property>
  <property fmtid="{D5CDD505-2E9C-101B-9397-08002B2CF9AE}" pid="4" name="KSOTemplateDocerSaveRecord">
    <vt:lpwstr>eyJoZGlkIjoiNzNiNTM0Mjk3Nzk4YWY0OGVhMjUyNDM2Y2U4ZDA1ZTYiLCJ1c2VySWQiOiI5NDA4NDc3MTEifQ==</vt:lpwstr>
  </property>
</Properties>
</file>