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B9E497">
      <w:pPr>
        <w:spacing w:line="400" w:lineRule="exact"/>
        <w:jc w:val="left"/>
        <w:rPr>
          <w:rFonts w:ascii="方正小标宋简体" w:eastAsia="方正小标宋简体"/>
          <w:color w:val="auto"/>
          <w:sz w:val="32"/>
          <w:szCs w:val="32"/>
        </w:rPr>
      </w:pPr>
    </w:p>
    <w:p w14:paraId="3D365230">
      <w:pPr>
        <w:jc w:val="center"/>
        <w:rPr>
          <w:rFonts w:ascii="方正小标宋简体" w:eastAsia="方正小标宋简体"/>
          <w:color w:val="auto"/>
          <w:sz w:val="52"/>
          <w:szCs w:val="52"/>
        </w:rPr>
      </w:pPr>
      <w:r>
        <w:rPr>
          <w:rFonts w:hint="eastAsia" w:ascii="方正小标宋简体" w:eastAsia="方正小标宋简体"/>
          <w:color w:val="auto"/>
          <w:sz w:val="52"/>
          <w:szCs w:val="52"/>
        </w:rPr>
        <w:t>东莞市海心沙资源循环利用基地</w:t>
      </w:r>
    </w:p>
    <w:tbl>
      <w:tblPr>
        <w:tblStyle w:val="14"/>
        <w:tblpPr w:leftFromText="180" w:rightFromText="180" w:vertAnchor="text" w:horzAnchor="page" w:tblpX="2599" w:tblpY="7625"/>
        <w:tblOverlap w:val="never"/>
        <w:tblW w:w="67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35"/>
        <w:gridCol w:w="3904"/>
      </w:tblGrid>
      <w:tr w14:paraId="418BBB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835" w:type="dxa"/>
            <w:tcBorders>
              <w:top w:val="nil"/>
              <w:left w:val="nil"/>
              <w:bottom w:val="nil"/>
              <w:right w:val="nil"/>
            </w:tcBorders>
            <w:vAlign w:val="center"/>
          </w:tcPr>
          <w:p w14:paraId="4361FD04">
            <w:pPr>
              <w:pStyle w:val="4"/>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需求部门：</w:t>
            </w:r>
          </w:p>
        </w:tc>
        <w:tc>
          <w:tcPr>
            <w:tcW w:w="3904" w:type="dxa"/>
            <w:tcBorders>
              <w:top w:val="nil"/>
              <w:left w:val="nil"/>
              <w:bottom w:val="single" w:color="auto" w:sz="4" w:space="0"/>
              <w:right w:val="nil"/>
            </w:tcBorders>
            <w:vAlign w:val="center"/>
          </w:tcPr>
          <w:p w14:paraId="4072D02C">
            <w:pPr>
              <w:pStyle w:val="4"/>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安全环境部</w:t>
            </w:r>
          </w:p>
        </w:tc>
      </w:tr>
      <w:tr w14:paraId="4EF1F6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835" w:type="dxa"/>
            <w:tcBorders>
              <w:top w:val="nil"/>
              <w:left w:val="nil"/>
              <w:bottom w:val="nil"/>
              <w:right w:val="nil"/>
            </w:tcBorders>
            <w:vAlign w:val="center"/>
          </w:tcPr>
          <w:p w14:paraId="4B303C28">
            <w:pPr>
              <w:pStyle w:val="4"/>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需求部门经办人：</w:t>
            </w:r>
          </w:p>
        </w:tc>
        <w:tc>
          <w:tcPr>
            <w:tcW w:w="3904" w:type="dxa"/>
            <w:tcBorders>
              <w:top w:val="single" w:color="auto" w:sz="4" w:space="0"/>
              <w:left w:val="nil"/>
              <w:bottom w:val="single" w:color="auto" w:sz="4" w:space="0"/>
              <w:right w:val="nil"/>
            </w:tcBorders>
            <w:vAlign w:val="center"/>
          </w:tcPr>
          <w:p w14:paraId="00E00002">
            <w:pPr>
              <w:pStyle w:val="4"/>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4"/>
                <w:szCs w:val="24"/>
                <w:lang w:val="en-US" w:eastAsia="zh-CN"/>
              </w:rPr>
            </w:pPr>
          </w:p>
        </w:tc>
      </w:tr>
      <w:tr w14:paraId="18F10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835" w:type="dxa"/>
            <w:tcBorders>
              <w:top w:val="nil"/>
              <w:left w:val="nil"/>
              <w:bottom w:val="nil"/>
              <w:right w:val="nil"/>
            </w:tcBorders>
            <w:vAlign w:val="center"/>
          </w:tcPr>
          <w:p w14:paraId="3AB72D73">
            <w:pPr>
              <w:pStyle w:val="4"/>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需求部门负责人：</w:t>
            </w:r>
          </w:p>
        </w:tc>
        <w:tc>
          <w:tcPr>
            <w:tcW w:w="3904" w:type="dxa"/>
            <w:tcBorders>
              <w:top w:val="single" w:color="auto" w:sz="4" w:space="0"/>
              <w:left w:val="nil"/>
              <w:bottom w:val="single" w:color="auto" w:sz="4" w:space="0"/>
              <w:right w:val="nil"/>
            </w:tcBorders>
            <w:vAlign w:val="center"/>
          </w:tcPr>
          <w:p w14:paraId="289B58C3">
            <w:pPr>
              <w:pStyle w:val="4"/>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4"/>
                <w:szCs w:val="24"/>
                <w:lang w:val="en-US" w:eastAsia="zh-CN"/>
              </w:rPr>
            </w:pPr>
          </w:p>
        </w:tc>
      </w:tr>
      <w:tr w14:paraId="554E99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835" w:type="dxa"/>
            <w:tcBorders>
              <w:top w:val="nil"/>
              <w:left w:val="nil"/>
              <w:bottom w:val="nil"/>
              <w:right w:val="nil"/>
            </w:tcBorders>
            <w:vAlign w:val="center"/>
          </w:tcPr>
          <w:p w14:paraId="52B23F0E">
            <w:pPr>
              <w:pStyle w:val="4"/>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需求部门分管领导：</w:t>
            </w:r>
          </w:p>
        </w:tc>
        <w:tc>
          <w:tcPr>
            <w:tcW w:w="3904" w:type="dxa"/>
            <w:tcBorders>
              <w:top w:val="single" w:color="auto" w:sz="4" w:space="0"/>
              <w:left w:val="nil"/>
              <w:bottom w:val="single" w:color="auto" w:sz="4" w:space="0"/>
              <w:right w:val="nil"/>
            </w:tcBorders>
            <w:vAlign w:val="center"/>
          </w:tcPr>
          <w:p w14:paraId="4C259FAD">
            <w:pPr>
              <w:pStyle w:val="4"/>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4"/>
                <w:szCs w:val="24"/>
                <w:lang w:val="en-US" w:eastAsia="zh-CN"/>
              </w:rPr>
            </w:pPr>
          </w:p>
        </w:tc>
      </w:tr>
      <w:tr w14:paraId="4CBBB6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835" w:type="dxa"/>
            <w:tcBorders>
              <w:top w:val="nil"/>
              <w:left w:val="nil"/>
              <w:bottom w:val="nil"/>
              <w:right w:val="nil"/>
            </w:tcBorders>
            <w:vAlign w:val="center"/>
          </w:tcPr>
          <w:p w14:paraId="44005362">
            <w:pPr>
              <w:pStyle w:val="4"/>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项目主体负责人：</w:t>
            </w:r>
          </w:p>
          <w:p w14:paraId="4390D51E">
            <w:pPr>
              <w:pStyle w:val="4"/>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（第一部分）</w:t>
            </w:r>
          </w:p>
        </w:tc>
        <w:tc>
          <w:tcPr>
            <w:tcW w:w="3904" w:type="dxa"/>
            <w:tcBorders>
              <w:top w:val="single" w:color="auto" w:sz="4" w:space="0"/>
              <w:left w:val="nil"/>
              <w:bottom w:val="single" w:color="auto" w:sz="4" w:space="0"/>
              <w:right w:val="nil"/>
            </w:tcBorders>
            <w:vAlign w:val="center"/>
          </w:tcPr>
          <w:p w14:paraId="013027A5">
            <w:pPr>
              <w:pStyle w:val="4"/>
              <w:keepNext w:val="0"/>
              <w:keepLines w:val="0"/>
              <w:suppressLineNumbers w:val="0"/>
              <w:spacing w:before="0" w:beforeAutospacing="0" w:after="0" w:afterAutospacing="0"/>
              <w:ind w:left="0" w:right="0"/>
              <w:jc w:val="center"/>
              <w:rPr>
                <w:rFonts w:hint="default" w:ascii="仿宋_GB2312" w:hAnsi="仿宋_GB2312" w:eastAsia="仿宋_GB2312" w:cs="仿宋_GB2312"/>
                <w:color w:val="auto"/>
                <w:sz w:val="24"/>
                <w:szCs w:val="24"/>
                <w:lang w:val="en-US" w:eastAsia="zh-CN"/>
              </w:rPr>
            </w:pPr>
          </w:p>
        </w:tc>
      </w:tr>
      <w:tr w14:paraId="19441B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835" w:type="dxa"/>
            <w:tcBorders>
              <w:top w:val="nil"/>
              <w:left w:val="nil"/>
              <w:bottom w:val="nil"/>
              <w:right w:val="nil"/>
            </w:tcBorders>
            <w:vAlign w:val="center"/>
          </w:tcPr>
          <w:p w14:paraId="670CAA1A">
            <w:pPr>
              <w:pStyle w:val="4"/>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项目主体负责人：</w:t>
            </w:r>
          </w:p>
          <w:p w14:paraId="45F2544E">
            <w:pPr>
              <w:pStyle w:val="4"/>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（第二部分）</w:t>
            </w:r>
          </w:p>
        </w:tc>
        <w:tc>
          <w:tcPr>
            <w:tcW w:w="3904" w:type="dxa"/>
            <w:tcBorders>
              <w:top w:val="single" w:color="auto" w:sz="4" w:space="0"/>
              <w:left w:val="nil"/>
              <w:bottom w:val="single" w:color="auto" w:sz="4" w:space="0"/>
              <w:right w:val="nil"/>
            </w:tcBorders>
            <w:vAlign w:val="center"/>
          </w:tcPr>
          <w:p w14:paraId="493E56CA">
            <w:pPr>
              <w:pStyle w:val="4"/>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4"/>
                <w:szCs w:val="24"/>
                <w:lang w:val="en-US" w:eastAsia="zh-CN"/>
              </w:rPr>
            </w:pPr>
          </w:p>
        </w:tc>
      </w:tr>
      <w:tr w14:paraId="553D87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835" w:type="dxa"/>
            <w:tcBorders>
              <w:top w:val="nil"/>
              <w:left w:val="nil"/>
              <w:bottom w:val="nil"/>
              <w:right w:val="nil"/>
            </w:tcBorders>
            <w:vAlign w:val="center"/>
          </w:tcPr>
          <w:p w14:paraId="681A38FA">
            <w:pPr>
              <w:pStyle w:val="4"/>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项目主体负责人：</w:t>
            </w:r>
          </w:p>
          <w:p w14:paraId="4643040E">
            <w:pPr>
              <w:pStyle w:val="4"/>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（第三部分）</w:t>
            </w:r>
          </w:p>
        </w:tc>
        <w:tc>
          <w:tcPr>
            <w:tcW w:w="3904" w:type="dxa"/>
            <w:tcBorders>
              <w:top w:val="single" w:color="auto" w:sz="4" w:space="0"/>
              <w:left w:val="nil"/>
              <w:bottom w:val="single" w:color="auto" w:sz="4" w:space="0"/>
              <w:right w:val="nil"/>
            </w:tcBorders>
            <w:vAlign w:val="center"/>
          </w:tcPr>
          <w:p w14:paraId="75B40E34">
            <w:pPr>
              <w:pStyle w:val="4"/>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4"/>
                <w:szCs w:val="24"/>
                <w:lang w:val="en-US" w:eastAsia="zh-CN"/>
              </w:rPr>
            </w:pPr>
          </w:p>
        </w:tc>
      </w:tr>
    </w:tbl>
    <w:p w14:paraId="49565147">
      <w:pPr>
        <w:jc w:val="center"/>
        <w:rPr>
          <w:rFonts w:ascii="方正小标宋简体" w:eastAsia="方正小标宋简体"/>
          <w:color w:val="auto"/>
          <w:sz w:val="52"/>
          <w:szCs w:val="52"/>
        </w:rPr>
      </w:pPr>
      <w:r>
        <w:rPr>
          <w:rFonts w:hint="eastAsia" w:ascii="方正小标宋简体" w:eastAsia="方正小标宋简体"/>
          <w:color w:val="auto"/>
          <w:sz w:val="52"/>
          <w:szCs w:val="52"/>
        </w:rPr>
        <w:t>环境监测采购需求书</w:t>
      </w:r>
    </w:p>
    <w:p w14:paraId="6E106294">
      <w:pPr>
        <w:pStyle w:val="4"/>
        <w:rPr>
          <w:color w:val="auto"/>
          <w:sz w:val="20"/>
          <w:szCs w:val="21"/>
        </w:rPr>
        <w:sectPr>
          <w:pgSz w:w="11906" w:h="16838"/>
          <w:pgMar w:top="1440" w:right="1800" w:bottom="1440" w:left="1800" w:header="851" w:footer="992" w:gutter="0"/>
          <w:cols w:space="425" w:num="1"/>
          <w:docGrid w:type="lines" w:linePitch="312" w:charSpace="0"/>
        </w:sectPr>
      </w:pPr>
    </w:p>
    <w:p w14:paraId="73E6AEF6">
      <w:pPr>
        <w:spacing w:line="400" w:lineRule="exact"/>
        <w:jc w:val="left"/>
        <w:rPr>
          <w:rFonts w:ascii="方正小标宋简体" w:eastAsia="方正小标宋简体"/>
          <w:color w:val="auto"/>
          <w:sz w:val="32"/>
          <w:szCs w:val="32"/>
        </w:rPr>
      </w:pPr>
      <w:r>
        <w:rPr>
          <w:rFonts w:hint="eastAsia" w:ascii="方正小标宋简体" w:eastAsia="方正小标宋简体"/>
          <w:color w:val="auto"/>
          <w:sz w:val="32"/>
          <w:szCs w:val="32"/>
        </w:rPr>
        <w:t>第一部分：</w:t>
      </w:r>
    </w:p>
    <w:p w14:paraId="78A00E12">
      <w:pPr>
        <w:spacing w:line="400" w:lineRule="exact"/>
        <w:ind w:firstLine="640" w:firstLineChars="200"/>
        <w:jc w:val="center"/>
        <w:rPr>
          <w:rFonts w:ascii="方正小标宋简体" w:eastAsia="方正小标宋简体"/>
          <w:color w:val="auto"/>
          <w:sz w:val="32"/>
          <w:szCs w:val="32"/>
        </w:rPr>
      </w:pPr>
      <w:r>
        <w:rPr>
          <w:rFonts w:hint="eastAsia" w:ascii="方正小标宋简体" w:eastAsia="方正小标宋简体"/>
          <w:color w:val="auto"/>
          <w:sz w:val="32"/>
          <w:szCs w:val="32"/>
        </w:rPr>
        <w:t>广东省东实环境股份有限公司餐厨项目</w:t>
      </w:r>
    </w:p>
    <w:p w14:paraId="4A393F53">
      <w:pPr>
        <w:spacing w:line="400" w:lineRule="exact"/>
        <w:ind w:firstLine="640" w:firstLineChars="200"/>
        <w:jc w:val="center"/>
        <w:rPr>
          <w:rFonts w:ascii="方正小标宋简体" w:eastAsia="方正小标宋简体"/>
          <w:color w:val="auto"/>
          <w:sz w:val="32"/>
          <w:szCs w:val="32"/>
        </w:rPr>
      </w:pPr>
      <w:r>
        <w:rPr>
          <w:rFonts w:hint="eastAsia" w:ascii="方正小标宋简体" w:eastAsia="方正小标宋简体"/>
          <w:color w:val="auto"/>
          <w:sz w:val="32"/>
          <w:szCs w:val="32"/>
        </w:rPr>
        <w:t>环境监测技术需求书</w:t>
      </w:r>
    </w:p>
    <w:p w14:paraId="297B6D58">
      <w:pPr>
        <w:spacing w:line="400" w:lineRule="exact"/>
        <w:rPr>
          <w:rFonts w:hint="eastAsia" w:ascii="仿宋_GB2312" w:hAnsi="宋体" w:eastAsia="仿宋_GB2312"/>
          <w:b/>
          <w:bCs/>
          <w:color w:val="auto"/>
          <w:sz w:val="24"/>
          <w:szCs w:val="24"/>
        </w:rPr>
      </w:pPr>
      <w:r>
        <w:rPr>
          <w:rFonts w:hint="eastAsia" w:ascii="仿宋_GB2312" w:hAnsi="宋体" w:eastAsia="仿宋_GB2312"/>
          <w:b/>
          <w:bCs/>
          <w:color w:val="auto"/>
          <w:sz w:val="24"/>
          <w:szCs w:val="24"/>
        </w:rPr>
        <w:t>一、项目概况</w:t>
      </w:r>
    </w:p>
    <w:p w14:paraId="043DB647">
      <w:pPr>
        <w:spacing w:line="400" w:lineRule="exact"/>
        <w:ind w:firstLine="480" w:firstLineChars="200"/>
        <w:rPr>
          <w:rFonts w:hint="eastAsia" w:ascii="仿宋_GB2312" w:hAnsi="宋体" w:eastAsia="仿宋_GB2312" w:cs="Times New Roman"/>
          <w:color w:val="auto"/>
          <w:sz w:val="24"/>
          <w:szCs w:val="24"/>
        </w:rPr>
      </w:pPr>
      <w:r>
        <w:rPr>
          <w:rFonts w:hint="eastAsia" w:ascii="仿宋_GB2312" w:hAnsi="宋体" w:eastAsia="仿宋_GB2312" w:cs="Times New Roman"/>
          <w:color w:val="auto"/>
          <w:sz w:val="24"/>
          <w:szCs w:val="24"/>
        </w:rPr>
        <w:t>广东东实环境股份有限公司运营项目麻涌垃圾处理厂三期是东莞市作为国家第四批餐厨垃圾资源化利用和无害化处理试点城市的首个项目，规划收运处理餐厨垃圾300吨/天和地沟油10吨/天。面向全市提供餐厨垃圾收运工作，将餐厨垃圾通过厌氧发酵技术产生沼气，经提纯后变成天然气；对餐厨垃圾中的含水油脂和回收的地沟油进行提纯，得到工业油脂。项目约可产生天然气1.8万m</w:t>
      </w:r>
      <w:r>
        <w:rPr>
          <w:rFonts w:ascii="Calibri" w:hAnsi="Calibri" w:eastAsia="仿宋_GB2312" w:cs="Calibri"/>
          <w:color w:val="auto"/>
          <w:sz w:val="24"/>
          <w:szCs w:val="24"/>
        </w:rPr>
        <w:t>³</w:t>
      </w:r>
      <w:r>
        <w:rPr>
          <w:rFonts w:hint="eastAsia" w:ascii="仿宋_GB2312" w:hAnsi="宋体" w:eastAsia="仿宋_GB2312" w:cs="Times New Roman"/>
          <w:color w:val="auto"/>
          <w:sz w:val="24"/>
          <w:szCs w:val="24"/>
        </w:rPr>
        <w:t>/d和工业级混合油6t/d。</w:t>
      </w:r>
    </w:p>
    <w:p w14:paraId="0259A0D3">
      <w:pPr>
        <w:spacing w:line="400" w:lineRule="exact"/>
        <w:rPr>
          <w:rFonts w:hint="eastAsia" w:ascii="仿宋_GB2312" w:hAnsi="宋体" w:eastAsia="仿宋_GB2312"/>
          <w:b/>
          <w:bCs/>
          <w:color w:val="auto"/>
          <w:sz w:val="24"/>
          <w:szCs w:val="24"/>
        </w:rPr>
      </w:pPr>
      <w:r>
        <w:rPr>
          <w:rFonts w:hint="eastAsia" w:ascii="仿宋_GB2312" w:hAnsi="宋体" w:eastAsia="仿宋_GB2312"/>
          <w:b/>
          <w:bCs/>
          <w:color w:val="auto"/>
          <w:sz w:val="24"/>
          <w:szCs w:val="24"/>
        </w:rPr>
        <w:t>二、服务清单</w:t>
      </w:r>
    </w:p>
    <w:p w14:paraId="6F2F6E21">
      <w:pPr>
        <w:spacing w:line="400" w:lineRule="exact"/>
        <w:rPr>
          <w:rFonts w:hint="eastAsia" w:ascii="仿宋_GB2312" w:hAnsi="宋体" w:eastAsia="仿宋_GB2312"/>
          <w:b/>
          <w:bCs/>
          <w:color w:val="auto"/>
          <w:sz w:val="24"/>
          <w:szCs w:val="24"/>
        </w:rPr>
      </w:pPr>
      <w:r>
        <w:rPr>
          <w:rFonts w:hint="eastAsia" w:ascii="仿宋_GB2312" w:hAnsi="宋体" w:eastAsia="仿宋_GB2312"/>
          <w:b/>
          <w:bCs/>
          <w:color w:val="auto"/>
          <w:sz w:val="24"/>
          <w:szCs w:val="24"/>
        </w:rPr>
        <w:t>（一）服务期限</w:t>
      </w:r>
    </w:p>
    <w:p w14:paraId="0E9616CD">
      <w:pPr>
        <w:pStyle w:val="4"/>
        <w:snapToGrid w:val="0"/>
        <w:spacing w:after="0"/>
        <w:ind w:firstLine="480" w:firstLineChars="200"/>
        <w:rPr>
          <w:rFonts w:hint="eastAsia" w:ascii="仿宋_GB2312" w:hAnsi="仿宋_GB2312" w:eastAsia="仿宋_GB2312" w:cs="仿宋_GB2312"/>
          <w:color w:val="auto"/>
          <w:sz w:val="24"/>
          <w:szCs w:val="24"/>
        </w:rPr>
      </w:pPr>
      <w:r>
        <w:rPr>
          <w:rFonts w:hint="eastAsia" w:ascii="仿宋_GB2312" w:hAnsi="宋体" w:eastAsia="仿宋_GB2312" w:cs="Times New Roman"/>
          <w:color w:val="auto"/>
          <w:sz w:val="24"/>
          <w:szCs w:val="24"/>
        </w:rPr>
        <w:t>广东东实环境股份有限公司</w:t>
      </w:r>
      <w:r>
        <w:rPr>
          <w:rFonts w:hint="eastAsia" w:ascii="仿宋_GB2312" w:hAnsi="仿宋_GB2312" w:eastAsia="仿宋_GB2312" w:cs="仿宋_GB2312"/>
          <w:color w:val="auto"/>
          <w:sz w:val="24"/>
          <w:szCs w:val="24"/>
        </w:rPr>
        <w:t>监测</w:t>
      </w:r>
      <w:r>
        <w:rPr>
          <w:rFonts w:hint="eastAsia" w:ascii="仿宋_GB2312" w:hAnsi="宋体" w:eastAsia="仿宋_GB2312"/>
          <w:color w:val="auto"/>
          <w:sz w:val="24"/>
          <w:szCs w:val="24"/>
        </w:rPr>
        <w:t>服务时间为自中标人实际进场开始检测之日起</w:t>
      </w:r>
      <w:r>
        <w:rPr>
          <w:rFonts w:hint="eastAsia" w:ascii="仿宋_GB2312" w:hAnsi="宋体" w:eastAsia="仿宋_GB2312"/>
          <w:color w:val="auto"/>
          <w:sz w:val="24"/>
          <w:szCs w:val="24"/>
          <w:lang w:val="en-US" w:eastAsia="zh-CN"/>
        </w:rPr>
        <w:t>两</w:t>
      </w:r>
      <w:r>
        <w:rPr>
          <w:rFonts w:hint="eastAsia" w:ascii="仿宋_GB2312" w:hAnsi="宋体" w:eastAsia="仿宋_GB2312"/>
          <w:color w:val="auto"/>
          <w:sz w:val="24"/>
          <w:szCs w:val="24"/>
        </w:rPr>
        <w:t>年。</w:t>
      </w:r>
    </w:p>
    <w:p w14:paraId="3354FC90">
      <w:pPr>
        <w:spacing w:line="400" w:lineRule="exact"/>
        <w:rPr>
          <w:rFonts w:hint="eastAsia" w:ascii="仿宋_GB2312" w:hAnsi="宋体" w:eastAsia="仿宋_GB2312"/>
          <w:b/>
          <w:bCs/>
          <w:color w:val="auto"/>
          <w:sz w:val="24"/>
          <w:szCs w:val="24"/>
        </w:rPr>
      </w:pPr>
      <w:r>
        <w:rPr>
          <w:rFonts w:hint="eastAsia" w:ascii="仿宋_GB2312" w:hAnsi="宋体" w:eastAsia="仿宋_GB2312"/>
          <w:b/>
          <w:bCs/>
          <w:color w:val="auto"/>
          <w:sz w:val="24"/>
          <w:szCs w:val="24"/>
        </w:rPr>
        <w:t>（二）服务内容</w:t>
      </w:r>
    </w:p>
    <w:p w14:paraId="017DBA5E">
      <w:pPr>
        <w:spacing w:line="400" w:lineRule="exact"/>
        <w:ind w:firstLine="480" w:firstLineChars="200"/>
        <w:rPr>
          <w:rFonts w:hint="eastAsia" w:ascii="仿宋_GB2312" w:hAnsi="宋体" w:eastAsia="仿宋_GB2312"/>
          <w:color w:val="auto"/>
          <w:sz w:val="24"/>
          <w:szCs w:val="24"/>
        </w:rPr>
      </w:pPr>
      <w:r>
        <w:rPr>
          <w:rFonts w:ascii="仿宋_GB2312" w:hAnsi="宋体" w:eastAsia="仿宋_GB2312"/>
          <w:color w:val="auto"/>
          <w:sz w:val="24"/>
          <w:szCs w:val="24"/>
        </w:rPr>
        <w:t>2021</w:t>
      </w:r>
      <w:r>
        <w:rPr>
          <w:rFonts w:hint="eastAsia" w:ascii="仿宋_GB2312" w:hAnsi="宋体" w:eastAsia="仿宋_GB2312"/>
          <w:color w:val="auto"/>
          <w:sz w:val="24"/>
          <w:szCs w:val="24"/>
        </w:rPr>
        <w:t>年3月1日生态环境部施行的《排污许可管理条例》、《排污许可证申请与核发技术规范 环境卫生管理业》（HJ 1106-2020）、《排污单位自行监测技术指南 总则》（HJ 819-2017 ）及项目环评确定</w:t>
      </w:r>
      <w:r>
        <w:rPr>
          <w:rFonts w:hint="eastAsia" w:ascii="仿宋_GB2312" w:hAnsi="宋体" w:eastAsia="仿宋_GB2312" w:cs="Times New Roman"/>
          <w:color w:val="auto"/>
          <w:sz w:val="24"/>
          <w:szCs w:val="24"/>
        </w:rPr>
        <w:t>委外环境监测</w:t>
      </w:r>
      <w:r>
        <w:rPr>
          <w:rFonts w:hint="eastAsia" w:ascii="仿宋_GB2312" w:hAnsi="宋体" w:eastAsia="仿宋_GB2312"/>
          <w:color w:val="auto"/>
          <w:sz w:val="24"/>
          <w:szCs w:val="24"/>
        </w:rPr>
        <w:t>方案如表1，服务单位须根据约定时间完成采样、监测并出具监测报告。</w:t>
      </w:r>
    </w:p>
    <w:p w14:paraId="394FC6C6">
      <w:pPr>
        <w:spacing w:line="400" w:lineRule="exact"/>
        <w:ind w:firstLine="480" w:firstLineChars="200"/>
        <w:jc w:val="center"/>
        <w:rPr>
          <w:rFonts w:hint="eastAsia" w:ascii="仿宋_GB2312" w:hAnsi="宋体" w:eastAsia="仿宋_GB2312"/>
          <w:color w:val="auto"/>
          <w:sz w:val="24"/>
          <w:szCs w:val="24"/>
        </w:rPr>
      </w:pPr>
      <w:r>
        <w:rPr>
          <w:rFonts w:hint="eastAsia" w:ascii="仿宋_GB2312" w:hAnsi="宋体" w:eastAsia="仿宋_GB2312"/>
          <w:color w:val="auto"/>
          <w:sz w:val="24"/>
          <w:szCs w:val="24"/>
        </w:rPr>
        <w:t>表1：餐厨项目监测方案</w:t>
      </w:r>
    </w:p>
    <w:tbl>
      <w:tblPr>
        <w:tblStyle w:val="13"/>
        <w:tblW w:w="5000" w:type="pct"/>
        <w:tblInd w:w="0" w:type="dxa"/>
        <w:tblLayout w:type="autofit"/>
        <w:tblCellMar>
          <w:top w:w="0" w:type="dxa"/>
          <w:left w:w="108" w:type="dxa"/>
          <w:bottom w:w="0" w:type="dxa"/>
          <w:right w:w="108" w:type="dxa"/>
        </w:tblCellMar>
      </w:tblPr>
      <w:tblGrid>
        <w:gridCol w:w="557"/>
        <w:gridCol w:w="653"/>
        <w:gridCol w:w="1447"/>
        <w:gridCol w:w="2013"/>
        <w:gridCol w:w="1188"/>
        <w:gridCol w:w="1732"/>
        <w:gridCol w:w="932"/>
      </w:tblGrid>
      <w:tr w14:paraId="144DBC75">
        <w:tblPrEx>
          <w:tblCellMar>
            <w:top w:w="0" w:type="dxa"/>
            <w:left w:w="108" w:type="dxa"/>
            <w:bottom w:w="0" w:type="dxa"/>
            <w:right w:w="108" w:type="dxa"/>
          </w:tblCellMar>
        </w:tblPrEx>
        <w:trPr>
          <w:trHeight w:val="780" w:hRule="atLeast"/>
          <w:tblHeader/>
        </w:trPr>
        <w:tc>
          <w:tcPr>
            <w:tcW w:w="327" w:type="pct"/>
            <w:tcBorders>
              <w:top w:val="single" w:color="auto" w:sz="4" w:space="0"/>
              <w:left w:val="single" w:color="auto" w:sz="4" w:space="0"/>
              <w:bottom w:val="single" w:color="auto" w:sz="4" w:space="0"/>
              <w:right w:val="single" w:color="auto" w:sz="4" w:space="0"/>
            </w:tcBorders>
            <w:shd w:val="clear" w:color="auto" w:fill="auto"/>
            <w:vAlign w:val="center"/>
          </w:tcPr>
          <w:p w14:paraId="3DDD2E13">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b/>
                <w:bCs/>
                <w:color w:val="auto"/>
                <w:kern w:val="0"/>
                <w:sz w:val="20"/>
                <w:szCs w:val="20"/>
              </w:rPr>
            </w:pPr>
            <w:r>
              <w:rPr>
                <w:rFonts w:hint="eastAsia" w:ascii="仿宋_GB2312" w:hAnsi="仿宋_GB2312" w:eastAsia="仿宋_GB2312" w:cs="仿宋_GB2312"/>
                <w:b/>
                <w:bCs/>
                <w:color w:val="auto"/>
                <w:kern w:val="0"/>
                <w:sz w:val="20"/>
                <w:szCs w:val="20"/>
              </w:rPr>
              <w:t>序号</w:t>
            </w:r>
          </w:p>
        </w:tc>
        <w:tc>
          <w:tcPr>
            <w:tcW w:w="383" w:type="pct"/>
            <w:tcBorders>
              <w:top w:val="single" w:color="auto" w:sz="4" w:space="0"/>
              <w:left w:val="nil"/>
              <w:bottom w:val="single" w:color="auto" w:sz="4" w:space="0"/>
              <w:right w:val="single" w:color="auto" w:sz="4" w:space="0"/>
            </w:tcBorders>
            <w:shd w:val="clear" w:color="auto" w:fill="auto"/>
            <w:vAlign w:val="center"/>
          </w:tcPr>
          <w:p w14:paraId="0B992936">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b/>
                <w:bCs/>
                <w:color w:val="auto"/>
                <w:kern w:val="0"/>
                <w:sz w:val="20"/>
                <w:szCs w:val="20"/>
              </w:rPr>
            </w:pPr>
            <w:r>
              <w:rPr>
                <w:rFonts w:hint="eastAsia" w:ascii="仿宋_GB2312" w:hAnsi="仿宋_GB2312" w:eastAsia="仿宋_GB2312" w:cs="仿宋_GB2312"/>
                <w:b/>
                <w:bCs/>
                <w:color w:val="auto"/>
                <w:kern w:val="0"/>
                <w:sz w:val="20"/>
                <w:szCs w:val="20"/>
              </w:rPr>
              <w:t>项目</w:t>
            </w:r>
          </w:p>
        </w:tc>
        <w:tc>
          <w:tcPr>
            <w:tcW w:w="849" w:type="pct"/>
            <w:tcBorders>
              <w:top w:val="single" w:color="auto" w:sz="4" w:space="0"/>
              <w:left w:val="nil"/>
              <w:bottom w:val="single" w:color="auto" w:sz="4" w:space="0"/>
              <w:right w:val="single" w:color="auto" w:sz="4" w:space="0"/>
            </w:tcBorders>
            <w:shd w:val="clear" w:color="auto" w:fill="auto"/>
            <w:vAlign w:val="center"/>
          </w:tcPr>
          <w:p w14:paraId="58D19794">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b/>
                <w:bCs/>
                <w:color w:val="auto"/>
                <w:kern w:val="0"/>
                <w:sz w:val="20"/>
                <w:szCs w:val="20"/>
              </w:rPr>
            </w:pPr>
            <w:r>
              <w:rPr>
                <w:rFonts w:hint="eastAsia" w:ascii="仿宋_GB2312" w:hAnsi="仿宋_GB2312" w:eastAsia="仿宋_GB2312" w:cs="仿宋_GB2312"/>
                <w:b/>
                <w:bCs/>
                <w:color w:val="auto"/>
                <w:kern w:val="0"/>
                <w:sz w:val="20"/>
                <w:szCs w:val="20"/>
              </w:rPr>
              <w:t>监测点位</w:t>
            </w:r>
          </w:p>
        </w:tc>
        <w:tc>
          <w:tcPr>
            <w:tcW w:w="1181" w:type="pct"/>
            <w:tcBorders>
              <w:top w:val="single" w:color="auto" w:sz="4" w:space="0"/>
              <w:left w:val="nil"/>
              <w:bottom w:val="single" w:color="auto" w:sz="4" w:space="0"/>
              <w:right w:val="single" w:color="auto" w:sz="4" w:space="0"/>
            </w:tcBorders>
            <w:shd w:val="clear" w:color="auto" w:fill="auto"/>
            <w:vAlign w:val="center"/>
          </w:tcPr>
          <w:p w14:paraId="0E97B5C5">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b/>
                <w:bCs/>
                <w:color w:val="auto"/>
                <w:kern w:val="0"/>
                <w:sz w:val="20"/>
                <w:szCs w:val="20"/>
              </w:rPr>
            </w:pPr>
            <w:r>
              <w:rPr>
                <w:rFonts w:hint="eastAsia" w:ascii="仿宋_GB2312" w:hAnsi="仿宋_GB2312" w:eastAsia="仿宋_GB2312" w:cs="仿宋_GB2312"/>
                <w:b/>
                <w:bCs/>
                <w:color w:val="auto"/>
                <w:kern w:val="0"/>
                <w:sz w:val="20"/>
                <w:szCs w:val="20"/>
              </w:rPr>
              <w:t>监测因子</w:t>
            </w:r>
          </w:p>
        </w:tc>
        <w:tc>
          <w:tcPr>
            <w:tcW w:w="697" w:type="pct"/>
            <w:tcBorders>
              <w:top w:val="single" w:color="auto" w:sz="4" w:space="0"/>
              <w:left w:val="nil"/>
              <w:bottom w:val="single" w:color="auto" w:sz="4" w:space="0"/>
              <w:right w:val="single" w:color="auto" w:sz="4" w:space="0"/>
            </w:tcBorders>
            <w:shd w:val="clear" w:color="auto" w:fill="auto"/>
            <w:vAlign w:val="center"/>
          </w:tcPr>
          <w:p w14:paraId="2039E34D">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b/>
                <w:bCs/>
                <w:color w:val="auto"/>
                <w:kern w:val="0"/>
                <w:sz w:val="20"/>
                <w:szCs w:val="20"/>
              </w:rPr>
            </w:pPr>
            <w:r>
              <w:rPr>
                <w:rFonts w:hint="eastAsia" w:ascii="仿宋_GB2312" w:hAnsi="仿宋_GB2312" w:eastAsia="仿宋_GB2312" w:cs="仿宋_GB2312"/>
                <w:b/>
                <w:bCs/>
                <w:color w:val="auto"/>
                <w:kern w:val="0"/>
                <w:sz w:val="20"/>
                <w:szCs w:val="20"/>
              </w:rPr>
              <w:t>监测频次</w:t>
            </w:r>
          </w:p>
        </w:tc>
        <w:tc>
          <w:tcPr>
            <w:tcW w:w="1016" w:type="pct"/>
            <w:tcBorders>
              <w:top w:val="single" w:color="auto" w:sz="4" w:space="0"/>
              <w:left w:val="nil"/>
              <w:bottom w:val="single" w:color="auto" w:sz="4" w:space="0"/>
              <w:right w:val="single" w:color="auto" w:sz="4" w:space="0"/>
            </w:tcBorders>
            <w:shd w:val="clear" w:color="auto" w:fill="auto"/>
            <w:vAlign w:val="center"/>
          </w:tcPr>
          <w:p w14:paraId="79D5F52A">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b/>
                <w:bCs/>
                <w:color w:val="auto"/>
                <w:kern w:val="0"/>
                <w:sz w:val="20"/>
                <w:szCs w:val="20"/>
              </w:rPr>
            </w:pPr>
            <w:r>
              <w:rPr>
                <w:rFonts w:hint="eastAsia" w:ascii="仿宋_GB2312" w:hAnsi="仿宋_GB2312" w:eastAsia="仿宋_GB2312" w:cs="仿宋_GB2312"/>
                <w:b/>
                <w:bCs/>
                <w:color w:val="auto"/>
                <w:kern w:val="0"/>
                <w:sz w:val="20"/>
                <w:szCs w:val="20"/>
              </w:rPr>
              <w:t>备注</w:t>
            </w:r>
          </w:p>
        </w:tc>
        <w:tc>
          <w:tcPr>
            <w:tcW w:w="547" w:type="pct"/>
            <w:tcBorders>
              <w:top w:val="single" w:color="auto" w:sz="4" w:space="0"/>
              <w:left w:val="nil"/>
              <w:bottom w:val="single" w:color="auto" w:sz="4" w:space="0"/>
              <w:right w:val="single" w:color="auto" w:sz="4" w:space="0"/>
            </w:tcBorders>
            <w:shd w:val="clear" w:color="000000" w:fill="BEBEBE"/>
            <w:vAlign w:val="center"/>
          </w:tcPr>
          <w:p w14:paraId="5787FDE8">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b/>
                <w:bCs/>
                <w:color w:val="auto"/>
                <w:kern w:val="0"/>
                <w:sz w:val="20"/>
                <w:szCs w:val="20"/>
              </w:rPr>
            </w:pPr>
            <w:r>
              <w:rPr>
                <w:rFonts w:hint="eastAsia" w:ascii="仿宋_GB2312" w:hAnsi="仿宋_GB2312" w:eastAsia="仿宋_GB2312" w:cs="仿宋_GB2312"/>
                <w:b/>
                <w:bCs/>
                <w:color w:val="auto"/>
                <w:kern w:val="0"/>
                <w:sz w:val="20"/>
                <w:szCs w:val="20"/>
              </w:rPr>
              <w:t>年样品数量</w:t>
            </w:r>
          </w:p>
        </w:tc>
      </w:tr>
      <w:tr w14:paraId="5DB37E87">
        <w:tblPrEx>
          <w:tblCellMar>
            <w:top w:w="0" w:type="dxa"/>
            <w:left w:w="108" w:type="dxa"/>
            <w:bottom w:w="0" w:type="dxa"/>
            <w:right w:w="108" w:type="dxa"/>
          </w:tblCellMar>
        </w:tblPrEx>
        <w:trPr>
          <w:trHeight w:val="2040" w:hRule="atLeast"/>
        </w:trPr>
        <w:tc>
          <w:tcPr>
            <w:tcW w:w="327" w:type="pct"/>
            <w:tcBorders>
              <w:top w:val="nil"/>
              <w:left w:val="single" w:color="auto" w:sz="4" w:space="0"/>
              <w:bottom w:val="single" w:color="auto" w:sz="4" w:space="0"/>
              <w:right w:val="single" w:color="auto" w:sz="4" w:space="0"/>
            </w:tcBorders>
            <w:shd w:val="clear" w:color="auto" w:fill="auto"/>
            <w:vAlign w:val="center"/>
          </w:tcPr>
          <w:p w14:paraId="7BEDF2C7">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w:t>
            </w:r>
          </w:p>
        </w:tc>
        <w:tc>
          <w:tcPr>
            <w:tcW w:w="383" w:type="pct"/>
            <w:tcBorders>
              <w:top w:val="nil"/>
              <w:left w:val="nil"/>
              <w:bottom w:val="single" w:color="auto" w:sz="4" w:space="0"/>
              <w:right w:val="single" w:color="auto" w:sz="4" w:space="0"/>
            </w:tcBorders>
            <w:shd w:val="clear" w:color="auto" w:fill="auto"/>
            <w:vAlign w:val="center"/>
          </w:tcPr>
          <w:p w14:paraId="5E1F6E25">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废水</w:t>
            </w:r>
          </w:p>
        </w:tc>
        <w:tc>
          <w:tcPr>
            <w:tcW w:w="849" w:type="pct"/>
            <w:tcBorders>
              <w:top w:val="nil"/>
              <w:left w:val="nil"/>
              <w:bottom w:val="single" w:color="auto" w:sz="4" w:space="0"/>
              <w:right w:val="single" w:color="auto" w:sz="4" w:space="0"/>
            </w:tcBorders>
            <w:shd w:val="clear" w:color="auto" w:fill="auto"/>
            <w:vAlign w:val="center"/>
          </w:tcPr>
          <w:p w14:paraId="74104148">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污水排放口（尾水箱）</w:t>
            </w:r>
          </w:p>
        </w:tc>
        <w:tc>
          <w:tcPr>
            <w:tcW w:w="1181" w:type="pct"/>
            <w:tcBorders>
              <w:top w:val="nil"/>
              <w:left w:val="nil"/>
              <w:bottom w:val="single" w:color="auto" w:sz="4" w:space="0"/>
              <w:right w:val="single" w:color="auto" w:sz="4" w:space="0"/>
            </w:tcBorders>
            <w:shd w:val="clear" w:color="auto" w:fill="auto"/>
            <w:vAlign w:val="center"/>
          </w:tcPr>
          <w:p w14:paraId="1547F81D">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pH值、悬浮物、五日生化需氧量、化学需氧量、氨氮、总磷、动植物油、总氮、溶解性总固体、氯化物、硫酸盐、石油类、粪大肠菌群、阴离子表面活性剂</w:t>
            </w:r>
          </w:p>
        </w:tc>
        <w:tc>
          <w:tcPr>
            <w:tcW w:w="1188" w:type="dxa"/>
            <w:tcBorders>
              <w:top w:val="nil"/>
              <w:left w:val="nil"/>
              <w:bottom w:val="single" w:color="auto" w:sz="4" w:space="0"/>
              <w:right w:val="single" w:color="auto" w:sz="4" w:space="0"/>
            </w:tcBorders>
            <w:shd w:val="clear" w:color="auto" w:fill="auto"/>
            <w:vAlign w:val="center"/>
          </w:tcPr>
          <w:p w14:paraId="36A70FDE">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i w:val="0"/>
                <w:iCs w:val="0"/>
                <w:color w:val="auto"/>
                <w:kern w:val="0"/>
                <w:sz w:val="20"/>
                <w:szCs w:val="20"/>
                <w:u w:val="none"/>
                <w:lang w:val="en-US" w:eastAsia="zh-CN" w:bidi="ar"/>
              </w:rPr>
              <w:t>1次/季度</w:t>
            </w:r>
          </w:p>
        </w:tc>
        <w:tc>
          <w:tcPr>
            <w:tcW w:w="1732" w:type="dxa"/>
            <w:tcBorders>
              <w:top w:val="nil"/>
              <w:left w:val="nil"/>
              <w:bottom w:val="single" w:color="auto" w:sz="4" w:space="0"/>
              <w:right w:val="single" w:color="auto" w:sz="4" w:space="0"/>
            </w:tcBorders>
            <w:shd w:val="clear" w:color="auto" w:fill="auto"/>
            <w:vAlign w:val="center"/>
          </w:tcPr>
          <w:p w14:paraId="14129418">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i w:val="0"/>
                <w:iCs w:val="0"/>
                <w:color w:val="auto"/>
                <w:kern w:val="0"/>
                <w:sz w:val="20"/>
                <w:szCs w:val="20"/>
                <w:u w:val="none"/>
                <w:lang w:val="en-US" w:eastAsia="zh-CN" w:bidi="ar"/>
              </w:rPr>
              <w:t>每4小时采样一次，24 小时不少于三次。</w:t>
            </w:r>
          </w:p>
        </w:tc>
        <w:tc>
          <w:tcPr>
            <w:tcW w:w="932" w:type="dxa"/>
            <w:tcBorders>
              <w:top w:val="nil"/>
              <w:left w:val="nil"/>
              <w:bottom w:val="single" w:color="auto" w:sz="4" w:space="0"/>
              <w:right w:val="single" w:color="auto" w:sz="4" w:space="0"/>
            </w:tcBorders>
            <w:shd w:val="clear" w:color="auto" w:fill="auto"/>
            <w:vAlign w:val="center"/>
          </w:tcPr>
          <w:p w14:paraId="57D5CFAA">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i w:val="0"/>
                <w:iCs w:val="0"/>
                <w:color w:val="auto"/>
                <w:kern w:val="0"/>
                <w:sz w:val="20"/>
                <w:szCs w:val="20"/>
                <w:u w:val="none"/>
                <w:lang w:val="en-US" w:eastAsia="zh-CN" w:bidi="ar"/>
              </w:rPr>
              <w:t>12</w:t>
            </w:r>
          </w:p>
        </w:tc>
      </w:tr>
      <w:tr w14:paraId="12AA2163">
        <w:tblPrEx>
          <w:tblCellMar>
            <w:top w:w="0" w:type="dxa"/>
            <w:left w:w="108" w:type="dxa"/>
            <w:bottom w:w="0" w:type="dxa"/>
            <w:right w:w="108" w:type="dxa"/>
          </w:tblCellMar>
        </w:tblPrEx>
        <w:trPr>
          <w:trHeight w:val="2985" w:hRule="atLeast"/>
        </w:trPr>
        <w:tc>
          <w:tcPr>
            <w:tcW w:w="327" w:type="pct"/>
            <w:tcBorders>
              <w:top w:val="nil"/>
              <w:left w:val="single" w:color="auto" w:sz="4" w:space="0"/>
              <w:bottom w:val="single" w:color="auto" w:sz="4" w:space="0"/>
              <w:right w:val="single" w:color="auto" w:sz="4" w:space="0"/>
            </w:tcBorders>
            <w:shd w:val="clear" w:color="auto" w:fill="auto"/>
            <w:vAlign w:val="center"/>
          </w:tcPr>
          <w:p w14:paraId="4B800206">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2</w:t>
            </w:r>
          </w:p>
        </w:tc>
        <w:tc>
          <w:tcPr>
            <w:tcW w:w="383" w:type="pct"/>
            <w:tcBorders>
              <w:top w:val="nil"/>
              <w:left w:val="nil"/>
              <w:bottom w:val="single" w:color="auto" w:sz="4" w:space="0"/>
              <w:right w:val="single" w:color="auto" w:sz="4" w:space="0"/>
            </w:tcBorders>
            <w:shd w:val="clear" w:color="auto" w:fill="auto"/>
            <w:vAlign w:val="center"/>
          </w:tcPr>
          <w:p w14:paraId="56116A08">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雨水</w:t>
            </w:r>
          </w:p>
        </w:tc>
        <w:tc>
          <w:tcPr>
            <w:tcW w:w="849" w:type="pct"/>
            <w:tcBorders>
              <w:top w:val="nil"/>
              <w:left w:val="nil"/>
              <w:bottom w:val="single" w:color="auto" w:sz="4" w:space="0"/>
              <w:right w:val="single" w:color="auto" w:sz="4" w:space="0"/>
            </w:tcBorders>
            <w:shd w:val="clear" w:color="auto" w:fill="auto"/>
            <w:vAlign w:val="center"/>
          </w:tcPr>
          <w:p w14:paraId="36D3F014">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麻电项目初期雨水收集池排放口</w:t>
            </w:r>
          </w:p>
        </w:tc>
        <w:tc>
          <w:tcPr>
            <w:tcW w:w="1181" w:type="pct"/>
            <w:tcBorders>
              <w:top w:val="nil"/>
              <w:left w:val="nil"/>
              <w:bottom w:val="single" w:color="auto" w:sz="4" w:space="0"/>
              <w:right w:val="single" w:color="auto" w:sz="4" w:space="0"/>
            </w:tcBorders>
            <w:shd w:val="clear" w:color="auto" w:fill="auto"/>
            <w:vAlign w:val="center"/>
          </w:tcPr>
          <w:p w14:paraId="7616EF2E">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化学需氧量、悬浮物、氨氮</w:t>
            </w:r>
          </w:p>
        </w:tc>
        <w:tc>
          <w:tcPr>
            <w:tcW w:w="697" w:type="pct"/>
            <w:tcBorders>
              <w:top w:val="nil"/>
              <w:left w:val="nil"/>
              <w:bottom w:val="single" w:color="auto" w:sz="4" w:space="0"/>
              <w:right w:val="single" w:color="auto" w:sz="4" w:space="0"/>
            </w:tcBorders>
            <w:shd w:val="clear" w:color="auto" w:fill="auto"/>
            <w:vAlign w:val="center"/>
          </w:tcPr>
          <w:p w14:paraId="70EFEFAC">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1次/季度</w:t>
            </w:r>
          </w:p>
        </w:tc>
        <w:tc>
          <w:tcPr>
            <w:tcW w:w="1016" w:type="pct"/>
            <w:tcBorders>
              <w:top w:val="nil"/>
              <w:left w:val="nil"/>
              <w:bottom w:val="single" w:color="auto" w:sz="4" w:space="0"/>
              <w:right w:val="single" w:color="auto" w:sz="4" w:space="0"/>
            </w:tcBorders>
            <w:shd w:val="clear" w:color="auto" w:fill="auto"/>
            <w:vAlign w:val="center"/>
          </w:tcPr>
          <w:p w14:paraId="091F7F96">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采样时间间隔不少于4h，采样频次不少于3次。</w:t>
            </w:r>
          </w:p>
        </w:tc>
        <w:tc>
          <w:tcPr>
            <w:tcW w:w="547" w:type="pct"/>
            <w:tcBorders>
              <w:top w:val="nil"/>
              <w:left w:val="nil"/>
              <w:bottom w:val="single" w:color="auto" w:sz="4" w:space="0"/>
              <w:right w:val="single" w:color="auto" w:sz="4" w:space="0"/>
            </w:tcBorders>
            <w:shd w:val="clear" w:color="auto" w:fill="auto"/>
            <w:vAlign w:val="center"/>
          </w:tcPr>
          <w:p w14:paraId="3D8E59CC">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12</w:t>
            </w:r>
          </w:p>
        </w:tc>
      </w:tr>
      <w:tr w14:paraId="6861C616">
        <w:tblPrEx>
          <w:tblCellMar>
            <w:top w:w="0" w:type="dxa"/>
            <w:left w:w="108" w:type="dxa"/>
            <w:bottom w:w="0" w:type="dxa"/>
            <w:right w:w="108" w:type="dxa"/>
          </w:tblCellMar>
        </w:tblPrEx>
        <w:trPr>
          <w:trHeight w:val="1680" w:hRule="atLeast"/>
        </w:trPr>
        <w:tc>
          <w:tcPr>
            <w:tcW w:w="327" w:type="pct"/>
            <w:tcBorders>
              <w:top w:val="nil"/>
              <w:left w:val="single" w:color="auto" w:sz="4" w:space="0"/>
              <w:bottom w:val="single" w:color="auto" w:sz="4" w:space="0"/>
              <w:right w:val="single" w:color="auto" w:sz="4" w:space="0"/>
            </w:tcBorders>
            <w:shd w:val="clear" w:color="auto" w:fill="auto"/>
            <w:vAlign w:val="center"/>
          </w:tcPr>
          <w:p w14:paraId="1ABB2794">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3</w:t>
            </w:r>
          </w:p>
        </w:tc>
        <w:tc>
          <w:tcPr>
            <w:tcW w:w="383" w:type="pct"/>
            <w:tcBorders>
              <w:top w:val="nil"/>
              <w:left w:val="nil"/>
              <w:bottom w:val="single" w:color="auto" w:sz="4" w:space="0"/>
              <w:right w:val="single" w:color="auto" w:sz="4" w:space="0"/>
            </w:tcBorders>
            <w:shd w:val="clear" w:color="auto" w:fill="auto"/>
            <w:vAlign w:val="center"/>
          </w:tcPr>
          <w:p w14:paraId="5BC57880">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地下水</w:t>
            </w:r>
            <w:r>
              <w:rPr>
                <w:rFonts w:hint="eastAsia" w:ascii="仿宋_GB2312" w:hAnsi="仿宋_GB2312" w:eastAsia="仿宋_GB2312" w:cs="仿宋_GB2312"/>
                <w:color w:val="auto"/>
                <w:kern w:val="0"/>
                <w:sz w:val="20"/>
                <w:szCs w:val="20"/>
              </w:rPr>
              <w:br w:type="textWrapping"/>
            </w:r>
            <w:r>
              <w:rPr>
                <w:rFonts w:hint="eastAsia" w:ascii="仿宋_GB2312" w:hAnsi="仿宋_GB2312" w:eastAsia="仿宋_GB2312" w:cs="仿宋_GB2312"/>
                <w:color w:val="auto"/>
                <w:kern w:val="0"/>
                <w:sz w:val="20"/>
                <w:szCs w:val="20"/>
              </w:rPr>
              <w:t>（2个点）</w:t>
            </w:r>
          </w:p>
        </w:tc>
        <w:tc>
          <w:tcPr>
            <w:tcW w:w="849" w:type="pct"/>
            <w:tcBorders>
              <w:top w:val="nil"/>
              <w:left w:val="nil"/>
              <w:bottom w:val="single" w:color="auto" w:sz="4" w:space="0"/>
              <w:right w:val="single" w:color="auto" w:sz="4" w:space="0"/>
            </w:tcBorders>
            <w:shd w:val="clear" w:color="auto" w:fill="auto"/>
            <w:vAlign w:val="center"/>
          </w:tcPr>
          <w:p w14:paraId="5C9C9188">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项目内监测井（2个点，背景井及监视井）</w:t>
            </w:r>
          </w:p>
        </w:tc>
        <w:tc>
          <w:tcPr>
            <w:tcW w:w="1181" w:type="pct"/>
            <w:tcBorders>
              <w:top w:val="nil"/>
              <w:left w:val="nil"/>
              <w:bottom w:val="single" w:color="auto" w:sz="4" w:space="0"/>
              <w:right w:val="single" w:color="auto" w:sz="4" w:space="0"/>
            </w:tcBorders>
            <w:shd w:val="clear" w:color="auto" w:fill="auto"/>
            <w:vAlign w:val="center"/>
          </w:tcPr>
          <w:p w14:paraId="050C6AE2">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pH值、总硬度、CODMn、氨氮、溶解性总固体、硫酸盐、硝酸盐、亚硝酸盐、六价铬、汞、砷、镉、铅、总大肠菌群、菌落总数</w:t>
            </w:r>
          </w:p>
        </w:tc>
        <w:tc>
          <w:tcPr>
            <w:tcW w:w="697" w:type="pct"/>
            <w:tcBorders>
              <w:top w:val="nil"/>
              <w:left w:val="nil"/>
              <w:bottom w:val="single" w:color="auto" w:sz="4" w:space="0"/>
              <w:right w:val="single" w:color="auto" w:sz="4" w:space="0"/>
            </w:tcBorders>
            <w:shd w:val="clear" w:color="auto" w:fill="auto"/>
            <w:vAlign w:val="center"/>
          </w:tcPr>
          <w:p w14:paraId="28D9EFFA">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1次/半年</w:t>
            </w:r>
          </w:p>
        </w:tc>
        <w:tc>
          <w:tcPr>
            <w:tcW w:w="1016" w:type="pct"/>
            <w:tcBorders>
              <w:top w:val="nil"/>
              <w:left w:val="nil"/>
              <w:bottom w:val="single" w:color="auto" w:sz="4" w:space="0"/>
              <w:right w:val="single" w:color="auto" w:sz="4" w:space="0"/>
            </w:tcBorders>
            <w:shd w:val="clear" w:color="auto" w:fill="auto"/>
            <w:vAlign w:val="center"/>
          </w:tcPr>
          <w:p w14:paraId="34D92C55">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w:t>
            </w:r>
          </w:p>
        </w:tc>
        <w:tc>
          <w:tcPr>
            <w:tcW w:w="547" w:type="pct"/>
            <w:tcBorders>
              <w:top w:val="nil"/>
              <w:left w:val="nil"/>
              <w:bottom w:val="single" w:color="auto" w:sz="4" w:space="0"/>
              <w:right w:val="single" w:color="auto" w:sz="4" w:space="0"/>
            </w:tcBorders>
            <w:shd w:val="clear" w:color="auto" w:fill="auto"/>
            <w:vAlign w:val="center"/>
          </w:tcPr>
          <w:p w14:paraId="38D5FB5A">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4</w:t>
            </w:r>
          </w:p>
        </w:tc>
      </w:tr>
      <w:tr w14:paraId="618AEED9">
        <w:tblPrEx>
          <w:tblCellMar>
            <w:top w:w="0" w:type="dxa"/>
            <w:left w:w="108" w:type="dxa"/>
            <w:bottom w:w="0" w:type="dxa"/>
            <w:right w:w="108" w:type="dxa"/>
          </w:tblCellMar>
        </w:tblPrEx>
        <w:trPr>
          <w:trHeight w:val="1339" w:hRule="atLeast"/>
        </w:trPr>
        <w:tc>
          <w:tcPr>
            <w:tcW w:w="327" w:type="pct"/>
            <w:tcBorders>
              <w:top w:val="nil"/>
              <w:left w:val="single" w:color="auto" w:sz="4" w:space="0"/>
              <w:bottom w:val="single" w:color="auto" w:sz="4" w:space="0"/>
              <w:right w:val="single" w:color="auto" w:sz="4" w:space="0"/>
            </w:tcBorders>
            <w:shd w:val="clear" w:color="auto" w:fill="auto"/>
            <w:vAlign w:val="center"/>
          </w:tcPr>
          <w:p w14:paraId="0F38C74C">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4</w:t>
            </w:r>
          </w:p>
        </w:tc>
        <w:tc>
          <w:tcPr>
            <w:tcW w:w="383" w:type="pct"/>
            <w:tcBorders>
              <w:top w:val="nil"/>
              <w:left w:val="nil"/>
              <w:bottom w:val="single" w:color="auto" w:sz="4" w:space="0"/>
              <w:right w:val="single" w:color="auto" w:sz="4" w:space="0"/>
            </w:tcBorders>
            <w:shd w:val="clear" w:color="auto" w:fill="auto"/>
            <w:vAlign w:val="center"/>
          </w:tcPr>
          <w:p w14:paraId="6F3D273E">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噪声（4个点）</w:t>
            </w:r>
          </w:p>
        </w:tc>
        <w:tc>
          <w:tcPr>
            <w:tcW w:w="849" w:type="pct"/>
            <w:tcBorders>
              <w:top w:val="nil"/>
              <w:left w:val="nil"/>
              <w:bottom w:val="single" w:color="auto" w:sz="4" w:space="0"/>
              <w:right w:val="single" w:color="auto" w:sz="4" w:space="0"/>
            </w:tcBorders>
            <w:shd w:val="clear" w:color="auto" w:fill="auto"/>
            <w:vAlign w:val="center"/>
          </w:tcPr>
          <w:p w14:paraId="55DC251A">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厂界东南西北4个方位厂界1m处</w:t>
            </w:r>
          </w:p>
        </w:tc>
        <w:tc>
          <w:tcPr>
            <w:tcW w:w="1181" w:type="pct"/>
            <w:tcBorders>
              <w:top w:val="nil"/>
              <w:left w:val="nil"/>
              <w:bottom w:val="single" w:color="auto" w:sz="4" w:space="0"/>
              <w:right w:val="single" w:color="auto" w:sz="4" w:space="0"/>
            </w:tcBorders>
            <w:shd w:val="clear" w:color="auto" w:fill="auto"/>
            <w:vAlign w:val="center"/>
          </w:tcPr>
          <w:p w14:paraId="067E9613">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等效声级（昼、夜各一次）夜间频发噪声最大声级或夜间偶发噪声最大声级</w:t>
            </w:r>
          </w:p>
        </w:tc>
        <w:tc>
          <w:tcPr>
            <w:tcW w:w="697" w:type="pct"/>
            <w:tcBorders>
              <w:top w:val="nil"/>
              <w:left w:val="nil"/>
              <w:bottom w:val="single" w:color="auto" w:sz="4" w:space="0"/>
              <w:right w:val="single" w:color="auto" w:sz="4" w:space="0"/>
            </w:tcBorders>
            <w:shd w:val="clear" w:color="auto" w:fill="auto"/>
            <w:vAlign w:val="center"/>
          </w:tcPr>
          <w:p w14:paraId="22AB769D">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1次/季度</w:t>
            </w:r>
          </w:p>
        </w:tc>
        <w:tc>
          <w:tcPr>
            <w:tcW w:w="1016" w:type="pct"/>
            <w:tcBorders>
              <w:top w:val="nil"/>
              <w:left w:val="nil"/>
              <w:bottom w:val="single" w:color="auto" w:sz="4" w:space="0"/>
              <w:right w:val="single" w:color="auto" w:sz="4" w:space="0"/>
            </w:tcBorders>
            <w:shd w:val="clear" w:color="auto" w:fill="auto"/>
            <w:vAlign w:val="center"/>
          </w:tcPr>
          <w:p w14:paraId="6E68EEDA">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w:t>
            </w:r>
          </w:p>
        </w:tc>
        <w:tc>
          <w:tcPr>
            <w:tcW w:w="547" w:type="pct"/>
            <w:tcBorders>
              <w:top w:val="nil"/>
              <w:left w:val="nil"/>
              <w:bottom w:val="single" w:color="auto" w:sz="4" w:space="0"/>
              <w:right w:val="single" w:color="auto" w:sz="4" w:space="0"/>
            </w:tcBorders>
            <w:shd w:val="clear" w:color="auto" w:fill="auto"/>
            <w:vAlign w:val="center"/>
          </w:tcPr>
          <w:p w14:paraId="367F279F">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32</w:t>
            </w:r>
          </w:p>
        </w:tc>
      </w:tr>
      <w:tr w14:paraId="77091A94">
        <w:tblPrEx>
          <w:tblCellMar>
            <w:top w:w="0" w:type="dxa"/>
            <w:left w:w="108" w:type="dxa"/>
            <w:bottom w:w="0" w:type="dxa"/>
            <w:right w:w="108" w:type="dxa"/>
          </w:tblCellMar>
        </w:tblPrEx>
        <w:trPr>
          <w:trHeight w:val="1339" w:hRule="atLeast"/>
        </w:trPr>
        <w:tc>
          <w:tcPr>
            <w:tcW w:w="327" w:type="pct"/>
            <w:tcBorders>
              <w:top w:val="nil"/>
              <w:left w:val="single" w:color="auto" w:sz="4" w:space="0"/>
              <w:bottom w:val="single" w:color="auto" w:sz="4" w:space="0"/>
              <w:right w:val="single" w:color="auto" w:sz="4" w:space="0"/>
            </w:tcBorders>
            <w:shd w:val="clear" w:color="auto" w:fill="auto"/>
            <w:vAlign w:val="center"/>
          </w:tcPr>
          <w:p w14:paraId="36293D49">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5</w:t>
            </w:r>
          </w:p>
        </w:tc>
        <w:tc>
          <w:tcPr>
            <w:tcW w:w="383" w:type="pct"/>
            <w:tcBorders>
              <w:top w:val="nil"/>
              <w:left w:val="nil"/>
              <w:bottom w:val="single" w:color="auto" w:sz="4" w:space="0"/>
              <w:right w:val="single" w:color="auto" w:sz="4" w:space="0"/>
            </w:tcBorders>
            <w:shd w:val="clear" w:color="auto" w:fill="auto"/>
            <w:vAlign w:val="center"/>
          </w:tcPr>
          <w:p w14:paraId="33E02F9D">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无组织废气</w:t>
            </w:r>
            <w:r>
              <w:rPr>
                <w:rFonts w:hint="eastAsia" w:ascii="仿宋_GB2312" w:hAnsi="仿宋_GB2312" w:eastAsia="仿宋_GB2312" w:cs="仿宋_GB2312"/>
                <w:color w:val="auto"/>
                <w:kern w:val="0"/>
                <w:sz w:val="20"/>
                <w:szCs w:val="20"/>
              </w:rPr>
              <w:br w:type="textWrapping"/>
            </w:r>
            <w:r>
              <w:rPr>
                <w:rFonts w:hint="eastAsia" w:ascii="仿宋_GB2312" w:hAnsi="仿宋_GB2312" w:eastAsia="仿宋_GB2312" w:cs="仿宋_GB2312"/>
                <w:color w:val="auto"/>
                <w:kern w:val="0"/>
                <w:sz w:val="20"/>
                <w:szCs w:val="20"/>
              </w:rPr>
              <w:t>（4个点）</w:t>
            </w:r>
          </w:p>
        </w:tc>
        <w:tc>
          <w:tcPr>
            <w:tcW w:w="849" w:type="pct"/>
            <w:tcBorders>
              <w:top w:val="nil"/>
              <w:left w:val="nil"/>
              <w:bottom w:val="single" w:color="auto" w:sz="4" w:space="0"/>
              <w:right w:val="single" w:color="auto" w:sz="4" w:space="0"/>
            </w:tcBorders>
            <w:shd w:val="clear" w:color="auto" w:fill="auto"/>
            <w:vAlign w:val="center"/>
          </w:tcPr>
          <w:p w14:paraId="11EDFD06">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餐厨项目周界处，上风向1个点，下风向3个点，合计4个点。</w:t>
            </w:r>
          </w:p>
        </w:tc>
        <w:tc>
          <w:tcPr>
            <w:tcW w:w="1181" w:type="pct"/>
            <w:tcBorders>
              <w:top w:val="nil"/>
              <w:left w:val="nil"/>
              <w:bottom w:val="single" w:color="auto" w:sz="4" w:space="0"/>
              <w:right w:val="single" w:color="auto" w:sz="4" w:space="0"/>
            </w:tcBorders>
            <w:shd w:val="clear" w:color="auto" w:fill="auto"/>
            <w:vAlign w:val="center"/>
          </w:tcPr>
          <w:p w14:paraId="0BC98154">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硫化氢、氨（氨气）、臭气浓度、甲硫醇、颗粒物</w:t>
            </w:r>
          </w:p>
        </w:tc>
        <w:tc>
          <w:tcPr>
            <w:tcW w:w="697" w:type="pct"/>
            <w:tcBorders>
              <w:top w:val="nil"/>
              <w:left w:val="nil"/>
              <w:bottom w:val="single" w:color="auto" w:sz="4" w:space="0"/>
              <w:right w:val="single" w:color="auto" w:sz="4" w:space="0"/>
            </w:tcBorders>
            <w:shd w:val="clear" w:color="auto" w:fill="auto"/>
            <w:vAlign w:val="center"/>
          </w:tcPr>
          <w:p w14:paraId="2F11B440">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1次/季度</w:t>
            </w:r>
          </w:p>
        </w:tc>
        <w:tc>
          <w:tcPr>
            <w:tcW w:w="1016" w:type="pct"/>
            <w:tcBorders>
              <w:top w:val="nil"/>
              <w:left w:val="nil"/>
              <w:bottom w:val="single" w:color="auto" w:sz="4" w:space="0"/>
              <w:right w:val="single" w:color="auto" w:sz="4" w:space="0"/>
            </w:tcBorders>
            <w:shd w:val="clear" w:color="auto" w:fill="auto"/>
            <w:vAlign w:val="center"/>
          </w:tcPr>
          <w:p w14:paraId="53B63DC7">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1.等时间间隔采样,采集4个样品计平均值。</w:t>
            </w:r>
            <w:r>
              <w:rPr>
                <w:rFonts w:hint="eastAsia" w:ascii="仿宋_GB2312" w:hAnsi="仿宋_GB2312" w:eastAsia="仿宋_GB2312" w:cs="仿宋_GB2312"/>
                <w:color w:val="auto"/>
                <w:kern w:val="0"/>
                <w:sz w:val="20"/>
                <w:szCs w:val="20"/>
              </w:rPr>
              <w:br w:type="textWrapping"/>
            </w:r>
            <w:r>
              <w:rPr>
                <w:rFonts w:hint="eastAsia" w:ascii="仿宋_GB2312" w:hAnsi="仿宋_GB2312" w:eastAsia="仿宋_GB2312" w:cs="仿宋_GB2312"/>
                <w:color w:val="auto"/>
                <w:kern w:val="0"/>
                <w:sz w:val="20"/>
                <w:szCs w:val="20"/>
              </w:rPr>
              <w:t>2.恶臭污染监测样品采集不少于4次，取最大测定值。</w:t>
            </w:r>
          </w:p>
        </w:tc>
        <w:tc>
          <w:tcPr>
            <w:tcW w:w="547" w:type="pct"/>
            <w:tcBorders>
              <w:top w:val="nil"/>
              <w:left w:val="nil"/>
              <w:bottom w:val="single" w:color="auto" w:sz="4" w:space="0"/>
              <w:right w:val="single" w:color="auto" w:sz="4" w:space="0"/>
            </w:tcBorders>
            <w:shd w:val="clear" w:color="auto" w:fill="auto"/>
            <w:vAlign w:val="center"/>
          </w:tcPr>
          <w:p w14:paraId="0F838C1C">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64</w:t>
            </w:r>
          </w:p>
        </w:tc>
      </w:tr>
      <w:tr w14:paraId="7579BBB0">
        <w:tblPrEx>
          <w:tblCellMar>
            <w:top w:w="0" w:type="dxa"/>
            <w:left w:w="108" w:type="dxa"/>
            <w:bottom w:w="0" w:type="dxa"/>
            <w:right w:w="108" w:type="dxa"/>
          </w:tblCellMar>
        </w:tblPrEx>
        <w:trPr>
          <w:trHeight w:val="1815" w:hRule="atLeast"/>
        </w:trPr>
        <w:tc>
          <w:tcPr>
            <w:tcW w:w="327" w:type="pct"/>
            <w:tcBorders>
              <w:top w:val="nil"/>
              <w:left w:val="single" w:color="auto" w:sz="4" w:space="0"/>
              <w:bottom w:val="single" w:color="auto" w:sz="4" w:space="0"/>
              <w:right w:val="single" w:color="auto" w:sz="4" w:space="0"/>
            </w:tcBorders>
            <w:shd w:val="clear" w:color="auto" w:fill="auto"/>
            <w:vAlign w:val="center"/>
          </w:tcPr>
          <w:p w14:paraId="7F217980">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6</w:t>
            </w:r>
          </w:p>
        </w:tc>
        <w:tc>
          <w:tcPr>
            <w:tcW w:w="383" w:type="pct"/>
            <w:tcBorders>
              <w:top w:val="nil"/>
              <w:left w:val="nil"/>
              <w:bottom w:val="single" w:color="auto" w:sz="4" w:space="0"/>
              <w:right w:val="single" w:color="auto" w:sz="4" w:space="0"/>
            </w:tcBorders>
            <w:shd w:val="clear" w:color="auto" w:fill="auto"/>
            <w:vAlign w:val="center"/>
          </w:tcPr>
          <w:p w14:paraId="648D9746">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有组织废气</w:t>
            </w:r>
          </w:p>
        </w:tc>
        <w:tc>
          <w:tcPr>
            <w:tcW w:w="849" w:type="pct"/>
            <w:tcBorders>
              <w:top w:val="nil"/>
              <w:left w:val="nil"/>
              <w:bottom w:val="single" w:color="auto" w:sz="4" w:space="0"/>
              <w:right w:val="single" w:color="auto" w:sz="4" w:space="0"/>
            </w:tcBorders>
            <w:shd w:val="clear" w:color="auto" w:fill="auto"/>
            <w:vAlign w:val="center"/>
          </w:tcPr>
          <w:p w14:paraId="0F84A806">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除臭系统进、出口（3个点）</w:t>
            </w:r>
          </w:p>
        </w:tc>
        <w:tc>
          <w:tcPr>
            <w:tcW w:w="1181" w:type="pct"/>
            <w:tcBorders>
              <w:top w:val="nil"/>
              <w:left w:val="nil"/>
              <w:bottom w:val="single" w:color="auto" w:sz="4" w:space="0"/>
              <w:right w:val="single" w:color="auto" w:sz="4" w:space="0"/>
            </w:tcBorders>
            <w:shd w:val="clear" w:color="auto" w:fill="auto"/>
            <w:vAlign w:val="center"/>
          </w:tcPr>
          <w:p w14:paraId="26A2F362">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硫化氢、氨（氨气）、甲硫醇、臭气浓度、非甲烷总烃、除臭效率</w:t>
            </w:r>
          </w:p>
        </w:tc>
        <w:tc>
          <w:tcPr>
            <w:tcW w:w="697" w:type="pct"/>
            <w:tcBorders>
              <w:top w:val="nil"/>
              <w:left w:val="nil"/>
              <w:bottom w:val="single" w:color="auto" w:sz="4" w:space="0"/>
              <w:right w:val="single" w:color="auto" w:sz="4" w:space="0"/>
            </w:tcBorders>
            <w:shd w:val="clear" w:color="auto" w:fill="auto"/>
            <w:vAlign w:val="center"/>
          </w:tcPr>
          <w:p w14:paraId="5F45BAF4">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1次/季度</w:t>
            </w:r>
          </w:p>
        </w:tc>
        <w:tc>
          <w:tcPr>
            <w:tcW w:w="1016" w:type="pct"/>
            <w:tcBorders>
              <w:top w:val="nil"/>
              <w:left w:val="nil"/>
              <w:bottom w:val="single" w:color="auto" w:sz="4" w:space="0"/>
              <w:right w:val="single" w:color="auto" w:sz="4" w:space="0"/>
            </w:tcBorders>
            <w:shd w:val="clear" w:color="auto" w:fill="auto"/>
            <w:vAlign w:val="center"/>
          </w:tcPr>
          <w:p w14:paraId="186497FC">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1.非甲烷总烃以连续一小时的采样获取平均值或在一小时内以等时间间隔采集4个样品，并计平均值。</w:t>
            </w:r>
            <w:r>
              <w:rPr>
                <w:rFonts w:hint="eastAsia" w:ascii="仿宋_GB2312" w:hAnsi="仿宋_GB2312" w:eastAsia="仿宋_GB2312" w:cs="仿宋_GB2312"/>
                <w:color w:val="auto"/>
                <w:kern w:val="0"/>
                <w:sz w:val="20"/>
                <w:szCs w:val="20"/>
              </w:rPr>
              <w:br w:type="textWrapping"/>
            </w:r>
            <w:r>
              <w:rPr>
                <w:rFonts w:hint="eastAsia" w:ascii="仿宋_GB2312" w:hAnsi="仿宋_GB2312" w:eastAsia="仿宋_GB2312" w:cs="仿宋_GB2312"/>
                <w:color w:val="auto"/>
                <w:kern w:val="0"/>
                <w:sz w:val="20"/>
                <w:szCs w:val="20"/>
              </w:rPr>
              <w:t>2.恶臭污染监测样品采集不少于3次，取最大测定值。</w:t>
            </w:r>
            <w:r>
              <w:rPr>
                <w:rFonts w:hint="eastAsia" w:ascii="仿宋_GB2312" w:hAnsi="仿宋_GB2312" w:eastAsia="仿宋_GB2312" w:cs="仿宋_GB2312"/>
                <w:color w:val="auto"/>
                <w:kern w:val="0"/>
                <w:sz w:val="20"/>
                <w:szCs w:val="20"/>
              </w:rPr>
              <w:br w:type="textWrapping"/>
            </w:r>
            <w:r>
              <w:rPr>
                <w:rFonts w:hint="eastAsia" w:ascii="仿宋_GB2312" w:hAnsi="仿宋_GB2312" w:eastAsia="仿宋_GB2312" w:cs="仿宋_GB2312"/>
                <w:color w:val="auto"/>
                <w:kern w:val="0"/>
                <w:sz w:val="20"/>
                <w:szCs w:val="20"/>
              </w:rPr>
              <w:t>3.需要计算各个污染因子的去除效率。</w:t>
            </w:r>
          </w:p>
        </w:tc>
        <w:tc>
          <w:tcPr>
            <w:tcW w:w="547" w:type="pct"/>
            <w:tcBorders>
              <w:top w:val="nil"/>
              <w:left w:val="nil"/>
              <w:bottom w:val="single" w:color="auto" w:sz="4" w:space="0"/>
              <w:right w:val="single" w:color="auto" w:sz="4" w:space="0"/>
            </w:tcBorders>
            <w:shd w:val="clear" w:color="auto" w:fill="auto"/>
            <w:vAlign w:val="center"/>
          </w:tcPr>
          <w:p w14:paraId="4E11B8C0">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val="en-US" w:eastAsia="zh-CN"/>
              </w:rPr>
            </w:pPr>
            <w:r>
              <w:rPr>
                <w:rFonts w:hint="eastAsia" w:ascii="仿宋_GB2312" w:hAnsi="仿宋_GB2312" w:eastAsia="仿宋_GB2312" w:cs="仿宋_GB2312"/>
                <w:color w:val="auto"/>
                <w:kern w:val="0"/>
                <w:sz w:val="20"/>
                <w:szCs w:val="20"/>
                <w:lang w:val="en-US" w:eastAsia="zh-CN"/>
              </w:rPr>
              <w:t>48</w:t>
            </w:r>
          </w:p>
        </w:tc>
      </w:tr>
      <w:tr w14:paraId="1A005472">
        <w:tblPrEx>
          <w:tblCellMar>
            <w:top w:w="0" w:type="dxa"/>
            <w:left w:w="108" w:type="dxa"/>
            <w:bottom w:w="0" w:type="dxa"/>
            <w:right w:w="108" w:type="dxa"/>
          </w:tblCellMar>
        </w:tblPrEx>
        <w:trPr>
          <w:trHeight w:val="1680" w:hRule="atLeast"/>
        </w:trPr>
        <w:tc>
          <w:tcPr>
            <w:tcW w:w="327" w:type="pct"/>
            <w:tcBorders>
              <w:top w:val="nil"/>
              <w:left w:val="single" w:color="auto" w:sz="4" w:space="0"/>
              <w:bottom w:val="single" w:color="auto" w:sz="4" w:space="0"/>
              <w:right w:val="single" w:color="auto" w:sz="4" w:space="0"/>
            </w:tcBorders>
            <w:shd w:val="clear" w:color="auto" w:fill="auto"/>
            <w:vAlign w:val="center"/>
          </w:tcPr>
          <w:p w14:paraId="6A4DF0C5">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7</w:t>
            </w:r>
          </w:p>
        </w:tc>
        <w:tc>
          <w:tcPr>
            <w:tcW w:w="383" w:type="pct"/>
            <w:tcBorders>
              <w:top w:val="nil"/>
              <w:left w:val="nil"/>
              <w:bottom w:val="single" w:color="auto" w:sz="4" w:space="0"/>
              <w:right w:val="single" w:color="auto" w:sz="4" w:space="0"/>
            </w:tcBorders>
            <w:shd w:val="clear" w:color="auto" w:fill="auto"/>
            <w:vAlign w:val="center"/>
          </w:tcPr>
          <w:p w14:paraId="0EBBCB4F">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环境空气</w:t>
            </w:r>
          </w:p>
        </w:tc>
        <w:tc>
          <w:tcPr>
            <w:tcW w:w="849" w:type="pct"/>
            <w:tcBorders>
              <w:top w:val="nil"/>
              <w:left w:val="nil"/>
              <w:bottom w:val="single" w:color="auto" w:sz="4" w:space="0"/>
              <w:right w:val="single" w:color="auto" w:sz="4" w:space="0"/>
            </w:tcBorders>
            <w:shd w:val="clear" w:color="auto" w:fill="auto"/>
            <w:vAlign w:val="center"/>
          </w:tcPr>
          <w:p w14:paraId="47EF1BFF">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餐厨系统处理间</w:t>
            </w:r>
          </w:p>
        </w:tc>
        <w:tc>
          <w:tcPr>
            <w:tcW w:w="1181" w:type="pct"/>
            <w:tcBorders>
              <w:top w:val="nil"/>
              <w:left w:val="nil"/>
              <w:bottom w:val="single" w:color="auto" w:sz="4" w:space="0"/>
              <w:right w:val="single" w:color="auto" w:sz="4" w:space="0"/>
            </w:tcBorders>
            <w:shd w:val="clear" w:color="auto" w:fill="auto"/>
            <w:vAlign w:val="center"/>
          </w:tcPr>
          <w:p w14:paraId="7301692C">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臭气浓度、硫化氢、甲硫醇、氨（氨气）</w:t>
            </w:r>
          </w:p>
        </w:tc>
        <w:tc>
          <w:tcPr>
            <w:tcW w:w="697" w:type="pct"/>
            <w:tcBorders>
              <w:top w:val="nil"/>
              <w:left w:val="nil"/>
              <w:bottom w:val="single" w:color="auto" w:sz="4" w:space="0"/>
              <w:right w:val="single" w:color="auto" w:sz="4" w:space="0"/>
            </w:tcBorders>
            <w:shd w:val="clear" w:color="auto" w:fill="auto"/>
            <w:vAlign w:val="center"/>
          </w:tcPr>
          <w:p w14:paraId="12587F28">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1次/季度</w:t>
            </w:r>
          </w:p>
        </w:tc>
        <w:tc>
          <w:tcPr>
            <w:tcW w:w="1016" w:type="pct"/>
            <w:tcBorders>
              <w:top w:val="nil"/>
              <w:left w:val="nil"/>
              <w:bottom w:val="single" w:color="auto" w:sz="4" w:space="0"/>
              <w:right w:val="single" w:color="auto" w:sz="4" w:space="0"/>
            </w:tcBorders>
            <w:shd w:val="clear" w:color="auto" w:fill="auto"/>
            <w:vAlign w:val="center"/>
          </w:tcPr>
          <w:p w14:paraId="4D227BE9">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1.监测餐厨处理间门口的环境空气；</w:t>
            </w:r>
            <w:r>
              <w:rPr>
                <w:rFonts w:hint="eastAsia" w:ascii="仿宋_GB2312" w:hAnsi="仿宋_GB2312" w:eastAsia="仿宋_GB2312" w:cs="仿宋_GB2312"/>
                <w:color w:val="auto"/>
                <w:kern w:val="0"/>
                <w:sz w:val="20"/>
                <w:szCs w:val="20"/>
              </w:rPr>
              <w:br w:type="textWrapping"/>
            </w:r>
            <w:r>
              <w:rPr>
                <w:rFonts w:hint="eastAsia" w:ascii="仿宋_GB2312" w:hAnsi="仿宋_GB2312" w:eastAsia="仿宋_GB2312" w:cs="仿宋_GB2312"/>
                <w:color w:val="auto"/>
                <w:kern w:val="0"/>
                <w:sz w:val="20"/>
                <w:szCs w:val="20"/>
              </w:rPr>
              <w:t>2.恶臭污染监测样品采集不少于4次，取最大测定值。</w:t>
            </w:r>
          </w:p>
        </w:tc>
        <w:tc>
          <w:tcPr>
            <w:tcW w:w="547" w:type="pct"/>
            <w:tcBorders>
              <w:top w:val="nil"/>
              <w:left w:val="nil"/>
              <w:bottom w:val="single" w:color="auto" w:sz="4" w:space="0"/>
              <w:right w:val="single" w:color="auto" w:sz="4" w:space="0"/>
            </w:tcBorders>
            <w:shd w:val="clear" w:color="auto" w:fill="auto"/>
            <w:vAlign w:val="center"/>
          </w:tcPr>
          <w:p w14:paraId="60BE21B6">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16</w:t>
            </w:r>
          </w:p>
        </w:tc>
      </w:tr>
      <w:tr w14:paraId="18F943AD">
        <w:tblPrEx>
          <w:tblCellMar>
            <w:top w:w="0" w:type="dxa"/>
            <w:left w:w="108" w:type="dxa"/>
            <w:bottom w:w="0" w:type="dxa"/>
            <w:right w:w="108" w:type="dxa"/>
          </w:tblCellMar>
        </w:tblPrEx>
        <w:trPr>
          <w:trHeight w:val="1680" w:hRule="atLeast"/>
        </w:trPr>
        <w:tc>
          <w:tcPr>
            <w:tcW w:w="327" w:type="pct"/>
            <w:tcBorders>
              <w:top w:val="nil"/>
              <w:left w:val="single" w:color="auto" w:sz="4" w:space="0"/>
              <w:bottom w:val="single" w:color="auto" w:sz="4" w:space="0"/>
              <w:right w:val="single" w:color="auto" w:sz="4" w:space="0"/>
            </w:tcBorders>
            <w:shd w:val="clear" w:color="auto" w:fill="auto"/>
            <w:vAlign w:val="center"/>
          </w:tcPr>
          <w:p w14:paraId="1A8C751D">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8</w:t>
            </w:r>
          </w:p>
        </w:tc>
        <w:tc>
          <w:tcPr>
            <w:tcW w:w="383" w:type="pct"/>
            <w:tcBorders>
              <w:top w:val="nil"/>
              <w:left w:val="nil"/>
              <w:bottom w:val="single" w:color="auto" w:sz="4" w:space="0"/>
              <w:right w:val="single" w:color="auto" w:sz="4" w:space="0"/>
            </w:tcBorders>
            <w:shd w:val="clear" w:color="auto" w:fill="auto"/>
            <w:vAlign w:val="center"/>
          </w:tcPr>
          <w:p w14:paraId="77E851B8">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敏感点</w:t>
            </w:r>
          </w:p>
        </w:tc>
        <w:tc>
          <w:tcPr>
            <w:tcW w:w="849" w:type="pct"/>
            <w:tcBorders>
              <w:top w:val="nil"/>
              <w:left w:val="nil"/>
              <w:bottom w:val="single" w:color="auto" w:sz="4" w:space="0"/>
              <w:right w:val="single" w:color="auto" w:sz="4" w:space="0"/>
            </w:tcBorders>
            <w:shd w:val="clear" w:color="auto" w:fill="auto"/>
            <w:vAlign w:val="center"/>
          </w:tcPr>
          <w:p w14:paraId="7A64B2FF">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①四季飘香农业生态园；②漳澎村；③洪梅中心小学；④碧桂园十里江湾；⑤万科珠江东岸；每个点各1个样品</w:t>
            </w:r>
          </w:p>
        </w:tc>
        <w:tc>
          <w:tcPr>
            <w:tcW w:w="1181" w:type="pct"/>
            <w:tcBorders>
              <w:top w:val="nil"/>
              <w:left w:val="nil"/>
              <w:bottom w:val="single" w:color="auto" w:sz="4" w:space="0"/>
              <w:right w:val="single" w:color="auto" w:sz="4" w:space="0"/>
            </w:tcBorders>
            <w:shd w:val="clear" w:color="auto" w:fill="auto"/>
            <w:vAlign w:val="center"/>
          </w:tcPr>
          <w:p w14:paraId="5AF8A267">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臭气浓度</w:t>
            </w:r>
          </w:p>
        </w:tc>
        <w:tc>
          <w:tcPr>
            <w:tcW w:w="697" w:type="pct"/>
            <w:tcBorders>
              <w:top w:val="nil"/>
              <w:left w:val="nil"/>
              <w:bottom w:val="single" w:color="auto" w:sz="4" w:space="0"/>
              <w:right w:val="single" w:color="auto" w:sz="4" w:space="0"/>
            </w:tcBorders>
            <w:shd w:val="clear" w:color="auto" w:fill="auto"/>
            <w:vAlign w:val="center"/>
          </w:tcPr>
          <w:p w14:paraId="59B62343">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1次/季度</w:t>
            </w:r>
          </w:p>
        </w:tc>
        <w:tc>
          <w:tcPr>
            <w:tcW w:w="1016" w:type="pct"/>
            <w:tcBorders>
              <w:top w:val="nil"/>
              <w:left w:val="nil"/>
              <w:bottom w:val="single" w:color="auto" w:sz="4" w:space="0"/>
              <w:right w:val="single" w:color="auto" w:sz="4" w:space="0"/>
            </w:tcBorders>
            <w:shd w:val="clear" w:color="auto" w:fill="auto"/>
            <w:vAlign w:val="center"/>
          </w:tcPr>
          <w:p w14:paraId="2CE61018">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恶臭污染监测样品采集不少于4次，取最大测定值。</w:t>
            </w:r>
          </w:p>
        </w:tc>
        <w:tc>
          <w:tcPr>
            <w:tcW w:w="547" w:type="pct"/>
            <w:tcBorders>
              <w:top w:val="nil"/>
              <w:left w:val="nil"/>
              <w:bottom w:val="single" w:color="auto" w:sz="4" w:space="0"/>
              <w:right w:val="single" w:color="auto" w:sz="4" w:space="0"/>
            </w:tcBorders>
            <w:shd w:val="clear" w:color="auto" w:fill="auto"/>
            <w:vAlign w:val="center"/>
          </w:tcPr>
          <w:p w14:paraId="3C7AD885">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80</w:t>
            </w:r>
          </w:p>
        </w:tc>
      </w:tr>
      <w:tr w14:paraId="5B22ADC8">
        <w:tblPrEx>
          <w:tblCellMar>
            <w:top w:w="0" w:type="dxa"/>
            <w:left w:w="108" w:type="dxa"/>
            <w:bottom w:w="0" w:type="dxa"/>
            <w:right w:w="108" w:type="dxa"/>
          </w:tblCellMar>
        </w:tblPrEx>
        <w:trPr>
          <w:trHeight w:val="471" w:hRule="atLeast"/>
        </w:trPr>
        <w:tc>
          <w:tcPr>
            <w:tcW w:w="4453" w:type="pct"/>
            <w:gridSpan w:val="6"/>
            <w:tcBorders>
              <w:top w:val="single" w:color="auto" w:sz="4" w:space="0"/>
              <w:left w:val="single" w:color="auto" w:sz="4" w:space="0"/>
              <w:bottom w:val="single" w:color="auto" w:sz="4" w:space="0"/>
              <w:right w:val="single" w:color="auto" w:sz="4" w:space="0"/>
            </w:tcBorders>
            <w:shd w:val="clear" w:color="auto" w:fill="auto"/>
            <w:vAlign w:val="center"/>
          </w:tcPr>
          <w:p w14:paraId="60F228E7">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小计</w:t>
            </w:r>
          </w:p>
        </w:tc>
        <w:tc>
          <w:tcPr>
            <w:tcW w:w="547" w:type="pct"/>
            <w:tcBorders>
              <w:top w:val="nil"/>
              <w:left w:val="nil"/>
              <w:bottom w:val="single" w:color="auto" w:sz="4" w:space="0"/>
              <w:right w:val="single" w:color="auto" w:sz="4" w:space="0"/>
            </w:tcBorders>
            <w:shd w:val="clear" w:color="auto" w:fill="auto"/>
            <w:vAlign w:val="center"/>
          </w:tcPr>
          <w:p w14:paraId="271CA617">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val="en-US" w:eastAsia="zh-CN"/>
              </w:rPr>
            </w:pPr>
            <w:r>
              <w:rPr>
                <w:rFonts w:hint="eastAsia" w:ascii="仿宋_GB2312" w:hAnsi="仿宋_GB2312" w:eastAsia="仿宋_GB2312" w:cs="仿宋_GB2312"/>
                <w:b/>
                <w:bCs/>
                <w:color w:val="auto"/>
                <w:kern w:val="0"/>
                <w:sz w:val="20"/>
                <w:szCs w:val="20"/>
              </w:rPr>
              <w:t>2</w:t>
            </w:r>
            <w:r>
              <w:rPr>
                <w:rFonts w:hint="eastAsia" w:ascii="仿宋_GB2312" w:hAnsi="仿宋_GB2312" w:eastAsia="仿宋_GB2312" w:cs="仿宋_GB2312"/>
                <w:b/>
                <w:bCs/>
                <w:color w:val="auto"/>
                <w:kern w:val="0"/>
                <w:sz w:val="20"/>
                <w:szCs w:val="20"/>
                <w:lang w:val="en-US" w:eastAsia="zh-CN"/>
              </w:rPr>
              <w:t>68</w:t>
            </w:r>
          </w:p>
        </w:tc>
      </w:tr>
    </w:tbl>
    <w:p w14:paraId="660EC0AA">
      <w:pPr>
        <w:pStyle w:val="31"/>
        <w:ind w:firstLine="0" w:firstLineChars="0"/>
        <w:jc w:val="left"/>
        <w:rPr>
          <w:rFonts w:eastAsia="仿宋_GB2312"/>
          <w:b/>
          <w:color w:val="auto"/>
          <w:sz w:val="32"/>
          <w:szCs w:val="32"/>
        </w:rPr>
      </w:pPr>
      <w:r>
        <w:rPr>
          <w:rFonts w:hint="eastAsia" w:eastAsia="仿宋_GB2312"/>
          <w:b/>
          <w:color w:val="auto"/>
          <w:sz w:val="32"/>
          <w:szCs w:val="32"/>
        </w:rPr>
        <w:t>第二部分：</w:t>
      </w:r>
    </w:p>
    <w:p w14:paraId="5C6D56BD">
      <w:pPr>
        <w:spacing w:line="400" w:lineRule="exact"/>
        <w:ind w:firstLine="640" w:firstLineChars="200"/>
        <w:jc w:val="center"/>
        <w:rPr>
          <w:rFonts w:ascii="方正小标宋简体" w:eastAsia="方正小标宋简体"/>
          <w:color w:val="auto"/>
          <w:sz w:val="32"/>
          <w:szCs w:val="32"/>
        </w:rPr>
      </w:pPr>
      <w:r>
        <w:rPr>
          <w:rFonts w:hint="eastAsia" w:ascii="方正小标宋简体" w:eastAsia="方正小标宋简体"/>
          <w:color w:val="auto"/>
          <w:sz w:val="32"/>
          <w:szCs w:val="32"/>
        </w:rPr>
        <w:t>东莞市新东欣环保投资有限公司绿色工业服务项目</w:t>
      </w:r>
    </w:p>
    <w:p w14:paraId="14CDB5F9">
      <w:pPr>
        <w:spacing w:line="400" w:lineRule="exact"/>
        <w:ind w:firstLine="640" w:firstLineChars="200"/>
        <w:jc w:val="center"/>
        <w:rPr>
          <w:rFonts w:ascii="方正小标宋简体" w:eastAsia="方正小标宋简体"/>
          <w:color w:val="auto"/>
          <w:sz w:val="32"/>
          <w:szCs w:val="32"/>
        </w:rPr>
      </w:pPr>
      <w:r>
        <w:rPr>
          <w:rFonts w:hint="eastAsia" w:ascii="方正小标宋简体" w:eastAsia="方正小标宋简体"/>
          <w:color w:val="auto"/>
          <w:sz w:val="32"/>
          <w:szCs w:val="32"/>
        </w:rPr>
        <w:t>环境监测技术需求书</w:t>
      </w:r>
    </w:p>
    <w:p w14:paraId="2A0A1485">
      <w:pPr>
        <w:spacing w:line="400" w:lineRule="exact"/>
        <w:rPr>
          <w:rFonts w:hint="eastAsia" w:ascii="仿宋_GB2312" w:hAnsi="宋体" w:eastAsia="仿宋_GB2312"/>
          <w:b/>
          <w:bCs/>
          <w:color w:val="auto"/>
          <w:sz w:val="24"/>
          <w:szCs w:val="24"/>
        </w:rPr>
      </w:pPr>
      <w:r>
        <w:rPr>
          <w:rFonts w:hint="eastAsia" w:ascii="仿宋_GB2312" w:hAnsi="宋体" w:eastAsia="仿宋_GB2312"/>
          <w:b/>
          <w:bCs/>
          <w:color w:val="auto"/>
          <w:sz w:val="24"/>
          <w:szCs w:val="24"/>
        </w:rPr>
        <w:t>一、项目概况</w:t>
      </w:r>
    </w:p>
    <w:p w14:paraId="2691941F">
      <w:pPr>
        <w:spacing w:line="400" w:lineRule="exact"/>
        <w:ind w:firstLine="482" w:firstLineChars="200"/>
        <w:rPr>
          <w:rFonts w:hint="eastAsia" w:ascii="仿宋_GB2312" w:hAnsi="宋体" w:eastAsia="仿宋_GB2312"/>
          <w:color w:val="auto"/>
          <w:sz w:val="24"/>
          <w:szCs w:val="24"/>
        </w:rPr>
      </w:pPr>
      <w:r>
        <w:rPr>
          <w:rFonts w:hint="eastAsia" w:ascii="仿宋_GB2312" w:hAnsi="宋体" w:eastAsia="仿宋_GB2312"/>
          <w:b/>
          <w:bCs/>
          <w:color w:val="auto"/>
          <w:sz w:val="24"/>
          <w:szCs w:val="24"/>
        </w:rPr>
        <w:t>（一）麻涌项目：</w:t>
      </w:r>
      <w:r>
        <w:rPr>
          <w:rFonts w:hint="eastAsia" w:ascii="仿宋_GB2312" w:hAnsi="宋体" w:eastAsia="仿宋_GB2312"/>
          <w:color w:val="auto"/>
          <w:sz w:val="24"/>
          <w:szCs w:val="24"/>
        </w:rPr>
        <w:t>东莞市新东欣环保投资有限公司规划建设东莞市海心沙资源综合利用中心绿色工业服务项目。项目设计接收处置26大类工业危险废物共约31.61万t/a的处理规模，其中焚烧危险废物6万吨，综合利用危险废物6.78万吨，物化处理危险废物5.5万吨，表面处理废物处理13.3万吨，暂存转运危险废物300吨，浓缩液处理项目处理生活卫生填埋场渗滤液浓缩液22.11万t/a。</w:t>
      </w:r>
    </w:p>
    <w:p w14:paraId="494407CF">
      <w:pPr>
        <w:spacing w:line="400" w:lineRule="exact"/>
        <w:ind w:firstLine="482" w:firstLineChars="200"/>
        <w:rPr>
          <w:rFonts w:hint="eastAsia" w:ascii="仿宋_GB2312" w:hAnsi="宋体" w:eastAsia="仿宋_GB2312"/>
          <w:color w:val="auto"/>
          <w:sz w:val="24"/>
          <w:szCs w:val="24"/>
        </w:rPr>
      </w:pPr>
      <w:r>
        <w:rPr>
          <w:rFonts w:hint="eastAsia" w:ascii="仿宋_GB2312" w:hAnsi="宋体" w:eastAsia="仿宋_GB2312"/>
          <w:b/>
          <w:bCs/>
          <w:color w:val="auto"/>
          <w:sz w:val="24"/>
          <w:szCs w:val="24"/>
        </w:rPr>
        <w:t>（二）凤岗项目：</w:t>
      </w:r>
      <w:r>
        <w:rPr>
          <w:rFonts w:hint="eastAsia" w:ascii="仿宋_GB2312" w:hAnsi="宋体" w:eastAsia="仿宋_GB2312"/>
          <w:color w:val="auto"/>
          <w:sz w:val="24"/>
          <w:szCs w:val="24"/>
        </w:rPr>
        <w:t>东莞市新东欣环保投资有限公司作为凤岗镇中心区生活垃圾填埋场渗滤液处理站（以下简称凤岗渗滤液处理站）的运营商，位于凤岗镇五联村畔坑小组坳背塘区域，渗滤液处理工程规模为50吨/天。处理后的出水排放标准达到《生活垃圾填埋场污染控制标准》（GB16889-2008）表2标准后排入市政污水管网；NF/RO浓缩液由东莞市城市管理和综合执法局委托有资质公司实行无害化处理。</w:t>
      </w:r>
    </w:p>
    <w:p w14:paraId="225B137C">
      <w:pPr>
        <w:spacing w:line="400" w:lineRule="exact"/>
        <w:rPr>
          <w:rFonts w:hint="eastAsia" w:ascii="仿宋_GB2312" w:hAnsi="宋体" w:eastAsia="仿宋_GB2312"/>
          <w:b/>
          <w:bCs/>
          <w:color w:val="auto"/>
          <w:sz w:val="24"/>
          <w:szCs w:val="24"/>
        </w:rPr>
      </w:pPr>
      <w:r>
        <w:rPr>
          <w:rFonts w:hint="eastAsia" w:ascii="仿宋_GB2312" w:hAnsi="宋体" w:eastAsia="仿宋_GB2312"/>
          <w:b/>
          <w:bCs/>
          <w:color w:val="auto"/>
          <w:sz w:val="24"/>
          <w:szCs w:val="24"/>
        </w:rPr>
        <w:t>二、服务清单</w:t>
      </w:r>
    </w:p>
    <w:p w14:paraId="3E64995C">
      <w:pPr>
        <w:spacing w:line="400" w:lineRule="exact"/>
        <w:rPr>
          <w:rFonts w:hint="eastAsia" w:ascii="仿宋_GB2312" w:hAnsi="宋体" w:eastAsia="仿宋_GB2312"/>
          <w:b/>
          <w:bCs/>
          <w:color w:val="auto"/>
          <w:sz w:val="24"/>
          <w:szCs w:val="24"/>
        </w:rPr>
      </w:pPr>
      <w:r>
        <w:rPr>
          <w:rFonts w:hint="eastAsia" w:ascii="仿宋_GB2312" w:hAnsi="宋体" w:eastAsia="仿宋_GB2312"/>
          <w:b/>
          <w:bCs/>
          <w:color w:val="auto"/>
          <w:sz w:val="24"/>
          <w:szCs w:val="24"/>
        </w:rPr>
        <w:t>（一）服务期限</w:t>
      </w:r>
    </w:p>
    <w:p w14:paraId="0FAB7C8B">
      <w:pPr>
        <w:pStyle w:val="4"/>
        <w:snapToGrid w:val="0"/>
        <w:spacing w:after="0"/>
        <w:ind w:firstLine="480" w:firstLineChars="200"/>
        <w:rPr>
          <w:rFonts w:hint="eastAsia" w:ascii="仿宋_GB2312" w:hAnsi="仿宋_GB2312" w:eastAsia="仿宋_GB2312" w:cs="仿宋_GB2312"/>
          <w:color w:val="auto"/>
          <w:sz w:val="24"/>
          <w:szCs w:val="24"/>
        </w:rPr>
      </w:pPr>
      <w:r>
        <w:rPr>
          <w:rFonts w:hint="eastAsia" w:ascii="仿宋_GB2312" w:hAnsi="宋体" w:eastAsia="仿宋_GB2312" w:cs="Times New Roman"/>
          <w:color w:val="auto"/>
          <w:sz w:val="24"/>
          <w:szCs w:val="24"/>
        </w:rPr>
        <w:t>东莞市新东欣环保投资有限公司</w:t>
      </w:r>
      <w:r>
        <w:rPr>
          <w:rFonts w:hint="eastAsia" w:ascii="仿宋_GB2312" w:hAnsi="仿宋_GB2312" w:eastAsia="仿宋_GB2312" w:cs="仿宋_GB2312"/>
          <w:color w:val="auto"/>
          <w:sz w:val="24"/>
          <w:szCs w:val="24"/>
        </w:rPr>
        <w:t>监测</w:t>
      </w:r>
      <w:r>
        <w:rPr>
          <w:rFonts w:hint="eastAsia" w:ascii="仿宋_GB2312" w:hAnsi="宋体" w:eastAsia="仿宋_GB2312"/>
          <w:color w:val="auto"/>
          <w:sz w:val="24"/>
          <w:szCs w:val="24"/>
        </w:rPr>
        <w:t>服务时间为自中标人实际进场开始检测之日起</w:t>
      </w:r>
      <w:r>
        <w:rPr>
          <w:rFonts w:hint="eastAsia" w:ascii="仿宋_GB2312" w:hAnsi="宋体" w:eastAsia="仿宋_GB2312"/>
          <w:color w:val="auto"/>
          <w:sz w:val="24"/>
          <w:szCs w:val="24"/>
          <w:lang w:val="en-US" w:eastAsia="zh-CN"/>
        </w:rPr>
        <w:t>两</w:t>
      </w:r>
      <w:r>
        <w:rPr>
          <w:rFonts w:hint="eastAsia" w:ascii="仿宋_GB2312" w:hAnsi="宋体" w:eastAsia="仿宋_GB2312"/>
          <w:color w:val="auto"/>
          <w:sz w:val="24"/>
          <w:szCs w:val="24"/>
        </w:rPr>
        <w:t>年。</w:t>
      </w:r>
    </w:p>
    <w:p w14:paraId="0FEAC11A">
      <w:pPr>
        <w:spacing w:line="400" w:lineRule="exact"/>
        <w:rPr>
          <w:rFonts w:hint="eastAsia" w:ascii="仿宋_GB2312" w:hAnsi="宋体" w:eastAsia="仿宋_GB2312"/>
          <w:b/>
          <w:bCs/>
          <w:color w:val="auto"/>
          <w:sz w:val="24"/>
          <w:szCs w:val="24"/>
        </w:rPr>
      </w:pPr>
      <w:r>
        <w:rPr>
          <w:rFonts w:hint="eastAsia" w:ascii="仿宋_GB2312" w:hAnsi="宋体" w:eastAsia="仿宋_GB2312"/>
          <w:b/>
          <w:bCs/>
          <w:color w:val="auto"/>
          <w:sz w:val="24"/>
          <w:szCs w:val="24"/>
        </w:rPr>
        <w:t>（二）服务内容</w:t>
      </w:r>
    </w:p>
    <w:p w14:paraId="01754B5B">
      <w:pPr>
        <w:spacing w:line="400" w:lineRule="exact"/>
        <w:ind w:firstLine="480" w:firstLineChars="200"/>
        <w:rPr>
          <w:rFonts w:hint="eastAsia" w:ascii="仿宋_GB2312" w:hAnsi="宋体" w:eastAsia="仿宋_GB2312"/>
          <w:color w:val="auto"/>
          <w:sz w:val="24"/>
          <w:szCs w:val="24"/>
        </w:rPr>
      </w:pPr>
      <w:bookmarkStart w:id="0" w:name="_Hlk137800425"/>
      <w:r>
        <w:rPr>
          <w:rFonts w:hint="eastAsia" w:ascii="仿宋_GB2312" w:hAnsi="宋体" w:eastAsia="仿宋_GB2312"/>
          <w:color w:val="auto"/>
          <w:sz w:val="24"/>
          <w:szCs w:val="24"/>
        </w:rPr>
        <w:t>1</w:t>
      </w:r>
      <w:r>
        <w:rPr>
          <w:rFonts w:ascii="仿宋_GB2312" w:hAnsi="宋体" w:eastAsia="仿宋_GB2312"/>
          <w:color w:val="auto"/>
          <w:sz w:val="24"/>
          <w:szCs w:val="24"/>
        </w:rPr>
        <w:t>.</w:t>
      </w:r>
      <w:r>
        <w:rPr>
          <w:rFonts w:hint="eastAsia" w:ascii="仿宋_GB2312" w:hAnsi="宋体" w:eastAsia="仿宋_GB2312"/>
          <w:color w:val="auto"/>
          <w:sz w:val="24"/>
          <w:szCs w:val="24"/>
        </w:rPr>
        <w:t>绿色工业服务项目</w:t>
      </w:r>
    </w:p>
    <w:p w14:paraId="2BCB329C">
      <w:pPr>
        <w:spacing w:line="400" w:lineRule="exact"/>
        <w:ind w:firstLine="480" w:firstLineChars="200"/>
        <w:rPr>
          <w:rFonts w:hint="eastAsia" w:ascii="仿宋_GB2312" w:hAnsi="仿宋_GB2312" w:eastAsia="仿宋_GB2312" w:cs="仿宋_GB2312"/>
          <w:color w:val="auto"/>
          <w:sz w:val="24"/>
          <w:szCs w:val="24"/>
          <w:lang w:eastAsia="zh-CN"/>
        </w:rPr>
      </w:pPr>
      <w:r>
        <w:rPr>
          <w:rFonts w:hint="eastAsia" w:ascii="仿宋_GB2312" w:hAnsi="宋体" w:eastAsia="仿宋_GB2312"/>
          <w:color w:val="auto"/>
          <w:sz w:val="24"/>
          <w:szCs w:val="24"/>
        </w:rPr>
        <w:t>2021年3月1日生态环境部施行的《排污许可管理条例》、《排污单位自行监测技术指南总则》（HJ819-2017）、《排污许可证申请与核发技术规范危险废物焚烧》(HJ1038-2019)、《排污许可证申请与核发技术规范工业固体废物和危险废物治理》（HJ1033-2019）、排污许可证申请与核发技术规范—废弃资源加工工业（HJ 1034—2019）、排污单位自行监测技术指南 有色金属工业——再生金属（HJ 1208-2021 )、排污单位自行监测技术指南 固体废物焚烧（HJ 1205—2021）、排污许可证申请与核发技术规范 工业固体废物（试行）（HJ 1200-2021）、《关于实施厂区内挥发性有机物无组织排放监控要求的通告（粤环发[2021]4号）》及项目环评，确定委外环境监测方案如表3，服务单位须根据约定时间完成</w:t>
      </w:r>
      <w:r>
        <w:rPr>
          <w:rFonts w:hint="eastAsia" w:ascii="仿宋_GB2312" w:hAnsi="宋体" w:eastAsia="仿宋_GB2312"/>
          <w:color w:val="auto"/>
          <w:sz w:val="24"/>
          <w:szCs w:val="24"/>
          <w:lang w:eastAsia="zh-CN"/>
        </w:rPr>
        <w:t>。</w:t>
      </w:r>
    </w:p>
    <w:p w14:paraId="5FC719EE">
      <w:pPr>
        <w:spacing w:line="400" w:lineRule="exact"/>
        <w:ind w:firstLine="480" w:firstLineChars="200"/>
        <w:jc w:val="center"/>
        <w:rPr>
          <w:rFonts w:hint="eastAsia" w:ascii="仿宋_GB2312" w:hAnsi="宋体" w:eastAsia="仿宋_GB2312"/>
          <w:color w:val="auto"/>
          <w:sz w:val="24"/>
          <w:szCs w:val="24"/>
        </w:rPr>
      </w:pPr>
      <w:r>
        <w:rPr>
          <w:rFonts w:hint="eastAsia" w:ascii="仿宋_GB2312" w:hAnsi="宋体" w:eastAsia="仿宋_GB2312"/>
          <w:color w:val="auto"/>
          <w:sz w:val="24"/>
          <w:szCs w:val="24"/>
        </w:rPr>
        <w:t>表2：绿色工业服务项目委外环境监测方案</w:t>
      </w:r>
    </w:p>
    <w:bookmarkEnd w:id="0"/>
    <w:tbl>
      <w:tblPr>
        <w:tblStyle w:val="13"/>
        <w:tblW w:w="8359" w:type="dxa"/>
        <w:tblInd w:w="0" w:type="dxa"/>
        <w:tblLayout w:type="autofit"/>
        <w:tblCellMar>
          <w:top w:w="0" w:type="dxa"/>
          <w:left w:w="108" w:type="dxa"/>
          <w:bottom w:w="0" w:type="dxa"/>
          <w:right w:w="108" w:type="dxa"/>
        </w:tblCellMar>
      </w:tblPr>
      <w:tblGrid>
        <w:gridCol w:w="427"/>
        <w:gridCol w:w="636"/>
        <w:gridCol w:w="1552"/>
        <w:gridCol w:w="2001"/>
        <w:gridCol w:w="846"/>
        <w:gridCol w:w="1631"/>
        <w:gridCol w:w="1266"/>
      </w:tblGrid>
      <w:tr w14:paraId="62D70B35">
        <w:tblPrEx>
          <w:tblCellMar>
            <w:top w:w="0" w:type="dxa"/>
            <w:left w:w="108" w:type="dxa"/>
            <w:bottom w:w="0" w:type="dxa"/>
            <w:right w:w="108" w:type="dxa"/>
          </w:tblCellMar>
        </w:tblPrEx>
        <w:trPr>
          <w:trHeight w:val="780" w:hRule="atLeast"/>
          <w:tblHeader/>
        </w:trPr>
        <w:tc>
          <w:tcPr>
            <w:tcW w:w="427" w:type="dxa"/>
            <w:tcBorders>
              <w:top w:val="single" w:color="auto" w:sz="4" w:space="0"/>
              <w:left w:val="single" w:color="auto" w:sz="4" w:space="0"/>
              <w:bottom w:val="nil"/>
              <w:right w:val="single" w:color="auto" w:sz="4" w:space="0"/>
            </w:tcBorders>
            <w:shd w:val="clear" w:color="auto" w:fill="auto"/>
            <w:vAlign w:val="center"/>
          </w:tcPr>
          <w:p w14:paraId="7D82D0F1">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b/>
                <w:bCs/>
                <w:color w:val="auto"/>
                <w:kern w:val="0"/>
                <w:sz w:val="20"/>
                <w:szCs w:val="20"/>
              </w:rPr>
            </w:pPr>
            <w:bookmarkStart w:id="1" w:name="_Hlk137800439"/>
            <w:r>
              <w:rPr>
                <w:rFonts w:hint="eastAsia" w:ascii="仿宋_GB2312" w:hAnsi="仿宋_GB2312" w:eastAsia="仿宋_GB2312" w:cs="仿宋_GB2312"/>
                <w:b/>
                <w:bCs/>
                <w:color w:val="auto"/>
                <w:kern w:val="0"/>
                <w:sz w:val="20"/>
                <w:szCs w:val="20"/>
              </w:rPr>
              <w:t>序号</w:t>
            </w:r>
          </w:p>
        </w:tc>
        <w:tc>
          <w:tcPr>
            <w:tcW w:w="636" w:type="dxa"/>
            <w:tcBorders>
              <w:top w:val="single" w:color="auto" w:sz="4" w:space="0"/>
              <w:left w:val="nil"/>
              <w:bottom w:val="nil"/>
              <w:right w:val="single" w:color="auto" w:sz="4" w:space="0"/>
            </w:tcBorders>
            <w:shd w:val="clear" w:color="auto" w:fill="auto"/>
            <w:vAlign w:val="center"/>
          </w:tcPr>
          <w:p w14:paraId="46A2835D">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b/>
                <w:bCs/>
                <w:color w:val="auto"/>
                <w:kern w:val="0"/>
                <w:sz w:val="20"/>
                <w:szCs w:val="20"/>
              </w:rPr>
            </w:pPr>
            <w:r>
              <w:rPr>
                <w:rFonts w:hint="eastAsia" w:ascii="仿宋_GB2312" w:hAnsi="仿宋_GB2312" w:eastAsia="仿宋_GB2312" w:cs="仿宋_GB2312"/>
                <w:b/>
                <w:bCs/>
                <w:color w:val="auto"/>
                <w:kern w:val="0"/>
                <w:sz w:val="20"/>
                <w:szCs w:val="20"/>
              </w:rPr>
              <w:t>项目</w:t>
            </w:r>
          </w:p>
        </w:tc>
        <w:tc>
          <w:tcPr>
            <w:tcW w:w="1552" w:type="dxa"/>
            <w:tcBorders>
              <w:top w:val="single" w:color="auto" w:sz="4" w:space="0"/>
              <w:left w:val="nil"/>
              <w:bottom w:val="nil"/>
              <w:right w:val="single" w:color="auto" w:sz="4" w:space="0"/>
            </w:tcBorders>
            <w:shd w:val="clear" w:color="auto" w:fill="auto"/>
            <w:vAlign w:val="center"/>
          </w:tcPr>
          <w:p w14:paraId="554E4380">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b/>
                <w:bCs/>
                <w:color w:val="auto"/>
                <w:kern w:val="0"/>
                <w:sz w:val="20"/>
                <w:szCs w:val="20"/>
              </w:rPr>
            </w:pPr>
            <w:r>
              <w:rPr>
                <w:rFonts w:hint="eastAsia" w:ascii="仿宋_GB2312" w:hAnsi="仿宋_GB2312" w:eastAsia="仿宋_GB2312" w:cs="仿宋_GB2312"/>
                <w:b/>
                <w:bCs/>
                <w:color w:val="auto"/>
                <w:kern w:val="0"/>
                <w:sz w:val="20"/>
                <w:szCs w:val="20"/>
              </w:rPr>
              <w:t>监测点位</w:t>
            </w:r>
          </w:p>
        </w:tc>
        <w:tc>
          <w:tcPr>
            <w:tcW w:w="2001" w:type="dxa"/>
            <w:tcBorders>
              <w:top w:val="single" w:color="auto" w:sz="4" w:space="0"/>
              <w:left w:val="nil"/>
              <w:bottom w:val="nil"/>
              <w:right w:val="single" w:color="auto" w:sz="4" w:space="0"/>
            </w:tcBorders>
            <w:shd w:val="clear" w:color="auto" w:fill="auto"/>
            <w:vAlign w:val="center"/>
          </w:tcPr>
          <w:p w14:paraId="272158B8">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b/>
                <w:bCs/>
                <w:color w:val="auto"/>
                <w:kern w:val="0"/>
                <w:sz w:val="20"/>
                <w:szCs w:val="20"/>
              </w:rPr>
            </w:pPr>
            <w:r>
              <w:rPr>
                <w:rFonts w:hint="eastAsia" w:ascii="仿宋_GB2312" w:hAnsi="仿宋_GB2312" w:eastAsia="仿宋_GB2312" w:cs="仿宋_GB2312"/>
                <w:b/>
                <w:bCs/>
                <w:color w:val="auto"/>
                <w:kern w:val="0"/>
                <w:sz w:val="20"/>
                <w:szCs w:val="20"/>
              </w:rPr>
              <w:t>监测因子</w:t>
            </w:r>
          </w:p>
        </w:tc>
        <w:tc>
          <w:tcPr>
            <w:tcW w:w="846" w:type="dxa"/>
            <w:tcBorders>
              <w:top w:val="single" w:color="auto" w:sz="4" w:space="0"/>
              <w:left w:val="nil"/>
              <w:bottom w:val="nil"/>
              <w:right w:val="single" w:color="auto" w:sz="4" w:space="0"/>
            </w:tcBorders>
            <w:shd w:val="clear" w:color="auto" w:fill="auto"/>
            <w:vAlign w:val="center"/>
          </w:tcPr>
          <w:p w14:paraId="2EC00AAB">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b/>
                <w:bCs/>
                <w:color w:val="auto"/>
                <w:kern w:val="0"/>
                <w:sz w:val="20"/>
                <w:szCs w:val="20"/>
              </w:rPr>
            </w:pPr>
            <w:r>
              <w:rPr>
                <w:rFonts w:hint="eastAsia" w:ascii="仿宋_GB2312" w:hAnsi="仿宋_GB2312" w:eastAsia="仿宋_GB2312" w:cs="仿宋_GB2312"/>
                <w:b/>
                <w:bCs/>
                <w:color w:val="auto"/>
                <w:kern w:val="0"/>
                <w:sz w:val="20"/>
                <w:szCs w:val="20"/>
              </w:rPr>
              <w:t>监测频次</w:t>
            </w:r>
          </w:p>
        </w:tc>
        <w:tc>
          <w:tcPr>
            <w:tcW w:w="1631" w:type="dxa"/>
            <w:tcBorders>
              <w:top w:val="single" w:color="auto" w:sz="4" w:space="0"/>
              <w:left w:val="nil"/>
              <w:bottom w:val="nil"/>
              <w:right w:val="single" w:color="auto" w:sz="4" w:space="0"/>
            </w:tcBorders>
            <w:shd w:val="clear" w:color="auto" w:fill="auto"/>
            <w:vAlign w:val="center"/>
          </w:tcPr>
          <w:p w14:paraId="32979771">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b/>
                <w:bCs/>
                <w:color w:val="auto"/>
                <w:kern w:val="0"/>
                <w:sz w:val="20"/>
                <w:szCs w:val="20"/>
              </w:rPr>
            </w:pPr>
            <w:r>
              <w:rPr>
                <w:rFonts w:hint="eastAsia" w:ascii="仿宋_GB2312" w:hAnsi="仿宋_GB2312" w:eastAsia="仿宋_GB2312" w:cs="仿宋_GB2312"/>
                <w:b/>
                <w:bCs/>
                <w:color w:val="auto"/>
                <w:kern w:val="0"/>
                <w:sz w:val="20"/>
                <w:szCs w:val="20"/>
              </w:rPr>
              <w:t>备注</w:t>
            </w:r>
          </w:p>
        </w:tc>
        <w:tc>
          <w:tcPr>
            <w:tcW w:w="1266" w:type="dxa"/>
            <w:tcBorders>
              <w:top w:val="single" w:color="auto" w:sz="4" w:space="0"/>
              <w:left w:val="nil"/>
              <w:bottom w:val="single" w:color="auto" w:sz="4" w:space="0"/>
              <w:right w:val="single" w:color="auto" w:sz="4" w:space="0"/>
            </w:tcBorders>
            <w:shd w:val="clear" w:color="000000" w:fill="BEBEBE"/>
            <w:vAlign w:val="center"/>
          </w:tcPr>
          <w:p w14:paraId="3C49D0B6">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b/>
                <w:bCs/>
                <w:color w:val="auto"/>
                <w:kern w:val="0"/>
                <w:sz w:val="20"/>
                <w:szCs w:val="20"/>
              </w:rPr>
            </w:pPr>
            <w:r>
              <w:rPr>
                <w:rFonts w:hint="eastAsia" w:ascii="仿宋_GB2312" w:hAnsi="仿宋_GB2312" w:eastAsia="仿宋_GB2312" w:cs="仿宋_GB2312"/>
                <w:b/>
                <w:bCs/>
                <w:color w:val="auto"/>
                <w:kern w:val="0"/>
                <w:sz w:val="20"/>
                <w:szCs w:val="20"/>
              </w:rPr>
              <w:t>年样品数量</w:t>
            </w:r>
          </w:p>
        </w:tc>
      </w:tr>
      <w:tr w14:paraId="0DE59F62">
        <w:tblPrEx>
          <w:tblCellMar>
            <w:top w:w="0" w:type="dxa"/>
            <w:left w:w="108" w:type="dxa"/>
            <w:bottom w:w="0" w:type="dxa"/>
            <w:right w:w="108" w:type="dxa"/>
          </w:tblCellMar>
        </w:tblPrEx>
        <w:trPr>
          <w:trHeight w:val="1800" w:hRule="atLeast"/>
        </w:trPr>
        <w:tc>
          <w:tcPr>
            <w:tcW w:w="427" w:type="dxa"/>
            <w:tcBorders>
              <w:top w:val="single" w:color="auto" w:sz="4" w:space="0"/>
              <w:left w:val="single" w:color="auto" w:sz="4" w:space="0"/>
              <w:bottom w:val="single" w:color="auto" w:sz="4" w:space="0"/>
              <w:right w:val="single" w:color="auto" w:sz="4" w:space="0"/>
            </w:tcBorders>
            <w:shd w:val="clear" w:color="auto" w:fill="auto"/>
            <w:vAlign w:val="center"/>
          </w:tcPr>
          <w:p w14:paraId="2C07701C">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w:t>
            </w:r>
          </w:p>
        </w:tc>
        <w:tc>
          <w:tcPr>
            <w:tcW w:w="636"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14:paraId="60FF19F1">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有组织排放废气（主要排放口）</w:t>
            </w:r>
          </w:p>
        </w:tc>
        <w:tc>
          <w:tcPr>
            <w:tcW w:w="155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C04F92F">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焚烧回转窑集束烟囱A1、A2共2个点位</w:t>
            </w:r>
          </w:p>
        </w:tc>
        <w:tc>
          <w:tcPr>
            <w:tcW w:w="2001" w:type="dxa"/>
            <w:tcBorders>
              <w:top w:val="single" w:color="auto" w:sz="4" w:space="0"/>
              <w:left w:val="nil"/>
              <w:bottom w:val="single" w:color="auto" w:sz="4" w:space="0"/>
              <w:right w:val="single" w:color="auto" w:sz="4" w:space="0"/>
            </w:tcBorders>
            <w:shd w:val="clear" w:color="auto" w:fill="auto"/>
            <w:vAlign w:val="center"/>
          </w:tcPr>
          <w:p w14:paraId="4524454A">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烟尘（低浓度颗粒物）、HCl、SO</w:t>
            </w:r>
            <w:r>
              <w:rPr>
                <w:rFonts w:hint="eastAsia" w:ascii="仿宋_GB2312" w:hAnsi="仿宋_GB2312" w:eastAsia="仿宋_GB2312" w:cs="仿宋_GB2312"/>
                <w:color w:val="auto"/>
                <w:kern w:val="0"/>
                <w:sz w:val="20"/>
                <w:szCs w:val="20"/>
                <w:vertAlign w:val="subscript"/>
              </w:rPr>
              <w:t>2</w:t>
            </w:r>
            <w:r>
              <w:rPr>
                <w:rFonts w:hint="eastAsia" w:ascii="仿宋_GB2312" w:hAnsi="仿宋_GB2312" w:eastAsia="仿宋_GB2312" w:cs="仿宋_GB2312"/>
                <w:color w:val="auto"/>
                <w:kern w:val="0"/>
                <w:sz w:val="20"/>
                <w:szCs w:val="20"/>
              </w:rPr>
              <w:t>、NO</w:t>
            </w:r>
            <w:r>
              <w:rPr>
                <w:rFonts w:hint="eastAsia" w:ascii="仿宋_GB2312" w:hAnsi="仿宋_GB2312" w:eastAsia="仿宋_GB2312" w:cs="仿宋_GB2312"/>
                <w:color w:val="auto"/>
                <w:kern w:val="0"/>
                <w:sz w:val="20"/>
                <w:szCs w:val="20"/>
                <w:vertAlign w:val="subscript"/>
              </w:rPr>
              <w:t>X</w:t>
            </w:r>
            <w:r>
              <w:rPr>
                <w:rFonts w:hint="eastAsia" w:ascii="仿宋_GB2312" w:hAnsi="仿宋_GB2312" w:eastAsia="仿宋_GB2312" w:cs="仿宋_GB2312"/>
                <w:color w:val="auto"/>
                <w:kern w:val="0"/>
                <w:sz w:val="20"/>
                <w:szCs w:val="20"/>
              </w:rPr>
              <w:t>、CO、O</w:t>
            </w:r>
            <w:r>
              <w:rPr>
                <w:rFonts w:hint="eastAsia" w:ascii="仿宋_GB2312" w:hAnsi="仿宋_GB2312" w:eastAsia="仿宋_GB2312" w:cs="仿宋_GB2312"/>
                <w:color w:val="auto"/>
                <w:kern w:val="0"/>
                <w:sz w:val="20"/>
                <w:szCs w:val="20"/>
                <w:vertAlign w:val="subscript"/>
              </w:rPr>
              <w:t>2</w:t>
            </w:r>
            <w:r>
              <w:rPr>
                <w:rFonts w:hint="eastAsia" w:ascii="仿宋_GB2312" w:hAnsi="仿宋_GB2312" w:eastAsia="仿宋_GB2312" w:cs="仿宋_GB2312"/>
                <w:color w:val="auto"/>
                <w:kern w:val="0"/>
                <w:sz w:val="20"/>
                <w:szCs w:val="20"/>
              </w:rPr>
              <w:t>、流速、烟温、湿度</w:t>
            </w:r>
          </w:p>
        </w:tc>
        <w:tc>
          <w:tcPr>
            <w:tcW w:w="846" w:type="dxa"/>
            <w:tcBorders>
              <w:top w:val="single" w:color="auto" w:sz="4" w:space="0"/>
              <w:left w:val="nil"/>
              <w:bottom w:val="single" w:color="auto" w:sz="4" w:space="0"/>
              <w:right w:val="single" w:color="auto" w:sz="4" w:space="0"/>
            </w:tcBorders>
            <w:shd w:val="clear" w:color="auto" w:fill="auto"/>
            <w:vAlign w:val="center"/>
          </w:tcPr>
          <w:p w14:paraId="08710224">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1次/季度</w:t>
            </w:r>
          </w:p>
        </w:tc>
        <w:tc>
          <w:tcPr>
            <w:tcW w:w="1631" w:type="dxa"/>
            <w:tcBorders>
              <w:top w:val="single" w:color="auto" w:sz="4" w:space="0"/>
              <w:left w:val="nil"/>
              <w:bottom w:val="single" w:color="auto" w:sz="4" w:space="0"/>
              <w:right w:val="single" w:color="auto" w:sz="4" w:space="0"/>
            </w:tcBorders>
            <w:shd w:val="clear" w:color="auto" w:fill="auto"/>
            <w:vAlign w:val="center"/>
          </w:tcPr>
          <w:p w14:paraId="3B5E999B">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采用参比方法对在线监测设备进行比对：测量气态污染物和氧气浓度，至少获取9个数据对，每个数据对取5～15min均值；测量流速、烟温湿度时，至少获取5个同时段测试断面值数据对，分别计算流速、烟温、湿度CMS准确度。</w:t>
            </w:r>
          </w:p>
        </w:tc>
        <w:tc>
          <w:tcPr>
            <w:tcW w:w="1266" w:type="dxa"/>
            <w:tcBorders>
              <w:top w:val="nil"/>
              <w:left w:val="nil"/>
              <w:bottom w:val="single" w:color="auto" w:sz="4" w:space="0"/>
              <w:right w:val="single" w:color="auto" w:sz="4" w:space="0"/>
            </w:tcBorders>
            <w:shd w:val="clear" w:color="auto" w:fill="auto"/>
            <w:vAlign w:val="center"/>
          </w:tcPr>
          <w:p w14:paraId="62FB553C">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8</w:t>
            </w:r>
          </w:p>
        </w:tc>
      </w:tr>
      <w:tr w14:paraId="570D59D2">
        <w:tblPrEx>
          <w:tblCellMar>
            <w:top w:w="0" w:type="dxa"/>
            <w:left w:w="108" w:type="dxa"/>
            <w:bottom w:w="0" w:type="dxa"/>
            <w:right w:w="108" w:type="dxa"/>
          </w:tblCellMar>
        </w:tblPrEx>
        <w:trPr>
          <w:trHeight w:val="2325" w:hRule="atLeast"/>
        </w:trPr>
        <w:tc>
          <w:tcPr>
            <w:tcW w:w="427" w:type="dxa"/>
            <w:tcBorders>
              <w:top w:val="nil"/>
              <w:left w:val="single" w:color="auto" w:sz="4" w:space="0"/>
              <w:bottom w:val="single" w:color="auto" w:sz="4" w:space="0"/>
              <w:right w:val="single" w:color="auto" w:sz="4" w:space="0"/>
            </w:tcBorders>
            <w:shd w:val="clear" w:color="auto" w:fill="auto"/>
            <w:vAlign w:val="center"/>
          </w:tcPr>
          <w:p w14:paraId="0BE5A10A">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2</w:t>
            </w:r>
          </w:p>
        </w:tc>
        <w:tc>
          <w:tcPr>
            <w:tcW w:w="636" w:type="dxa"/>
            <w:vMerge w:val="continue"/>
            <w:tcBorders>
              <w:top w:val="single" w:color="auto" w:sz="4" w:space="0"/>
              <w:left w:val="single" w:color="auto" w:sz="4" w:space="0"/>
              <w:bottom w:val="single" w:color="000000" w:sz="4" w:space="0"/>
              <w:right w:val="single" w:color="auto" w:sz="4" w:space="0"/>
            </w:tcBorders>
            <w:vAlign w:val="center"/>
          </w:tcPr>
          <w:p w14:paraId="4EA4531F">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color w:val="auto"/>
                <w:kern w:val="0"/>
                <w:sz w:val="20"/>
                <w:szCs w:val="20"/>
              </w:rPr>
            </w:pPr>
          </w:p>
        </w:tc>
        <w:tc>
          <w:tcPr>
            <w:tcW w:w="1552" w:type="dxa"/>
            <w:vMerge w:val="continue"/>
            <w:tcBorders>
              <w:top w:val="single" w:color="auto" w:sz="4" w:space="0"/>
              <w:left w:val="single" w:color="auto" w:sz="4" w:space="0"/>
              <w:bottom w:val="single" w:color="auto" w:sz="4" w:space="0"/>
              <w:right w:val="single" w:color="auto" w:sz="4" w:space="0"/>
            </w:tcBorders>
            <w:vAlign w:val="center"/>
          </w:tcPr>
          <w:p w14:paraId="5652F473">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color w:val="auto"/>
                <w:kern w:val="0"/>
                <w:sz w:val="20"/>
                <w:szCs w:val="20"/>
              </w:rPr>
            </w:pP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14:paraId="0577F6AB">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汞及其化合物（以Hg计）、铊及其化合物（以Ti计）、镉及其化合物（以Cd计）、铅及其化合物（以Pb计）、砷及其化合物（以As计）、铬及其化合物（以Gr计）、锡、锑、铜、锰、镍、钴及其化合物（以Sn+Sb+Cu+Mn+Ni+Co计）</w:t>
            </w:r>
          </w:p>
        </w:tc>
        <w:tc>
          <w:tcPr>
            <w:tcW w:w="846" w:type="dxa"/>
            <w:tcBorders>
              <w:top w:val="single" w:color="auto" w:sz="4" w:space="0"/>
              <w:left w:val="single" w:color="auto" w:sz="4" w:space="0"/>
              <w:bottom w:val="single" w:color="auto" w:sz="4" w:space="0"/>
              <w:right w:val="single" w:color="auto" w:sz="4" w:space="0"/>
            </w:tcBorders>
            <w:shd w:val="clear" w:color="auto" w:fill="auto"/>
            <w:vAlign w:val="center"/>
          </w:tcPr>
          <w:p w14:paraId="20DFC5A9">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1次/月</w:t>
            </w:r>
          </w:p>
        </w:tc>
        <w:tc>
          <w:tcPr>
            <w:tcW w:w="1631" w:type="dxa"/>
            <w:tcBorders>
              <w:top w:val="single" w:color="auto" w:sz="4" w:space="0"/>
              <w:left w:val="single" w:color="auto" w:sz="4" w:space="0"/>
              <w:bottom w:val="single" w:color="auto" w:sz="4" w:space="0"/>
              <w:right w:val="single" w:color="auto" w:sz="4" w:space="0"/>
            </w:tcBorders>
            <w:shd w:val="clear" w:color="auto" w:fill="auto"/>
            <w:vAlign w:val="center"/>
          </w:tcPr>
          <w:p w14:paraId="71285DE9">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每台炉的测量值需为0.5～8 个小时内完成不少于 3 个样品的采集，取算术平均值</w:t>
            </w:r>
          </w:p>
        </w:tc>
        <w:tc>
          <w:tcPr>
            <w:tcW w:w="1266" w:type="dxa"/>
            <w:tcBorders>
              <w:top w:val="single" w:color="auto" w:sz="4" w:space="0"/>
              <w:left w:val="single" w:color="auto" w:sz="4" w:space="0"/>
              <w:bottom w:val="single" w:color="auto" w:sz="4" w:space="0"/>
              <w:right w:val="single" w:color="auto" w:sz="4" w:space="0"/>
            </w:tcBorders>
            <w:shd w:val="clear" w:color="auto" w:fill="auto"/>
            <w:vAlign w:val="center"/>
          </w:tcPr>
          <w:p w14:paraId="5443A007">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72</w:t>
            </w:r>
          </w:p>
        </w:tc>
      </w:tr>
      <w:tr w14:paraId="2680B0A5">
        <w:tblPrEx>
          <w:tblCellMar>
            <w:top w:w="0" w:type="dxa"/>
            <w:left w:w="108" w:type="dxa"/>
            <w:bottom w:w="0" w:type="dxa"/>
            <w:right w:w="108" w:type="dxa"/>
          </w:tblCellMar>
        </w:tblPrEx>
        <w:trPr>
          <w:trHeight w:val="1339" w:hRule="atLeast"/>
        </w:trPr>
        <w:tc>
          <w:tcPr>
            <w:tcW w:w="427" w:type="dxa"/>
            <w:tcBorders>
              <w:top w:val="nil"/>
              <w:left w:val="single" w:color="auto" w:sz="4" w:space="0"/>
              <w:bottom w:val="single" w:color="auto" w:sz="4" w:space="0"/>
              <w:right w:val="single" w:color="auto" w:sz="4" w:space="0"/>
            </w:tcBorders>
            <w:shd w:val="clear" w:color="auto" w:fill="auto"/>
            <w:vAlign w:val="center"/>
          </w:tcPr>
          <w:p w14:paraId="4C3A3D83">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3</w:t>
            </w:r>
          </w:p>
        </w:tc>
        <w:tc>
          <w:tcPr>
            <w:tcW w:w="636" w:type="dxa"/>
            <w:vMerge w:val="continue"/>
            <w:tcBorders>
              <w:top w:val="single" w:color="auto" w:sz="4" w:space="0"/>
              <w:left w:val="single" w:color="auto" w:sz="4" w:space="0"/>
              <w:bottom w:val="single" w:color="000000" w:sz="4" w:space="0"/>
              <w:right w:val="single" w:color="auto" w:sz="4" w:space="0"/>
            </w:tcBorders>
            <w:vAlign w:val="center"/>
          </w:tcPr>
          <w:p w14:paraId="7F9D9FA5">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color w:val="auto"/>
                <w:kern w:val="0"/>
                <w:sz w:val="20"/>
                <w:szCs w:val="20"/>
              </w:rPr>
            </w:pPr>
          </w:p>
        </w:tc>
        <w:tc>
          <w:tcPr>
            <w:tcW w:w="1552" w:type="dxa"/>
            <w:vMerge w:val="continue"/>
            <w:tcBorders>
              <w:top w:val="single" w:color="auto" w:sz="4" w:space="0"/>
              <w:left w:val="single" w:color="auto" w:sz="4" w:space="0"/>
              <w:bottom w:val="single" w:color="auto" w:sz="4" w:space="0"/>
              <w:right w:val="single" w:color="auto" w:sz="4" w:space="0"/>
            </w:tcBorders>
            <w:vAlign w:val="center"/>
          </w:tcPr>
          <w:p w14:paraId="411E00F5">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color w:val="auto"/>
                <w:kern w:val="0"/>
                <w:sz w:val="20"/>
                <w:szCs w:val="20"/>
              </w:rPr>
            </w:pPr>
          </w:p>
        </w:tc>
        <w:tc>
          <w:tcPr>
            <w:tcW w:w="2001" w:type="dxa"/>
            <w:tcBorders>
              <w:top w:val="single" w:color="auto" w:sz="4" w:space="0"/>
              <w:left w:val="nil"/>
              <w:bottom w:val="single" w:color="auto" w:sz="4" w:space="0"/>
              <w:right w:val="single" w:color="auto" w:sz="4" w:space="0"/>
            </w:tcBorders>
            <w:shd w:val="clear" w:color="auto" w:fill="auto"/>
            <w:vAlign w:val="center"/>
          </w:tcPr>
          <w:p w14:paraId="5278E9CB">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氟化氢、林格曼黑度</w:t>
            </w:r>
          </w:p>
        </w:tc>
        <w:tc>
          <w:tcPr>
            <w:tcW w:w="846" w:type="dxa"/>
            <w:tcBorders>
              <w:top w:val="single" w:color="auto" w:sz="4" w:space="0"/>
              <w:left w:val="nil"/>
              <w:bottom w:val="single" w:color="auto" w:sz="4" w:space="0"/>
              <w:right w:val="single" w:color="auto" w:sz="4" w:space="0"/>
            </w:tcBorders>
            <w:shd w:val="clear" w:color="auto" w:fill="auto"/>
            <w:vAlign w:val="center"/>
          </w:tcPr>
          <w:p w14:paraId="44BB6BD7">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1次/季度</w:t>
            </w:r>
          </w:p>
        </w:tc>
        <w:tc>
          <w:tcPr>
            <w:tcW w:w="1631" w:type="dxa"/>
            <w:tcBorders>
              <w:top w:val="single" w:color="auto" w:sz="4" w:space="0"/>
              <w:left w:val="nil"/>
              <w:bottom w:val="single" w:color="auto" w:sz="4" w:space="0"/>
              <w:right w:val="single" w:color="auto" w:sz="4" w:space="0"/>
            </w:tcBorders>
            <w:shd w:val="clear" w:color="auto" w:fill="auto"/>
            <w:vAlign w:val="center"/>
          </w:tcPr>
          <w:p w14:paraId="25852096">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每台炉的测量值需为0.5～8 个小时内完成不少于 3 个样品的采集，取算术平均值</w:t>
            </w:r>
          </w:p>
        </w:tc>
        <w:tc>
          <w:tcPr>
            <w:tcW w:w="1266" w:type="dxa"/>
            <w:tcBorders>
              <w:top w:val="single" w:color="auto" w:sz="4" w:space="0"/>
              <w:left w:val="nil"/>
              <w:bottom w:val="single" w:color="auto" w:sz="4" w:space="0"/>
              <w:right w:val="single" w:color="auto" w:sz="4" w:space="0"/>
            </w:tcBorders>
            <w:shd w:val="clear" w:color="auto" w:fill="auto"/>
            <w:vAlign w:val="center"/>
          </w:tcPr>
          <w:p w14:paraId="266453AB">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24</w:t>
            </w:r>
          </w:p>
        </w:tc>
      </w:tr>
      <w:tr w14:paraId="04D9DBDB">
        <w:tblPrEx>
          <w:tblCellMar>
            <w:top w:w="0" w:type="dxa"/>
            <w:left w:w="108" w:type="dxa"/>
            <w:bottom w:w="0" w:type="dxa"/>
            <w:right w:w="108" w:type="dxa"/>
          </w:tblCellMar>
        </w:tblPrEx>
        <w:trPr>
          <w:trHeight w:val="1339" w:hRule="atLeast"/>
        </w:trPr>
        <w:tc>
          <w:tcPr>
            <w:tcW w:w="427" w:type="dxa"/>
            <w:tcBorders>
              <w:top w:val="nil"/>
              <w:left w:val="single" w:color="auto" w:sz="4" w:space="0"/>
              <w:bottom w:val="single" w:color="auto" w:sz="4" w:space="0"/>
              <w:right w:val="single" w:color="auto" w:sz="4" w:space="0"/>
            </w:tcBorders>
            <w:shd w:val="clear" w:color="auto" w:fill="auto"/>
            <w:vAlign w:val="center"/>
          </w:tcPr>
          <w:p w14:paraId="75AECB94">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4</w:t>
            </w:r>
          </w:p>
        </w:tc>
        <w:tc>
          <w:tcPr>
            <w:tcW w:w="636" w:type="dxa"/>
            <w:vMerge w:val="continue"/>
            <w:tcBorders>
              <w:top w:val="single" w:color="auto" w:sz="4" w:space="0"/>
              <w:left w:val="single" w:color="auto" w:sz="4" w:space="0"/>
              <w:bottom w:val="single" w:color="000000" w:sz="4" w:space="0"/>
              <w:right w:val="single" w:color="auto" w:sz="4" w:space="0"/>
            </w:tcBorders>
            <w:vAlign w:val="center"/>
          </w:tcPr>
          <w:p w14:paraId="1AD458B0">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color w:val="auto"/>
                <w:kern w:val="0"/>
                <w:sz w:val="20"/>
                <w:szCs w:val="20"/>
              </w:rPr>
            </w:pPr>
          </w:p>
        </w:tc>
        <w:tc>
          <w:tcPr>
            <w:tcW w:w="1552" w:type="dxa"/>
            <w:vMerge w:val="continue"/>
            <w:tcBorders>
              <w:top w:val="single" w:color="auto" w:sz="4" w:space="0"/>
              <w:left w:val="single" w:color="auto" w:sz="4" w:space="0"/>
              <w:bottom w:val="single" w:color="auto" w:sz="4" w:space="0"/>
              <w:right w:val="single" w:color="auto" w:sz="4" w:space="0"/>
            </w:tcBorders>
            <w:vAlign w:val="center"/>
          </w:tcPr>
          <w:p w14:paraId="194CC91A">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color w:val="auto"/>
                <w:kern w:val="0"/>
                <w:sz w:val="20"/>
                <w:szCs w:val="20"/>
              </w:rPr>
            </w:pPr>
          </w:p>
        </w:tc>
        <w:tc>
          <w:tcPr>
            <w:tcW w:w="2001" w:type="dxa"/>
            <w:tcBorders>
              <w:top w:val="nil"/>
              <w:left w:val="nil"/>
              <w:bottom w:val="single" w:color="auto" w:sz="4" w:space="0"/>
              <w:right w:val="single" w:color="auto" w:sz="4" w:space="0"/>
            </w:tcBorders>
            <w:shd w:val="clear" w:color="auto" w:fill="auto"/>
            <w:vAlign w:val="center"/>
          </w:tcPr>
          <w:p w14:paraId="141EAD07">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二噁英类</w:t>
            </w:r>
          </w:p>
        </w:tc>
        <w:tc>
          <w:tcPr>
            <w:tcW w:w="846" w:type="dxa"/>
            <w:tcBorders>
              <w:top w:val="nil"/>
              <w:left w:val="nil"/>
              <w:bottom w:val="single" w:color="auto" w:sz="4" w:space="0"/>
              <w:right w:val="single" w:color="auto" w:sz="4" w:space="0"/>
            </w:tcBorders>
            <w:shd w:val="clear" w:color="auto" w:fill="auto"/>
            <w:vAlign w:val="center"/>
          </w:tcPr>
          <w:p w14:paraId="612E4E72">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1次/半年</w:t>
            </w:r>
          </w:p>
        </w:tc>
        <w:tc>
          <w:tcPr>
            <w:tcW w:w="1631" w:type="dxa"/>
            <w:tcBorders>
              <w:top w:val="nil"/>
              <w:left w:val="nil"/>
              <w:bottom w:val="single" w:color="auto" w:sz="4" w:space="0"/>
              <w:right w:val="single" w:color="auto" w:sz="4" w:space="0"/>
            </w:tcBorders>
            <w:shd w:val="clear" w:color="auto" w:fill="auto"/>
            <w:vAlign w:val="center"/>
          </w:tcPr>
          <w:p w14:paraId="2AAE6615">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每台炉的测量值需为6～12 个小时内完成不少于 3个样品的采集，取算术平均值</w:t>
            </w:r>
          </w:p>
        </w:tc>
        <w:tc>
          <w:tcPr>
            <w:tcW w:w="1266" w:type="dxa"/>
            <w:tcBorders>
              <w:top w:val="nil"/>
              <w:left w:val="nil"/>
              <w:bottom w:val="single" w:color="auto" w:sz="4" w:space="0"/>
              <w:right w:val="single" w:color="auto" w:sz="4" w:space="0"/>
            </w:tcBorders>
            <w:shd w:val="clear" w:color="auto" w:fill="auto"/>
            <w:vAlign w:val="center"/>
          </w:tcPr>
          <w:p w14:paraId="2F9BA91E">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12</w:t>
            </w:r>
          </w:p>
        </w:tc>
      </w:tr>
      <w:tr w14:paraId="12011409">
        <w:tblPrEx>
          <w:tblCellMar>
            <w:top w:w="0" w:type="dxa"/>
            <w:left w:w="108" w:type="dxa"/>
            <w:bottom w:w="0" w:type="dxa"/>
            <w:right w:w="108" w:type="dxa"/>
          </w:tblCellMar>
        </w:tblPrEx>
        <w:trPr>
          <w:trHeight w:val="909" w:hRule="atLeast"/>
        </w:trPr>
        <w:tc>
          <w:tcPr>
            <w:tcW w:w="427" w:type="dxa"/>
            <w:tcBorders>
              <w:top w:val="nil"/>
              <w:left w:val="single" w:color="auto" w:sz="4" w:space="0"/>
              <w:bottom w:val="single" w:color="auto" w:sz="4" w:space="0"/>
              <w:right w:val="single" w:color="auto" w:sz="4" w:space="0"/>
            </w:tcBorders>
            <w:shd w:val="clear" w:color="auto" w:fill="auto"/>
            <w:vAlign w:val="center"/>
          </w:tcPr>
          <w:p w14:paraId="6EA5BE5E">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5</w:t>
            </w:r>
          </w:p>
        </w:tc>
        <w:tc>
          <w:tcPr>
            <w:tcW w:w="636" w:type="dxa"/>
            <w:vMerge w:val="continue"/>
            <w:tcBorders>
              <w:top w:val="single" w:color="auto" w:sz="4" w:space="0"/>
              <w:left w:val="single" w:color="auto" w:sz="4" w:space="0"/>
              <w:bottom w:val="single" w:color="000000" w:sz="4" w:space="0"/>
              <w:right w:val="single" w:color="auto" w:sz="4" w:space="0"/>
            </w:tcBorders>
            <w:vAlign w:val="center"/>
          </w:tcPr>
          <w:p w14:paraId="5FCA61BA">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color w:val="auto"/>
                <w:kern w:val="0"/>
                <w:sz w:val="20"/>
                <w:szCs w:val="20"/>
              </w:rPr>
            </w:pPr>
          </w:p>
        </w:tc>
        <w:tc>
          <w:tcPr>
            <w:tcW w:w="1552" w:type="dxa"/>
            <w:vMerge w:val="restart"/>
            <w:tcBorders>
              <w:top w:val="nil"/>
              <w:left w:val="single" w:color="auto" w:sz="4" w:space="0"/>
              <w:bottom w:val="single" w:color="auto" w:sz="4" w:space="0"/>
              <w:right w:val="single" w:color="auto" w:sz="4" w:space="0"/>
            </w:tcBorders>
            <w:shd w:val="clear" w:color="auto" w:fill="auto"/>
            <w:vAlign w:val="center"/>
          </w:tcPr>
          <w:p w14:paraId="29BB7E95">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火法熔炼集束烟囱A5 1个点位</w:t>
            </w:r>
          </w:p>
        </w:tc>
        <w:tc>
          <w:tcPr>
            <w:tcW w:w="2001" w:type="dxa"/>
            <w:tcBorders>
              <w:top w:val="nil"/>
              <w:left w:val="nil"/>
              <w:bottom w:val="single" w:color="auto" w:sz="4" w:space="0"/>
              <w:right w:val="single" w:color="auto" w:sz="4" w:space="0"/>
            </w:tcBorders>
            <w:shd w:val="clear" w:color="auto" w:fill="auto"/>
            <w:vAlign w:val="center"/>
          </w:tcPr>
          <w:p w14:paraId="12066EF0">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烟尘（低浓度颗粒物）、SO</w:t>
            </w:r>
            <w:r>
              <w:rPr>
                <w:rFonts w:hint="eastAsia" w:ascii="仿宋_GB2312" w:hAnsi="仿宋_GB2312" w:eastAsia="仿宋_GB2312" w:cs="仿宋_GB2312"/>
                <w:color w:val="auto"/>
                <w:kern w:val="0"/>
                <w:sz w:val="20"/>
                <w:szCs w:val="20"/>
                <w:vertAlign w:val="subscript"/>
              </w:rPr>
              <w:t>2</w:t>
            </w:r>
            <w:r>
              <w:rPr>
                <w:rFonts w:hint="eastAsia" w:ascii="仿宋_GB2312" w:hAnsi="仿宋_GB2312" w:eastAsia="仿宋_GB2312" w:cs="仿宋_GB2312"/>
                <w:color w:val="auto"/>
                <w:kern w:val="0"/>
                <w:sz w:val="20"/>
                <w:szCs w:val="20"/>
              </w:rPr>
              <w:t>、NO</w:t>
            </w:r>
            <w:r>
              <w:rPr>
                <w:rFonts w:hint="eastAsia" w:ascii="仿宋_GB2312" w:hAnsi="仿宋_GB2312" w:eastAsia="仿宋_GB2312" w:cs="仿宋_GB2312"/>
                <w:color w:val="auto"/>
                <w:kern w:val="0"/>
                <w:sz w:val="20"/>
                <w:szCs w:val="20"/>
                <w:vertAlign w:val="subscript"/>
              </w:rPr>
              <w:t>X</w:t>
            </w:r>
            <w:r>
              <w:rPr>
                <w:rFonts w:hint="eastAsia" w:ascii="仿宋_GB2312" w:hAnsi="仿宋_GB2312" w:eastAsia="仿宋_GB2312" w:cs="仿宋_GB2312"/>
                <w:color w:val="auto"/>
                <w:kern w:val="0"/>
                <w:sz w:val="20"/>
                <w:szCs w:val="20"/>
              </w:rPr>
              <w:t>、O</w:t>
            </w:r>
            <w:r>
              <w:rPr>
                <w:rFonts w:hint="eastAsia" w:ascii="仿宋_GB2312" w:hAnsi="仿宋_GB2312" w:eastAsia="仿宋_GB2312" w:cs="仿宋_GB2312"/>
                <w:color w:val="auto"/>
                <w:kern w:val="0"/>
                <w:sz w:val="20"/>
                <w:szCs w:val="20"/>
                <w:vertAlign w:val="subscript"/>
              </w:rPr>
              <w:t>2</w:t>
            </w:r>
            <w:r>
              <w:rPr>
                <w:rFonts w:hint="eastAsia" w:ascii="仿宋_GB2312" w:hAnsi="仿宋_GB2312" w:eastAsia="仿宋_GB2312" w:cs="仿宋_GB2312"/>
                <w:color w:val="auto"/>
                <w:kern w:val="0"/>
                <w:sz w:val="20"/>
                <w:szCs w:val="20"/>
              </w:rPr>
              <w:t>、流速、烟温、湿度</w:t>
            </w:r>
          </w:p>
        </w:tc>
        <w:tc>
          <w:tcPr>
            <w:tcW w:w="846" w:type="dxa"/>
            <w:tcBorders>
              <w:top w:val="nil"/>
              <w:left w:val="nil"/>
              <w:bottom w:val="single" w:color="auto" w:sz="4" w:space="0"/>
              <w:right w:val="single" w:color="auto" w:sz="4" w:space="0"/>
            </w:tcBorders>
            <w:shd w:val="clear" w:color="auto" w:fill="auto"/>
            <w:vAlign w:val="center"/>
          </w:tcPr>
          <w:p w14:paraId="062B4BDA">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1次/季度</w:t>
            </w:r>
          </w:p>
        </w:tc>
        <w:tc>
          <w:tcPr>
            <w:tcW w:w="1631" w:type="dxa"/>
            <w:tcBorders>
              <w:top w:val="nil"/>
              <w:left w:val="nil"/>
              <w:bottom w:val="single" w:color="auto" w:sz="4" w:space="0"/>
              <w:right w:val="single" w:color="auto" w:sz="4" w:space="0"/>
            </w:tcBorders>
            <w:shd w:val="clear" w:color="auto" w:fill="auto"/>
            <w:vAlign w:val="center"/>
          </w:tcPr>
          <w:p w14:paraId="47E6612C">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采用参比方法对在线监测设备进行比对：测量气态污染物和氧气浓度，至少获取9个数据对，每个数据对取5～15min均值；测量流速、烟温湿度时，至少获取5个同时段测试断面值数据对，分别计算流速、烟温、湿度CMS准确度。</w:t>
            </w:r>
          </w:p>
        </w:tc>
        <w:tc>
          <w:tcPr>
            <w:tcW w:w="1266" w:type="dxa"/>
            <w:tcBorders>
              <w:top w:val="nil"/>
              <w:left w:val="nil"/>
              <w:bottom w:val="single" w:color="auto" w:sz="4" w:space="0"/>
              <w:right w:val="single" w:color="auto" w:sz="4" w:space="0"/>
            </w:tcBorders>
            <w:shd w:val="clear" w:color="auto" w:fill="auto"/>
            <w:vAlign w:val="center"/>
          </w:tcPr>
          <w:p w14:paraId="3605AD54">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4</w:t>
            </w:r>
          </w:p>
        </w:tc>
      </w:tr>
      <w:tr w14:paraId="63960C45">
        <w:tblPrEx>
          <w:tblCellMar>
            <w:top w:w="0" w:type="dxa"/>
            <w:left w:w="108" w:type="dxa"/>
            <w:bottom w:w="0" w:type="dxa"/>
            <w:right w:w="108" w:type="dxa"/>
          </w:tblCellMar>
        </w:tblPrEx>
        <w:trPr>
          <w:trHeight w:val="1680" w:hRule="atLeast"/>
        </w:trPr>
        <w:tc>
          <w:tcPr>
            <w:tcW w:w="427" w:type="dxa"/>
            <w:tcBorders>
              <w:top w:val="nil"/>
              <w:left w:val="single" w:color="auto" w:sz="4" w:space="0"/>
              <w:bottom w:val="single" w:color="auto" w:sz="4" w:space="0"/>
              <w:right w:val="single" w:color="auto" w:sz="4" w:space="0"/>
            </w:tcBorders>
            <w:shd w:val="clear" w:color="auto" w:fill="auto"/>
            <w:vAlign w:val="center"/>
          </w:tcPr>
          <w:p w14:paraId="0A816903">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6</w:t>
            </w:r>
          </w:p>
        </w:tc>
        <w:tc>
          <w:tcPr>
            <w:tcW w:w="636" w:type="dxa"/>
            <w:vMerge w:val="continue"/>
            <w:tcBorders>
              <w:top w:val="single" w:color="auto" w:sz="4" w:space="0"/>
              <w:left w:val="single" w:color="auto" w:sz="4" w:space="0"/>
              <w:bottom w:val="single" w:color="000000" w:sz="4" w:space="0"/>
              <w:right w:val="single" w:color="auto" w:sz="4" w:space="0"/>
            </w:tcBorders>
            <w:vAlign w:val="center"/>
          </w:tcPr>
          <w:p w14:paraId="6C68FEB1">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color w:val="auto"/>
                <w:kern w:val="0"/>
                <w:sz w:val="20"/>
                <w:szCs w:val="20"/>
              </w:rPr>
            </w:pPr>
          </w:p>
        </w:tc>
        <w:tc>
          <w:tcPr>
            <w:tcW w:w="1552" w:type="dxa"/>
            <w:vMerge w:val="continue"/>
            <w:tcBorders>
              <w:top w:val="nil"/>
              <w:left w:val="single" w:color="auto" w:sz="4" w:space="0"/>
              <w:bottom w:val="single" w:color="auto" w:sz="4" w:space="0"/>
              <w:right w:val="single" w:color="auto" w:sz="4" w:space="0"/>
            </w:tcBorders>
            <w:vAlign w:val="center"/>
          </w:tcPr>
          <w:p w14:paraId="7A203690">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color w:val="auto"/>
                <w:kern w:val="0"/>
                <w:sz w:val="20"/>
                <w:szCs w:val="20"/>
              </w:rPr>
            </w:pPr>
          </w:p>
        </w:tc>
        <w:tc>
          <w:tcPr>
            <w:tcW w:w="2001" w:type="dxa"/>
            <w:tcBorders>
              <w:top w:val="nil"/>
              <w:left w:val="nil"/>
              <w:bottom w:val="single" w:color="auto" w:sz="4" w:space="0"/>
              <w:right w:val="single" w:color="auto" w:sz="4" w:space="0"/>
            </w:tcBorders>
            <w:shd w:val="clear" w:color="auto" w:fill="auto"/>
            <w:vAlign w:val="center"/>
          </w:tcPr>
          <w:p w14:paraId="577A1C73">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砷及其化合物（以As计）、铅及其化合物（以Pb计）、镉及其化合物（以Cd计）</w:t>
            </w:r>
          </w:p>
        </w:tc>
        <w:tc>
          <w:tcPr>
            <w:tcW w:w="846" w:type="dxa"/>
            <w:tcBorders>
              <w:top w:val="nil"/>
              <w:left w:val="nil"/>
              <w:bottom w:val="single" w:color="auto" w:sz="4" w:space="0"/>
              <w:right w:val="single" w:color="auto" w:sz="4" w:space="0"/>
            </w:tcBorders>
            <w:shd w:val="clear" w:color="auto" w:fill="auto"/>
            <w:vAlign w:val="center"/>
          </w:tcPr>
          <w:p w14:paraId="405CABE4">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1次/月</w:t>
            </w:r>
          </w:p>
        </w:tc>
        <w:tc>
          <w:tcPr>
            <w:tcW w:w="1631" w:type="dxa"/>
            <w:tcBorders>
              <w:top w:val="nil"/>
              <w:left w:val="nil"/>
              <w:bottom w:val="single" w:color="auto" w:sz="4" w:space="0"/>
              <w:right w:val="single" w:color="auto" w:sz="4" w:space="0"/>
            </w:tcBorders>
            <w:shd w:val="clear" w:color="auto" w:fill="auto"/>
            <w:vAlign w:val="center"/>
          </w:tcPr>
          <w:p w14:paraId="298B2A9E">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每台炉的测量值需为0.5～8 个小时内完成不少于 3 个样品的采集，取算术平均值</w:t>
            </w:r>
          </w:p>
        </w:tc>
        <w:tc>
          <w:tcPr>
            <w:tcW w:w="1266" w:type="dxa"/>
            <w:tcBorders>
              <w:top w:val="nil"/>
              <w:left w:val="nil"/>
              <w:bottom w:val="single" w:color="auto" w:sz="4" w:space="0"/>
              <w:right w:val="single" w:color="auto" w:sz="4" w:space="0"/>
            </w:tcBorders>
            <w:shd w:val="clear" w:color="auto" w:fill="auto"/>
            <w:vAlign w:val="center"/>
          </w:tcPr>
          <w:p w14:paraId="651CF155">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36</w:t>
            </w:r>
          </w:p>
        </w:tc>
      </w:tr>
      <w:tr w14:paraId="295FAF29">
        <w:tblPrEx>
          <w:tblCellMar>
            <w:top w:w="0" w:type="dxa"/>
            <w:left w:w="108" w:type="dxa"/>
            <w:bottom w:w="0" w:type="dxa"/>
            <w:right w:w="108" w:type="dxa"/>
          </w:tblCellMar>
        </w:tblPrEx>
        <w:trPr>
          <w:trHeight w:val="1680" w:hRule="atLeast"/>
        </w:trPr>
        <w:tc>
          <w:tcPr>
            <w:tcW w:w="427" w:type="dxa"/>
            <w:tcBorders>
              <w:top w:val="nil"/>
              <w:left w:val="single" w:color="auto" w:sz="4" w:space="0"/>
              <w:bottom w:val="single" w:color="auto" w:sz="4" w:space="0"/>
              <w:right w:val="single" w:color="auto" w:sz="4" w:space="0"/>
            </w:tcBorders>
            <w:shd w:val="clear" w:color="auto" w:fill="auto"/>
            <w:vAlign w:val="center"/>
          </w:tcPr>
          <w:p w14:paraId="15C9782C">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7</w:t>
            </w:r>
          </w:p>
        </w:tc>
        <w:tc>
          <w:tcPr>
            <w:tcW w:w="636" w:type="dxa"/>
            <w:vMerge w:val="continue"/>
            <w:tcBorders>
              <w:top w:val="single" w:color="auto" w:sz="4" w:space="0"/>
              <w:left w:val="single" w:color="auto" w:sz="4" w:space="0"/>
              <w:bottom w:val="single" w:color="000000" w:sz="4" w:space="0"/>
              <w:right w:val="single" w:color="auto" w:sz="4" w:space="0"/>
            </w:tcBorders>
            <w:vAlign w:val="center"/>
          </w:tcPr>
          <w:p w14:paraId="7E32D609">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color w:val="auto"/>
                <w:kern w:val="0"/>
                <w:sz w:val="20"/>
                <w:szCs w:val="20"/>
              </w:rPr>
            </w:pPr>
          </w:p>
        </w:tc>
        <w:tc>
          <w:tcPr>
            <w:tcW w:w="1552" w:type="dxa"/>
            <w:vMerge w:val="continue"/>
            <w:tcBorders>
              <w:top w:val="nil"/>
              <w:left w:val="single" w:color="auto" w:sz="4" w:space="0"/>
              <w:bottom w:val="single" w:color="auto" w:sz="4" w:space="0"/>
              <w:right w:val="single" w:color="auto" w:sz="4" w:space="0"/>
            </w:tcBorders>
            <w:vAlign w:val="center"/>
          </w:tcPr>
          <w:p w14:paraId="549B7269">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color w:val="auto"/>
                <w:kern w:val="0"/>
                <w:sz w:val="20"/>
                <w:szCs w:val="20"/>
              </w:rPr>
            </w:pPr>
          </w:p>
        </w:tc>
        <w:tc>
          <w:tcPr>
            <w:tcW w:w="2001" w:type="dxa"/>
            <w:tcBorders>
              <w:top w:val="nil"/>
              <w:left w:val="nil"/>
              <w:bottom w:val="single" w:color="auto" w:sz="4" w:space="0"/>
              <w:right w:val="single" w:color="auto" w:sz="4" w:space="0"/>
            </w:tcBorders>
            <w:shd w:val="clear" w:color="auto" w:fill="auto"/>
            <w:vAlign w:val="center"/>
          </w:tcPr>
          <w:p w14:paraId="7DE6377F">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锡及其化合物（以Sn计）、锑及其化合物（以Sb计）、铬及其化合物（以Gr计）、林格曼黑度、一氧化碳、氟化氢、氯化氢、汞及其化合物（以Hg计）</w:t>
            </w:r>
          </w:p>
        </w:tc>
        <w:tc>
          <w:tcPr>
            <w:tcW w:w="846" w:type="dxa"/>
            <w:tcBorders>
              <w:top w:val="nil"/>
              <w:left w:val="nil"/>
              <w:bottom w:val="single" w:color="auto" w:sz="4" w:space="0"/>
              <w:right w:val="single" w:color="auto" w:sz="4" w:space="0"/>
            </w:tcBorders>
            <w:shd w:val="clear" w:color="auto" w:fill="auto"/>
            <w:vAlign w:val="center"/>
          </w:tcPr>
          <w:p w14:paraId="12A08669">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1次/季度</w:t>
            </w:r>
          </w:p>
        </w:tc>
        <w:tc>
          <w:tcPr>
            <w:tcW w:w="1631" w:type="dxa"/>
            <w:tcBorders>
              <w:top w:val="nil"/>
              <w:left w:val="nil"/>
              <w:bottom w:val="single" w:color="auto" w:sz="4" w:space="0"/>
              <w:right w:val="single" w:color="auto" w:sz="4" w:space="0"/>
            </w:tcBorders>
            <w:shd w:val="clear" w:color="auto" w:fill="auto"/>
            <w:vAlign w:val="center"/>
          </w:tcPr>
          <w:p w14:paraId="5BA75291">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每台炉的测量值需为0.5～8 个小时内完成不少于 3 个样品的采集，取算术平均值</w:t>
            </w:r>
          </w:p>
        </w:tc>
        <w:tc>
          <w:tcPr>
            <w:tcW w:w="1266" w:type="dxa"/>
            <w:tcBorders>
              <w:top w:val="nil"/>
              <w:left w:val="nil"/>
              <w:bottom w:val="single" w:color="auto" w:sz="4" w:space="0"/>
              <w:right w:val="single" w:color="auto" w:sz="4" w:space="0"/>
            </w:tcBorders>
            <w:shd w:val="clear" w:color="auto" w:fill="auto"/>
            <w:vAlign w:val="center"/>
          </w:tcPr>
          <w:p w14:paraId="56577594">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12</w:t>
            </w:r>
          </w:p>
        </w:tc>
      </w:tr>
      <w:tr w14:paraId="22391BFC">
        <w:tblPrEx>
          <w:tblCellMar>
            <w:top w:w="0" w:type="dxa"/>
            <w:left w:w="108" w:type="dxa"/>
            <w:bottom w:w="0" w:type="dxa"/>
            <w:right w:w="108" w:type="dxa"/>
          </w:tblCellMar>
        </w:tblPrEx>
        <w:trPr>
          <w:trHeight w:val="1680" w:hRule="atLeast"/>
        </w:trPr>
        <w:tc>
          <w:tcPr>
            <w:tcW w:w="427" w:type="dxa"/>
            <w:tcBorders>
              <w:top w:val="nil"/>
              <w:left w:val="single" w:color="auto" w:sz="4" w:space="0"/>
              <w:bottom w:val="single" w:color="auto" w:sz="4" w:space="0"/>
              <w:right w:val="single" w:color="auto" w:sz="4" w:space="0"/>
            </w:tcBorders>
            <w:shd w:val="clear" w:color="auto" w:fill="auto"/>
            <w:vAlign w:val="center"/>
          </w:tcPr>
          <w:p w14:paraId="27133CD1">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8</w:t>
            </w:r>
          </w:p>
        </w:tc>
        <w:tc>
          <w:tcPr>
            <w:tcW w:w="636" w:type="dxa"/>
            <w:vMerge w:val="continue"/>
            <w:tcBorders>
              <w:top w:val="single" w:color="auto" w:sz="4" w:space="0"/>
              <w:left w:val="single" w:color="auto" w:sz="4" w:space="0"/>
              <w:bottom w:val="single" w:color="000000" w:sz="4" w:space="0"/>
              <w:right w:val="single" w:color="auto" w:sz="4" w:space="0"/>
            </w:tcBorders>
            <w:vAlign w:val="center"/>
          </w:tcPr>
          <w:p w14:paraId="4E1083AA">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color w:val="auto"/>
                <w:kern w:val="0"/>
                <w:sz w:val="20"/>
                <w:szCs w:val="20"/>
              </w:rPr>
            </w:pPr>
          </w:p>
        </w:tc>
        <w:tc>
          <w:tcPr>
            <w:tcW w:w="1552" w:type="dxa"/>
            <w:vMerge w:val="continue"/>
            <w:tcBorders>
              <w:top w:val="nil"/>
              <w:left w:val="single" w:color="auto" w:sz="4" w:space="0"/>
              <w:bottom w:val="single" w:color="auto" w:sz="4" w:space="0"/>
              <w:right w:val="single" w:color="auto" w:sz="4" w:space="0"/>
            </w:tcBorders>
            <w:vAlign w:val="center"/>
          </w:tcPr>
          <w:p w14:paraId="6F8D51CE">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color w:val="auto"/>
                <w:kern w:val="0"/>
                <w:sz w:val="20"/>
                <w:szCs w:val="20"/>
              </w:rPr>
            </w:pPr>
          </w:p>
        </w:tc>
        <w:tc>
          <w:tcPr>
            <w:tcW w:w="2001" w:type="dxa"/>
            <w:tcBorders>
              <w:top w:val="nil"/>
              <w:left w:val="nil"/>
              <w:bottom w:val="single" w:color="auto" w:sz="4" w:space="0"/>
              <w:right w:val="single" w:color="auto" w:sz="4" w:space="0"/>
            </w:tcBorders>
            <w:shd w:val="clear" w:color="auto" w:fill="auto"/>
            <w:vAlign w:val="center"/>
          </w:tcPr>
          <w:p w14:paraId="55233D22">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二噁英类</w:t>
            </w:r>
          </w:p>
        </w:tc>
        <w:tc>
          <w:tcPr>
            <w:tcW w:w="846" w:type="dxa"/>
            <w:tcBorders>
              <w:top w:val="nil"/>
              <w:left w:val="nil"/>
              <w:bottom w:val="single" w:color="auto" w:sz="4" w:space="0"/>
              <w:right w:val="single" w:color="auto" w:sz="4" w:space="0"/>
            </w:tcBorders>
            <w:shd w:val="clear" w:color="auto" w:fill="auto"/>
            <w:vAlign w:val="center"/>
          </w:tcPr>
          <w:p w14:paraId="569CF9AC">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1次/年</w:t>
            </w:r>
          </w:p>
        </w:tc>
        <w:tc>
          <w:tcPr>
            <w:tcW w:w="1631" w:type="dxa"/>
            <w:tcBorders>
              <w:top w:val="nil"/>
              <w:left w:val="nil"/>
              <w:bottom w:val="single" w:color="auto" w:sz="4" w:space="0"/>
              <w:right w:val="single" w:color="auto" w:sz="4" w:space="0"/>
            </w:tcBorders>
            <w:shd w:val="clear" w:color="auto" w:fill="auto"/>
            <w:vAlign w:val="center"/>
          </w:tcPr>
          <w:p w14:paraId="72901C58">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每台炉的测量值需为6～12 个小时内完成不少于 3个样品的采集，取算术平均值</w:t>
            </w:r>
          </w:p>
        </w:tc>
        <w:tc>
          <w:tcPr>
            <w:tcW w:w="1266" w:type="dxa"/>
            <w:tcBorders>
              <w:top w:val="nil"/>
              <w:left w:val="nil"/>
              <w:bottom w:val="single" w:color="auto" w:sz="4" w:space="0"/>
              <w:right w:val="single" w:color="auto" w:sz="4" w:space="0"/>
            </w:tcBorders>
            <w:shd w:val="clear" w:color="auto" w:fill="auto"/>
            <w:vAlign w:val="center"/>
          </w:tcPr>
          <w:p w14:paraId="4CE3494D">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3</w:t>
            </w:r>
          </w:p>
        </w:tc>
      </w:tr>
      <w:tr w14:paraId="34C8784D">
        <w:tblPrEx>
          <w:tblCellMar>
            <w:top w:w="0" w:type="dxa"/>
            <w:left w:w="108" w:type="dxa"/>
            <w:bottom w:w="0" w:type="dxa"/>
            <w:right w:w="108" w:type="dxa"/>
          </w:tblCellMar>
        </w:tblPrEx>
        <w:trPr>
          <w:trHeight w:val="1680" w:hRule="atLeast"/>
        </w:trPr>
        <w:tc>
          <w:tcPr>
            <w:tcW w:w="427" w:type="dxa"/>
            <w:tcBorders>
              <w:top w:val="nil"/>
              <w:left w:val="single" w:color="auto" w:sz="4" w:space="0"/>
              <w:bottom w:val="single" w:color="auto" w:sz="4" w:space="0"/>
              <w:right w:val="single" w:color="auto" w:sz="4" w:space="0"/>
            </w:tcBorders>
            <w:shd w:val="clear" w:color="auto" w:fill="auto"/>
            <w:vAlign w:val="center"/>
          </w:tcPr>
          <w:p w14:paraId="2549B404">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9</w:t>
            </w:r>
          </w:p>
        </w:tc>
        <w:tc>
          <w:tcPr>
            <w:tcW w:w="636" w:type="dxa"/>
            <w:vMerge w:val="continue"/>
            <w:tcBorders>
              <w:top w:val="single" w:color="auto" w:sz="4" w:space="0"/>
              <w:left w:val="single" w:color="auto" w:sz="4" w:space="0"/>
              <w:bottom w:val="single" w:color="000000" w:sz="4" w:space="0"/>
              <w:right w:val="single" w:color="auto" w:sz="4" w:space="0"/>
            </w:tcBorders>
            <w:vAlign w:val="center"/>
          </w:tcPr>
          <w:p w14:paraId="7A0B0963">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color w:val="auto"/>
                <w:kern w:val="0"/>
                <w:sz w:val="20"/>
                <w:szCs w:val="20"/>
              </w:rPr>
            </w:pPr>
          </w:p>
        </w:tc>
        <w:tc>
          <w:tcPr>
            <w:tcW w:w="1552" w:type="dxa"/>
            <w:vMerge w:val="restart"/>
            <w:tcBorders>
              <w:top w:val="nil"/>
              <w:left w:val="single" w:color="auto" w:sz="4" w:space="0"/>
              <w:bottom w:val="single" w:color="000000" w:sz="4" w:space="0"/>
              <w:right w:val="single" w:color="auto" w:sz="4" w:space="0"/>
            </w:tcBorders>
            <w:shd w:val="clear" w:color="auto" w:fill="auto"/>
            <w:vAlign w:val="center"/>
          </w:tcPr>
          <w:p w14:paraId="0853A8E8">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铝冶炼熔铸废气排放口A3</w:t>
            </w:r>
          </w:p>
        </w:tc>
        <w:tc>
          <w:tcPr>
            <w:tcW w:w="2001" w:type="dxa"/>
            <w:tcBorders>
              <w:top w:val="nil"/>
              <w:left w:val="nil"/>
              <w:bottom w:val="single" w:color="auto" w:sz="4" w:space="0"/>
              <w:right w:val="single" w:color="auto" w:sz="4" w:space="0"/>
            </w:tcBorders>
            <w:shd w:val="clear" w:color="auto" w:fill="auto"/>
            <w:vAlign w:val="center"/>
          </w:tcPr>
          <w:p w14:paraId="2927A3C9">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烟尘（低浓度颗粒物）、SO2、NOX、O2、流速、烟温、湿度</w:t>
            </w:r>
          </w:p>
        </w:tc>
        <w:tc>
          <w:tcPr>
            <w:tcW w:w="846" w:type="dxa"/>
            <w:tcBorders>
              <w:top w:val="nil"/>
              <w:left w:val="nil"/>
              <w:bottom w:val="single" w:color="auto" w:sz="4" w:space="0"/>
              <w:right w:val="single" w:color="auto" w:sz="4" w:space="0"/>
            </w:tcBorders>
            <w:shd w:val="clear" w:color="auto" w:fill="auto"/>
            <w:vAlign w:val="center"/>
          </w:tcPr>
          <w:p w14:paraId="4CD7DBD6">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1次/季度</w:t>
            </w:r>
          </w:p>
        </w:tc>
        <w:tc>
          <w:tcPr>
            <w:tcW w:w="1631" w:type="dxa"/>
            <w:tcBorders>
              <w:top w:val="nil"/>
              <w:left w:val="nil"/>
              <w:bottom w:val="single" w:color="auto" w:sz="4" w:space="0"/>
              <w:right w:val="single" w:color="auto" w:sz="4" w:space="0"/>
            </w:tcBorders>
            <w:shd w:val="clear" w:color="auto" w:fill="auto"/>
            <w:vAlign w:val="center"/>
          </w:tcPr>
          <w:p w14:paraId="3D23CBED">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采用参比方法对在线监测设备进行比对：测量气态污染物和氧气浓度，至少获取9个数据对，每个数据对取5～15min均值；测量流速、烟温湿度时，至少获取5个同时段测试断面值数据对，分别计算流速、烟温、湿度CMS准确度。</w:t>
            </w:r>
          </w:p>
        </w:tc>
        <w:tc>
          <w:tcPr>
            <w:tcW w:w="1266" w:type="dxa"/>
            <w:tcBorders>
              <w:top w:val="nil"/>
              <w:left w:val="nil"/>
              <w:bottom w:val="single" w:color="auto" w:sz="4" w:space="0"/>
              <w:right w:val="single" w:color="auto" w:sz="4" w:space="0"/>
            </w:tcBorders>
            <w:shd w:val="clear" w:color="auto" w:fill="auto"/>
            <w:vAlign w:val="center"/>
          </w:tcPr>
          <w:p w14:paraId="08769AD2">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4</w:t>
            </w:r>
          </w:p>
        </w:tc>
      </w:tr>
      <w:tr w14:paraId="2DAC2C4B">
        <w:tblPrEx>
          <w:tblCellMar>
            <w:top w:w="0" w:type="dxa"/>
            <w:left w:w="108" w:type="dxa"/>
            <w:bottom w:w="0" w:type="dxa"/>
            <w:right w:w="108" w:type="dxa"/>
          </w:tblCellMar>
        </w:tblPrEx>
        <w:trPr>
          <w:trHeight w:val="1680" w:hRule="atLeast"/>
        </w:trPr>
        <w:tc>
          <w:tcPr>
            <w:tcW w:w="427" w:type="dxa"/>
            <w:tcBorders>
              <w:top w:val="nil"/>
              <w:left w:val="single" w:color="auto" w:sz="4" w:space="0"/>
              <w:bottom w:val="single" w:color="auto" w:sz="4" w:space="0"/>
              <w:right w:val="single" w:color="auto" w:sz="4" w:space="0"/>
            </w:tcBorders>
            <w:shd w:val="clear" w:color="auto" w:fill="auto"/>
            <w:vAlign w:val="center"/>
          </w:tcPr>
          <w:p w14:paraId="3CE104E0">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10</w:t>
            </w:r>
          </w:p>
        </w:tc>
        <w:tc>
          <w:tcPr>
            <w:tcW w:w="636" w:type="dxa"/>
            <w:vMerge w:val="continue"/>
            <w:tcBorders>
              <w:top w:val="single" w:color="auto" w:sz="4" w:space="0"/>
              <w:left w:val="single" w:color="auto" w:sz="4" w:space="0"/>
              <w:bottom w:val="single" w:color="000000" w:sz="4" w:space="0"/>
              <w:right w:val="single" w:color="auto" w:sz="4" w:space="0"/>
            </w:tcBorders>
            <w:vAlign w:val="center"/>
          </w:tcPr>
          <w:p w14:paraId="1F5E687E">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color w:val="auto"/>
                <w:kern w:val="0"/>
                <w:sz w:val="20"/>
                <w:szCs w:val="20"/>
              </w:rPr>
            </w:pPr>
          </w:p>
        </w:tc>
        <w:tc>
          <w:tcPr>
            <w:tcW w:w="1552" w:type="dxa"/>
            <w:vMerge w:val="continue"/>
            <w:tcBorders>
              <w:top w:val="nil"/>
              <w:left w:val="single" w:color="auto" w:sz="4" w:space="0"/>
              <w:bottom w:val="single" w:color="000000" w:sz="4" w:space="0"/>
              <w:right w:val="single" w:color="auto" w:sz="4" w:space="0"/>
            </w:tcBorders>
            <w:vAlign w:val="center"/>
          </w:tcPr>
          <w:p w14:paraId="3DF0AEED">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color w:val="auto"/>
                <w:kern w:val="0"/>
                <w:sz w:val="20"/>
                <w:szCs w:val="20"/>
              </w:rPr>
            </w:pPr>
          </w:p>
        </w:tc>
        <w:tc>
          <w:tcPr>
            <w:tcW w:w="2001" w:type="dxa"/>
            <w:tcBorders>
              <w:top w:val="nil"/>
              <w:left w:val="nil"/>
              <w:bottom w:val="single" w:color="auto" w:sz="4" w:space="0"/>
              <w:right w:val="single" w:color="auto" w:sz="4" w:space="0"/>
            </w:tcBorders>
            <w:shd w:val="clear" w:color="auto" w:fill="auto"/>
            <w:vAlign w:val="center"/>
          </w:tcPr>
          <w:p w14:paraId="0DFFD646">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氟化物、砷及其化合物、铅及其化合物、铬及其化合物锡及其化合物、镉及其化合物、氯化氢、</w:t>
            </w:r>
          </w:p>
        </w:tc>
        <w:tc>
          <w:tcPr>
            <w:tcW w:w="846" w:type="dxa"/>
            <w:tcBorders>
              <w:top w:val="nil"/>
              <w:left w:val="nil"/>
              <w:bottom w:val="single" w:color="auto" w:sz="4" w:space="0"/>
              <w:right w:val="single" w:color="auto" w:sz="4" w:space="0"/>
            </w:tcBorders>
            <w:shd w:val="clear" w:color="auto" w:fill="auto"/>
            <w:vAlign w:val="center"/>
          </w:tcPr>
          <w:p w14:paraId="324F21A4">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1次/季度</w:t>
            </w:r>
          </w:p>
        </w:tc>
        <w:tc>
          <w:tcPr>
            <w:tcW w:w="1631" w:type="dxa"/>
            <w:tcBorders>
              <w:top w:val="nil"/>
              <w:left w:val="nil"/>
              <w:bottom w:val="single" w:color="auto" w:sz="4" w:space="0"/>
              <w:right w:val="single" w:color="auto" w:sz="4" w:space="0"/>
            </w:tcBorders>
            <w:shd w:val="clear" w:color="auto" w:fill="auto"/>
            <w:vAlign w:val="center"/>
          </w:tcPr>
          <w:p w14:paraId="4A5540B4">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每台炉的测量值需为0.5～8 个小时内完成不少于 3 个样品的采集，取算术平均值</w:t>
            </w:r>
          </w:p>
        </w:tc>
        <w:tc>
          <w:tcPr>
            <w:tcW w:w="1266" w:type="dxa"/>
            <w:tcBorders>
              <w:top w:val="nil"/>
              <w:left w:val="nil"/>
              <w:bottom w:val="single" w:color="auto" w:sz="4" w:space="0"/>
              <w:right w:val="single" w:color="auto" w:sz="4" w:space="0"/>
            </w:tcBorders>
            <w:shd w:val="clear" w:color="auto" w:fill="auto"/>
            <w:vAlign w:val="center"/>
          </w:tcPr>
          <w:p w14:paraId="13D67EB5">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12</w:t>
            </w:r>
          </w:p>
        </w:tc>
      </w:tr>
      <w:tr w14:paraId="0C5032EB">
        <w:tblPrEx>
          <w:tblCellMar>
            <w:top w:w="0" w:type="dxa"/>
            <w:left w:w="108" w:type="dxa"/>
            <w:bottom w:w="0" w:type="dxa"/>
            <w:right w:w="108" w:type="dxa"/>
          </w:tblCellMar>
        </w:tblPrEx>
        <w:trPr>
          <w:trHeight w:val="1485" w:hRule="atLeast"/>
        </w:trPr>
        <w:tc>
          <w:tcPr>
            <w:tcW w:w="427" w:type="dxa"/>
            <w:tcBorders>
              <w:top w:val="nil"/>
              <w:left w:val="single" w:color="auto" w:sz="4" w:space="0"/>
              <w:bottom w:val="single" w:color="auto" w:sz="4" w:space="0"/>
              <w:right w:val="single" w:color="auto" w:sz="4" w:space="0"/>
            </w:tcBorders>
            <w:shd w:val="clear" w:color="auto" w:fill="auto"/>
            <w:vAlign w:val="center"/>
          </w:tcPr>
          <w:p w14:paraId="6F859F4E">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11</w:t>
            </w:r>
          </w:p>
        </w:tc>
        <w:tc>
          <w:tcPr>
            <w:tcW w:w="636" w:type="dxa"/>
            <w:vMerge w:val="continue"/>
            <w:tcBorders>
              <w:top w:val="single" w:color="auto" w:sz="4" w:space="0"/>
              <w:left w:val="single" w:color="auto" w:sz="4" w:space="0"/>
              <w:bottom w:val="single" w:color="000000" w:sz="4" w:space="0"/>
              <w:right w:val="single" w:color="auto" w:sz="4" w:space="0"/>
            </w:tcBorders>
            <w:vAlign w:val="center"/>
          </w:tcPr>
          <w:p w14:paraId="1225872B">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color w:val="auto"/>
                <w:kern w:val="0"/>
                <w:sz w:val="20"/>
                <w:szCs w:val="20"/>
              </w:rPr>
            </w:pPr>
          </w:p>
        </w:tc>
        <w:tc>
          <w:tcPr>
            <w:tcW w:w="1552" w:type="dxa"/>
            <w:vMerge w:val="continue"/>
            <w:tcBorders>
              <w:top w:val="nil"/>
              <w:left w:val="single" w:color="auto" w:sz="4" w:space="0"/>
              <w:bottom w:val="single" w:color="000000" w:sz="4" w:space="0"/>
              <w:right w:val="single" w:color="auto" w:sz="4" w:space="0"/>
            </w:tcBorders>
            <w:vAlign w:val="center"/>
          </w:tcPr>
          <w:p w14:paraId="361F5A49">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color w:val="auto"/>
                <w:kern w:val="0"/>
                <w:sz w:val="20"/>
                <w:szCs w:val="20"/>
              </w:rPr>
            </w:pPr>
          </w:p>
        </w:tc>
        <w:tc>
          <w:tcPr>
            <w:tcW w:w="2001" w:type="dxa"/>
            <w:tcBorders>
              <w:top w:val="nil"/>
              <w:left w:val="nil"/>
              <w:bottom w:val="single" w:color="auto" w:sz="4" w:space="0"/>
              <w:right w:val="single" w:color="auto" w:sz="4" w:space="0"/>
            </w:tcBorders>
            <w:shd w:val="clear" w:color="auto" w:fill="auto"/>
            <w:vAlign w:val="center"/>
          </w:tcPr>
          <w:p w14:paraId="4C504485">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二噁英类</w:t>
            </w:r>
          </w:p>
        </w:tc>
        <w:tc>
          <w:tcPr>
            <w:tcW w:w="846" w:type="dxa"/>
            <w:tcBorders>
              <w:top w:val="nil"/>
              <w:left w:val="nil"/>
              <w:bottom w:val="single" w:color="auto" w:sz="4" w:space="0"/>
              <w:right w:val="single" w:color="auto" w:sz="4" w:space="0"/>
            </w:tcBorders>
            <w:shd w:val="clear" w:color="auto" w:fill="auto"/>
            <w:vAlign w:val="center"/>
          </w:tcPr>
          <w:p w14:paraId="1587595B">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1次/年</w:t>
            </w:r>
          </w:p>
        </w:tc>
        <w:tc>
          <w:tcPr>
            <w:tcW w:w="1631" w:type="dxa"/>
            <w:tcBorders>
              <w:top w:val="nil"/>
              <w:left w:val="nil"/>
              <w:bottom w:val="single" w:color="auto" w:sz="4" w:space="0"/>
              <w:right w:val="single" w:color="auto" w:sz="4" w:space="0"/>
            </w:tcBorders>
            <w:shd w:val="clear" w:color="auto" w:fill="auto"/>
            <w:vAlign w:val="center"/>
          </w:tcPr>
          <w:p w14:paraId="7818DF9F">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每台炉的测量值需为6～12 个小时内完成不少于 3个样品的采集，取算术平均值</w:t>
            </w:r>
          </w:p>
        </w:tc>
        <w:tc>
          <w:tcPr>
            <w:tcW w:w="1266" w:type="dxa"/>
            <w:tcBorders>
              <w:top w:val="nil"/>
              <w:left w:val="nil"/>
              <w:bottom w:val="single" w:color="auto" w:sz="4" w:space="0"/>
              <w:right w:val="single" w:color="auto" w:sz="4" w:space="0"/>
            </w:tcBorders>
            <w:shd w:val="clear" w:color="auto" w:fill="auto"/>
            <w:vAlign w:val="center"/>
          </w:tcPr>
          <w:p w14:paraId="76CAD0BC">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3</w:t>
            </w:r>
          </w:p>
        </w:tc>
      </w:tr>
      <w:tr w14:paraId="10DD32DD">
        <w:tblPrEx>
          <w:tblCellMar>
            <w:top w:w="0" w:type="dxa"/>
            <w:left w:w="108" w:type="dxa"/>
            <w:bottom w:w="0" w:type="dxa"/>
            <w:right w:w="108" w:type="dxa"/>
          </w:tblCellMar>
        </w:tblPrEx>
        <w:trPr>
          <w:trHeight w:val="1353" w:hRule="atLeast"/>
        </w:trPr>
        <w:tc>
          <w:tcPr>
            <w:tcW w:w="427" w:type="dxa"/>
            <w:tcBorders>
              <w:top w:val="nil"/>
              <w:left w:val="single" w:color="auto" w:sz="4" w:space="0"/>
              <w:bottom w:val="single" w:color="auto" w:sz="4" w:space="0"/>
              <w:right w:val="single" w:color="auto" w:sz="4" w:space="0"/>
            </w:tcBorders>
            <w:shd w:val="clear" w:color="auto" w:fill="auto"/>
            <w:vAlign w:val="center"/>
          </w:tcPr>
          <w:p w14:paraId="19BD28B1">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12</w:t>
            </w:r>
          </w:p>
        </w:tc>
        <w:tc>
          <w:tcPr>
            <w:tcW w:w="636" w:type="dxa"/>
            <w:vMerge w:val="restart"/>
            <w:tcBorders>
              <w:top w:val="nil"/>
              <w:left w:val="single" w:color="auto" w:sz="4" w:space="0"/>
              <w:bottom w:val="single" w:color="000000" w:sz="4" w:space="0"/>
              <w:right w:val="single" w:color="auto" w:sz="4" w:space="0"/>
            </w:tcBorders>
            <w:shd w:val="clear" w:color="auto" w:fill="auto"/>
            <w:vAlign w:val="center"/>
          </w:tcPr>
          <w:p w14:paraId="60D9D2AD">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有组织排放废气（一般排放口）</w:t>
            </w:r>
          </w:p>
        </w:tc>
        <w:tc>
          <w:tcPr>
            <w:tcW w:w="1552" w:type="dxa"/>
            <w:tcBorders>
              <w:top w:val="nil"/>
              <w:left w:val="nil"/>
              <w:bottom w:val="single" w:color="auto" w:sz="4" w:space="0"/>
              <w:right w:val="single" w:color="auto" w:sz="4" w:space="0"/>
            </w:tcBorders>
            <w:shd w:val="clear" w:color="auto" w:fill="auto"/>
            <w:vAlign w:val="center"/>
          </w:tcPr>
          <w:p w14:paraId="5A3AABE6">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铝冶炼脱氮废气排放口A4</w:t>
            </w:r>
          </w:p>
        </w:tc>
        <w:tc>
          <w:tcPr>
            <w:tcW w:w="2001" w:type="dxa"/>
            <w:tcBorders>
              <w:top w:val="nil"/>
              <w:left w:val="nil"/>
              <w:bottom w:val="single" w:color="auto" w:sz="4" w:space="0"/>
              <w:right w:val="single" w:color="auto" w:sz="4" w:space="0"/>
            </w:tcBorders>
            <w:shd w:val="clear" w:color="auto" w:fill="auto"/>
            <w:vAlign w:val="center"/>
          </w:tcPr>
          <w:p w14:paraId="3691F17B">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氨（氨气）</w:t>
            </w:r>
          </w:p>
        </w:tc>
        <w:tc>
          <w:tcPr>
            <w:tcW w:w="846" w:type="dxa"/>
            <w:tcBorders>
              <w:top w:val="nil"/>
              <w:left w:val="nil"/>
              <w:bottom w:val="single" w:color="auto" w:sz="4" w:space="0"/>
              <w:right w:val="single" w:color="auto" w:sz="4" w:space="0"/>
            </w:tcBorders>
            <w:shd w:val="clear" w:color="auto" w:fill="auto"/>
            <w:vAlign w:val="center"/>
          </w:tcPr>
          <w:p w14:paraId="1646CD21">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1次/季度</w:t>
            </w:r>
          </w:p>
        </w:tc>
        <w:tc>
          <w:tcPr>
            <w:tcW w:w="1631" w:type="dxa"/>
            <w:tcBorders>
              <w:top w:val="nil"/>
              <w:left w:val="nil"/>
              <w:bottom w:val="single" w:color="auto" w:sz="4" w:space="0"/>
              <w:right w:val="single" w:color="auto" w:sz="4" w:space="0"/>
            </w:tcBorders>
            <w:shd w:val="clear" w:color="auto" w:fill="auto"/>
            <w:vAlign w:val="center"/>
          </w:tcPr>
          <w:p w14:paraId="75DB03BD">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恶臭污染监测样品采集不少于3次，取最大测定值。</w:t>
            </w:r>
          </w:p>
        </w:tc>
        <w:tc>
          <w:tcPr>
            <w:tcW w:w="1266" w:type="dxa"/>
            <w:tcBorders>
              <w:top w:val="nil"/>
              <w:left w:val="nil"/>
              <w:bottom w:val="single" w:color="auto" w:sz="4" w:space="0"/>
              <w:right w:val="single" w:color="auto" w:sz="4" w:space="0"/>
            </w:tcBorders>
            <w:shd w:val="clear" w:color="auto" w:fill="auto"/>
            <w:vAlign w:val="center"/>
          </w:tcPr>
          <w:p w14:paraId="7746E922">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12</w:t>
            </w:r>
          </w:p>
        </w:tc>
      </w:tr>
      <w:tr w14:paraId="04C8321C">
        <w:tblPrEx>
          <w:tblCellMar>
            <w:top w:w="0" w:type="dxa"/>
            <w:left w:w="108" w:type="dxa"/>
            <w:bottom w:w="0" w:type="dxa"/>
            <w:right w:w="108" w:type="dxa"/>
          </w:tblCellMar>
        </w:tblPrEx>
        <w:trPr>
          <w:trHeight w:val="1680" w:hRule="atLeast"/>
        </w:trPr>
        <w:tc>
          <w:tcPr>
            <w:tcW w:w="427" w:type="dxa"/>
            <w:tcBorders>
              <w:top w:val="nil"/>
              <w:left w:val="single" w:color="auto" w:sz="4" w:space="0"/>
              <w:bottom w:val="single" w:color="auto" w:sz="4" w:space="0"/>
              <w:right w:val="single" w:color="auto" w:sz="4" w:space="0"/>
            </w:tcBorders>
            <w:shd w:val="clear" w:color="auto" w:fill="auto"/>
            <w:vAlign w:val="center"/>
          </w:tcPr>
          <w:p w14:paraId="30A2EAAF">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13</w:t>
            </w:r>
          </w:p>
        </w:tc>
        <w:tc>
          <w:tcPr>
            <w:tcW w:w="636" w:type="dxa"/>
            <w:vMerge w:val="continue"/>
            <w:tcBorders>
              <w:top w:val="nil"/>
              <w:left w:val="single" w:color="auto" w:sz="4" w:space="0"/>
              <w:bottom w:val="single" w:color="000000" w:sz="4" w:space="0"/>
              <w:right w:val="single" w:color="auto" w:sz="4" w:space="0"/>
            </w:tcBorders>
            <w:vAlign w:val="center"/>
          </w:tcPr>
          <w:p w14:paraId="3761E1B2">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color w:val="auto"/>
                <w:kern w:val="0"/>
                <w:sz w:val="20"/>
                <w:szCs w:val="20"/>
              </w:rPr>
            </w:pPr>
          </w:p>
        </w:tc>
        <w:tc>
          <w:tcPr>
            <w:tcW w:w="1552" w:type="dxa"/>
            <w:tcBorders>
              <w:top w:val="nil"/>
              <w:left w:val="nil"/>
              <w:bottom w:val="single" w:color="auto" w:sz="4" w:space="0"/>
              <w:right w:val="single" w:color="auto" w:sz="4" w:space="0"/>
            </w:tcBorders>
            <w:shd w:val="clear" w:color="auto" w:fill="auto"/>
            <w:vAlign w:val="center"/>
          </w:tcPr>
          <w:p w14:paraId="1820B260">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丙一库排气筒A6、丙二库排气筒A7 2个点位</w:t>
            </w:r>
          </w:p>
        </w:tc>
        <w:tc>
          <w:tcPr>
            <w:tcW w:w="2001" w:type="dxa"/>
            <w:tcBorders>
              <w:top w:val="nil"/>
              <w:left w:val="nil"/>
              <w:bottom w:val="single" w:color="auto" w:sz="4" w:space="0"/>
              <w:right w:val="single" w:color="auto" w:sz="4" w:space="0"/>
            </w:tcBorders>
            <w:shd w:val="clear" w:color="auto" w:fill="auto"/>
            <w:vAlign w:val="center"/>
          </w:tcPr>
          <w:p w14:paraId="5326C365">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氨（氨气）、臭气浓度、颗粒物、硫化氢、氟化物、VOCs、氯化氢、非甲烷总烃、氰化氢</w:t>
            </w:r>
          </w:p>
        </w:tc>
        <w:tc>
          <w:tcPr>
            <w:tcW w:w="846" w:type="dxa"/>
            <w:tcBorders>
              <w:top w:val="nil"/>
              <w:left w:val="nil"/>
              <w:bottom w:val="single" w:color="auto" w:sz="4" w:space="0"/>
              <w:right w:val="single" w:color="auto" w:sz="4" w:space="0"/>
            </w:tcBorders>
            <w:shd w:val="clear" w:color="auto" w:fill="auto"/>
            <w:vAlign w:val="center"/>
          </w:tcPr>
          <w:p w14:paraId="006B050A">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1次/季度</w:t>
            </w:r>
          </w:p>
        </w:tc>
        <w:tc>
          <w:tcPr>
            <w:tcW w:w="1631" w:type="dxa"/>
            <w:tcBorders>
              <w:top w:val="nil"/>
              <w:left w:val="nil"/>
              <w:bottom w:val="single" w:color="auto" w:sz="4" w:space="0"/>
              <w:right w:val="single" w:color="auto" w:sz="4" w:space="0"/>
            </w:tcBorders>
            <w:shd w:val="clear" w:color="auto" w:fill="auto"/>
            <w:vAlign w:val="center"/>
          </w:tcPr>
          <w:p w14:paraId="7B0720B4">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1.以连续一小时的采样获取平均值或在一小时内以等时间间隔采集4个样品，并计平均值。</w:t>
            </w:r>
            <w:r>
              <w:rPr>
                <w:rFonts w:hint="eastAsia" w:ascii="仿宋_GB2312" w:hAnsi="仿宋_GB2312" w:eastAsia="仿宋_GB2312" w:cs="仿宋_GB2312"/>
                <w:color w:val="auto"/>
                <w:kern w:val="0"/>
                <w:sz w:val="20"/>
                <w:szCs w:val="20"/>
              </w:rPr>
              <w:br w:type="textWrapping"/>
            </w:r>
            <w:r>
              <w:rPr>
                <w:rFonts w:hint="eastAsia" w:ascii="仿宋_GB2312" w:hAnsi="仿宋_GB2312" w:eastAsia="仿宋_GB2312" w:cs="仿宋_GB2312"/>
                <w:color w:val="auto"/>
                <w:kern w:val="0"/>
                <w:sz w:val="20"/>
                <w:szCs w:val="20"/>
              </w:rPr>
              <w:t>2.恶臭污染监测样品采集不少于3次，取最大测定值。</w:t>
            </w:r>
          </w:p>
        </w:tc>
        <w:tc>
          <w:tcPr>
            <w:tcW w:w="1266" w:type="dxa"/>
            <w:tcBorders>
              <w:top w:val="nil"/>
              <w:left w:val="nil"/>
              <w:bottom w:val="single" w:color="auto" w:sz="4" w:space="0"/>
              <w:right w:val="single" w:color="auto" w:sz="4" w:space="0"/>
            </w:tcBorders>
            <w:shd w:val="clear" w:color="auto" w:fill="auto"/>
            <w:vAlign w:val="center"/>
          </w:tcPr>
          <w:p w14:paraId="3D15799D">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24</w:t>
            </w:r>
          </w:p>
        </w:tc>
      </w:tr>
      <w:tr w14:paraId="3531A581">
        <w:tblPrEx>
          <w:tblCellMar>
            <w:top w:w="0" w:type="dxa"/>
            <w:left w:w="108" w:type="dxa"/>
            <w:bottom w:w="0" w:type="dxa"/>
            <w:right w:w="108" w:type="dxa"/>
          </w:tblCellMar>
        </w:tblPrEx>
        <w:trPr>
          <w:trHeight w:val="1680" w:hRule="atLeast"/>
        </w:trPr>
        <w:tc>
          <w:tcPr>
            <w:tcW w:w="427" w:type="dxa"/>
            <w:tcBorders>
              <w:top w:val="nil"/>
              <w:left w:val="single" w:color="auto" w:sz="4" w:space="0"/>
              <w:bottom w:val="single" w:color="auto" w:sz="4" w:space="0"/>
              <w:right w:val="single" w:color="auto" w:sz="4" w:space="0"/>
            </w:tcBorders>
            <w:shd w:val="clear" w:color="auto" w:fill="auto"/>
            <w:vAlign w:val="center"/>
          </w:tcPr>
          <w:p w14:paraId="3CAF43F9">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14</w:t>
            </w:r>
          </w:p>
        </w:tc>
        <w:tc>
          <w:tcPr>
            <w:tcW w:w="636" w:type="dxa"/>
            <w:vMerge w:val="continue"/>
            <w:tcBorders>
              <w:top w:val="nil"/>
              <w:left w:val="single" w:color="auto" w:sz="4" w:space="0"/>
              <w:bottom w:val="single" w:color="000000" w:sz="4" w:space="0"/>
              <w:right w:val="single" w:color="auto" w:sz="4" w:space="0"/>
            </w:tcBorders>
            <w:vAlign w:val="center"/>
          </w:tcPr>
          <w:p w14:paraId="6BC6E593">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color w:val="auto"/>
                <w:kern w:val="0"/>
                <w:sz w:val="20"/>
                <w:szCs w:val="20"/>
              </w:rPr>
            </w:pPr>
          </w:p>
        </w:tc>
        <w:tc>
          <w:tcPr>
            <w:tcW w:w="1552" w:type="dxa"/>
            <w:tcBorders>
              <w:top w:val="nil"/>
              <w:left w:val="nil"/>
              <w:bottom w:val="single" w:color="auto" w:sz="4" w:space="0"/>
              <w:right w:val="single" w:color="auto" w:sz="4" w:space="0"/>
            </w:tcBorders>
            <w:shd w:val="clear" w:color="auto" w:fill="auto"/>
            <w:vAlign w:val="center"/>
          </w:tcPr>
          <w:p w14:paraId="509D5608">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甲类库A9、乙类库A10及预处理车间排气筒A11 3个点位</w:t>
            </w:r>
          </w:p>
        </w:tc>
        <w:tc>
          <w:tcPr>
            <w:tcW w:w="2001" w:type="dxa"/>
            <w:tcBorders>
              <w:top w:val="nil"/>
              <w:left w:val="nil"/>
              <w:bottom w:val="single" w:color="auto" w:sz="4" w:space="0"/>
              <w:right w:val="single" w:color="auto" w:sz="4" w:space="0"/>
            </w:tcBorders>
            <w:shd w:val="clear" w:color="auto" w:fill="auto"/>
            <w:vAlign w:val="center"/>
          </w:tcPr>
          <w:p w14:paraId="54BB6305">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氨（氨气）、臭气浓度、颗粒物、硫化氢、氟化物、VOCs、氯化氢、非甲烷总烃</w:t>
            </w:r>
          </w:p>
        </w:tc>
        <w:tc>
          <w:tcPr>
            <w:tcW w:w="846" w:type="dxa"/>
            <w:tcBorders>
              <w:top w:val="nil"/>
              <w:left w:val="nil"/>
              <w:bottom w:val="single" w:color="auto" w:sz="4" w:space="0"/>
              <w:right w:val="single" w:color="auto" w:sz="4" w:space="0"/>
            </w:tcBorders>
            <w:shd w:val="clear" w:color="auto" w:fill="auto"/>
            <w:vAlign w:val="center"/>
          </w:tcPr>
          <w:p w14:paraId="1EF9677C">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1次/季度</w:t>
            </w:r>
          </w:p>
        </w:tc>
        <w:tc>
          <w:tcPr>
            <w:tcW w:w="1631" w:type="dxa"/>
            <w:tcBorders>
              <w:top w:val="nil"/>
              <w:left w:val="nil"/>
              <w:bottom w:val="single" w:color="auto" w:sz="4" w:space="0"/>
              <w:right w:val="single" w:color="auto" w:sz="4" w:space="0"/>
            </w:tcBorders>
            <w:shd w:val="clear" w:color="auto" w:fill="auto"/>
            <w:vAlign w:val="center"/>
          </w:tcPr>
          <w:p w14:paraId="1AA7FB24">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1.以连续一小时的采样获取平均值或在一小时内以等时间间隔采集4个样品，并计平均值。</w:t>
            </w:r>
            <w:r>
              <w:rPr>
                <w:rFonts w:hint="eastAsia" w:ascii="仿宋_GB2312" w:hAnsi="仿宋_GB2312" w:eastAsia="仿宋_GB2312" w:cs="仿宋_GB2312"/>
                <w:color w:val="auto"/>
                <w:kern w:val="0"/>
                <w:sz w:val="20"/>
                <w:szCs w:val="20"/>
              </w:rPr>
              <w:br w:type="textWrapping"/>
            </w:r>
            <w:r>
              <w:rPr>
                <w:rFonts w:hint="eastAsia" w:ascii="仿宋_GB2312" w:hAnsi="仿宋_GB2312" w:eastAsia="仿宋_GB2312" w:cs="仿宋_GB2312"/>
                <w:color w:val="auto"/>
                <w:kern w:val="0"/>
                <w:sz w:val="20"/>
                <w:szCs w:val="20"/>
              </w:rPr>
              <w:t>2.恶臭污染监测样品采集不少于3次，取最大测定值。</w:t>
            </w:r>
          </w:p>
        </w:tc>
        <w:tc>
          <w:tcPr>
            <w:tcW w:w="1266" w:type="dxa"/>
            <w:tcBorders>
              <w:top w:val="nil"/>
              <w:left w:val="nil"/>
              <w:bottom w:val="single" w:color="auto" w:sz="4" w:space="0"/>
              <w:right w:val="single" w:color="auto" w:sz="4" w:space="0"/>
            </w:tcBorders>
            <w:shd w:val="clear" w:color="auto" w:fill="auto"/>
            <w:vAlign w:val="center"/>
          </w:tcPr>
          <w:p w14:paraId="3C40CDD1">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36</w:t>
            </w:r>
          </w:p>
        </w:tc>
      </w:tr>
      <w:tr w14:paraId="1207819F">
        <w:tblPrEx>
          <w:tblCellMar>
            <w:top w:w="0" w:type="dxa"/>
            <w:left w:w="108" w:type="dxa"/>
            <w:bottom w:w="0" w:type="dxa"/>
            <w:right w:w="108" w:type="dxa"/>
          </w:tblCellMar>
        </w:tblPrEx>
        <w:trPr>
          <w:trHeight w:val="1680" w:hRule="atLeast"/>
        </w:trPr>
        <w:tc>
          <w:tcPr>
            <w:tcW w:w="427" w:type="dxa"/>
            <w:tcBorders>
              <w:top w:val="nil"/>
              <w:left w:val="single" w:color="auto" w:sz="4" w:space="0"/>
              <w:bottom w:val="single" w:color="auto" w:sz="4" w:space="0"/>
              <w:right w:val="single" w:color="auto" w:sz="4" w:space="0"/>
            </w:tcBorders>
            <w:shd w:val="clear" w:color="auto" w:fill="auto"/>
            <w:vAlign w:val="center"/>
          </w:tcPr>
          <w:p w14:paraId="24264155">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15</w:t>
            </w:r>
          </w:p>
        </w:tc>
        <w:tc>
          <w:tcPr>
            <w:tcW w:w="636" w:type="dxa"/>
            <w:vMerge w:val="continue"/>
            <w:tcBorders>
              <w:top w:val="nil"/>
              <w:left w:val="single" w:color="auto" w:sz="4" w:space="0"/>
              <w:bottom w:val="single" w:color="000000" w:sz="4" w:space="0"/>
              <w:right w:val="single" w:color="auto" w:sz="4" w:space="0"/>
            </w:tcBorders>
            <w:vAlign w:val="center"/>
          </w:tcPr>
          <w:p w14:paraId="4FF7CBF0">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color w:val="auto"/>
                <w:kern w:val="0"/>
                <w:sz w:val="20"/>
                <w:szCs w:val="20"/>
              </w:rPr>
            </w:pPr>
          </w:p>
        </w:tc>
        <w:tc>
          <w:tcPr>
            <w:tcW w:w="1552" w:type="dxa"/>
            <w:tcBorders>
              <w:top w:val="nil"/>
              <w:left w:val="nil"/>
              <w:bottom w:val="single" w:color="auto" w:sz="4" w:space="0"/>
              <w:right w:val="single" w:color="auto" w:sz="4" w:space="0"/>
            </w:tcBorders>
            <w:shd w:val="clear" w:color="auto" w:fill="auto"/>
            <w:vAlign w:val="center"/>
          </w:tcPr>
          <w:p w14:paraId="12383B99">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火法熔炼预处理车间排气筒A12 1个点位</w:t>
            </w:r>
          </w:p>
        </w:tc>
        <w:tc>
          <w:tcPr>
            <w:tcW w:w="2001" w:type="dxa"/>
            <w:tcBorders>
              <w:top w:val="nil"/>
              <w:left w:val="nil"/>
              <w:bottom w:val="single" w:color="auto" w:sz="4" w:space="0"/>
              <w:right w:val="single" w:color="auto" w:sz="4" w:space="0"/>
            </w:tcBorders>
            <w:shd w:val="clear" w:color="auto" w:fill="auto"/>
            <w:vAlign w:val="center"/>
          </w:tcPr>
          <w:p w14:paraId="396942AE">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VOCs、氨（氨气）、硫化氢、非甲烷总烃</w:t>
            </w:r>
          </w:p>
        </w:tc>
        <w:tc>
          <w:tcPr>
            <w:tcW w:w="846" w:type="dxa"/>
            <w:tcBorders>
              <w:top w:val="nil"/>
              <w:left w:val="nil"/>
              <w:bottom w:val="single" w:color="auto" w:sz="4" w:space="0"/>
              <w:right w:val="single" w:color="auto" w:sz="4" w:space="0"/>
            </w:tcBorders>
            <w:shd w:val="clear" w:color="auto" w:fill="auto"/>
            <w:vAlign w:val="center"/>
          </w:tcPr>
          <w:p w14:paraId="77E091E1">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1次/季度</w:t>
            </w:r>
          </w:p>
        </w:tc>
        <w:tc>
          <w:tcPr>
            <w:tcW w:w="1631" w:type="dxa"/>
            <w:tcBorders>
              <w:top w:val="nil"/>
              <w:left w:val="nil"/>
              <w:bottom w:val="single" w:color="auto" w:sz="4" w:space="0"/>
              <w:right w:val="single" w:color="auto" w:sz="4" w:space="0"/>
            </w:tcBorders>
            <w:shd w:val="clear" w:color="auto" w:fill="auto"/>
            <w:vAlign w:val="center"/>
          </w:tcPr>
          <w:p w14:paraId="2B9169D5">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1.以连续一小时的采样获取平均值或在一小时内以等时间间隔采集4个样品，并计平均值。</w:t>
            </w:r>
            <w:r>
              <w:rPr>
                <w:rFonts w:hint="eastAsia" w:ascii="仿宋_GB2312" w:hAnsi="仿宋_GB2312" w:eastAsia="仿宋_GB2312" w:cs="仿宋_GB2312"/>
                <w:color w:val="auto"/>
                <w:kern w:val="0"/>
                <w:sz w:val="20"/>
                <w:szCs w:val="20"/>
              </w:rPr>
              <w:br w:type="textWrapping"/>
            </w:r>
            <w:r>
              <w:rPr>
                <w:rFonts w:hint="eastAsia" w:ascii="仿宋_GB2312" w:hAnsi="仿宋_GB2312" w:eastAsia="仿宋_GB2312" w:cs="仿宋_GB2312"/>
                <w:color w:val="auto"/>
                <w:kern w:val="0"/>
                <w:sz w:val="20"/>
                <w:szCs w:val="20"/>
              </w:rPr>
              <w:t>2.恶臭污染监测样品采集不少于3次，取最大测定值。</w:t>
            </w:r>
          </w:p>
        </w:tc>
        <w:tc>
          <w:tcPr>
            <w:tcW w:w="1266" w:type="dxa"/>
            <w:tcBorders>
              <w:top w:val="nil"/>
              <w:left w:val="nil"/>
              <w:bottom w:val="single" w:color="auto" w:sz="4" w:space="0"/>
              <w:right w:val="single" w:color="auto" w:sz="4" w:space="0"/>
            </w:tcBorders>
            <w:shd w:val="clear" w:color="auto" w:fill="auto"/>
            <w:vAlign w:val="center"/>
          </w:tcPr>
          <w:p w14:paraId="533A032A">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12</w:t>
            </w:r>
          </w:p>
        </w:tc>
      </w:tr>
      <w:tr w14:paraId="34EDBF02">
        <w:tblPrEx>
          <w:tblCellMar>
            <w:top w:w="0" w:type="dxa"/>
            <w:left w:w="108" w:type="dxa"/>
            <w:bottom w:w="0" w:type="dxa"/>
            <w:right w:w="108" w:type="dxa"/>
          </w:tblCellMar>
        </w:tblPrEx>
        <w:trPr>
          <w:trHeight w:val="1680" w:hRule="atLeast"/>
        </w:trPr>
        <w:tc>
          <w:tcPr>
            <w:tcW w:w="427" w:type="dxa"/>
            <w:tcBorders>
              <w:top w:val="nil"/>
              <w:left w:val="single" w:color="auto" w:sz="4" w:space="0"/>
              <w:bottom w:val="single" w:color="auto" w:sz="4" w:space="0"/>
              <w:right w:val="single" w:color="auto" w:sz="4" w:space="0"/>
            </w:tcBorders>
            <w:shd w:val="clear" w:color="auto" w:fill="auto"/>
            <w:vAlign w:val="center"/>
          </w:tcPr>
          <w:p w14:paraId="770B328C">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16</w:t>
            </w:r>
          </w:p>
        </w:tc>
        <w:tc>
          <w:tcPr>
            <w:tcW w:w="636" w:type="dxa"/>
            <w:vMerge w:val="continue"/>
            <w:tcBorders>
              <w:top w:val="nil"/>
              <w:left w:val="single" w:color="auto" w:sz="4" w:space="0"/>
              <w:bottom w:val="single" w:color="000000" w:sz="4" w:space="0"/>
              <w:right w:val="single" w:color="auto" w:sz="4" w:space="0"/>
            </w:tcBorders>
            <w:vAlign w:val="center"/>
          </w:tcPr>
          <w:p w14:paraId="0BED0688">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color w:val="auto"/>
                <w:kern w:val="0"/>
                <w:sz w:val="20"/>
                <w:szCs w:val="20"/>
              </w:rPr>
            </w:pPr>
          </w:p>
        </w:tc>
        <w:tc>
          <w:tcPr>
            <w:tcW w:w="1552" w:type="dxa"/>
            <w:tcBorders>
              <w:top w:val="nil"/>
              <w:left w:val="nil"/>
              <w:bottom w:val="single" w:color="auto" w:sz="4" w:space="0"/>
              <w:right w:val="single" w:color="auto" w:sz="4" w:space="0"/>
            </w:tcBorders>
            <w:shd w:val="clear" w:color="auto" w:fill="auto"/>
            <w:vAlign w:val="center"/>
          </w:tcPr>
          <w:p w14:paraId="4922F999">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火法熔炼环集烟囱A21 1个点位</w:t>
            </w:r>
          </w:p>
        </w:tc>
        <w:tc>
          <w:tcPr>
            <w:tcW w:w="2001" w:type="dxa"/>
            <w:tcBorders>
              <w:top w:val="nil"/>
              <w:left w:val="nil"/>
              <w:bottom w:val="single" w:color="auto" w:sz="4" w:space="0"/>
              <w:right w:val="single" w:color="auto" w:sz="4" w:space="0"/>
            </w:tcBorders>
            <w:shd w:val="clear" w:color="auto" w:fill="auto"/>
            <w:vAlign w:val="center"/>
          </w:tcPr>
          <w:p w14:paraId="4F0DED15">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颗粒物</w:t>
            </w:r>
          </w:p>
        </w:tc>
        <w:tc>
          <w:tcPr>
            <w:tcW w:w="846" w:type="dxa"/>
            <w:tcBorders>
              <w:top w:val="nil"/>
              <w:left w:val="nil"/>
              <w:bottom w:val="single" w:color="auto" w:sz="4" w:space="0"/>
              <w:right w:val="single" w:color="auto" w:sz="4" w:space="0"/>
            </w:tcBorders>
            <w:shd w:val="clear" w:color="auto" w:fill="auto"/>
            <w:vAlign w:val="center"/>
          </w:tcPr>
          <w:p w14:paraId="71B13918">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1次/季度</w:t>
            </w:r>
          </w:p>
        </w:tc>
        <w:tc>
          <w:tcPr>
            <w:tcW w:w="1631" w:type="dxa"/>
            <w:tcBorders>
              <w:top w:val="nil"/>
              <w:left w:val="nil"/>
              <w:bottom w:val="single" w:color="auto" w:sz="4" w:space="0"/>
              <w:right w:val="single" w:color="auto" w:sz="4" w:space="0"/>
            </w:tcBorders>
            <w:shd w:val="clear" w:color="auto" w:fill="auto"/>
            <w:vAlign w:val="center"/>
          </w:tcPr>
          <w:p w14:paraId="5F3D465C">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以连续一小时的采样获取平均值或在一小时内以等时间间隔采集四个样品，并计平均值。</w:t>
            </w:r>
          </w:p>
        </w:tc>
        <w:tc>
          <w:tcPr>
            <w:tcW w:w="1266" w:type="dxa"/>
            <w:tcBorders>
              <w:top w:val="nil"/>
              <w:left w:val="nil"/>
              <w:bottom w:val="single" w:color="auto" w:sz="4" w:space="0"/>
              <w:right w:val="single" w:color="auto" w:sz="4" w:space="0"/>
            </w:tcBorders>
            <w:shd w:val="clear" w:color="auto" w:fill="auto"/>
            <w:vAlign w:val="center"/>
          </w:tcPr>
          <w:p w14:paraId="489539C3">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12</w:t>
            </w:r>
          </w:p>
        </w:tc>
      </w:tr>
      <w:tr w14:paraId="3BDE8AC5">
        <w:trPr>
          <w:trHeight w:val="1680" w:hRule="atLeast"/>
        </w:trPr>
        <w:tc>
          <w:tcPr>
            <w:tcW w:w="427" w:type="dxa"/>
            <w:tcBorders>
              <w:top w:val="nil"/>
              <w:left w:val="single" w:color="auto" w:sz="4" w:space="0"/>
              <w:bottom w:val="single" w:color="auto" w:sz="4" w:space="0"/>
              <w:right w:val="single" w:color="auto" w:sz="4" w:space="0"/>
            </w:tcBorders>
            <w:shd w:val="clear" w:color="auto" w:fill="auto"/>
            <w:vAlign w:val="center"/>
          </w:tcPr>
          <w:p w14:paraId="6AE04EB6">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17</w:t>
            </w:r>
          </w:p>
        </w:tc>
        <w:tc>
          <w:tcPr>
            <w:tcW w:w="636" w:type="dxa"/>
            <w:vMerge w:val="continue"/>
            <w:tcBorders>
              <w:top w:val="nil"/>
              <w:left w:val="single" w:color="auto" w:sz="4" w:space="0"/>
              <w:bottom w:val="single" w:color="000000" w:sz="4" w:space="0"/>
              <w:right w:val="single" w:color="auto" w:sz="4" w:space="0"/>
            </w:tcBorders>
            <w:vAlign w:val="center"/>
          </w:tcPr>
          <w:p w14:paraId="2DB8FDAA">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color w:val="auto"/>
                <w:kern w:val="0"/>
                <w:sz w:val="20"/>
                <w:szCs w:val="20"/>
              </w:rPr>
            </w:pPr>
          </w:p>
        </w:tc>
        <w:tc>
          <w:tcPr>
            <w:tcW w:w="1552" w:type="dxa"/>
            <w:tcBorders>
              <w:top w:val="nil"/>
              <w:left w:val="nil"/>
              <w:bottom w:val="single" w:color="auto" w:sz="4" w:space="0"/>
              <w:right w:val="single" w:color="auto" w:sz="4" w:space="0"/>
            </w:tcBorders>
            <w:shd w:val="clear" w:color="auto" w:fill="auto"/>
            <w:vAlign w:val="center"/>
          </w:tcPr>
          <w:p w14:paraId="3C2F9F4B">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综合污水处理系统排气筒A16 1个点位</w:t>
            </w:r>
          </w:p>
        </w:tc>
        <w:tc>
          <w:tcPr>
            <w:tcW w:w="2001" w:type="dxa"/>
            <w:tcBorders>
              <w:top w:val="nil"/>
              <w:left w:val="nil"/>
              <w:bottom w:val="single" w:color="auto" w:sz="4" w:space="0"/>
              <w:right w:val="single" w:color="auto" w:sz="4" w:space="0"/>
            </w:tcBorders>
            <w:shd w:val="clear" w:color="auto" w:fill="auto"/>
            <w:vAlign w:val="center"/>
          </w:tcPr>
          <w:p w14:paraId="676FB7F9">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臭气浓度、硫化氢、氨（氨气）、VOCs、非甲烷总烃</w:t>
            </w:r>
          </w:p>
        </w:tc>
        <w:tc>
          <w:tcPr>
            <w:tcW w:w="846" w:type="dxa"/>
            <w:tcBorders>
              <w:top w:val="nil"/>
              <w:left w:val="nil"/>
              <w:bottom w:val="single" w:color="auto" w:sz="4" w:space="0"/>
              <w:right w:val="single" w:color="auto" w:sz="4" w:space="0"/>
            </w:tcBorders>
            <w:shd w:val="clear" w:color="auto" w:fill="auto"/>
            <w:vAlign w:val="center"/>
          </w:tcPr>
          <w:p w14:paraId="6279A37A">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1次/半年</w:t>
            </w:r>
          </w:p>
        </w:tc>
        <w:tc>
          <w:tcPr>
            <w:tcW w:w="1631" w:type="dxa"/>
            <w:tcBorders>
              <w:top w:val="nil"/>
              <w:left w:val="nil"/>
              <w:bottom w:val="single" w:color="auto" w:sz="4" w:space="0"/>
              <w:right w:val="single" w:color="auto" w:sz="4" w:space="0"/>
            </w:tcBorders>
            <w:shd w:val="clear" w:color="auto" w:fill="auto"/>
            <w:vAlign w:val="center"/>
          </w:tcPr>
          <w:p w14:paraId="718D0C6F">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1.以连续一小时的采样获取平均值或在一小时内以等时间间隔采集四个样品，并计平均值。</w:t>
            </w:r>
            <w:r>
              <w:rPr>
                <w:rFonts w:hint="eastAsia" w:ascii="仿宋_GB2312" w:hAnsi="仿宋_GB2312" w:eastAsia="仿宋_GB2312" w:cs="仿宋_GB2312"/>
                <w:color w:val="auto"/>
                <w:kern w:val="0"/>
                <w:sz w:val="20"/>
                <w:szCs w:val="20"/>
              </w:rPr>
              <w:br w:type="textWrapping"/>
            </w:r>
            <w:r>
              <w:rPr>
                <w:rFonts w:hint="eastAsia" w:ascii="仿宋_GB2312" w:hAnsi="仿宋_GB2312" w:eastAsia="仿宋_GB2312" w:cs="仿宋_GB2312"/>
                <w:color w:val="auto"/>
                <w:kern w:val="0"/>
                <w:sz w:val="20"/>
                <w:szCs w:val="20"/>
              </w:rPr>
              <w:t>2.恶臭污染监测样品采集不少于3次，取最大测定值。</w:t>
            </w:r>
          </w:p>
        </w:tc>
        <w:tc>
          <w:tcPr>
            <w:tcW w:w="1266" w:type="dxa"/>
            <w:tcBorders>
              <w:top w:val="nil"/>
              <w:left w:val="nil"/>
              <w:bottom w:val="single" w:color="auto" w:sz="4" w:space="0"/>
              <w:right w:val="single" w:color="auto" w:sz="4" w:space="0"/>
            </w:tcBorders>
            <w:shd w:val="clear" w:color="auto" w:fill="auto"/>
            <w:vAlign w:val="center"/>
          </w:tcPr>
          <w:p w14:paraId="5335EBEF">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6</w:t>
            </w:r>
          </w:p>
        </w:tc>
      </w:tr>
      <w:tr w14:paraId="3F68B30D">
        <w:tblPrEx>
          <w:tblCellMar>
            <w:top w:w="0" w:type="dxa"/>
            <w:left w:w="108" w:type="dxa"/>
            <w:bottom w:w="0" w:type="dxa"/>
            <w:right w:w="108" w:type="dxa"/>
          </w:tblCellMar>
        </w:tblPrEx>
        <w:trPr>
          <w:trHeight w:val="1680" w:hRule="atLeast"/>
        </w:trPr>
        <w:tc>
          <w:tcPr>
            <w:tcW w:w="427" w:type="dxa"/>
            <w:tcBorders>
              <w:top w:val="nil"/>
              <w:left w:val="single" w:color="auto" w:sz="4" w:space="0"/>
              <w:bottom w:val="single" w:color="auto" w:sz="4" w:space="0"/>
              <w:right w:val="single" w:color="auto" w:sz="4" w:space="0"/>
            </w:tcBorders>
            <w:shd w:val="clear" w:color="auto" w:fill="auto"/>
            <w:vAlign w:val="center"/>
          </w:tcPr>
          <w:p w14:paraId="78C1AD50">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18</w:t>
            </w:r>
          </w:p>
        </w:tc>
        <w:tc>
          <w:tcPr>
            <w:tcW w:w="636" w:type="dxa"/>
            <w:vMerge w:val="continue"/>
            <w:tcBorders>
              <w:top w:val="nil"/>
              <w:left w:val="single" w:color="auto" w:sz="4" w:space="0"/>
              <w:bottom w:val="single" w:color="000000" w:sz="4" w:space="0"/>
              <w:right w:val="single" w:color="auto" w:sz="4" w:space="0"/>
            </w:tcBorders>
            <w:vAlign w:val="center"/>
          </w:tcPr>
          <w:p w14:paraId="2CB72FBE">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color w:val="auto"/>
                <w:kern w:val="0"/>
                <w:sz w:val="20"/>
                <w:szCs w:val="20"/>
              </w:rPr>
            </w:pPr>
          </w:p>
        </w:tc>
        <w:tc>
          <w:tcPr>
            <w:tcW w:w="1552" w:type="dxa"/>
            <w:tcBorders>
              <w:top w:val="nil"/>
              <w:left w:val="nil"/>
              <w:bottom w:val="single" w:color="auto" w:sz="4" w:space="0"/>
              <w:right w:val="single" w:color="auto" w:sz="4" w:space="0"/>
            </w:tcBorders>
            <w:shd w:val="clear" w:color="auto" w:fill="auto"/>
            <w:vAlign w:val="center"/>
          </w:tcPr>
          <w:p w14:paraId="37592D56">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物化处理车间排气筒A14 1个点位</w:t>
            </w:r>
          </w:p>
        </w:tc>
        <w:tc>
          <w:tcPr>
            <w:tcW w:w="2001" w:type="dxa"/>
            <w:tcBorders>
              <w:top w:val="nil"/>
              <w:left w:val="nil"/>
              <w:bottom w:val="single" w:color="auto" w:sz="4" w:space="0"/>
              <w:right w:val="single" w:color="auto" w:sz="4" w:space="0"/>
            </w:tcBorders>
            <w:shd w:val="clear" w:color="auto" w:fill="auto"/>
            <w:vAlign w:val="center"/>
          </w:tcPr>
          <w:p w14:paraId="31449CD4">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VOCs、氯化氢、硫酸雾、非甲烷总烃</w:t>
            </w:r>
          </w:p>
        </w:tc>
        <w:tc>
          <w:tcPr>
            <w:tcW w:w="846" w:type="dxa"/>
            <w:tcBorders>
              <w:top w:val="nil"/>
              <w:left w:val="nil"/>
              <w:bottom w:val="single" w:color="auto" w:sz="4" w:space="0"/>
              <w:right w:val="single" w:color="auto" w:sz="4" w:space="0"/>
            </w:tcBorders>
            <w:shd w:val="clear" w:color="auto" w:fill="auto"/>
            <w:vAlign w:val="center"/>
          </w:tcPr>
          <w:p w14:paraId="72F37DE9">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1次/半年</w:t>
            </w:r>
          </w:p>
        </w:tc>
        <w:tc>
          <w:tcPr>
            <w:tcW w:w="1631" w:type="dxa"/>
            <w:tcBorders>
              <w:top w:val="nil"/>
              <w:left w:val="nil"/>
              <w:bottom w:val="single" w:color="auto" w:sz="4" w:space="0"/>
              <w:right w:val="single" w:color="auto" w:sz="4" w:space="0"/>
            </w:tcBorders>
            <w:shd w:val="clear" w:color="auto" w:fill="auto"/>
            <w:vAlign w:val="center"/>
          </w:tcPr>
          <w:p w14:paraId="60D27BA5">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1.以连续一小时的采样获取平均值或在一小时内以等时间间隔采集四个样品，并计平均值。</w:t>
            </w:r>
            <w:r>
              <w:rPr>
                <w:rFonts w:hint="eastAsia" w:ascii="仿宋_GB2312" w:hAnsi="仿宋_GB2312" w:eastAsia="仿宋_GB2312" w:cs="仿宋_GB2312"/>
                <w:color w:val="auto"/>
                <w:kern w:val="0"/>
                <w:sz w:val="20"/>
                <w:szCs w:val="20"/>
              </w:rPr>
              <w:br w:type="textWrapping"/>
            </w:r>
            <w:r>
              <w:rPr>
                <w:rFonts w:hint="eastAsia" w:ascii="仿宋_GB2312" w:hAnsi="仿宋_GB2312" w:eastAsia="仿宋_GB2312" w:cs="仿宋_GB2312"/>
                <w:color w:val="auto"/>
                <w:kern w:val="0"/>
                <w:sz w:val="20"/>
                <w:szCs w:val="20"/>
              </w:rPr>
              <w:t>2.恶臭污染监测样品采集不少于3次，取最大测定值。</w:t>
            </w:r>
          </w:p>
        </w:tc>
        <w:tc>
          <w:tcPr>
            <w:tcW w:w="1266" w:type="dxa"/>
            <w:tcBorders>
              <w:top w:val="nil"/>
              <w:left w:val="nil"/>
              <w:bottom w:val="single" w:color="auto" w:sz="4" w:space="0"/>
              <w:right w:val="single" w:color="auto" w:sz="4" w:space="0"/>
            </w:tcBorders>
            <w:shd w:val="clear" w:color="auto" w:fill="auto"/>
            <w:vAlign w:val="center"/>
          </w:tcPr>
          <w:p w14:paraId="778AFE3E">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6</w:t>
            </w:r>
          </w:p>
        </w:tc>
      </w:tr>
      <w:tr w14:paraId="3D8CC04A">
        <w:tblPrEx>
          <w:tblCellMar>
            <w:top w:w="0" w:type="dxa"/>
            <w:left w:w="108" w:type="dxa"/>
            <w:bottom w:w="0" w:type="dxa"/>
            <w:right w:w="108" w:type="dxa"/>
          </w:tblCellMar>
        </w:tblPrEx>
        <w:trPr>
          <w:trHeight w:val="1680" w:hRule="atLeast"/>
        </w:trPr>
        <w:tc>
          <w:tcPr>
            <w:tcW w:w="427" w:type="dxa"/>
            <w:tcBorders>
              <w:top w:val="nil"/>
              <w:left w:val="single" w:color="auto" w:sz="4" w:space="0"/>
              <w:bottom w:val="single" w:color="auto" w:sz="4" w:space="0"/>
              <w:right w:val="single" w:color="auto" w:sz="4" w:space="0"/>
            </w:tcBorders>
            <w:shd w:val="clear" w:color="auto" w:fill="auto"/>
            <w:vAlign w:val="center"/>
          </w:tcPr>
          <w:p w14:paraId="79C18BBD">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19</w:t>
            </w:r>
          </w:p>
        </w:tc>
        <w:tc>
          <w:tcPr>
            <w:tcW w:w="636" w:type="dxa"/>
            <w:vMerge w:val="continue"/>
            <w:tcBorders>
              <w:top w:val="nil"/>
              <w:left w:val="single" w:color="auto" w:sz="4" w:space="0"/>
              <w:bottom w:val="single" w:color="000000" w:sz="4" w:space="0"/>
              <w:right w:val="single" w:color="auto" w:sz="4" w:space="0"/>
            </w:tcBorders>
            <w:vAlign w:val="center"/>
          </w:tcPr>
          <w:p w14:paraId="1190D18D">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color w:val="auto"/>
                <w:kern w:val="0"/>
                <w:sz w:val="20"/>
                <w:szCs w:val="20"/>
              </w:rPr>
            </w:pPr>
          </w:p>
        </w:tc>
        <w:tc>
          <w:tcPr>
            <w:tcW w:w="1552" w:type="dxa"/>
            <w:tcBorders>
              <w:top w:val="nil"/>
              <w:left w:val="nil"/>
              <w:bottom w:val="single" w:color="auto" w:sz="4" w:space="0"/>
              <w:right w:val="single" w:color="auto" w:sz="4" w:space="0"/>
            </w:tcBorders>
            <w:shd w:val="clear" w:color="auto" w:fill="auto"/>
            <w:vAlign w:val="center"/>
          </w:tcPr>
          <w:p w14:paraId="0395DF2D">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检测中心排气筒A019、A22  2个点位</w:t>
            </w:r>
          </w:p>
        </w:tc>
        <w:tc>
          <w:tcPr>
            <w:tcW w:w="2001" w:type="dxa"/>
            <w:tcBorders>
              <w:top w:val="nil"/>
              <w:left w:val="nil"/>
              <w:bottom w:val="single" w:color="auto" w:sz="4" w:space="0"/>
              <w:right w:val="single" w:color="auto" w:sz="4" w:space="0"/>
            </w:tcBorders>
            <w:shd w:val="clear" w:color="auto" w:fill="auto"/>
            <w:vAlign w:val="center"/>
          </w:tcPr>
          <w:p w14:paraId="18E78C8A">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颗粒物、VOCs、甲醇、甲醛、臭气浓度、氨（氨气）、非甲烷总烃</w:t>
            </w:r>
          </w:p>
        </w:tc>
        <w:tc>
          <w:tcPr>
            <w:tcW w:w="846" w:type="dxa"/>
            <w:tcBorders>
              <w:top w:val="nil"/>
              <w:left w:val="nil"/>
              <w:bottom w:val="single" w:color="auto" w:sz="4" w:space="0"/>
              <w:right w:val="single" w:color="auto" w:sz="4" w:space="0"/>
            </w:tcBorders>
            <w:shd w:val="clear" w:color="auto" w:fill="auto"/>
            <w:vAlign w:val="center"/>
          </w:tcPr>
          <w:p w14:paraId="2A56FC96">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1次/半年</w:t>
            </w:r>
          </w:p>
        </w:tc>
        <w:tc>
          <w:tcPr>
            <w:tcW w:w="1631" w:type="dxa"/>
            <w:tcBorders>
              <w:top w:val="nil"/>
              <w:left w:val="nil"/>
              <w:bottom w:val="single" w:color="auto" w:sz="4" w:space="0"/>
              <w:right w:val="single" w:color="auto" w:sz="4" w:space="0"/>
            </w:tcBorders>
            <w:shd w:val="clear" w:color="auto" w:fill="auto"/>
            <w:vAlign w:val="center"/>
          </w:tcPr>
          <w:p w14:paraId="1DE9106C">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1.以连续一小时的采样获取平均值或在一小时内以等时间间隔采集4个样品，并计平均值。</w:t>
            </w:r>
            <w:r>
              <w:rPr>
                <w:rFonts w:hint="eastAsia" w:ascii="仿宋_GB2312" w:hAnsi="仿宋_GB2312" w:eastAsia="仿宋_GB2312" w:cs="仿宋_GB2312"/>
                <w:color w:val="auto"/>
                <w:kern w:val="0"/>
                <w:sz w:val="20"/>
                <w:szCs w:val="20"/>
              </w:rPr>
              <w:br w:type="textWrapping"/>
            </w:r>
            <w:r>
              <w:rPr>
                <w:rFonts w:hint="eastAsia" w:ascii="仿宋_GB2312" w:hAnsi="仿宋_GB2312" w:eastAsia="仿宋_GB2312" w:cs="仿宋_GB2312"/>
                <w:color w:val="auto"/>
                <w:kern w:val="0"/>
                <w:sz w:val="20"/>
                <w:szCs w:val="20"/>
              </w:rPr>
              <w:t>2.恶臭污染监测样品采集不少于3次，取最大测定值。</w:t>
            </w:r>
          </w:p>
        </w:tc>
        <w:tc>
          <w:tcPr>
            <w:tcW w:w="1266" w:type="dxa"/>
            <w:tcBorders>
              <w:top w:val="nil"/>
              <w:left w:val="nil"/>
              <w:bottom w:val="single" w:color="auto" w:sz="4" w:space="0"/>
              <w:right w:val="single" w:color="auto" w:sz="4" w:space="0"/>
            </w:tcBorders>
            <w:shd w:val="clear" w:color="auto" w:fill="auto"/>
            <w:vAlign w:val="center"/>
          </w:tcPr>
          <w:p w14:paraId="08E123CD">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12</w:t>
            </w:r>
          </w:p>
        </w:tc>
      </w:tr>
      <w:tr w14:paraId="5A4ABE85">
        <w:tblPrEx>
          <w:tblCellMar>
            <w:top w:w="0" w:type="dxa"/>
            <w:left w:w="108" w:type="dxa"/>
            <w:bottom w:w="0" w:type="dxa"/>
            <w:right w:w="108" w:type="dxa"/>
          </w:tblCellMar>
        </w:tblPrEx>
        <w:trPr>
          <w:trHeight w:val="1680" w:hRule="atLeast"/>
        </w:trPr>
        <w:tc>
          <w:tcPr>
            <w:tcW w:w="427" w:type="dxa"/>
            <w:tcBorders>
              <w:top w:val="nil"/>
              <w:left w:val="single" w:color="auto" w:sz="4" w:space="0"/>
              <w:bottom w:val="single" w:color="auto" w:sz="4" w:space="0"/>
              <w:right w:val="single" w:color="auto" w:sz="4" w:space="0"/>
            </w:tcBorders>
            <w:shd w:val="clear" w:color="auto" w:fill="auto"/>
            <w:vAlign w:val="center"/>
          </w:tcPr>
          <w:p w14:paraId="7AA41467">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20</w:t>
            </w:r>
          </w:p>
        </w:tc>
        <w:tc>
          <w:tcPr>
            <w:tcW w:w="636" w:type="dxa"/>
            <w:vMerge w:val="continue"/>
            <w:tcBorders>
              <w:top w:val="nil"/>
              <w:left w:val="single" w:color="auto" w:sz="4" w:space="0"/>
              <w:bottom w:val="single" w:color="000000" w:sz="4" w:space="0"/>
              <w:right w:val="single" w:color="auto" w:sz="4" w:space="0"/>
            </w:tcBorders>
            <w:vAlign w:val="center"/>
          </w:tcPr>
          <w:p w14:paraId="13811468">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color w:val="auto"/>
                <w:kern w:val="0"/>
                <w:sz w:val="20"/>
                <w:szCs w:val="20"/>
              </w:rPr>
            </w:pPr>
          </w:p>
        </w:tc>
        <w:tc>
          <w:tcPr>
            <w:tcW w:w="1552" w:type="dxa"/>
            <w:tcBorders>
              <w:top w:val="nil"/>
              <w:left w:val="nil"/>
              <w:bottom w:val="single" w:color="auto" w:sz="4" w:space="0"/>
              <w:right w:val="single" w:color="auto" w:sz="4" w:space="0"/>
            </w:tcBorders>
            <w:shd w:val="clear" w:color="auto" w:fill="auto"/>
            <w:vAlign w:val="center"/>
          </w:tcPr>
          <w:p w14:paraId="25BAF170">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检测中心排气筒A020、A23、 A24、A25 4个点位</w:t>
            </w:r>
          </w:p>
        </w:tc>
        <w:tc>
          <w:tcPr>
            <w:tcW w:w="2001" w:type="dxa"/>
            <w:tcBorders>
              <w:top w:val="nil"/>
              <w:left w:val="nil"/>
              <w:bottom w:val="single" w:color="auto" w:sz="4" w:space="0"/>
              <w:right w:val="single" w:color="auto" w:sz="4" w:space="0"/>
            </w:tcBorders>
            <w:shd w:val="clear" w:color="auto" w:fill="auto"/>
            <w:vAlign w:val="center"/>
          </w:tcPr>
          <w:p w14:paraId="11636A62">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硫化氢、氟化物、氯化氢、氨（氨气）、硫酸雾、氮氧化物</w:t>
            </w:r>
          </w:p>
        </w:tc>
        <w:tc>
          <w:tcPr>
            <w:tcW w:w="846" w:type="dxa"/>
            <w:tcBorders>
              <w:top w:val="nil"/>
              <w:left w:val="nil"/>
              <w:bottom w:val="single" w:color="auto" w:sz="4" w:space="0"/>
              <w:right w:val="single" w:color="auto" w:sz="4" w:space="0"/>
            </w:tcBorders>
            <w:shd w:val="clear" w:color="auto" w:fill="auto"/>
            <w:vAlign w:val="center"/>
          </w:tcPr>
          <w:p w14:paraId="13C20970">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1次/半年</w:t>
            </w:r>
          </w:p>
        </w:tc>
        <w:tc>
          <w:tcPr>
            <w:tcW w:w="1631" w:type="dxa"/>
            <w:tcBorders>
              <w:top w:val="nil"/>
              <w:left w:val="nil"/>
              <w:bottom w:val="single" w:color="auto" w:sz="4" w:space="0"/>
              <w:right w:val="single" w:color="auto" w:sz="4" w:space="0"/>
            </w:tcBorders>
            <w:shd w:val="clear" w:color="auto" w:fill="auto"/>
            <w:vAlign w:val="center"/>
          </w:tcPr>
          <w:p w14:paraId="5E742F86">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1.以连续一小时的采样获取平均值或在一小时内以等时间间隔采集4个样品，并计平均值。</w:t>
            </w:r>
            <w:r>
              <w:rPr>
                <w:rFonts w:hint="eastAsia" w:ascii="仿宋_GB2312" w:hAnsi="仿宋_GB2312" w:eastAsia="仿宋_GB2312" w:cs="仿宋_GB2312"/>
                <w:color w:val="auto"/>
                <w:kern w:val="0"/>
                <w:sz w:val="20"/>
                <w:szCs w:val="20"/>
              </w:rPr>
              <w:br w:type="textWrapping"/>
            </w:r>
            <w:r>
              <w:rPr>
                <w:rFonts w:hint="eastAsia" w:ascii="仿宋_GB2312" w:hAnsi="仿宋_GB2312" w:eastAsia="仿宋_GB2312" w:cs="仿宋_GB2312"/>
                <w:color w:val="auto"/>
                <w:kern w:val="0"/>
                <w:sz w:val="20"/>
                <w:szCs w:val="20"/>
              </w:rPr>
              <w:t>2.恶臭污染监测样品采集不少于3次，取最大测定值。</w:t>
            </w:r>
          </w:p>
        </w:tc>
        <w:tc>
          <w:tcPr>
            <w:tcW w:w="1266" w:type="dxa"/>
            <w:tcBorders>
              <w:top w:val="nil"/>
              <w:left w:val="nil"/>
              <w:bottom w:val="single" w:color="auto" w:sz="4" w:space="0"/>
              <w:right w:val="single" w:color="auto" w:sz="4" w:space="0"/>
            </w:tcBorders>
            <w:shd w:val="clear" w:color="auto" w:fill="auto"/>
            <w:vAlign w:val="center"/>
          </w:tcPr>
          <w:p w14:paraId="13753E43">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24</w:t>
            </w:r>
          </w:p>
        </w:tc>
      </w:tr>
      <w:tr w14:paraId="7F4D4EDE">
        <w:tblPrEx>
          <w:tblCellMar>
            <w:top w:w="0" w:type="dxa"/>
            <w:left w:w="108" w:type="dxa"/>
            <w:bottom w:w="0" w:type="dxa"/>
            <w:right w:w="108" w:type="dxa"/>
          </w:tblCellMar>
        </w:tblPrEx>
        <w:trPr>
          <w:trHeight w:val="1680" w:hRule="atLeast"/>
        </w:trPr>
        <w:tc>
          <w:tcPr>
            <w:tcW w:w="427" w:type="dxa"/>
            <w:tcBorders>
              <w:top w:val="nil"/>
              <w:left w:val="single" w:color="auto" w:sz="4" w:space="0"/>
              <w:bottom w:val="single" w:color="auto" w:sz="4" w:space="0"/>
              <w:right w:val="single" w:color="auto" w:sz="4" w:space="0"/>
            </w:tcBorders>
            <w:shd w:val="clear" w:color="auto" w:fill="auto"/>
            <w:vAlign w:val="center"/>
          </w:tcPr>
          <w:p w14:paraId="5ED8510D">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eastAsia="zh-CN"/>
              </w:rPr>
            </w:pPr>
            <w:r>
              <w:rPr>
                <w:rFonts w:hint="eastAsia" w:ascii="仿宋_GB2312" w:hAnsi="仿宋_GB2312" w:eastAsia="仿宋_GB2312" w:cs="仿宋_GB2312"/>
                <w:color w:val="auto"/>
                <w:kern w:val="0"/>
                <w:sz w:val="20"/>
                <w:szCs w:val="20"/>
              </w:rPr>
              <w:t>2</w:t>
            </w:r>
            <w:r>
              <w:rPr>
                <w:rFonts w:hint="eastAsia" w:ascii="仿宋_GB2312" w:hAnsi="仿宋_GB2312" w:eastAsia="仿宋_GB2312" w:cs="仿宋_GB2312"/>
                <w:color w:val="auto"/>
                <w:kern w:val="0"/>
                <w:sz w:val="20"/>
                <w:szCs w:val="20"/>
                <w:lang w:val="en-US" w:eastAsia="zh-CN"/>
              </w:rPr>
              <w:t>1</w:t>
            </w:r>
          </w:p>
        </w:tc>
        <w:tc>
          <w:tcPr>
            <w:tcW w:w="636" w:type="dxa"/>
            <w:vMerge w:val="continue"/>
            <w:tcBorders>
              <w:top w:val="nil"/>
              <w:left w:val="single" w:color="auto" w:sz="4" w:space="0"/>
              <w:bottom w:val="single" w:color="000000" w:sz="4" w:space="0"/>
              <w:right w:val="single" w:color="auto" w:sz="4" w:space="0"/>
            </w:tcBorders>
            <w:vAlign w:val="center"/>
          </w:tcPr>
          <w:p w14:paraId="5E2EC64E">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color w:val="auto"/>
                <w:kern w:val="0"/>
                <w:sz w:val="20"/>
                <w:szCs w:val="20"/>
              </w:rPr>
            </w:pPr>
          </w:p>
        </w:tc>
        <w:tc>
          <w:tcPr>
            <w:tcW w:w="1552" w:type="dxa"/>
            <w:tcBorders>
              <w:left w:val="single" w:color="auto" w:sz="4" w:space="0"/>
              <w:right w:val="single" w:color="auto" w:sz="4" w:space="0"/>
            </w:tcBorders>
            <w:vAlign w:val="center"/>
          </w:tcPr>
          <w:p w14:paraId="6A3EC99D">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加热炉排气口A17 1个点位</w:t>
            </w:r>
          </w:p>
        </w:tc>
        <w:tc>
          <w:tcPr>
            <w:tcW w:w="2001" w:type="dxa"/>
            <w:tcBorders>
              <w:top w:val="nil"/>
              <w:left w:val="nil"/>
              <w:bottom w:val="single" w:color="auto" w:sz="4" w:space="0"/>
              <w:right w:val="single" w:color="auto" w:sz="4" w:space="0"/>
            </w:tcBorders>
            <w:shd w:val="clear" w:color="auto" w:fill="auto"/>
            <w:vAlign w:val="center"/>
          </w:tcPr>
          <w:p w14:paraId="0DDB2817">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i w:val="0"/>
                <w:iCs w:val="0"/>
                <w:color w:val="auto"/>
                <w:kern w:val="2"/>
                <w:sz w:val="20"/>
                <w:szCs w:val="20"/>
                <w:u w:val="none"/>
                <w:lang w:val="en-US" w:eastAsia="zh-CN" w:bidi="ar-SA"/>
              </w:rPr>
            </w:pPr>
            <w:r>
              <w:rPr>
                <w:rFonts w:hint="eastAsia" w:ascii="仿宋_GB2312" w:hAnsi="仿宋_GB2312" w:eastAsia="仿宋_GB2312" w:cs="仿宋_GB2312"/>
                <w:i w:val="0"/>
                <w:iCs w:val="0"/>
                <w:color w:val="auto"/>
                <w:kern w:val="0"/>
                <w:sz w:val="20"/>
                <w:szCs w:val="20"/>
                <w:u w:val="none"/>
                <w:lang w:val="en-US" w:eastAsia="zh-CN" w:bidi="ar"/>
              </w:rPr>
              <w:t>氮氧化物</w:t>
            </w:r>
            <w:r>
              <w:rPr>
                <w:rStyle w:val="81"/>
                <w:rFonts w:hint="eastAsia" w:ascii="仿宋_GB2312" w:hAnsi="仿宋_GB2312" w:eastAsia="仿宋_GB2312" w:cs="仿宋_GB2312"/>
                <w:color w:val="auto"/>
                <w:sz w:val="20"/>
                <w:szCs w:val="20"/>
                <w:lang w:val="en-US" w:eastAsia="zh-CN" w:bidi="ar"/>
              </w:rPr>
              <w:t>、二氧化硫、颗粒物、硫化氢、非甲烷总烃、VOCs、林格曼黑度</w:t>
            </w:r>
          </w:p>
        </w:tc>
        <w:tc>
          <w:tcPr>
            <w:tcW w:w="846" w:type="dxa"/>
            <w:tcBorders>
              <w:top w:val="nil"/>
              <w:left w:val="nil"/>
              <w:bottom w:val="single" w:color="auto" w:sz="4" w:space="0"/>
              <w:right w:val="single" w:color="auto" w:sz="4" w:space="0"/>
            </w:tcBorders>
            <w:shd w:val="clear" w:color="auto" w:fill="auto"/>
            <w:vAlign w:val="center"/>
          </w:tcPr>
          <w:p w14:paraId="3D66BCD6">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1次/季度</w:t>
            </w:r>
          </w:p>
        </w:tc>
        <w:tc>
          <w:tcPr>
            <w:tcW w:w="1631" w:type="dxa"/>
            <w:tcBorders>
              <w:top w:val="nil"/>
              <w:left w:val="nil"/>
              <w:bottom w:val="single" w:color="auto" w:sz="4" w:space="0"/>
              <w:right w:val="single" w:color="auto" w:sz="4" w:space="0"/>
            </w:tcBorders>
            <w:shd w:val="clear" w:color="auto" w:fill="auto"/>
            <w:vAlign w:val="center"/>
          </w:tcPr>
          <w:p w14:paraId="1A68EB74">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1.以连续一小时的采样获取平均值或在一小时内以等时间间隔采集4个样品，并计平均值。</w:t>
            </w:r>
            <w:r>
              <w:rPr>
                <w:rFonts w:hint="eastAsia" w:ascii="仿宋_GB2312" w:hAnsi="仿宋_GB2312" w:eastAsia="仿宋_GB2312" w:cs="仿宋_GB2312"/>
                <w:color w:val="auto"/>
                <w:kern w:val="0"/>
                <w:sz w:val="20"/>
                <w:szCs w:val="20"/>
              </w:rPr>
              <w:br w:type="textWrapping"/>
            </w:r>
            <w:r>
              <w:rPr>
                <w:rFonts w:hint="eastAsia" w:ascii="仿宋_GB2312" w:hAnsi="仿宋_GB2312" w:eastAsia="仿宋_GB2312" w:cs="仿宋_GB2312"/>
                <w:color w:val="auto"/>
                <w:kern w:val="0"/>
                <w:sz w:val="20"/>
                <w:szCs w:val="20"/>
              </w:rPr>
              <w:t>2.恶臭污染监测样品采集不少于3次，取最大测定值。</w:t>
            </w:r>
          </w:p>
        </w:tc>
        <w:tc>
          <w:tcPr>
            <w:tcW w:w="1266" w:type="dxa"/>
            <w:tcBorders>
              <w:top w:val="nil"/>
              <w:left w:val="nil"/>
              <w:bottom w:val="single" w:color="auto" w:sz="4" w:space="0"/>
              <w:right w:val="single" w:color="auto" w:sz="4" w:space="0"/>
            </w:tcBorders>
            <w:shd w:val="clear" w:color="auto" w:fill="auto"/>
            <w:vAlign w:val="center"/>
          </w:tcPr>
          <w:p w14:paraId="79CF0D64">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12</w:t>
            </w:r>
          </w:p>
        </w:tc>
      </w:tr>
      <w:tr w14:paraId="0213CD2B">
        <w:tblPrEx>
          <w:tblCellMar>
            <w:top w:w="0" w:type="dxa"/>
            <w:left w:w="108" w:type="dxa"/>
            <w:bottom w:w="0" w:type="dxa"/>
            <w:right w:w="108" w:type="dxa"/>
          </w:tblCellMar>
        </w:tblPrEx>
        <w:trPr>
          <w:trHeight w:val="776" w:hRule="atLeast"/>
        </w:trPr>
        <w:tc>
          <w:tcPr>
            <w:tcW w:w="427" w:type="dxa"/>
            <w:tcBorders>
              <w:top w:val="nil"/>
              <w:left w:val="single" w:color="auto" w:sz="4" w:space="0"/>
              <w:bottom w:val="single" w:color="auto" w:sz="4" w:space="0"/>
              <w:right w:val="single" w:color="auto" w:sz="4" w:space="0"/>
            </w:tcBorders>
            <w:shd w:val="clear" w:color="auto" w:fill="auto"/>
            <w:vAlign w:val="center"/>
          </w:tcPr>
          <w:p w14:paraId="59F4BCCF">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eastAsia="zh-CN"/>
              </w:rPr>
            </w:pPr>
            <w:r>
              <w:rPr>
                <w:rFonts w:hint="eastAsia" w:ascii="仿宋_GB2312" w:hAnsi="仿宋_GB2312" w:eastAsia="仿宋_GB2312" w:cs="仿宋_GB2312"/>
                <w:color w:val="auto"/>
                <w:kern w:val="0"/>
                <w:sz w:val="20"/>
                <w:szCs w:val="20"/>
              </w:rPr>
              <w:t>2</w:t>
            </w:r>
            <w:r>
              <w:rPr>
                <w:rFonts w:hint="eastAsia" w:ascii="仿宋_GB2312" w:hAnsi="仿宋_GB2312" w:eastAsia="仿宋_GB2312" w:cs="仿宋_GB2312"/>
                <w:color w:val="auto"/>
                <w:kern w:val="0"/>
                <w:sz w:val="20"/>
                <w:szCs w:val="20"/>
                <w:lang w:val="en-US" w:eastAsia="zh-CN"/>
              </w:rPr>
              <w:t>2</w:t>
            </w:r>
          </w:p>
        </w:tc>
        <w:tc>
          <w:tcPr>
            <w:tcW w:w="636" w:type="dxa"/>
            <w:vMerge w:val="continue"/>
            <w:tcBorders>
              <w:top w:val="nil"/>
              <w:left w:val="single" w:color="auto" w:sz="4" w:space="0"/>
              <w:bottom w:val="single" w:color="000000" w:sz="4" w:space="0"/>
              <w:right w:val="single" w:color="auto" w:sz="4" w:space="0"/>
            </w:tcBorders>
            <w:vAlign w:val="center"/>
          </w:tcPr>
          <w:p w14:paraId="12ED7230">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color w:val="auto"/>
                <w:kern w:val="0"/>
                <w:sz w:val="20"/>
                <w:szCs w:val="20"/>
              </w:rPr>
            </w:pPr>
          </w:p>
        </w:tc>
        <w:tc>
          <w:tcPr>
            <w:tcW w:w="1552" w:type="dxa"/>
            <w:tcBorders>
              <w:top w:val="single" w:color="000000" w:sz="4" w:space="0"/>
              <w:left w:val="single" w:color="000000" w:sz="4" w:space="0"/>
              <w:bottom w:val="single" w:color="000000" w:sz="4" w:space="0"/>
              <w:right w:val="single" w:color="000000" w:sz="4" w:space="0"/>
              <w:tl2br w:val="nil"/>
            </w:tcBorders>
            <w:shd w:val="clear" w:color="auto" w:fill="FFFFFF"/>
            <w:vAlign w:val="center"/>
          </w:tcPr>
          <w:p w14:paraId="702C2D1A">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b w:val="0"/>
                <w:color w:val="auto"/>
                <w:kern w:val="0"/>
                <w:sz w:val="20"/>
                <w:szCs w:val="20"/>
              </w:rPr>
            </w:pPr>
            <w:r>
              <w:rPr>
                <w:rFonts w:hint="eastAsia" w:ascii="仿宋_GB2312" w:hAnsi="仿宋_GB2312" w:eastAsia="仿宋_GB2312" w:cs="仿宋_GB2312"/>
                <w:b w:val="0"/>
                <w:color w:val="auto"/>
                <w:kern w:val="0"/>
                <w:sz w:val="20"/>
                <w:szCs w:val="20"/>
              </w:rPr>
              <w:t>食堂烟囱3个点</w:t>
            </w:r>
          </w:p>
        </w:tc>
        <w:tc>
          <w:tcPr>
            <w:tcW w:w="200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3B37BC">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b w:val="0"/>
                <w:color w:val="auto"/>
                <w:kern w:val="0"/>
                <w:sz w:val="20"/>
                <w:szCs w:val="20"/>
              </w:rPr>
            </w:pPr>
            <w:r>
              <w:rPr>
                <w:rFonts w:hint="eastAsia" w:ascii="仿宋_GB2312" w:hAnsi="仿宋_GB2312" w:eastAsia="仿宋_GB2312" w:cs="仿宋_GB2312"/>
                <w:b w:val="0"/>
                <w:color w:val="auto"/>
                <w:kern w:val="0"/>
                <w:sz w:val="20"/>
                <w:szCs w:val="20"/>
              </w:rPr>
              <w:t>废气量、油烟浓度</w:t>
            </w:r>
          </w:p>
        </w:tc>
        <w:tc>
          <w:tcPr>
            <w:tcW w:w="846" w:type="dxa"/>
            <w:tcBorders>
              <w:top w:val="nil"/>
              <w:left w:val="nil"/>
              <w:bottom w:val="single" w:color="auto" w:sz="4" w:space="0"/>
              <w:right w:val="single" w:color="auto" w:sz="4" w:space="0"/>
            </w:tcBorders>
            <w:shd w:val="clear" w:color="auto" w:fill="auto"/>
            <w:vAlign w:val="center"/>
          </w:tcPr>
          <w:p w14:paraId="0899DB20">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1次/年</w:t>
            </w:r>
          </w:p>
        </w:tc>
        <w:tc>
          <w:tcPr>
            <w:tcW w:w="1631" w:type="dxa"/>
            <w:tcBorders>
              <w:top w:val="nil"/>
              <w:left w:val="nil"/>
              <w:bottom w:val="single" w:color="auto" w:sz="4" w:space="0"/>
              <w:right w:val="single" w:color="auto" w:sz="4" w:space="0"/>
            </w:tcBorders>
            <w:shd w:val="clear" w:color="auto" w:fill="auto"/>
            <w:vAlign w:val="center"/>
          </w:tcPr>
          <w:p w14:paraId="2FA6C1DF">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w:t>
            </w:r>
          </w:p>
        </w:tc>
        <w:tc>
          <w:tcPr>
            <w:tcW w:w="1266" w:type="dxa"/>
            <w:tcBorders>
              <w:top w:val="nil"/>
              <w:left w:val="nil"/>
              <w:bottom w:val="single" w:color="auto" w:sz="4" w:space="0"/>
              <w:right w:val="single" w:color="auto" w:sz="4" w:space="0"/>
            </w:tcBorders>
            <w:shd w:val="clear" w:color="auto" w:fill="auto"/>
            <w:vAlign w:val="center"/>
          </w:tcPr>
          <w:p w14:paraId="16B4A675">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3</w:t>
            </w:r>
          </w:p>
        </w:tc>
      </w:tr>
      <w:tr w14:paraId="690E21F3">
        <w:tblPrEx>
          <w:tblCellMar>
            <w:top w:w="0" w:type="dxa"/>
            <w:left w:w="108" w:type="dxa"/>
            <w:bottom w:w="0" w:type="dxa"/>
            <w:right w:w="108" w:type="dxa"/>
          </w:tblCellMar>
        </w:tblPrEx>
        <w:trPr>
          <w:trHeight w:val="2550" w:hRule="atLeast"/>
        </w:trPr>
        <w:tc>
          <w:tcPr>
            <w:tcW w:w="427" w:type="dxa"/>
            <w:tcBorders>
              <w:top w:val="nil"/>
              <w:left w:val="single" w:color="auto" w:sz="4" w:space="0"/>
              <w:bottom w:val="single" w:color="auto" w:sz="4" w:space="0"/>
              <w:right w:val="single" w:color="auto" w:sz="4" w:space="0"/>
            </w:tcBorders>
            <w:shd w:val="clear" w:color="auto" w:fill="auto"/>
            <w:vAlign w:val="center"/>
          </w:tcPr>
          <w:p w14:paraId="7ECA4BB3">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eastAsia="zh-CN"/>
              </w:rPr>
            </w:pPr>
            <w:r>
              <w:rPr>
                <w:rFonts w:hint="eastAsia" w:ascii="仿宋_GB2312" w:hAnsi="仿宋_GB2312" w:eastAsia="仿宋_GB2312" w:cs="仿宋_GB2312"/>
                <w:color w:val="auto"/>
                <w:kern w:val="0"/>
                <w:sz w:val="20"/>
                <w:szCs w:val="20"/>
              </w:rPr>
              <w:t>2</w:t>
            </w:r>
            <w:r>
              <w:rPr>
                <w:rFonts w:hint="eastAsia" w:ascii="仿宋_GB2312" w:hAnsi="仿宋_GB2312" w:eastAsia="仿宋_GB2312" w:cs="仿宋_GB2312"/>
                <w:color w:val="auto"/>
                <w:kern w:val="0"/>
                <w:sz w:val="20"/>
                <w:szCs w:val="20"/>
                <w:lang w:val="en-US" w:eastAsia="zh-CN"/>
              </w:rPr>
              <w:t>3</w:t>
            </w:r>
          </w:p>
        </w:tc>
        <w:tc>
          <w:tcPr>
            <w:tcW w:w="636" w:type="dxa"/>
            <w:tcBorders>
              <w:top w:val="nil"/>
              <w:left w:val="nil"/>
              <w:right w:val="single" w:color="auto" w:sz="4" w:space="0"/>
            </w:tcBorders>
            <w:shd w:val="clear" w:color="auto" w:fill="auto"/>
            <w:vAlign w:val="center"/>
          </w:tcPr>
          <w:p w14:paraId="1ADAE53D">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无组织排放废气</w:t>
            </w:r>
          </w:p>
        </w:tc>
        <w:tc>
          <w:tcPr>
            <w:tcW w:w="1552" w:type="dxa"/>
            <w:tcBorders>
              <w:top w:val="nil"/>
              <w:left w:val="nil"/>
              <w:right w:val="single" w:color="auto" w:sz="4" w:space="0"/>
            </w:tcBorders>
            <w:shd w:val="clear" w:color="auto" w:fill="auto"/>
            <w:vAlign w:val="center"/>
          </w:tcPr>
          <w:p w14:paraId="1266646E">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上风向1个，下风向3个</w:t>
            </w:r>
          </w:p>
        </w:tc>
        <w:tc>
          <w:tcPr>
            <w:tcW w:w="2001" w:type="dxa"/>
            <w:tcBorders>
              <w:top w:val="nil"/>
              <w:left w:val="nil"/>
              <w:bottom w:val="single" w:color="auto" w:sz="4" w:space="0"/>
              <w:right w:val="single" w:color="auto" w:sz="4" w:space="0"/>
            </w:tcBorders>
            <w:shd w:val="clear" w:color="auto" w:fill="auto"/>
            <w:vAlign w:val="center"/>
          </w:tcPr>
          <w:p w14:paraId="7FAEE076">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氨（氨气）、臭气浓度、颗粒物、硫化氢、氟化物、VOCs、非甲烷总烃、氯化氢、铬酸雾、硫酸雾、镉及其化合物、铬及其化合物、铅及其化合物、砷及其化合物、锑及其化合物、锡及其化合物</w:t>
            </w:r>
          </w:p>
          <w:p w14:paraId="4A199C22">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kern w:val="0"/>
                <w:sz w:val="20"/>
                <w:szCs w:val="20"/>
              </w:rPr>
              <w:t>锰及其化合物、镍及其化合物</w:t>
            </w:r>
            <w:r>
              <w:rPr>
                <w:rFonts w:hint="eastAsia" w:ascii="仿宋_GB2312" w:hAnsi="仿宋_GB2312" w:eastAsia="仿宋_GB2312" w:cs="仿宋_GB2312"/>
                <w:color w:val="auto"/>
                <w:kern w:val="0"/>
                <w:sz w:val="20"/>
                <w:szCs w:val="20"/>
                <w:lang w:eastAsia="zh-CN"/>
              </w:rPr>
              <w:t>、</w:t>
            </w:r>
            <w:r>
              <w:rPr>
                <w:rFonts w:hint="eastAsia" w:ascii="仿宋_GB2312" w:hAnsi="仿宋_GB2312" w:eastAsia="仿宋_GB2312" w:cs="仿宋_GB2312"/>
                <w:color w:val="auto"/>
                <w:kern w:val="0"/>
                <w:sz w:val="20"/>
                <w:szCs w:val="20"/>
              </w:rPr>
              <w:t>氰化氢、甲醇、甲醛、氮氧化物</w:t>
            </w:r>
          </w:p>
        </w:tc>
        <w:tc>
          <w:tcPr>
            <w:tcW w:w="846" w:type="dxa"/>
            <w:tcBorders>
              <w:top w:val="nil"/>
              <w:left w:val="nil"/>
              <w:bottom w:val="single" w:color="auto" w:sz="4" w:space="0"/>
              <w:right w:val="single" w:color="auto" w:sz="4" w:space="0"/>
            </w:tcBorders>
            <w:shd w:val="clear" w:color="auto" w:fill="auto"/>
            <w:vAlign w:val="center"/>
          </w:tcPr>
          <w:p w14:paraId="694E3FFF">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1次/季度</w:t>
            </w:r>
          </w:p>
        </w:tc>
        <w:tc>
          <w:tcPr>
            <w:tcW w:w="1631" w:type="dxa"/>
            <w:tcBorders>
              <w:top w:val="nil"/>
              <w:left w:val="nil"/>
              <w:bottom w:val="single" w:color="auto" w:sz="4" w:space="0"/>
              <w:right w:val="single" w:color="auto" w:sz="4" w:space="0"/>
            </w:tcBorders>
            <w:shd w:val="clear" w:color="auto" w:fill="auto"/>
            <w:vAlign w:val="center"/>
          </w:tcPr>
          <w:p w14:paraId="60D9B5F1">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1.气态污染物等时间间隔采样,采集4个样品计平均值。</w:t>
            </w:r>
            <w:r>
              <w:rPr>
                <w:rFonts w:hint="eastAsia" w:ascii="仿宋_GB2312" w:hAnsi="仿宋_GB2312" w:eastAsia="仿宋_GB2312" w:cs="仿宋_GB2312"/>
                <w:color w:val="auto"/>
                <w:kern w:val="0"/>
                <w:sz w:val="20"/>
                <w:szCs w:val="20"/>
              </w:rPr>
              <w:br w:type="textWrapping"/>
            </w:r>
            <w:r>
              <w:rPr>
                <w:rFonts w:hint="eastAsia" w:ascii="仿宋_GB2312" w:hAnsi="仿宋_GB2312" w:eastAsia="仿宋_GB2312" w:cs="仿宋_GB2312"/>
                <w:color w:val="auto"/>
                <w:kern w:val="0"/>
                <w:sz w:val="20"/>
                <w:szCs w:val="20"/>
              </w:rPr>
              <w:t>2.恶臭污染监测样品采集不少于4次，取最大测定值。</w:t>
            </w:r>
          </w:p>
        </w:tc>
        <w:tc>
          <w:tcPr>
            <w:tcW w:w="1266" w:type="dxa"/>
            <w:tcBorders>
              <w:top w:val="nil"/>
              <w:left w:val="nil"/>
              <w:bottom w:val="single" w:color="auto" w:sz="4" w:space="0"/>
              <w:right w:val="single" w:color="auto" w:sz="4" w:space="0"/>
            </w:tcBorders>
            <w:shd w:val="clear" w:color="auto" w:fill="auto"/>
            <w:vAlign w:val="center"/>
          </w:tcPr>
          <w:p w14:paraId="04B10128">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64</w:t>
            </w:r>
          </w:p>
        </w:tc>
      </w:tr>
      <w:tr w14:paraId="4F0ACABE">
        <w:tblPrEx>
          <w:tblCellMar>
            <w:top w:w="0" w:type="dxa"/>
            <w:left w:w="108" w:type="dxa"/>
            <w:bottom w:w="0" w:type="dxa"/>
            <w:right w:w="108" w:type="dxa"/>
          </w:tblCellMar>
        </w:tblPrEx>
        <w:trPr>
          <w:trHeight w:val="3165" w:hRule="atLeast"/>
        </w:trPr>
        <w:tc>
          <w:tcPr>
            <w:tcW w:w="427" w:type="dxa"/>
            <w:tcBorders>
              <w:top w:val="nil"/>
              <w:left w:val="single" w:color="auto" w:sz="4" w:space="0"/>
              <w:bottom w:val="single" w:color="auto" w:sz="4" w:space="0"/>
              <w:right w:val="single" w:color="auto" w:sz="4" w:space="0"/>
            </w:tcBorders>
            <w:shd w:val="clear" w:color="auto" w:fill="auto"/>
            <w:vAlign w:val="center"/>
          </w:tcPr>
          <w:p w14:paraId="7CA76DA1">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eastAsia="zh-CN"/>
              </w:rPr>
            </w:pPr>
            <w:r>
              <w:rPr>
                <w:rFonts w:hint="eastAsia" w:ascii="仿宋_GB2312" w:hAnsi="仿宋_GB2312" w:eastAsia="仿宋_GB2312" w:cs="仿宋_GB2312"/>
                <w:color w:val="auto"/>
                <w:kern w:val="0"/>
                <w:sz w:val="20"/>
                <w:szCs w:val="20"/>
              </w:rPr>
              <w:t>2</w:t>
            </w:r>
            <w:r>
              <w:rPr>
                <w:rFonts w:hint="eastAsia" w:ascii="仿宋_GB2312" w:hAnsi="仿宋_GB2312" w:eastAsia="仿宋_GB2312" w:cs="仿宋_GB2312"/>
                <w:color w:val="auto"/>
                <w:kern w:val="0"/>
                <w:sz w:val="20"/>
                <w:szCs w:val="20"/>
                <w:lang w:val="en-US" w:eastAsia="zh-CN"/>
              </w:rPr>
              <w:t>4</w:t>
            </w:r>
          </w:p>
        </w:tc>
        <w:tc>
          <w:tcPr>
            <w:tcW w:w="636" w:type="dxa"/>
            <w:tcBorders>
              <w:top w:val="single" w:color="000000" w:sz="4" w:space="0"/>
              <w:left w:val="single" w:color="000000" w:sz="4" w:space="0"/>
              <w:bottom w:val="single" w:color="000000" w:sz="4" w:space="0"/>
              <w:right w:val="single" w:color="000000" w:sz="4" w:space="0"/>
              <w:tl2br w:val="nil"/>
            </w:tcBorders>
            <w:shd w:val="clear" w:color="auto" w:fill="FFFFFF"/>
            <w:vAlign w:val="center"/>
          </w:tcPr>
          <w:p w14:paraId="140B8F32">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b w:val="0"/>
                <w:color w:val="auto"/>
                <w:kern w:val="0"/>
                <w:sz w:val="20"/>
                <w:szCs w:val="20"/>
              </w:rPr>
            </w:pPr>
            <w:r>
              <w:rPr>
                <w:rFonts w:hint="eastAsia" w:ascii="仿宋_GB2312" w:hAnsi="仿宋_GB2312" w:eastAsia="仿宋_GB2312" w:cs="仿宋_GB2312"/>
                <w:b w:val="0"/>
                <w:color w:val="auto"/>
                <w:kern w:val="0"/>
                <w:sz w:val="20"/>
                <w:szCs w:val="20"/>
              </w:rPr>
              <w:t>厂区内废气</w:t>
            </w:r>
          </w:p>
        </w:tc>
        <w:tc>
          <w:tcPr>
            <w:tcW w:w="155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448172">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b w:val="0"/>
                <w:color w:val="auto"/>
                <w:kern w:val="0"/>
                <w:sz w:val="20"/>
                <w:szCs w:val="20"/>
              </w:rPr>
            </w:pPr>
            <w:r>
              <w:rPr>
                <w:rFonts w:hint="eastAsia" w:ascii="仿宋_GB2312" w:hAnsi="仿宋_GB2312" w:eastAsia="仿宋_GB2312" w:cs="仿宋_GB2312"/>
                <w:b w:val="0"/>
                <w:color w:val="auto"/>
                <w:kern w:val="0"/>
                <w:sz w:val="20"/>
                <w:szCs w:val="20"/>
              </w:rPr>
              <w:t>贮存（丙一、丙二、甲库、乙库）、焚烧预处理、焚烧料坑1#、焚烧料坑2#、熔炼预处理、物化废水及废矿物油储罐区合计10个点</w:t>
            </w:r>
          </w:p>
        </w:tc>
        <w:tc>
          <w:tcPr>
            <w:tcW w:w="200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F762BB">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b w:val="0"/>
                <w:color w:val="auto"/>
                <w:kern w:val="0"/>
                <w:sz w:val="20"/>
                <w:szCs w:val="20"/>
              </w:rPr>
            </w:pPr>
            <w:r>
              <w:rPr>
                <w:rFonts w:hint="eastAsia" w:ascii="仿宋_GB2312" w:hAnsi="仿宋_GB2312" w:eastAsia="仿宋_GB2312" w:cs="仿宋_GB2312"/>
                <w:b w:val="0"/>
                <w:color w:val="auto"/>
                <w:kern w:val="0"/>
                <w:sz w:val="20"/>
                <w:szCs w:val="20"/>
              </w:rPr>
              <w:t>非甲烷总烃</w:t>
            </w:r>
          </w:p>
        </w:tc>
        <w:tc>
          <w:tcPr>
            <w:tcW w:w="846" w:type="dxa"/>
            <w:tcBorders>
              <w:top w:val="nil"/>
              <w:left w:val="nil"/>
              <w:bottom w:val="single" w:color="auto" w:sz="4" w:space="0"/>
              <w:right w:val="single" w:color="auto" w:sz="4" w:space="0"/>
            </w:tcBorders>
            <w:shd w:val="clear" w:color="auto" w:fill="auto"/>
            <w:vAlign w:val="center"/>
          </w:tcPr>
          <w:p w14:paraId="03C54D48">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1次/季</w:t>
            </w:r>
          </w:p>
        </w:tc>
        <w:tc>
          <w:tcPr>
            <w:tcW w:w="1631" w:type="dxa"/>
            <w:tcBorders>
              <w:top w:val="nil"/>
              <w:left w:val="nil"/>
              <w:bottom w:val="single" w:color="auto" w:sz="4" w:space="0"/>
              <w:right w:val="single" w:color="auto" w:sz="4" w:space="0"/>
            </w:tcBorders>
            <w:shd w:val="clear" w:color="auto" w:fill="auto"/>
            <w:vAlign w:val="center"/>
          </w:tcPr>
          <w:p w14:paraId="53BEA9A6">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以连续一小时的采样获取平均值或在一小时内以等时间间隔采集四个样品，并计平均值。</w:t>
            </w:r>
          </w:p>
        </w:tc>
        <w:tc>
          <w:tcPr>
            <w:tcW w:w="1266" w:type="dxa"/>
            <w:tcBorders>
              <w:top w:val="nil"/>
              <w:left w:val="nil"/>
              <w:bottom w:val="single" w:color="auto" w:sz="4" w:space="0"/>
              <w:right w:val="single" w:color="auto" w:sz="4" w:space="0"/>
            </w:tcBorders>
            <w:shd w:val="clear" w:color="auto" w:fill="auto"/>
            <w:vAlign w:val="center"/>
          </w:tcPr>
          <w:p w14:paraId="528476B1">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40</w:t>
            </w:r>
          </w:p>
        </w:tc>
      </w:tr>
      <w:tr w14:paraId="39660635">
        <w:tblPrEx>
          <w:tblCellMar>
            <w:top w:w="0" w:type="dxa"/>
            <w:left w:w="108" w:type="dxa"/>
            <w:bottom w:w="0" w:type="dxa"/>
            <w:right w:w="108" w:type="dxa"/>
          </w:tblCellMar>
        </w:tblPrEx>
        <w:trPr>
          <w:trHeight w:val="1393" w:hRule="atLeast"/>
        </w:trPr>
        <w:tc>
          <w:tcPr>
            <w:tcW w:w="427" w:type="dxa"/>
            <w:tcBorders>
              <w:top w:val="nil"/>
              <w:left w:val="single" w:color="auto" w:sz="4" w:space="0"/>
              <w:bottom w:val="single" w:color="auto" w:sz="4" w:space="0"/>
              <w:right w:val="single" w:color="auto" w:sz="4" w:space="0"/>
            </w:tcBorders>
            <w:shd w:val="clear" w:color="auto" w:fill="auto"/>
            <w:vAlign w:val="center"/>
          </w:tcPr>
          <w:p w14:paraId="2A3AF25F">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val="en-US" w:eastAsia="zh-CN"/>
              </w:rPr>
            </w:pPr>
            <w:r>
              <w:rPr>
                <w:rFonts w:hint="eastAsia" w:ascii="仿宋_GB2312" w:hAnsi="仿宋_GB2312" w:eastAsia="仿宋_GB2312" w:cs="仿宋_GB2312"/>
                <w:color w:val="auto"/>
                <w:kern w:val="0"/>
                <w:sz w:val="20"/>
                <w:szCs w:val="20"/>
                <w:lang w:val="en-US" w:eastAsia="zh-CN"/>
              </w:rPr>
              <w:t>25</w:t>
            </w:r>
          </w:p>
        </w:tc>
        <w:tc>
          <w:tcPr>
            <w:tcW w:w="636" w:type="dxa"/>
            <w:vMerge w:val="restart"/>
            <w:tcBorders>
              <w:top w:val="nil"/>
              <w:left w:val="single" w:color="auto" w:sz="4" w:space="0"/>
              <w:bottom w:val="single" w:color="000000" w:sz="4" w:space="0"/>
              <w:right w:val="single" w:color="auto" w:sz="4" w:space="0"/>
            </w:tcBorders>
            <w:shd w:val="clear" w:color="auto" w:fill="auto"/>
            <w:vAlign w:val="center"/>
          </w:tcPr>
          <w:p w14:paraId="3BF52BFD">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环境空气（敏感点）</w:t>
            </w:r>
          </w:p>
        </w:tc>
        <w:tc>
          <w:tcPr>
            <w:tcW w:w="1552" w:type="dxa"/>
            <w:vMerge w:val="restart"/>
            <w:tcBorders>
              <w:top w:val="nil"/>
              <w:left w:val="single" w:color="auto" w:sz="4" w:space="0"/>
              <w:bottom w:val="single" w:color="000000" w:sz="4" w:space="0"/>
              <w:right w:val="single" w:color="auto" w:sz="4" w:space="0"/>
            </w:tcBorders>
            <w:shd w:val="clear" w:color="auto" w:fill="auto"/>
            <w:vAlign w:val="center"/>
          </w:tcPr>
          <w:p w14:paraId="76A02BB7">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项目厂址、漳澎村、万科珠江东岸、恒大滨江左岸、梅沙村、泗安医院合计6个点</w:t>
            </w:r>
          </w:p>
        </w:tc>
        <w:tc>
          <w:tcPr>
            <w:tcW w:w="2001" w:type="dxa"/>
            <w:tcBorders>
              <w:top w:val="nil"/>
              <w:left w:val="nil"/>
              <w:bottom w:val="single" w:color="auto" w:sz="4" w:space="0"/>
              <w:right w:val="single" w:color="auto" w:sz="4" w:space="0"/>
            </w:tcBorders>
            <w:shd w:val="clear" w:color="auto" w:fill="auto"/>
            <w:vAlign w:val="center"/>
          </w:tcPr>
          <w:p w14:paraId="21AF93D7">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氯化氢、挥发性有机化合物、颗粒物、汞及其化合物、镉及其化合物、砷及其化合物、镍及其化合物、铅及其化合物、铬及其化合物、锡及其化合物、锑及其化合物、铜及其化合物、锰及其化合物、氨（氨气）、硫化氢、臭气浓度、氟化物、非甲烷总烃、铬酸雾、硫酸雾</w:t>
            </w:r>
          </w:p>
        </w:tc>
        <w:tc>
          <w:tcPr>
            <w:tcW w:w="846" w:type="dxa"/>
            <w:tcBorders>
              <w:top w:val="nil"/>
              <w:left w:val="nil"/>
              <w:bottom w:val="single" w:color="auto" w:sz="4" w:space="0"/>
              <w:right w:val="single" w:color="auto" w:sz="4" w:space="0"/>
            </w:tcBorders>
            <w:shd w:val="clear" w:color="auto" w:fill="auto"/>
            <w:vAlign w:val="center"/>
          </w:tcPr>
          <w:p w14:paraId="09733754">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1次/半年</w:t>
            </w:r>
          </w:p>
        </w:tc>
        <w:tc>
          <w:tcPr>
            <w:tcW w:w="1631" w:type="dxa"/>
            <w:tcBorders>
              <w:top w:val="nil"/>
              <w:left w:val="nil"/>
              <w:bottom w:val="single" w:color="auto" w:sz="4" w:space="0"/>
              <w:right w:val="single" w:color="auto" w:sz="4" w:space="0"/>
            </w:tcBorders>
            <w:shd w:val="clear" w:color="auto" w:fill="auto"/>
            <w:vAlign w:val="center"/>
          </w:tcPr>
          <w:p w14:paraId="6D9D8DBC">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1.气态污染物等时间间隔采样,采集4个样品计平均值。</w:t>
            </w:r>
            <w:r>
              <w:rPr>
                <w:rFonts w:hint="eastAsia" w:ascii="仿宋_GB2312" w:hAnsi="仿宋_GB2312" w:eastAsia="仿宋_GB2312" w:cs="仿宋_GB2312"/>
                <w:color w:val="auto"/>
                <w:kern w:val="0"/>
                <w:sz w:val="20"/>
                <w:szCs w:val="20"/>
              </w:rPr>
              <w:br w:type="textWrapping"/>
            </w:r>
            <w:r>
              <w:rPr>
                <w:rFonts w:hint="eastAsia" w:ascii="仿宋_GB2312" w:hAnsi="仿宋_GB2312" w:eastAsia="仿宋_GB2312" w:cs="仿宋_GB2312"/>
                <w:color w:val="auto"/>
                <w:kern w:val="0"/>
                <w:sz w:val="20"/>
                <w:szCs w:val="20"/>
              </w:rPr>
              <w:t>2.恶臭污染监测样品采集不少于4次，取最大测定值。</w:t>
            </w:r>
          </w:p>
        </w:tc>
        <w:tc>
          <w:tcPr>
            <w:tcW w:w="1266" w:type="dxa"/>
            <w:tcBorders>
              <w:top w:val="nil"/>
              <w:left w:val="nil"/>
              <w:bottom w:val="single" w:color="auto" w:sz="4" w:space="0"/>
              <w:right w:val="single" w:color="auto" w:sz="4" w:space="0"/>
            </w:tcBorders>
            <w:shd w:val="clear" w:color="auto" w:fill="auto"/>
            <w:vAlign w:val="center"/>
          </w:tcPr>
          <w:p w14:paraId="12579057">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48</w:t>
            </w:r>
          </w:p>
        </w:tc>
      </w:tr>
      <w:tr w14:paraId="6132F11F">
        <w:tblPrEx>
          <w:tblCellMar>
            <w:top w:w="0" w:type="dxa"/>
            <w:left w:w="108" w:type="dxa"/>
            <w:bottom w:w="0" w:type="dxa"/>
            <w:right w:w="108" w:type="dxa"/>
          </w:tblCellMar>
        </w:tblPrEx>
        <w:trPr>
          <w:trHeight w:val="1560" w:hRule="atLeast"/>
        </w:trPr>
        <w:tc>
          <w:tcPr>
            <w:tcW w:w="427" w:type="dxa"/>
            <w:tcBorders>
              <w:top w:val="nil"/>
              <w:left w:val="single" w:color="auto" w:sz="4" w:space="0"/>
              <w:bottom w:val="single" w:color="auto" w:sz="4" w:space="0"/>
              <w:right w:val="single" w:color="auto" w:sz="4" w:space="0"/>
            </w:tcBorders>
            <w:shd w:val="clear" w:color="auto" w:fill="auto"/>
            <w:vAlign w:val="center"/>
          </w:tcPr>
          <w:p w14:paraId="3997CC6F">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eastAsia="zh-CN"/>
              </w:rPr>
            </w:pPr>
            <w:r>
              <w:rPr>
                <w:rFonts w:hint="eastAsia" w:ascii="仿宋_GB2312" w:hAnsi="仿宋_GB2312" w:eastAsia="仿宋_GB2312" w:cs="仿宋_GB2312"/>
                <w:color w:val="auto"/>
                <w:kern w:val="0"/>
                <w:sz w:val="20"/>
                <w:szCs w:val="20"/>
              </w:rPr>
              <w:t>2</w:t>
            </w:r>
            <w:r>
              <w:rPr>
                <w:rFonts w:hint="eastAsia" w:ascii="仿宋_GB2312" w:hAnsi="仿宋_GB2312" w:eastAsia="仿宋_GB2312" w:cs="仿宋_GB2312"/>
                <w:color w:val="auto"/>
                <w:kern w:val="0"/>
                <w:sz w:val="20"/>
                <w:szCs w:val="20"/>
                <w:lang w:val="en-US" w:eastAsia="zh-CN"/>
              </w:rPr>
              <w:t>6</w:t>
            </w:r>
          </w:p>
        </w:tc>
        <w:tc>
          <w:tcPr>
            <w:tcW w:w="636" w:type="dxa"/>
            <w:vMerge w:val="continue"/>
            <w:tcBorders>
              <w:top w:val="nil"/>
              <w:left w:val="single" w:color="auto" w:sz="4" w:space="0"/>
              <w:bottom w:val="single" w:color="auto" w:sz="4" w:space="0"/>
              <w:right w:val="single" w:color="auto" w:sz="4" w:space="0"/>
            </w:tcBorders>
            <w:vAlign w:val="center"/>
          </w:tcPr>
          <w:p w14:paraId="7C5CA416">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color w:val="auto"/>
                <w:kern w:val="0"/>
                <w:sz w:val="20"/>
                <w:szCs w:val="20"/>
              </w:rPr>
            </w:pPr>
          </w:p>
        </w:tc>
        <w:tc>
          <w:tcPr>
            <w:tcW w:w="1552" w:type="dxa"/>
            <w:vMerge w:val="continue"/>
            <w:tcBorders>
              <w:top w:val="nil"/>
              <w:left w:val="single" w:color="auto" w:sz="4" w:space="0"/>
              <w:bottom w:val="single" w:color="auto" w:sz="4" w:space="0"/>
              <w:right w:val="single" w:color="auto" w:sz="4" w:space="0"/>
            </w:tcBorders>
            <w:vAlign w:val="center"/>
          </w:tcPr>
          <w:p w14:paraId="19B9A382">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color w:val="auto"/>
                <w:kern w:val="0"/>
                <w:sz w:val="20"/>
                <w:szCs w:val="20"/>
              </w:rPr>
            </w:pPr>
          </w:p>
        </w:tc>
        <w:tc>
          <w:tcPr>
            <w:tcW w:w="2001" w:type="dxa"/>
            <w:tcBorders>
              <w:top w:val="nil"/>
              <w:left w:val="nil"/>
              <w:bottom w:val="single" w:color="auto" w:sz="4" w:space="0"/>
              <w:right w:val="single" w:color="auto" w:sz="4" w:space="0"/>
            </w:tcBorders>
            <w:shd w:val="clear" w:color="auto" w:fill="auto"/>
            <w:vAlign w:val="center"/>
          </w:tcPr>
          <w:p w14:paraId="7790CCE3">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二噁英类</w:t>
            </w:r>
          </w:p>
        </w:tc>
        <w:tc>
          <w:tcPr>
            <w:tcW w:w="846" w:type="dxa"/>
            <w:tcBorders>
              <w:top w:val="nil"/>
              <w:left w:val="nil"/>
              <w:bottom w:val="single" w:color="auto" w:sz="4" w:space="0"/>
              <w:right w:val="single" w:color="auto" w:sz="4" w:space="0"/>
            </w:tcBorders>
            <w:shd w:val="clear" w:color="auto" w:fill="auto"/>
            <w:vAlign w:val="center"/>
          </w:tcPr>
          <w:p w14:paraId="39C79290">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1次/年</w:t>
            </w:r>
          </w:p>
        </w:tc>
        <w:tc>
          <w:tcPr>
            <w:tcW w:w="1631" w:type="dxa"/>
            <w:tcBorders>
              <w:top w:val="nil"/>
              <w:left w:val="nil"/>
              <w:bottom w:val="single" w:color="auto" w:sz="4" w:space="0"/>
              <w:right w:val="single" w:color="auto" w:sz="4" w:space="0"/>
            </w:tcBorders>
            <w:shd w:val="clear" w:color="auto" w:fill="auto"/>
            <w:vAlign w:val="center"/>
          </w:tcPr>
          <w:p w14:paraId="0867EF5D">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每期监测每个监测点位应取得至少3天的样品，且每天采样时间不少于18小时。</w:t>
            </w:r>
          </w:p>
        </w:tc>
        <w:tc>
          <w:tcPr>
            <w:tcW w:w="1266" w:type="dxa"/>
            <w:tcBorders>
              <w:top w:val="nil"/>
              <w:left w:val="nil"/>
              <w:bottom w:val="single" w:color="auto" w:sz="4" w:space="0"/>
              <w:right w:val="single" w:color="auto" w:sz="4" w:space="0"/>
            </w:tcBorders>
            <w:shd w:val="clear" w:color="auto" w:fill="auto"/>
            <w:vAlign w:val="center"/>
          </w:tcPr>
          <w:p w14:paraId="59228038">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18</w:t>
            </w:r>
          </w:p>
        </w:tc>
      </w:tr>
      <w:tr w14:paraId="1C801600">
        <w:tblPrEx>
          <w:tblCellMar>
            <w:top w:w="0" w:type="dxa"/>
            <w:left w:w="108" w:type="dxa"/>
            <w:bottom w:w="0" w:type="dxa"/>
            <w:right w:w="108" w:type="dxa"/>
          </w:tblCellMar>
        </w:tblPrEx>
        <w:trPr>
          <w:trHeight w:val="1140" w:hRule="atLeast"/>
        </w:trPr>
        <w:tc>
          <w:tcPr>
            <w:tcW w:w="427" w:type="dxa"/>
            <w:tcBorders>
              <w:top w:val="single" w:color="auto" w:sz="4" w:space="0"/>
              <w:left w:val="single" w:color="auto" w:sz="4" w:space="0"/>
              <w:bottom w:val="single" w:color="auto" w:sz="4" w:space="0"/>
              <w:right w:val="single" w:color="auto" w:sz="4" w:space="0"/>
            </w:tcBorders>
            <w:shd w:val="clear" w:color="auto" w:fill="auto"/>
            <w:vAlign w:val="center"/>
          </w:tcPr>
          <w:p w14:paraId="333699DF">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eastAsia="zh-CN"/>
              </w:rPr>
            </w:pPr>
            <w:r>
              <w:rPr>
                <w:rFonts w:hint="eastAsia" w:ascii="仿宋_GB2312" w:hAnsi="仿宋_GB2312" w:eastAsia="仿宋_GB2312" w:cs="仿宋_GB2312"/>
                <w:color w:val="auto"/>
                <w:kern w:val="0"/>
                <w:sz w:val="20"/>
                <w:szCs w:val="20"/>
              </w:rPr>
              <w:t>2</w:t>
            </w:r>
            <w:r>
              <w:rPr>
                <w:rFonts w:hint="eastAsia" w:ascii="仿宋_GB2312" w:hAnsi="仿宋_GB2312" w:eastAsia="仿宋_GB2312" w:cs="仿宋_GB2312"/>
                <w:color w:val="auto"/>
                <w:kern w:val="0"/>
                <w:sz w:val="20"/>
                <w:szCs w:val="20"/>
                <w:lang w:val="en-US" w:eastAsia="zh-CN"/>
              </w:rPr>
              <w:t>7</w:t>
            </w:r>
          </w:p>
        </w:tc>
        <w:tc>
          <w:tcPr>
            <w:tcW w:w="636" w:type="dxa"/>
            <w:vMerge w:val="restart"/>
            <w:tcBorders>
              <w:top w:val="single" w:color="auto" w:sz="4" w:space="0"/>
              <w:left w:val="single" w:color="auto" w:sz="4" w:space="0"/>
              <w:right w:val="single" w:color="auto" w:sz="4" w:space="0"/>
            </w:tcBorders>
            <w:vAlign w:val="center"/>
          </w:tcPr>
          <w:p w14:paraId="30C059C4">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浓缩出口</w:t>
            </w:r>
          </w:p>
        </w:tc>
        <w:tc>
          <w:tcPr>
            <w:tcW w:w="155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56F165A">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废水出口（编号DW002）</w:t>
            </w:r>
          </w:p>
        </w:tc>
        <w:tc>
          <w:tcPr>
            <w:tcW w:w="2001" w:type="dxa"/>
            <w:tcBorders>
              <w:top w:val="nil"/>
              <w:left w:val="nil"/>
              <w:bottom w:val="single" w:color="auto" w:sz="4" w:space="0"/>
              <w:right w:val="single" w:color="auto" w:sz="4" w:space="0"/>
            </w:tcBorders>
            <w:shd w:val="clear" w:color="auto" w:fill="auto"/>
            <w:vAlign w:val="center"/>
          </w:tcPr>
          <w:p w14:paraId="4819B89A">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pH值、水温、流量、化学需氧量、氨氮、总磷、总氮</w:t>
            </w:r>
          </w:p>
        </w:tc>
        <w:tc>
          <w:tcPr>
            <w:tcW w:w="846" w:type="dxa"/>
            <w:tcBorders>
              <w:top w:val="nil"/>
              <w:left w:val="nil"/>
              <w:bottom w:val="single" w:color="auto" w:sz="4" w:space="0"/>
              <w:right w:val="single" w:color="auto" w:sz="4" w:space="0"/>
            </w:tcBorders>
            <w:shd w:val="clear" w:color="auto" w:fill="auto"/>
            <w:vAlign w:val="center"/>
          </w:tcPr>
          <w:p w14:paraId="4249F461">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1次/月</w:t>
            </w:r>
          </w:p>
        </w:tc>
        <w:tc>
          <w:tcPr>
            <w:tcW w:w="1631" w:type="dxa"/>
            <w:tcBorders>
              <w:top w:val="nil"/>
              <w:left w:val="nil"/>
              <w:bottom w:val="single" w:color="auto" w:sz="4" w:space="0"/>
              <w:right w:val="single" w:color="auto" w:sz="4" w:space="0"/>
            </w:tcBorders>
            <w:shd w:val="clear" w:color="auto" w:fill="auto"/>
            <w:vAlign w:val="center"/>
          </w:tcPr>
          <w:p w14:paraId="35E1D301">
            <w:pPr>
              <w:keepNext w:val="0"/>
              <w:keepLines w:val="0"/>
              <w:widowControl/>
              <w:numPr>
                <w:ilvl w:val="255"/>
                <w:numId w:val="0"/>
              </w:numPr>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1.化学需氧量、氨氮、总磷、总氮比对监测数据对不少于三对；</w:t>
            </w:r>
          </w:p>
          <w:p w14:paraId="69C469C8">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2.pH值、水温5个瞬时样</w:t>
            </w:r>
          </w:p>
        </w:tc>
        <w:tc>
          <w:tcPr>
            <w:tcW w:w="1266" w:type="dxa"/>
            <w:tcBorders>
              <w:top w:val="nil"/>
              <w:left w:val="nil"/>
              <w:bottom w:val="single" w:color="auto" w:sz="4" w:space="0"/>
              <w:right w:val="single" w:color="auto" w:sz="4" w:space="0"/>
            </w:tcBorders>
            <w:shd w:val="clear" w:color="auto" w:fill="auto"/>
            <w:vAlign w:val="center"/>
          </w:tcPr>
          <w:p w14:paraId="67E33B76">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val="en-US" w:eastAsia="zh-CN"/>
              </w:rPr>
            </w:pPr>
            <w:r>
              <w:rPr>
                <w:rFonts w:hint="eastAsia" w:ascii="仿宋_GB2312" w:hAnsi="仿宋_GB2312" w:eastAsia="仿宋_GB2312" w:cs="仿宋_GB2312"/>
                <w:color w:val="auto"/>
                <w:kern w:val="0"/>
                <w:sz w:val="20"/>
                <w:szCs w:val="20"/>
                <w:lang w:val="en-US" w:eastAsia="zh-CN"/>
              </w:rPr>
              <w:t>36</w:t>
            </w:r>
          </w:p>
        </w:tc>
      </w:tr>
      <w:tr w14:paraId="288D8815">
        <w:tblPrEx>
          <w:tblCellMar>
            <w:top w:w="0" w:type="dxa"/>
            <w:left w:w="108" w:type="dxa"/>
            <w:bottom w:w="0" w:type="dxa"/>
            <w:right w:w="108" w:type="dxa"/>
          </w:tblCellMar>
        </w:tblPrEx>
        <w:trPr>
          <w:trHeight w:val="1140" w:hRule="atLeast"/>
        </w:trPr>
        <w:tc>
          <w:tcPr>
            <w:tcW w:w="427" w:type="dxa"/>
            <w:tcBorders>
              <w:top w:val="single" w:color="auto" w:sz="4" w:space="0"/>
              <w:left w:val="single" w:color="auto" w:sz="4" w:space="0"/>
              <w:bottom w:val="single" w:color="auto" w:sz="4" w:space="0"/>
              <w:right w:val="single" w:color="auto" w:sz="4" w:space="0"/>
            </w:tcBorders>
            <w:shd w:val="clear" w:color="auto" w:fill="auto"/>
            <w:vAlign w:val="center"/>
          </w:tcPr>
          <w:p w14:paraId="3F3044D0">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eastAsia="zh-CN"/>
              </w:rPr>
            </w:pPr>
            <w:r>
              <w:rPr>
                <w:rFonts w:hint="eastAsia" w:ascii="仿宋_GB2312" w:hAnsi="仿宋_GB2312" w:eastAsia="仿宋_GB2312" w:cs="仿宋_GB2312"/>
                <w:color w:val="auto"/>
                <w:kern w:val="0"/>
                <w:sz w:val="20"/>
                <w:szCs w:val="20"/>
              </w:rPr>
              <w:t>2</w:t>
            </w:r>
            <w:r>
              <w:rPr>
                <w:rFonts w:hint="eastAsia" w:ascii="仿宋_GB2312" w:hAnsi="仿宋_GB2312" w:eastAsia="仿宋_GB2312" w:cs="仿宋_GB2312"/>
                <w:color w:val="auto"/>
                <w:kern w:val="0"/>
                <w:sz w:val="20"/>
                <w:szCs w:val="20"/>
                <w:lang w:val="en-US" w:eastAsia="zh-CN"/>
              </w:rPr>
              <w:t>8</w:t>
            </w:r>
          </w:p>
        </w:tc>
        <w:tc>
          <w:tcPr>
            <w:tcW w:w="636" w:type="dxa"/>
            <w:vMerge w:val="continue"/>
            <w:tcBorders>
              <w:top w:val="single" w:color="auto" w:sz="4" w:space="0"/>
              <w:left w:val="single" w:color="auto" w:sz="4" w:space="0"/>
              <w:bottom w:val="single" w:color="auto" w:sz="4" w:space="0"/>
              <w:right w:val="single" w:color="auto" w:sz="4" w:space="0"/>
            </w:tcBorders>
            <w:vAlign w:val="center"/>
          </w:tcPr>
          <w:p w14:paraId="2926B175">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color w:val="auto"/>
                <w:kern w:val="0"/>
                <w:sz w:val="20"/>
                <w:szCs w:val="20"/>
              </w:rPr>
            </w:pPr>
          </w:p>
        </w:tc>
        <w:tc>
          <w:tcPr>
            <w:tcW w:w="1552" w:type="dxa"/>
            <w:vMerge w:val="continue"/>
            <w:tcBorders>
              <w:top w:val="single" w:color="auto" w:sz="4" w:space="0"/>
              <w:left w:val="single" w:color="auto" w:sz="4" w:space="0"/>
              <w:bottom w:val="single" w:color="auto" w:sz="4" w:space="0"/>
              <w:right w:val="single" w:color="auto" w:sz="4" w:space="0"/>
            </w:tcBorders>
            <w:vAlign w:val="center"/>
          </w:tcPr>
          <w:p w14:paraId="0E57471E">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color w:val="auto"/>
                <w:kern w:val="0"/>
                <w:sz w:val="20"/>
                <w:szCs w:val="20"/>
              </w:rPr>
            </w:pPr>
          </w:p>
        </w:tc>
        <w:tc>
          <w:tcPr>
            <w:tcW w:w="2001" w:type="dxa"/>
            <w:tcBorders>
              <w:top w:val="nil"/>
              <w:left w:val="nil"/>
              <w:bottom w:val="single" w:color="auto" w:sz="4" w:space="0"/>
              <w:right w:val="single" w:color="auto" w:sz="4" w:space="0"/>
            </w:tcBorders>
            <w:shd w:val="clear" w:color="auto" w:fill="auto"/>
            <w:vAlign w:val="center"/>
          </w:tcPr>
          <w:p w14:paraId="5A17EB09">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总镉、总铬、总汞、总铅、总砷、六价铬、悬浮物、色度</w:t>
            </w:r>
          </w:p>
        </w:tc>
        <w:tc>
          <w:tcPr>
            <w:tcW w:w="846" w:type="dxa"/>
            <w:tcBorders>
              <w:top w:val="nil"/>
              <w:left w:val="nil"/>
              <w:bottom w:val="single" w:color="auto" w:sz="4" w:space="0"/>
              <w:right w:val="single" w:color="auto" w:sz="4" w:space="0"/>
            </w:tcBorders>
            <w:shd w:val="clear" w:color="auto" w:fill="auto"/>
            <w:vAlign w:val="center"/>
          </w:tcPr>
          <w:p w14:paraId="4E84CFF9">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i w:val="0"/>
                <w:iCs w:val="0"/>
                <w:color w:val="auto"/>
                <w:kern w:val="0"/>
                <w:sz w:val="20"/>
                <w:szCs w:val="20"/>
                <w:u w:val="none"/>
                <w:lang w:val="en-US" w:eastAsia="zh-CN" w:bidi="ar"/>
              </w:rPr>
              <w:t>1次/月</w:t>
            </w:r>
          </w:p>
        </w:tc>
        <w:tc>
          <w:tcPr>
            <w:tcW w:w="1631" w:type="dxa"/>
            <w:tcBorders>
              <w:top w:val="nil"/>
              <w:left w:val="nil"/>
              <w:bottom w:val="single" w:color="auto" w:sz="4" w:space="0"/>
              <w:right w:val="single" w:color="auto" w:sz="4" w:space="0"/>
            </w:tcBorders>
            <w:shd w:val="clear" w:color="auto" w:fill="auto"/>
            <w:vAlign w:val="center"/>
          </w:tcPr>
          <w:p w14:paraId="1365BE2A">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i w:val="0"/>
                <w:iCs w:val="0"/>
                <w:color w:val="auto"/>
                <w:kern w:val="0"/>
                <w:sz w:val="20"/>
                <w:szCs w:val="20"/>
                <w:u w:val="none"/>
                <w:lang w:val="en-US" w:eastAsia="zh-CN" w:bidi="ar"/>
              </w:rPr>
              <w:t>每4小时采样一次，24 小时不少于三次。</w:t>
            </w:r>
          </w:p>
        </w:tc>
        <w:tc>
          <w:tcPr>
            <w:tcW w:w="1266" w:type="dxa"/>
            <w:tcBorders>
              <w:top w:val="nil"/>
              <w:left w:val="nil"/>
              <w:bottom w:val="single" w:color="auto" w:sz="4" w:space="0"/>
              <w:right w:val="single" w:color="auto" w:sz="4" w:space="0"/>
            </w:tcBorders>
            <w:shd w:val="clear" w:color="auto" w:fill="auto"/>
            <w:vAlign w:val="center"/>
          </w:tcPr>
          <w:p w14:paraId="6EF6F486">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i w:val="0"/>
                <w:iCs w:val="0"/>
                <w:color w:val="auto"/>
                <w:kern w:val="0"/>
                <w:sz w:val="20"/>
                <w:szCs w:val="20"/>
                <w:u w:val="none"/>
                <w:lang w:val="en-US" w:eastAsia="zh-CN" w:bidi="ar"/>
              </w:rPr>
              <w:t>36</w:t>
            </w:r>
          </w:p>
        </w:tc>
      </w:tr>
      <w:tr w14:paraId="5D15FC55">
        <w:tblPrEx>
          <w:tblCellMar>
            <w:top w:w="0" w:type="dxa"/>
            <w:left w:w="108" w:type="dxa"/>
            <w:bottom w:w="0" w:type="dxa"/>
            <w:right w:w="108" w:type="dxa"/>
          </w:tblCellMar>
        </w:tblPrEx>
        <w:trPr>
          <w:trHeight w:val="1140" w:hRule="atLeast"/>
        </w:trPr>
        <w:tc>
          <w:tcPr>
            <w:tcW w:w="427" w:type="dxa"/>
            <w:tcBorders>
              <w:top w:val="single" w:color="auto" w:sz="4" w:space="0"/>
              <w:left w:val="single" w:color="auto" w:sz="4" w:space="0"/>
              <w:bottom w:val="single" w:color="auto" w:sz="4" w:space="0"/>
              <w:right w:val="single" w:color="auto" w:sz="4" w:space="0"/>
            </w:tcBorders>
            <w:shd w:val="clear" w:color="auto" w:fill="auto"/>
            <w:vAlign w:val="center"/>
          </w:tcPr>
          <w:p w14:paraId="34D0D332">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val="en-US" w:eastAsia="zh-CN"/>
              </w:rPr>
            </w:pPr>
            <w:r>
              <w:rPr>
                <w:rFonts w:hint="eastAsia" w:ascii="仿宋_GB2312" w:hAnsi="仿宋_GB2312" w:eastAsia="仿宋_GB2312" w:cs="仿宋_GB2312"/>
                <w:color w:val="auto"/>
                <w:kern w:val="0"/>
                <w:sz w:val="20"/>
                <w:szCs w:val="20"/>
                <w:lang w:val="en-US" w:eastAsia="zh-CN"/>
              </w:rPr>
              <w:t>29</w:t>
            </w:r>
          </w:p>
        </w:tc>
        <w:tc>
          <w:tcPr>
            <w:tcW w:w="636" w:type="dxa"/>
            <w:vMerge w:val="continue"/>
            <w:tcBorders>
              <w:top w:val="single" w:color="auto" w:sz="4" w:space="0"/>
              <w:left w:val="single" w:color="auto" w:sz="4" w:space="0"/>
              <w:bottom w:val="single" w:color="auto" w:sz="4" w:space="0"/>
              <w:right w:val="single" w:color="auto" w:sz="4" w:space="0"/>
            </w:tcBorders>
            <w:vAlign w:val="center"/>
          </w:tcPr>
          <w:p w14:paraId="2A08D157">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color w:val="auto"/>
                <w:kern w:val="0"/>
                <w:sz w:val="20"/>
                <w:szCs w:val="20"/>
              </w:rPr>
            </w:pPr>
          </w:p>
        </w:tc>
        <w:tc>
          <w:tcPr>
            <w:tcW w:w="1552" w:type="dxa"/>
            <w:vMerge w:val="continue"/>
            <w:tcBorders>
              <w:top w:val="single" w:color="auto" w:sz="4" w:space="0"/>
              <w:left w:val="single" w:color="auto" w:sz="4" w:space="0"/>
              <w:bottom w:val="single" w:color="auto" w:sz="4" w:space="0"/>
              <w:right w:val="single" w:color="auto" w:sz="4" w:space="0"/>
            </w:tcBorders>
            <w:vAlign w:val="center"/>
          </w:tcPr>
          <w:p w14:paraId="040C18F4">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color w:val="auto"/>
                <w:kern w:val="0"/>
                <w:sz w:val="20"/>
                <w:szCs w:val="20"/>
              </w:rPr>
            </w:pPr>
          </w:p>
        </w:tc>
        <w:tc>
          <w:tcPr>
            <w:tcW w:w="2001" w:type="dxa"/>
            <w:tcBorders>
              <w:top w:val="nil"/>
              <w:left w:val="nil"/>
              <w:bottom w:val="nil"/>
              <w:right w:val="single" w:color="auto" w:sz="4" w:space="0"/>
            </w:tcBorders>
            <w:shd w:val="clear" w:color="auto" w:fill="auto"/>
            <w:vAlign w:val="center"/>
          </w:tcPr>
          <w:p w14:paraId="19BEC333">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五日生化需氧量、石油类、粪大肠菌群数/（MPN/L）</w:t>
            </w:r>
          </w:p>
        </w:tc>
        <w:tc>
          <w:tcPr>
            <w:tcW w:w="846" w:type="dxa"/>
            <w:tcBorders>
              <w:top w:val="nil"/>
              <w:left w:val="nil"/>
              <w:bottom w:val="single" w:color="auto" w:sz="4" w:space="0"/>
              <w:right w:val="single" w:color="auto" w:sz="4" w:space="0"/>
            </w:tcBorders>
            <w:shd w:val="clear" w:color="auto" w:fill="auto"/>
            <w:vAlign w:val="center"/>
          </w:tcPr>
          <w:p w14:paraId="2CFFDA2F">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i w:val="0"/>
                <w:iCs w:val="0"/>
                <w:color w:val="auto"/>
                <w:kern w:val="0"/>
                <w:sz w:val="20"/>
                <w:szCs w:val="20"/>
                <w:u w:val="none"/>
                <w:lang w:val="en-US" w:eastAsia="zh-CN" w:bidi="ar"/>
              </w:rPr>
              <w:t>1次/季</w:t>
            </w:r>
          </w:p>
        </w:tc>
        <w:tc>
          <w:tcPr>
            <w:tcW w:w="1631" w:type="dxa"/>
            <w:tcBorders>
              <w:top w:val="nil"/>
              <w:left w:val="nil"/>
              <w:bottom w:val="single" w:color="auto" w:sz="4" w:space="0"/>
              <w:right w:val="single" w:color="auto" w:sz="4" w:space="0"/>
            </w:tcBorders>
            <w:shd w:val="clear" w:color="auto" w:fill="auto"/>
            <w:vAlign w:val="center"/>
          </w:tcPr>
          <w:p w14:paraId="184584EE">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i w:val="0"/>
                <w:iCs w:val="0"/>
                <w:color w:val="auto"/>
                <w:kern w:val="0"/>
                <w:sz w:val="20"/>
                <w:szCs w:val="20"/>
                <w:u w:val="none"/>
                <w:lang w:val="en-US" w:eastAsia="zh-CN" w:bidi="ar"/>
              </w:rPr>
              <w:t>每4小时采样一次，24 小时不少于三次。</w:t>
            </w:r>
          </w:p>
        </w:tc>
        <w:tc>
          <w:tcPr>
            <w:tcW w:w="1266" w:type="dxa"/>
            <w:tcBorders>
              <w:top w:val="nil"/>
              <w:left w:val="nil"/>
              <w:bottom w:val="single" w:color="auto" w:sz="4" w:space="0"/>
              <w:right w:val="single" w:color="auto" w:sz="4" w:space="0"/>
            </w:tcBorders>
            <w:shd w:val="clear" w:color="auto" w:fill="auto"/>
            <w:vAlign w:val="center"/>
          </w:tcPr>
          <w:p w14:paraId="10B7246D">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i w:val="0"/>
                <w:iCs w:val="0"/>
                <w:color w:val="auto"/>
                <w:kern w:val="0"/>
                <w:sz w:val="20"/>
                <w:szCs w:val="20"/>
                <w:u w:val="none"/>
                <w:lang w:val="en-US" w:eastAsia="zh-CN" w:bidi="ar"/>
              </w:rPr>
              <w:t>12</w:t>
            </w:r>
          </w:p>
        </w:tc>
      </w:tr>
      <w:tr w14:paraId="3C0746F8">
        <w:tblPrEx>
          <w:tblCellMar>
            <w:top w:w="0" w:type="dxa"/>
            <w:left w:w="108" w:type="dxa"/>
            <w:bottom w:w="0" w:type="dxa"/>
            <w:right w:w="108" w:type="dxa"/>
          </w:tblCellMar>
        </w:tblPrEx>
        <w:trPr>
          <w:trHeight w:val="1695" w:hRule="atLeast"/>
        </w:trPr>
        <w:tc>
          <w:tcPr>
            <w:tcW w:w="427" w:type="dxa"/>
            <w:tcBorders>
              <w:top w:val="nil"/>
              <w:left w:val="single" w:color="auto" w:sz="4" w:space="0"/>
              <w:bottom w:val="single" w:color="auto" w:sz="4" w:space="0"/>
              <w:right w:val="single" w:color="auto" w:sz="4" w:space="0"/>
            </w:tcBorders>
            <w:shd w:val="clear" w:color="auto" w:fill="auto"/>
            <w:vAlign w:val="center"/>
          </w:tcPr>
          <w:p w14:paraId="702FD535">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eastAsia="zh-CN"/>
              </w:rPr>
            </w:pPr>
            <w:r>
              <w:rPr>
                <w:rFonts w:hint="eastAsia" w:ascii="仿宋_GB2312" w:hAnsi="仿宋_GB2312" w:eastAsia="仿宋_GB2312" w:cs="仿宋_GB2312"/>
                <w:color w:val="auto"/>
                <w:kern w:val="0"/>
                <w:sz w:val="20"/>
                <w:szCs w:val="20"/>
              </w:rPr>
              <w:t>3</w:t>
            </w:r>
            <w:r>
              <w:rPr>
                <w:rFonts w:hint="eastAsia" w:ascii="仿宋_GB2312" w:hAnsi="仿宋_GB2312" w:eastAsia="仿宋_GB2312" w:cs="仿宋_GB2312"/>
                <w:color w:val="auto"/>
                <w:kern w:val="0"/>
                <w:sz w:val="20"/>
                <w:szCs w:val="20"/>
                <w:lang w:val="en-US" w:eastAsia="zh-CN"/>
              </w:rPr>
              <w:t>0</w:t>
            </w:r>
          </w:p>
        </w:tc>
        <w:tc>
          <w:tcPr>
            <w:tcW w:w="63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5BAA01F">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回用水</w:t>
            </w:r>
          </w:p>
        </w:tc>
        <w:tc>
          <w:tcPr>
            <w:tcW w:w="1552" w:type="dxa"/>
            <w:tcBorders>
              <w:top w:val="single" w:color="auto" w:sz="4" w:space="0"/>
              <w:left w:val="nil"/>
              <w:bottom w:val="single" w:color="auto" w:sz="4" w:space="0"/>
              <w:right w:val="single" w:color="auto" w:sz="4" w:space="0"/>
            </w:tcBorders>
            <w:shd w:val="clear" w:color="auto" w:fill="auto"/>
            <w:vAlign w:val="center"/>
          </w:tcPr>
          <w:p w14:paraId="0E09B13D">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综合污水处理池进口</w:t>
            </w:r>
          </w:p>
        </w:tc>
        <w:tc>
          <w:tcPr>
            <w:tcW w:w="2001" w:type="dxa"/>
            <w:tcBorders>
              <w:top w:val="single" w:color="auto" w:sz="4" w:space="0"/>
              <w:left w:val="nil"/>
              <w:bottom w:val="single" w:color="auto" w:sz="4" w:space="0"/>
              <w:right w:val="single" w:color="auto" w:sz="4" w:space="0"/>
            </w:tcBorders>
            <w:shd w:val="clear" w:color="auto" w:fill="auto"/>
            <w:vAlign w:val="center"/>
          </w:tcPr>
          <w:p w14:paraId="7FE95623">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水温、pH值、五日生化需氧量、化学需氧量、氨氮、氟化物、汞、镉、六价铬、砷、铅、悬浮物、石油类、挥发酚类、总镍、总铜、总锌</w:t>
            </w:r>
          </w:p>
        </w:tc>
        <w:tc>
          <w:tcPr>
            <w:tcW w:w="846" w:type="dxa"/>
            <w:tcBorders>
              <w:top w:val="nil"/>
              <w:left w:val="nil"/>
              <w:bottom w:val="single" w:color="auto" w:sz="4" w:space="0"/>
              <w:right w:val="single" w:color="auto" w:sz="4" w:space="0"/>
            </w:tcBorders>
            <w:shd w:val="clear" w:color="auto" w:fill="auto"/>
            <w:vAlign w:val="center"/>
          </w:tcPr>
          <w:p w14:paraId="5C8C15D4">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1次/季</w:t>
            </w:r>
          </w:p>
        </w:tc>
        <w:tc>
          <w:tcPr>
            <w:tcW w:w="1631" w:type="dxa"/>
            <w:tcBorders>
              <w:top w:val="nil"/>
              <w:left w:val="nil"/>
              <w:bottom w:val="single" w:color="auto" w:sz="4" w:space="0"/>
              <w:right w:val="single" w:color="auto" w:sz="4" w:space="0"/>
            </w:tcBorders>
            <w:shd w:val="clear" w:color="auto" w:fill="auto"/>
            <w:vAlign w:val="center"/>
          </w:tcPr>
          <w:p w14:paraId="357617B3">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w:t>
            </w:r>
          </w:p>
        </w:tc>
        <w:tc>
          <w:tcPr>
            <w:tcW w:w="1266" w:type="dxa"/>
            <w:tcBorders>
              <w:top w:val="nil"/>
              <w:left w:val="nil"/>
              <w:bottom w:val="single" w:color="auto" w:sz="4" w:space="0"/>
              <w:right w:val="single" w:color="auto" w:sz="4" w:space="0"/>
            </w:tcBorders>
            <w:shd w:val="clear" w:color="auto" w:fill="auto"/>
            <w:vAlign w:val="center"/>
          </w:tcPr>
          <w:p w14:paraId="23848BF4">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4</w:t>
            </w:r>
          </w:p>
        </w:tc>
      </w:tr>
      <w:tr w14:paraId="5714857D">
        <w:tblPrEx>
          <w:tblCellMar>
            <w:top w:w="0" w:type="dxa"/>
            <w:left w:w="108" w:type="dxa"/>
            <w:bottom w:w="0" w:type="dxa"/>
            <w:right w:w="108" w:type="dxa"/>
          </w:tblCellMar>
        </w:tblPrEx>
        <w:trPr>
          <w:trHeight w:val="1935" w:hRule="atLeast"/>
        </w:trPr>
        <w:tc>
          <w:tcPr>
            <w:tcW w:w="427" w:type="dxa"/>
            <w:tcBorders>
              <w:top w:val="nil"/>
              <w:left w:val="single" w:color="auto" w:sz="4" w:space="0"/>
              <w:bottom w:val="single" w:color="auto" w:sz="4" w:space="0"/>
              <w:right w:val="single" w:color="auto" w:sz="4" w:space="0"/>
            </w:tcBorders>
            <w:shd w:val="clear" w:color="auto" w:fill="auto"/>
            <w:vAlign w:val="center"/>
          </w:tcPr>
          <w:p w14:paraId="0C1D3D98">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eastAsia="zh-CN"/>
              </w:rPr>
            </w:pPr>
            <w:r>
              <w:rPr>
                <w:rFonts w:hint="eastAsia" w:ascii="仿宋_GB2312" w:hAnsi="仿宋_GB2312" w:eastAsia="仿宋_GB2312" w:cs="仿宋_GB2312"/>
                <w:color w:val="auto"/>
                <w:kern w:val="0"/>
                <w:sz w:val="20"/>
                <w:szCs w:val="20"/>
              </w:rPr>
              <w:t>3</w:t>
            </w:r>
            <w:r>
              <w:rPr>
                <w:rFonts w:hint="eastAsia" w:ascii="仿宋_GB2312" w:hAnsi="仿宋_GB2312" w:eastAsia="仿宋_GB2312" w:cs="仿宋_GB2312"/>
                <w:color w:val="auto"/>
                <w:kern w:val="0"/>
                <w:sz w:val="20"/>
                <w:szCs w:val="20"/>
                <w:lang w:val="en-US" w:eastAsia="zh-CN"/>
              </w:rPr>
              <w:t>1</w:t>
            </w:r>
          </w:p>
        </w:tc>
        <w:tc>
          <w:tcPr>
            <w:tcW w:w="636" w:type="dxa"/>
            <w:vMerge w:val="continue"/>
            <w:tcBorders>
              <w:top w:val="single" w:color="auto" w:sz="4" w:space="0"/>
              <w:left w:val="single" w:color="auto" w:sz="4" w:space="0"/>
              <w:bottom w:val="single" w:color="auto" w:sz="4" w:space="0"/>
              <w:right w:val="single" w:color="auto" w:sz="4" w:space="0"/>
            </w:tcBorders>
            <w:vAlign w:val="center"/>
          </w:tcPr>
          <w:p w14:paraId="7398A455">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color w:val="auto"/>
                <w:kern w:val="0"/>
                <w:sz w:val="20"/>
                <w:szCs w:val="20"/>
              </w:rPr>
            </w:pPr>
          </w:p>
        </w:tc>
        <w:tc>
          <w:tcPr>
            <w:tcW w:w="1552" w:type="dxa"/>
            <w:tcBorders>
              <w:top w:val="nil"/>
              <w:left w:val="nil"/>
              <w:bottom w:val="single" w:color="auto" w:sz="4" w:space="0"/>
              <w:right w:val="single" w:color="auto" w:sz="4" w:space="0"/>
            </w:tcBorders>
            <w:shd w:val="clear" w:color="auto" w:fill="auto"/>
            <w:vAlign w:val="center"/>
          </w:tcPr>
          <w:p w14:paraId="5239EE23">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综合污水处理排放口</w:t>
            </w:r>
          </w:p>
        </w:tc>
        <w:tc>
          <w:tcPr>
            <w:tcW w:w="2001" w:type="dxa"/>
            <w:tcBorders>
              <w:top w:val="nil"/>
              <w:left w:val="nil"/>
              <w:bottom w:val="single" w:color="auto" w:sz="4" w:space="0"/>
              <w:right w:val="single" w:color="auto" w:sz="4" w:space="0"/>
            </w:tcBorders>
            <w:shd w:val="clear" w:color="auto" w:fill="auto"/>
            <w:vAlign w:val="center"/>
          </w:tcPr>
          <w:p w14:paraId="31CFE41E">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lang w:val="en-US" w:eastAsia="zh-CN"/>
              </w:rPr>
              <w:t>水温、</w:t>
            </w:r>
            <w:r>
              <w:rPr>
                <w:rFonts w:hint="eastAsia" w:ascii="仿宋_GB2312" w:hAnsi="仿宋_GB2312" w:eastAsia="仿宋_GB2312" w:cs="仿宋_GB2312"/>
                <w:color w:val="auto"/>
                <w:kern w:val="0"/>
                <w:sz w:val="20"/>
                <w:szCs w:val="20"/>
              </w:rPr>
              <w:t>pH值、五日生化需氧量、化学需氧量、氨氮、氟化物、粪大肠菌群数、总余氯、汞、镉、铬、六价铬、砷、铅、悬浮物、石油类、挥发酚类、总磷、总镍、总铜、总锌</w:t>
            </w:r>
          </w:p>
        </w:tc>
        <w:tc>
          <w:tcPr>
            <w:tcW w:w="846" w:type="dxa"/>
            <w:tcBorders>
              <w:top w:val="nil"/>
              <w:left w:val="nil"/>
              <w:bottom w:val="single" w:color="auto" w:sz="4" w:space="0"/>
              <w:right w:val="single" w:color="auto" w:sz="4" w:space="0"/>
            </w:tcBorders>
            <w:shd w:val="clear" w:color="auto" w:fill="auto"/>
            <w:vAlign w:val="center"/>
          </w:tcPr>
          <w:p w14:paraId="682BB55A">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1次/季</w:t>
            </w:r>
          </w:p>
        </w:tc>
        <w:tc>
          <w:tcPr>
            <w:tcW w:w="1631" w:type="dxa"/>
            <w:tcBorders>
              <w:top w:val="nil"/>
              <w:left w:val="nil"/>
              <w:bottom w:val="single" w:color="auto" w:sz="4" w:space="0"/>
              <w:right w:val="single" w:color="auto" w:sz="4" w:space="0"/>
            </w:tcBorders>
            <w:shd w:val="clear" w:color="auto" w:fill="auto"/>
            <w:vAlign w:val="center"/>
          </w:tcPr>
          <w:p w14:paraId="1BFB7C82">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w:t>
            </w:r>
          </w:p>
        </w:tc>
        <w:tc>
          <w:tcPr>
            <w:tcW w:w="1266" w:type="dxa"/>
            <w:tcBorders>
              <w:top w:val="nil"/>
              <w:left w:val="nil"/>
              <w:bottom w:val="single" w:color="auto" w:sz="4" w:space="0"/>
              <w:right w:val="single" w:color="auto" w:sz="4" w:space="0"/>
            </w:tcBorders>
            <w:shd w:val="clear" w:color="auto" w:fill="auto"/>
            <w:vAlign w:val="center"/>
          </w:tcPr>
          <w:p w14:paraId="305B2486">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4</w:t>
            </w:r>
          </w:p>
        </w:tc>
      </w:tr>
      <w:tr w14:paraId="1AB432B1">
        <w:tblPrEx>
          <w:tblCellMar>
            <w:top w:w="0" w:type="dxa"/>
            <w:left w:w="108" w:type="dxa"/>
            <w:bottom w:w="0" w:type="dxa"/>
            <w:right w:w="108" w:type="dxa"/>
          </w:tblCellMar>
        </w:tblPrEx>
        <w:trPr>
          <w:trHeight w:val="1665" w:hRule="atLeast"/>
        </w:trPr>
        <w:tc>
          <w:tcPr>
            <w:tcW w:w="427" w:type="dxa"/>
            <w:tcBorders>
              <w:top w:val="nil"/>
              <w:left w:val="single" w:color="auto" w:sz="4" w:space="0"/>
              <w:bottom w:val="single" w:color="auto" w:sz="4" w:space="0"/>
              <w:right w:val="single" w:color="auto" w:sz="4" w:space="0"/>
            </w:tcBorders>
            <w:shd w:val="clear" w:color="auto" w:fill="auto"/>
            <w:vAlign w:val="center"/>
          </w:tcPr>
          <w:p w14:paraId="2E324C3B">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eastAsia="zh-CN"/>
              </w:rPr>
            </w:pPr>
            <w:r>
              <w:rPr>
                <w:rFonts w:hint="eastAsia" w:ascii="仿宋_GB2312" w:hAnsi="仿宋_GB2312" w:eastAsia="仿宋_GB2312" w:cs="仿宋_GB2312"/>
                <w:color w:val="auto"/>
                <w:kern w:val="0"/>
                <w:sz w:val="20"/>
                <w:szCs w:val="20"/>
              </w:rPr>
              <w:t>3</w:t>
            </w:r>
            <w:r>
              <w:rPr>
                <w:rFonts w:hint="eastAsia" w:ascii="仿宋_GB2312" w:hAnsi="仿宋_GB2312" w:eastAsia="仿宋_GB2312" w:cs="仿宋_GB2312"/>
                <w:color w:val="auto"/>
                <w:kern w:val="0"/>
                <w:sz w:val="20"/>
                <w:szCs w:val="20"/>
                <w:lang w:val="en-US" w:eastAsia="zh-CN"/>
              </w:rPr>
              <w:t>2</w:t>
            </w:r>
          </w:p>
        </w:tc>
        <w:tc>
          <w:tcPr>
            <w:tcW w:w="636" w:type="dxa"/>
            <w:tcBorders>
              <w:top w:val="nil"/>
              <w:left w:val="nil"/>
              <w:bottom w:val="single" w:color="auto" w:sz="4" w:space="0"/>
              <w:right w:val="single" w:color="auto" w:sz="4" w:space="0"/>
            </w:tcBorders>
            <w:shd w:val="clear" w:color="auto" w:fill="auto"/>
            <w:vAlign w:val="center"/>
          </w:tcPr>
          <w:p w14:paraId="3925D511">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雨水</w:t>
            </w:r>
          </w:p>
        </w:tc>
        <w:tc>
          <w:tcPr>
            <w:tcW w:w="1552" w:type="dxa"/>
            <w:tcBorders>
              <w:top w:val="nil"/>
              <w:left w:val="nil"/>
              <w:bottom w:val="single" w:color="auto" w:sz="4" w:space="0"/>
              <w:right w:val="single" w:color="auto" w:sz="4" w:space="0"/>
            </w:tcBorders>
            <w:shd w:val="clear" w:color="auto" w:fill="auto"/>
            <w:vAlign w:val="center"/>
          </w:tcPr>
          <w:p w14:paraId="105C137E">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北侧雨水排放口（编号DW001）、南侧雨水排放口（编号DW003），合计2个点</w:t>
            </w:r>
          </w:p>
        </w:tc>
        <w:tc>
          <w:tcPr>
            <w:tcW w:w="2001" w:type="dxa"/>
            <w:tcBorders>
              <w:top w:val="nil"/>
              <w:left w:val="nil"/>
              <w:bottom w:val="single" w:color="auto" w:sz="4" w:space="0"/>
              <w:right w:val="single" w:color="auto" w:sz="4" w:space="0"/>
            </w:tcBorders>
            <w:shd w:val="clear" w:color="auto" w:fill="auto"/>
            <w:vAlign w:val="center"/>
          </w:tcPr>
          <w:p w14:paraId="6C273266">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pH值、悬浮物、化学需氧量、氨氮、石油类</w:t>
            </w:r>
          </w:p>
        </w:tc>
        <w:tc>
          <w:tcPr>
            <w:tcW w:w="846" w:type="dxa"/>
            <w:tcBorders>
              <w:top w:val="nil"/>
              <w:left w:val="nil"/>
              <w:bottom w:val="single" w:color="auto" w:sz="4" w:space="0"/>
              <w:right w:val="single" w:color="auto" w:sz="4" w:space="0"/>
            </w:tcBorders>
            <w:shd w:val="clear" w:color="auto" w:fill="auto"/>
            <w:vAlign w:val="center"/>
          </w:tcPr>
          <w:p w14:paraId="0878E9DC">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sz w:val="20"/>
                <w:szCs w:val="20"/>
              </w:rPr>
              <w:t>1次/日（雨水排放口有流动水排放时开展监测，排放期间按日监测。）</w:t>
            </w:r>
          </w:p>
        </w:tc>
        <w:tc>
          <w:tcPr>
            <w:tcW w:w="1631" w:type="dxa"/>
            <w:tcBorders>
              <w:top w:val="nil"/>
              <w:left w:val="nil"/>
              <w:bottom w:val="single" w:color="auto" w:sz="4" w:space="0"/>
              <w:right w:val="single" w:color="auto" w:sz="4" w:space="0"/>
            </w:tcBorders>
            <w:shd w:val="clear" w:color="auto" w:fill="auto"/>
            <w:vAlign w:val="center"/>
          </w:tcPr>
          <w:p w14:paraId="0E7AB8B0">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按照1次/每周进行预估报价，水样采样时间间隔不少于4h，采样频次不少于3次。</w:t>
            </w:r>
          </w:p>
        </w:tc>
        <w:tc>
          <w:tcPr>
            <w:tcW w:w="1266" w:type="dxa"/>
            <w:tcBorders>
              <w:top w:val="nil"/>
              <w:left w:val="nil"/>
              <w:bottom w:val="single" w:color="auto" w:sz="4" w:space="0"/>
              <w:right w:val="single" w:color="auto" w:sz="4" w:space="0"/>
            </w:tcBorders>
            <w:shd w:val="clear" w:color="auto" w:fill="auto"/>
            <w:vAlign w:val="center"/>
          </w:tcPr>
          <w:p w14:paraId="74C8B32A">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52*2*3=312</w:t>
            </w:r>
          </w:p>
        </w:tc>
      </w:tr>
      <w:tr w14:paraId="3227D496">
        <w:tblPrEx>
          <w:tblCellMar>
            <w:top w:w="0" w:type="dxa"/>
            <w:left w:w="108" w:type="dxa"/>
            <w:bottom w:w="0" w:type="dxa"/>
            <w:right w:w="108" w:type="dxa"/>
          </w:tblCellMar>
        </w:tblPrEx>
        <w:trPr>
          <w:trHeight w:val="1334" w:hRule="atLeast"/>
        </w:trPr>
        <w:tc>
          <w:tcPr>
            <w:tcW w:w="427" w:type="dxa"/>
            <w:tcBorders>
              <w:top w:val="nil"/>
              <w:left w:val="single" w:color="auto" w:sz="4" w:space="0"/>
              <w:bottom w:val="single" w:color="auto" w:sz="4" w:space="0"/>
              <w:right w:val="single" w:color="auto" w:sz="4" w:space="0"/>
            </w:tcBorders>
            <w:shd w:val="clear" w:color="auto" w:fill="auto"/>
            <w:vAlign w:val="center"/>
          </w:tcPr>
          <w:p w14:paraId="14BA5FD1">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eastAsia="zh-CN"/>
              </w:rPr>
            </w:pPr>
            <w:r>
              <w:rPr>
                <w:rFonts w:hint="eastAsia" w:ascii="仿宋_GB2312" w:hAnsi="仿宋_GB2312" w:eastAsia="仿宋_GB2312" w:cs="仿宋_GB2312"/>
                <w:color w:val="auto"/>
                <w:kern w:val="0"/>
                <w:sz w:val="20"/>
                <w:szCs w:val="20"/>
              </w:rPr>
              <w:t>3</w:t>
            </w:r>
            <w:r>
              <w:rPr>
                <w:rFonts w:hint="eastAsia" w:ascii="仿宋_GB2312" w:hAnsi="仿宋_GB2312" w:eastAsia="仿宋_GB2312" w:cs="仿宋_GB2312"/>
                <w:color w:val="auto"/>
                <w:kern w:val="0"/>
                <w:sz w:val="20"/>
                <w:szCs w:val="20"/>
                <w:lang w:val="en-US" w:eastAsia="zh-CN"/>
              </w:rPr>
              <w:t>3</w:t>
            </w:r>
          </w:p>
        </w:tc>
        <w:tc>
          <w:tcPr>
            <w:tcW w:w="636" w:type="dxa"/>
            <w:tcBorders>
              <w:top w:val="nil"/>
              <w:left w:val="nil"/>
              <w:bottom w:val="single" w:color="auto" w:sz="4" w:space="0"/>
              <w:right w:val="single" w:color="auto" w:sz="4" w:space="0"/>
            </w:tcBorders>
            <w:shd w:val="clear" w:color="auto" w:fill="auto"/>
            <w:vAlign w:val="center"/>
          </w:tcPr>
          <w:p w14:paraId="51CE919F">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地表水</w:t>
            </w:r>
          </w:p>
        </w:tc>
        <w:tc>
          <w:tcPr>
            <w:tcW w:w="1552" w:type="dxa"/>
            <w:tcBorders>
              <w:top w:val="nil"/>
              <w:left w:val="nil"/>
              <w:bottom w:val="single" w:color="auto" w:sz="4" w:space="0"/>
              <w:right w:val="single" w:color="auto" w:sz="4" w:space="0"/>
            </w:tcBorders>
            <w:shd w:val="clear" w:color="auto" w:fill="auto"/>
            <w:vAlign w:val="center"/>
          </w:tcPr>
          <w:p w14:paraId="1A009CD1">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项目下游（W1淡水河Ⅲ类水）、项目下游（W2太阳洲西海Ⅳ类水）</w:t>
            </w:r>
          </w:p>
        </w:tc>
        <w:tc>
          <w:tcPr>
            <w:tcW w:w="2001" w:type="dxa"/>
            <w:tcBorders>
              <w:top w:val="nil"/>
              <w:left w:val="nil"/>
              <w:bottom w:val="single" w:color="auto" w:sz="4" w:space="0"/>
              <w:right w:val="single" w:color="auto" w:sz="4" w:space="0"/>
            </w:tcBorders>
            <w:shd w:val="clear" w:color="auto" w:fill="auto"/>
            <w:vAlign w:val="center"/>
          </w:tcPr>
          <w:p w14:paraId="46ECF16A">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pH值、悬浮物、溶解氧、化学需氧量、五日生化需氧量、氨氮、总磷、高锰酸盐指数、挥发酚类、石油类、硫化物、砷、铅、镉、汞、六价铬、铬、银、铜、锌、铁、镍、硫酸盐、硝酸盐、氯化物、氰化物、氟化物、粪大肠菌群、阴离子表面活性剂LAS</w:t>
            </w:r>
          </w:p>
        </w:tc>
        <w:tc>
          <w:tcPr>
            <w:tcW w:w="846" w:type="dxa"/>
            <w:tcBorders>
              <w:top w:val="nil"/>
              <w:left w:val="nil"/>
              <w:bottom w:val="single" w:color="auto" w:sz="4" w:space="0"/>
              <w:right w:val="single" w:color="auto" w:sz="4" w:space="0"/>
            </w:tcBorders>
            <w:shd w:val="clear" w:color="auto" w:fill="auto"/>
            <w:vAlign w:val="center"/>
          </w:tcPr>
          <w:p w14:paraId="4427E50E">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1次/年</w:t>
            </w:r>
          </w:p>
        </w:tc>
        <w:tc>
          <w:tcPr>
            <w:tcW w:w="1631" w:type="dxa"/>
            <w:tcBorders>
              <w:top w:val="nil"/>
              <w:left w:val="nil"/>
              <w:bottom w:val="single" w:color="auto" w:sz="4" w:space="0"/>
              <w:right w:val="single" w:color="auto" w:sz="4" w:space="0"/>
            </w:tcBorders>
            <w:shd w:val="clear" w:color="auto" w:fill="auto"/>
            <w:vAlign w:val="center"/>
          </w:tcPr>
          <w:p w14:paraId="371A06CD">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w:t>
            </w:r>
          </w:p>
        </w:tc>
        <w:tc>
          <w:tcPr>
            <w:tcW w:w="1266" w:type="dxa"/>
            <w:tcBorders>
              <w:top w:val="nil"/>
              <w:left w:val="nil"/>
              <w:bottom w:val="single" w:color="auto" w:sz="4" w:space="0"/>
              <w:right w:val="single" w:color="auto" w:sz="4" w:space="0"/>
            </w:tcBorders>
            <w:shd w:val="clear" w:color="auto" w:fill="auto"/>
            <w:vAlign w:val="center"/>
          </w:tcPr>
          <w:p w14:paraId="5DF5D8D6">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2</w:t>
            </w:r>
          </w:p>
        </w:tc>
      </w:tr>
      <w:tr w14:paraId="5A897B65">
        <w:tblPrEx>
          <w:tblCellMar>
            <w:top w:w="0" w:type="dxa"/>
            <w:left w:w="108" w:type="dxa"/>
            <w:bottom w:w="0" w:type="dxa"/>
            <w:right w:w="108" w:type="dxa"/>
          </w:tblCellMar>
        </w:tblPrEx>
        <w:trPr>
          <w:trHeight w:val="2145" w:hRule="atLeast"/>
        </w:trPr>
        <w:tc>
          <w:tcPr>
            <w:tcW w:w="427" w:type="dxa"/>
            <w:tcBorders>
              <w:top w:val="nil"/>
              <w:left w:val="single" w:color="auto" w:sz="4" w:space="0"/>
              <w:bottom w:val="single" w:color="auto" w:sz="4" w:space="0"/>
              <w:right w:val="single" w:color="auto" w:sz="4" w:space="0"/>
            </w:tcBorders>
            <w:shd w:val="clear" w:color="auto" w:fill="auto"/>
            <w:vAlign w:val="center"/>
          </w:tcPr>
          <w:p w14:paraId="2A9DBB36">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eastAsia="zh-CN"/>
              </w:rPr>
            </w:pPr>
            <w:r>
              <w:rPr>
                <w:rFonts w:hint="eastAsia" w:ascii="仿宋_GB2312" w:hAnsi="仿宋_GB2312" w:eastAsia="仿宋_GB2312" w:cs="仿宋_GB2312"/>
                <w:color w:val="auto"/>
                <w:kern w:val="0"/>
                <w:sz w:val="20"/>
                <w:szCs w:val="20"/>
              </w:rPr>
              <w:t>3</w:t>
            </w:r>
            <w:r>
              <w:rPr>
                <w:rFonts w:hint="eastAsia" w:ascii="仿宋_GB2312" w:hAnsi="仿宋_GB2312" w:eastAsia="仿宋_GB2312" w:cs="仿宋_GB2312"/>
                <w:color w:val="auto"/>
                <w:kern w:val="0"/>
                <w:sz w:val="20"/>
                <w:szCs w:val="20"/>
                <w:lang w:val="en-US" w:eastAsia="zh-CN"/>
              </w:rPr>
              <w:t>4</w:t>
            </w:r>
          </w:p>
        </w:tc>
        <w:tc>
          <w:tcPr>
            <w:tcW w:w="636" w:type="dxa"/>
            <w:tcBorders>
              <w:top w:val="nil"/>
              <w:left w:val="nil"/>
              <w:bottom w:val="nil"/>
              <w:right w:val="single" w:color="auto" w:sz="4" w:space="0"/>
            </w:tcBorders>
            <w:shd w:val="clear" w:color="auto" w:fill="auto"/>
            <w:vAlign w:val="center"/>
          </w:tcPr>
          <w:p w14:paraId="4B24DFE7">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地下水</w:t>
            </w:r>
          </w:p>
        </w:tc>
        <w:tc>
          <w:tcPr>
            <w:tcW w:w="1552" w:type="dxa"/>
            <w:tcBorders>
              <w:top w:val="nil"/>
              <w:left w:val="nil"/>
              <w:bottom w:val="nil"/>
              <w:right w:val="single" w:color="auto" w:sz="4" w:space="0"/>
            </w:tcBorders>
            <w:shd w:val="clear" w:color="auto" w:fill="auto"/>
            <w:vAlign w:val="center"/>
          </w:tcPr>
          <w:p w14:paraId="5605ECD6">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6个监测井（本底井W1、跟踪监视井W2、跟踪监视井W3、监测井W4、污染扩散井W5及污染扩散井W6）</w:t>
            </w:r>
          </w:p>
        </w:tc>
        <w:tc>
          <w:tcPr>
            <w:tcW w:w="2001" w:type="dxa"/>
            <w:tcBorders>
              <w:top w:val="nil"/>
              <w:left w:val="nil"/>
              <w:bottom w:val="nil"/>
              <w:right w:val="single" w:color="auto" w:sz="4" w:space="0"/>
            </w:tcBorders>
            <w:shd w:val="clear" w:color="auto" w:fill="auto"/>
            <w:vAlign w:val="center"/>
          </w:tcPr>
          <w:p w14:paraId="659C6B0C">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浑浊度、PH值、溶解性总固体、氯化物、高猛酸盐指数、硝酸盐、亚硝酸盐（以N计）、氨氮（以N计）、挥发酚类、硫酸盐、硫化物、氰化物、铅、汞、镉、六价铬、砷、锑、镍、电导率</w:t>
            </w:r>
          </w:p>
        </w:tc>
        <w:tc>
          <w:tcPr>
            <w:tcW w:w="846" w:type="dxa"/>
            <w:tcBorders>
              <w:top w:val="nil"/>
              <w:left w:val="nil"/>
              <w:bottom w:val="single" w:color="auto" w:sz="4" w:space="0"/>
              <w:right w:val="single" w:color="auto" w:sz="4" w:space="0"/>
            </w:tcBorders>
            <w:shd w:val="clear" w:color="auto" w:fill="auto"/>
            <w:vAlign w:val="center"/>
          </w:tcPr>
          <w:p w14:paraId="58BB81BF">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1次/季</w:t>
            </w:r>
          </w:p>
        </w:tc>
        <w:tc>
          <w:tcPr>
            <w:tcW w:w="1631" w:type="dxa"/>
            <w:tcBorders>
              <w:top w:val="nil"/>
              <w:left w:val="nil"/>
              <w:bottom w:val="single" w:color="auto" w:sz="4" w:space="0"/>
              <w:right w:val="single" w:color="auto" w:sz="4" w:space="0"/>
            </w:tcBorders>
            <w:shd w:val="clear" w:color="auto" w:fill="auto"/>
            <w:vAlign w:val="center"/>
          </w:tcPr>
          <w:p w14:paraId="4ED600A1">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w:t>
            </w:r>
          </w:p>
        </w:tc>
        <w:tc>
          <w:tcPr>
            <w:tcW w:w="1266" w:type="dxa"/>
            <w:tcBorders>
              <w:top w:val="nil"/>
              <w:left w:val="nil"/>
              <w:bottom w:val="single" w:color="auto" w:sz="4" w:space="0"/>
              <w:right w:val="single" w:color="auto" w:sz="4" w:space="0"/>
            </w:tcBorders>
            <w:shd w:val="clear" w:color="auto" w:fill="auto"/>
            <w:vAlign w:val="center"/>
          </w:tcPr>
          <w:p w14:paraId="5BFC9D4B">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24</w:t>
            </w:r>
          </w:p>
        </w:tc>
      </w:tr>
      <w:tr w14:paraId="07EED196">
        <w:tblPrEx>
          <w:tblCellMar>
            <w:top w:w="0" w:type="dxa"/>
            <w:left w:w="108" w:type="dxa"/>
            <w:bottom w:w="0" w:type="dxa"/>
            <w:right w:w="108" w:type="dxa"/>
          </w:tblCellMar>
        </w:tblPrEx>
        <w:trPr>
          <w:trHeight w:val="1665" w:hRule="atLeast"/>
        </w:trPr>
        <w:tc>
          <w:tcPr>
            <w:tcW w:w="427" w:type="dxa"/>
            <w:tcBorders>
              <w:top w:val="nil"/>
              <w:left w:val="single" w:color="auto" w:sz="4" w:space="0"/>
              <w:bottom w:val="single" w:color="auto" w:sz="4" w:space="0"/>
              <w:right w:val="single" w:color="auto" w:sz="4" w:space="0"/>
            </w:tcBorders>
            <w:shd w:val="clear" w:color="auto" w:fill="auto"/>
            <w:vAlign w:val="center"/>
          </w:tcPr>
          <w:p w14:paraId="04392D43">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eastAsia="zh-CN"/>
              </w:rPr>
            </w:pPr>
            <w:r>
              <w:rPr>
                <w:rFonts w:hint="eastAsia" w:ascii="仿宋_GB2312" w:hAnsi="仿宋_GB2312" w:eastAsia="仿宋_GB2312" w:cs="仿宋_GB2312"/>
                <w:color w:val="auto"/>
                <w:kern w:val="0"/>
                <w:sz w:val="20"/>
                <w:szCs w:val="20"/>
              </w:rPr>
              <w:t>3</w:t>
            </w:r>
            <w:r>
              <w:rPr>
                <w:rFonts w:hint="eastAsia" w:ascii="仿宋_GB2312" w:hAnsi="仿宋_GB2312" w:eastAsia="仿宋_GB2312" w:cs="仿宋_GB2312"/>
                <w:color w:val="auto"/>
                <w:kern w:val="0"/>
                <w:sz w:val="20"/>
                <w:szCs w:val="20"/>
                <w:lang w:val="en-US" w:eastAsia="zh-CN"/>
              </w:rPr>
              <w:t>5</w:t>
            </w:r>
          </w:p>
        </w:tc>
        <w:tc>
          <w:tcPr>
            <w:tcW w:w="636" w:type="dxa"/>
            <w:tcBorders>
              <w:top w:val="single" w:color="auto" w:sz="4" w:space="0"/>
              <w:left w:val="nil"/>
              <w:bottom w:val="single" w:color="auto" w:sz="4" w:space="0"/>
              <w:right w:val="single" w:color="auto" w:sz="4" w:space="0"/>
            </w:tcBorders>
            <w:shd w:val="clear" w:color="auto" w:fill="auto"/>
            <w:vAlign w:val="center"/>
          </w:tcPr>
          <w:p w14:paraId="4FB20C13">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厂界噪声</w:t>
            </w:r>
          </w:p>
        </w:tc>
        <w:tc>
          <w:tcPr>
            <w:tcW w:w="1552" w:type="dxa"/>
            <w:tcBorders>
              <w:top w:val="single" w:color="auto" w:sz="4" w:space="0"/>
              <w:left w:val="nil"/>
              <w:bottom w:val="single" w:color="auto" w:sz="4" w:space="0"/>
              <w:right w:val="single" w:color="auto" w:sz="4" w:space="0"/>
            </w:tcBorders>
            <w:shd w:val="clear" w:color="auto" w:fill="auto"/>
            <w:vAlign w:val="center"/>
          </w:tcPr>
          <w:p w14:paraId="04B1284E">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东、南、西、北四个方向各取一个点（V1、V2、V3、V4，合计4个点。）</w:t>
            </w:r>
          </w:p>
        </w:tc>
        <w:tc>
          <w:tcPr>
            <w:tcW w:w="2001" w:type="dxa"/>
            <w:tcBorders>
              <w:top w:val="single" w:color="auto" w:sz="4" w:space="0"/>
              <w:left w:val="nil"/>
              <w:bottom w:val="single" w:color="auto" w:sz="4" w:space="0"/>
              <w:right w:val="single" w:color="auto" w:sz="4" w:space="0"/>
            </w:tcBorders>
            <w:shd w:val="clear" w:color="auto" w:fill="auto"/>
            <w:vAlign w:val="center"/>
          </w:tcPr>
          <w:p w14:paraId="56232C3B">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厂界噪声，等效连续A声级、夜间频发噪声最大声级</w:t>
            </w:r>
          </w:p>
          <w:p w14:paraId="094A46A3">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、夜间偶发噪声最大声级</w:t>
            </w:r>
          </w:p>
        </w:tc>
        <w:tc>
          <w:tcPr>
            <w:tcW w:w="846" w:type="dxa"/>
            <w:tcBorders>
              <w:top w:val="nil"/>
              <w:left w:val="nil"/>
              <w:bottom w:val="single" w:color="auto" w:sz="4" w:space="0"/>
              <w:right w:val="single" w:color="auto" w:sz="4" w:space="0"/>
            </w:tcBorders>
            <w:shd w:val="clear" w:color="auto" w:fill="auto"/>
            <w:vAlign w:val="center"/>
          </w:tcPr>
          <w:p w14:paraId="4D18EC9C">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1次/季</w:t>
            </w:r>
          </w:p>
        </w:tc>
        <w:tc>
          <w:tcPr>
            <w:tcW w:w="1631" w:type="dxa"/>
            <w:tcBorders>
              <w:top w:val="nil"/>
              <w:left w:val="nil"/>
              <w:bottom w:val="single" w:color="auto" w:sz="4" w:space="0"/>
              <w:right w:val="single" w:color="auto" w:sz="4" w:space="0"/>
            </w:tcBorders>
            <w:shd w:val="clear" w:color="auto" w:fill="auto"/>
            <w:vAlign w:val="center"/>
          </w:tcPr>
          <w:p w14:paraId="61E75A4B">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每个监测点每期监测需昼、夜各测1次</w:t>
            </w:r>
          </w:p>
        </w:tc>
        <w:tc>
          <w:tcPr>
            <w:tcW w:w="1266" w:type="dxa"/>
            <w:tcBorders>
              <w:top w:val="nil"/>
              <w:left w:val="nil"/>
              <w:bottom w:val="single" w:color="auto" w:sz="4" w:space="0"/>
              <w:right w:val="single" w:color="auto" w:sz="4" w:space="0"/>
            </w:tcBorders>
            <w:shd w:val="clear" w:color="auto" w:fill="auto"/>
            <w:vAlign w:val="center"/>
          </w:tcPr>
          <w:p w14:paraId="4EA78489">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val="en-US" w:eastAsia="zh-CN"/>
              </w:rPr>
            </w:pPr>
            <w:r>
              <w:rPr>
                <w:rFonts w:hint="eastAsia" w:ascii="仿宋_GB2312" w:hAnsi="仿宋_GB2312" w:eastAsia="仿宋_GB2312" w:cs="仿宋_GB2312"/>
                <w:color w:val="auto"/>
                <w:kern w:val="0"/>
                <w:sz w:val="20"/>
                <w:szCs w:val="20"/>
                <w:lang w:val="en-US" w:eastAsia="zh-CN"/>
              </w:rPr>
              <w:t>32</w:t>
            </w:r>
          </w:p>
        </w:tc>
      </w:tr>
      <w:tr w14:paraId="5210E9F5">
        <w:tblPrEx>
          <w:tblCellMar>
            <w:top w:w="0" w:type="dxa"/>
            <w:left w:w="108" w:type="dxa"/>
            <w:bottom w:w="0" w:type="dxa"/>
            <w:right w:w="108" w:type="dxa"/>
          </w:tblCellMar>
        </w:tblPrEx>
        <w:trPr>
          <w:trHeight w:val="1965" w:hRule="atLeast"/>
        </w:trPr>
        <w:tc>
          <w:tcPr>
            <w:tcW w:w="427" w:type="dxa"/>
            <w:tcBorders>
              <w:top w:val="nil"/>
              <w:left w:val="single" w:color="auto" w:sz="4" w:space="0"/>
              <w:bottom w:val="single" w:color="auto" w:sz="4" w:space="0"/>
              <w:right w:val="single" w:color="auto" w:sz="4" w:space="0"/>
            </w:tcBorders>
            <w:shd w:val="clear" w:color="auto" w:fill="auto"/>
            <w:vAlign w:val="center"/>
          </w:tcPr>
          <w:p w14:paraId="365A05CC">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eastAsia="zh-CN"/>
              </w:rPr>
            </w:pPr>
            <w:r>
              <w:rPr>
                <w:rFonts w:hint="eastAsia" w:ascii="仿宋_GB2312" w:hAnsi="仿宋_GB2312" w:eastAsia="仿宋_GB2312" w:cs="仿宋_GB2312"/>
                <w:color w:val="auto"/>
                <w:kern w:val="0"/>
                <w:sz w:val="20"/>
                <w:szCs w:val="20"/>
              </w:rPr>
              <w:t>3</w:t>
            </w:r>
            <w:r>
              <w:rPr>
                <w:rFonts w:hint="eastAsia" w:ascii="仿宋_GB2312" w:hAnsi="仿宋_GB2312" w:eastAsia="仿宋_GB2312" w:cs="仿宋_GB2312"/>
                <w:color w:val="auto"/>
                <w:kern w:val="0"/>
                <w:sz w:val="20"/>
                <w:szCs w:val="20"/>
                <w:lang w:val="en-US" w:eastAsia="zh-CN"/>
              </w:rPr>
              <w:t>6</w:t>
            </w:r>
          </w:p>
        </w:tc>
        <w:tc>
          <w:tcPr>
            <w:tcW w:w="636" w:type="dxa"/>
            <w:vMerge w:val="restart"/>
            <w:tcBorders>
              <w:top w:val="nil"/>
              <w:left w:val="single" w:color="auto" w:sz="4" w:space="0"/>
              <w:bottom w:val="single" w:color="auto" w:sz="4" w:space="0"/>
              <w:right w:val="single" w:color="auto" w:sz="4" w:space="0"/>
            </w:tcBorders>
            <w:shd w:val="clear" w:color="auto" w:fill="auto"/>
            <w:vAlign w:val="center"/>
          </w:tcPr>
          <w:p w14:paraId="74F0733A">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焚烧设备噪声</w:t>
            </w:r>
          </w:p>
        </w:tc>
        <w:tc>
          <w:tcPr>
            <w:tcW w:w="1552" w:type="dxa"/>
            <w:tcBorders>
              <w:top w:val="nil"/>
              <w:left w:val="nil"/>
              <w:bottom w:val="single" w:color="auto" w:sz="4" w:space="0"/>
              <w:right w:val="single" w:color="auto" w:sz="4" w:space="0"/>
            </w:tcBorders>
            <w:shd w:val="clear" w:color="auto" w:fill="auto"/>
            <w:vAlign w:val="center"/>
          </w:tcPr>
          <w:p w14:paraId="638B7D44">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焚烧1#F式引风机、循环水泵、空压机房、消石灰系统（罗茨风机）、主燃烧风机、进料液压站、破碎机、辊筒机、清水泵等9处设备噪声</w:t>
            </w:r>
          </w:p>
        </w:tc>
        <w:tc>
          <w:tcPr>
            <w:tcW w:w="2001" w:type="dxa"/>
            <w:tcBorders>
              <w:top w:val="nil"/>
              <w:left w:val="nil"/>
              <w:bottom w:val="single" w:color="auto" w:sz="4" w:space="0"/>
              <w:right w:val="single" w:color="auto" w:sz="4" w:space="0"/>
            </w:tcBorders>
            <w:shd w:val="clear" w:color="auto" w:fill="auto"/>
            <w:vAlign w:val="center"/>
          </w:tcPr>
          <w:p w14:paraId="31260899">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设备运行噪声</w:t>
            </w:r>
          </w:p>
        </w:tc>
        <w:tc>
          <w:tcPr>
            <w:tcW w:w="846" w:type="dxa"/>
            <w:tcBorders>
              <w:top w:val="nil"/>
              <w:left w:val="nil"/>
              <w:bottom w:val="single" w:color="auto" w:sz="4" w:space="0"/>
              <w:right w:val="single" w:color="auto" w:sz="4" w:space="0"/>
            </w:tcBorders>
            <w:shd w:val="clear" w:color="auto" w:fill="auto"/>
            <w:vAlign w:val="center"/>
          </w:tcPr>
          <w:p w14:paraId="628D75A2">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1次/季</w:t>
            </w:r>
          </w:p>
        </w:tc>
        <w:tc>
          <w:tcPr>
            <w:tcW w:w="1631" w:type="dxa"/>
            <w:tcBorders>
              <w:top w:val="nil"/>
              <w:left w:val="nil"/>
              <w:bottom w:val="single" w:color="auto" w:sz="4" w:space="0"/>
              <w:right w:val="single" w:color="auto" w:sz="4" w:space="0"/>
            </w:tcBorders>
            <w:shd w:val="clear" w:color="auto" w:fill="auto"/>
            <w:vAlign w:val="center"/>
          </w:tcPr>
          <w:p w14:paraId="35821BCF">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w:t>
            </w:r>
          </w:p>
        </w:tc>
        <w:tc>
          <w:tcPr>
            <w:tcW w:w="1266" w:type="dxa"/>
            <w:tcBorders>
              <w:top w:val="nil"/>
              <w:left w:val="nil"/>
              <w:bottom w:val="single" w:color="auto" w:sz="4" w:space="0"/>
              <w:right w:val="single" w:color="auto" w:sz="4" w:space="0"/>
            </w:tcBorders>
            <w:shd w:val="clear" w:color="auto" w:fill="auto"/>
            <w:vAlign w:val="center"/>
          </w:tcPr>
          <w:p w14:paraId="1286C0EC">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val="en-US" w:eastAsia="zh-CN"/>
              </w:rPr>
            </w:pPr>
            <w:r>
              <w:rPr>
                <w:rFonts w:hint="eastAsia" w:ascii="仿宋_GB2312" w:hAnsi="仿宋_GB2312" w:eastAsia="仿宋_GB2312" w:cs="仿宋_GB2312"/>
                <w:color w:val="auto"/>
                <w:kern w:val="0"/>
                <w:sz w:val="20"/>
                <w:szCs w:val="20"/>
                <w:lang w:val="en-US" w:eastAsia="zh-CN"/>
              </w:rPr>
              <w:t>36</w:t>
            </w:r>
          </w:p>
        </w:tc>
      </w:tr>
      <w:tr w14:paraId="70F412E5">
        <w:tblPrEx>
          <w:tblCellMar>
            <w:top w:w="0" w:type="dxa"/>
            <w:left w:w="108" w:type="dxa"/>
            <w:bottom w:w="0" w:type="dxa"/>
            <w:right w:w="108" w:type="dxa"/>
          </w:tblCellMar>
        </w:tblPrEx>
        <w:trPr>
          <w:trHeight w:val="1935" w:hRule="atLeast"/>
        </w:trPr>
        <w:tc>
          <w:tcPr>
            <w:tcW w:w="427" w:type="dxa"/>
            <w:tcBorders>
              <w:top w:val="nil"/>
              <w:left w:val="single" w:color="auto" w:sz="4" w:space="0"/>
              <w:bottom w:val="single" w:color="auto" w:sz="4" w:space="0"/>
              <w:right w:val="single" w:color="auto" w:sz="4" w:space="0"/>
            </w:tcBorders>
            <w:shd w:val="clear" w:color="auto" w:fill="auto"/>
            <w:vAlign w:val="center"/>
          </w:tcPr>
          <w:p w14:paraId="511AD6FD">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eastAsia="zh-CN"/>
              </w:rPr>
            </w:pPr>
            <w:r>
              <w:rPr>
                <w:rFonts w:hint="eastAsia" w:ascii="仿宋_GB2312" w:hAnsi="仿宋_GB2312" w:eastAsia="仿宋_GB2312" w:cs="仿宋_GB2312"/>
                <w:color w:val="auto"/>
                <w:kern w:val="0"/>
                <w:sz w:val="20"/>
                <w:szCs w:val="20"/>
              </w:rPr>
              <w:t>3</w:t>
            </w:r>
            <w:r>
              <w:rPr>
                <w:rFonts w:hint="eastAsia" w:ascii="仿宋_GB2312" w:hAnsi="仿宋_GB2312" w:eastAsia="仿宋_GB2312" w:cs="仿宋_GB2312"/>
                <w:color w:val="auto"/>
                <w:kern w:val="0"/>
                <w:sz w:val="20"/>
                <w:szCs w:val="20"/>
                <w:lang w:val="en-US" w:eastAsia="zh-CN"/>
              </w:rPr>
              <w:t>7</w:t>
            </w:r>
          </w:p>
        </w:tc>
        <w:tc>
          <w:tcPr>
            <w:tcW w:w="636" w:type="dxa"/>
            <w:vMerge w:val="continue"/>
            <w:tcBorders>
              <w:top w:val="nil"/>
              <w:left w:val="single" w:color="auto" w:sz="4" w:space="0"/>
              <w:bottom w:val="single" w:color="auto" w:sz="4" w:space="0"/>
              <w:right w:val="single" w:color="auto" w:sz="4" w:space="0"/>
            </w:tcBorders>
            <w:vAlign w:val="center"/>
          </w:tcPr>
          <w:p w14:paraId="34631C3E">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color w:val="auto"/>
                <w:kern w:val="0"/>
                <w:sz w:val="20"/>
                <w:szCs w:val="20"/>
              </w:rPr>
            </w:pPr>
          </w:p>
        </w:tc>
        <w:tc>
          <w:tcPr>
            <w:tcW w:w="1552" w:type="dxa"/>
            <w:tcBorders>
              <w:top w:val="nil"/>
              <w:left w:val="nil"/>
              <w:bottom w:val="single" w:color="auto" w:sz="4" w:space="0"/>
              <w:right w:val="single" w:color="auto" w:sz="4" w:space="0"/>
            </w:tcBorders>
            <w:shd w:val="clear" w:color="auto" w:fill="auto"/>
            <w:vAlign w:val="center"/>
          </w:tcPr>
          <w:p w14:paraId="3534BD37">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焚烧2#引风机、引风机、循环水泵、空压机房、消石灰系统（罗茨风机）、主燃烧风机、进料液压站、辊筒机、清水泵等8处设备噪声</w:t>
            </w:r>
          </w:p>
        </w:tc>
        <w:tc>
          <w:tcPr>
            <w:tcW w:w="2001" w:type="dxa"/>
            <w:tcBorders>
              <w:top w:val="nil"/>
              <w:left w:val="nil"/>
              <w:bottom w:val="single" w:color="auto" w:sz="4" w:space="0"/>
              <w:right w:val="single" w:color="auto" w:sz="4" w:space="0"/>
            </w:tcBorders>
            <w:shd w:val="clear" w:color="auto" w:fill="auto"/>
            <w:vAlign w:val="center"/>
          </w:tcPr>
          <w:p w14:paraId="14C0B57D">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设备运行噪声</w:t>
            </w:r>
          </w:p>
        </w:tc>
        <w:tc>
          <w:tcPr>
            <w:tcW w:w="846" w:type="dxa"/>
            <w:tcBorders>
              <w:top w:val="nil"/>
              <w:left w:val="nil"/>
              <w:bottom w:val="single" w:color="auto" w:sz="4" w:space="0"/>
              <w:right w:val="single" w:color="auto" w:sz="4" w:space="0"/>
            </w:tcBorders>
            <w:shd w:val="clear" w:color="auto" w:fill="auto"/>
            <w:vAlign w:val="center"/>
          </w:tcPr>
          <w:p w14:paraId="75236A35">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1次/季</w:t>
            </w:r>
          </w:p>
        </w:tc>
        <w:tc>
          <w:tcPr>
            <w:tcW w:w="1631" w:type="dxa"/>
            <w:tcBorders>
              <w:top w:val="nil"/>
              <w:left w:val="nil"/>
              <w:bottom w:val="single" w:color="auto" w:sz="4" w:space="0"/>
              <w:right w:val="single" w:color="auto" w:sz="4" w:space="0"/>
            </w:tcBorders>
            <w:shd w:val="clear" w:color="auto" w:fill="auto"/>
            <w:vAlign w:val="center"/>
          </w:tcPr>
          <w:p w14:paraId="31E9718D">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w:t>
            </w:r>
          </w:p>
        </w:tc>
        <w:tc>
          <w:tcPr>
            <w:tcW w:w="1266" w:type="dxa"/>
            <w:tcBorders>
              <w:top w:val="nil"/>
              <w:left w:val="nil"/>
              <w:bottom w:val="single" w:color="auto" w:sz="4" w:space="0"/>
              <w:right w:val="single" w:color="auto" w:sz="4" w:space="0"/>
            </w:tcBorders>
            <w:shd w:val="clear" w:color="auto" w:fill="auto"/>
            <w:vAlign w:val="center"/>
          </w:tcPr>
          <w:p w14:paraId="45454148">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val="en-US" w:eastAsia="zh-CN"/>
              </w:rPr>
            </w:pPr>
            <w:r>
              <w:rPr>
                <w:rFonts w:hint="eastAsia" w:ascii="仿宋_GB2312" w:hAnsi="仿宋_GB2312" w:eastAsia="仿宋_GB2312" w:cs="仿宋_GB2312"/>
                <w:color w:val="auto"/>
                <w:kern w:val="0"/>
                <w:sz w:val="20"/>
                <w:szCs w:val="20"/>
                <w:lang w:val="en-US" w:eastAsia="zh-CN"/>
              </w:rPr>
              <w:t>32</w:t>
            </w:r>
          </w:p>
        </w:tc>
      </w:tr>
      <w:tr w14:paraId="6FFCE0C7">
        <w:tblPrEx>
          <w:tblCellMar>
            <w:top w:w="0" w:type="dxa"/>
            <w:left w:w="108" w:type="dxa"/>
            <w:bottom w:w="0" w:type="dxa"/>
            <w:right w:w="108" w:type="dxa"/>
          </w:tblCellMar>
        </w:tblPrEx>
        <w:trPr>
          <w:trHeight w:val="1800" w:hRule="atLeast"/>
        </w:trPr>
        <w:tc>
          <w:tcPr>
            <w:tcW w:w="427" w:type="dxa"/>
            <w:tcBorders>
              <w:top w:val="nil"/>
              <w:left w:val="single" w:color="auto" w:sz="4" w:space="0"/>
              <w:bottom w:val="single" w:color="auto" w:sz="4" w:space="0"/>
              <w:right w:val="single" w:color="auto" w:sz="4" w:space="0"/>
            </w:tcBorders>
            <w:shd w:val="clear" w:color="auto" w:fill="auto"/>
            <w:vAlign w:val="center"/>
          </w:tcPr>
          <w:p w14:paraId="696926AA">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eastAsia="zh-CN"/>
              </w:rPr>
            </w:pPr>
            <w:r>
              <w:rPr>
                <w:rFonts w:hint="eastAsia" w:ascii="仿宋_GB2312" w:hAnsi="仿宋_GB2312" w:eastAsia="仿宋_GB2312" w:cs="仿宋_GB2312"/>
                <w:color w:val="auto"/>
                <w:kern w:val="0"/>
                <w:sz w:val="20"/>
                <w:szCs w:val="20"/>
              </w:rPr>
              <w:t>3</w:t>
            </w:r>
            <w:r>
              <w:rPr>
                <w:rFonts w:hint="eastAsia" w:ascii="仿宋_GB2312" w:hAnsi="仿宋_GB2312" w:eastAsia="仿宋_GB2312" w:cs="仿宋_GB2312"/>
                <w:color w:val="auto"/>
                <w:kern w:val="0"/>
                <w:sz w:val="20"/>
                <w:szCs w:val="20"/>
                <w:lang w:val="en-US" w:eastAsia="zh-CN"/>
              </w:rPr>
              <w:t>8</w:t>
            </w:r>
          </w:p>
        </w:tc>
        <w:tc>
          <w:tcPr>
            <w:tcW w:w="636" w:type="dxa"/>
            <w:tcBorders>
              <w:top w:val="nil"/>
              <w:left w:val="nil"/>
              <w:bottom w:val="single" w:color="auto" w:sz="4" w:space="0"/>
              <w:right w:val="single" w:color="auto" w:sz="4" w:space="0"/>
            </w:tcBorders>
            <w:shd w:val="clear" w:color="auto" w:fill="auto"/>
            <w:vAlign w:val="center"/>
          </w:tcPr>
          <w:p w14:paraId="6087614E">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物化废水设备噪声</w:t>
            </w:r>
          </w:p>
        </w:tc>
        <w:tc>
          <w:tcPr>
            <w:tcW w:w="1552" w:type="dxa"/>
            <w:tcBorders>
              <w:top w:val="nil"/>
              <w:left w:val="nil"/>
              <w:bottom w:val="single" w:color="auto" w:sz="4" w:space="0"/>
              <w:right w:val="single" w:color="auto" w:sz="4" w:space="0"/>
            </w:tcBorders>
            <w:shd w:val="clear" w:color="auto" w:fill="auto"/>
            <w:vAlign w:val="center"/>
          </w:tcPr>
          <w:p w14:paraId="75AA219D">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物化卸料区、物化污泥压滤区、废水污泥压滤区、空压机、冷干机、生化空气悬浮风机及单效蒸发釜、装卸等区域噪声9处。</w:t>
            </w:r>
          </w:p>
        </w:tc>
        <w:tc>
          <w:tcPr>
            <w:tcW w:w="2001" w:type="dxa"/>
            <w:tcBorders>
              <w:top w:val="nil"/>
              <w:left w:val="nil"/>
              <w:bottom w:val="single" w:color="auto" w:sz="4" w:space="0"/>
              <w:right w:val="single" w:color="auto" w:sz="4" w:space="0"/>
            </w:tcBorders>
            <w:shd w:val="clear" w:color="auto" w:fill="auto"/>
            <w:vAlign w:val="center"/>
          </w:tcPr>
          <w:p w14:paraId="2E52F11C">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设备运行噪声</w:t>
            </w:r>
          </w:p>
        </w:tc>
        <w:tc>
          <w:tcPr>
            <w:tcW w:w="846" w:type="dxa"/>
            <w:tcBorders>
              <w:top w:val="nil"/>
              <w:left w:val="nil"/>
              <w:bottom w:val="single" w:color="auto" w:sz="4" w:space="0"/>
              <w:right w:val="single" w:color="auto" w:sz="4" w:space="0"/>
            </w:tcBorders>
            <w:shd w:val="clear" w:color="auto" w:fill="auto"/>
            <w:vAlign w:val="center"/>
          </w:tcPr>
          <w:p w14:paraId="02DFB35C">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1次/季</w:t>
            </w:r>
          </w:p>
        </w:tc>
        <w:tc>
          <w:tcPr>
            <w:tcW w:w="1631" w:type="dxa"/>
            <w:tcBorders>
              <w:top w:val="nil"/>
              <w:left w:val="nil"/>
              <w:bottom w:val="single" w:color="auto" w:sz="4" w:space="0"/>
              <w:right w:val="single" w:color="auto" w:sz="4" w:space="0"/>
            </w:tcBorders>
            <w:shd w:val="clear" w:color="auto" w:fill="auto"/>
            <w:vAlign w:val="center"/>
          </w:tcPr>
          <w:p w14:paraId="22A62AAE">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w:t>
            </w:r>
          </w:p>
        </w:tc>
        <w:tc>
          <w:tcPr>
            <w:tcW w:w="1266" w:type="dxa"/>
            <w:tcBorders>
              <w:top w:val="nil"/>
              <w:left w:val="nil"/>
              <w:bottom w:val="single" w:color="auto" w:sz="4" w:space="0"/>
              <w:right w:val="single" w:color="auto" w:sz="4" w:space="0"/>
            </w:tcBorders>
            <w:shd w:val="clear" w:color="auto" w:fill="auto"/>
            <w:vAlign w:val="center"/>
          </w:tcPr>
          <w:p w14:paraId="1771D71C">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val="en-US" w:eastAsia="zh-CN"/>
              </w:rPr>
            </w:pPr>
            <w:r>
              <w:rPr>
                <w:rFonts w:hint="eastAsia" w:ascii="仿宋_GB2312" w:hAnsi="仿宋_GB2312" w:eastAsia="仿宋_GB2312" w:cs="仿宋_GB2312"/>
                <w:color w:val="auto"/>
                <w:kern w:val="0"/>
                <w:sz w:val="20"/>
                <w:szCs w:val="20"/>
                <w:lang w:val="en-US" w:eastAsia="zh-CN"/>
              </w:rPr>
              <w:t>36</w:t>
            </w:r>
          </w:p>
        </w:tc>
      </w:tr>
      <w:tr w14:paraId="6AB2024F">
        <w:tblPrEx>
          <w:tblCellMar>
            <w:top w:w="0" w:type="dxa"/>
            <w:left w:w="108" w:type="dxa"/>
            <w:bottom w:w="0" w:type="dxa"/>
            <w:right w:w="108" w:type="dxa"/>
          </w:tblCellMar>
        </w:tblPrEx>
        <w:trPr>
          <w:trHeight w:val="1770" w:hRule="atLeast"/>
        </w:trPr>
        <w:tc>
          <w:tcPr>
            <w:tcW w:w="427" w:type="dxa"/>
            <w:tcBorders>
              <w:top w:val="nil"/>
              <w:left w:val="single" w:color="auto" w:sz="4" w:space="0"/>
              <w:bottom w:val="single" w:color="auto" w:sz="4" w:space="0"/>
              <w:right w:val="single" w:color="auto" w:sz="4" w:space="0"/>
            </w:tcBorders>
            <w:shd w:val="clear" w:color="auto" w:fill="auto"/>
            <w:vAlign w:val="center"/>
          </w:tcPr>
          <w:p w14:paraId="7E0564F0">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val="en-US" w:eastAsia="zh-CN"/>
              </w:rPr>
            </w:pPr>
            <w:r>
              <w:rPr>
                <w:rFonts w:hint="eastAsia" w:ascii="仿宋_GB2312" w:hAnsi="仿宋_GB2312" w:eastAsia="仿宋_GB2312" w:cs="仿宋_GB2312"/>
                <w:color w:val="auto"/>
                <w:kern w:val="0"/>
                <w:sz w:val="20"/>
                <w:szCs w:val="20"/>
                <w:lang w:val="en-US" w:eastAsia="zh-CN"/>
              </w:rPr>
              <w:t>39</w:t>
            </w:r>
          </w:p>
        </w:tc>
        <w:tc>
          <w:tcPr>
            <w:tcW w:w="636" w:type="dxa"/>
            <w:tcBorders>
              <w:top w:val="nil"/>
              <w:left w:val="nil"/>
              <w:bottom w:val="single" w:color="auto" w:sz="4" w:space="0"/>
              <w:right w:val="single" w:color="auto" w:sz="4" w:space="0"/>
            </w:tcBorders>
            <w:shd w:val="clear" w:color="auto" w:fill="auto"/>
            <w:vAlign w:val="center"/>
          </w:tcPr>
          <w:p w14:paraId="6F4835FE">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熔炼设备噪声</w:t>
            </w:r>
          </w:p>
        </w:tc>
        <w:tc>
          <w:tcPr>
            <w:tcW w:w="1552" w:type="dxa"/>
            <w:tcBorders>
              <w:top w:val="nil"/>
              <w:left w:val="nil"/>
              <w:bottom w:val="single" w:color="auto" w:sz="4" w:space="0"/>
              <w:right w:val="single" w:color="auto" w:sz="4" w:space="0"/>
            </w:tcBorders>
            <w:shd w:val="clear" w:color="auto" w:fill="auto"/>
            <w:vAlign w:val="center"/>
          </w:tcPr>
          <w:p w14:paraId="206AAD43">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原料卸料存储区、预处理干燥区、物料称重下料区、引风机、鼓风机、空压机、制氧站等设备噪声7处。</w:t>
            </w:r>
          </w:p>
        </w:tc>
        <w:tc>
          <w:tcPr>
            <w:tcW w:w="2001" w:type="dxa"/>
            <w:tcBorders>
              <w:top w:val="nil"/>
              <w:left w:val="nil"/>
              <w:bottom w:val="single" w:color="auto" w:sz="4" w:space="0"/>
              <w:right w:val="single" w:color="auto" w:sz="4" w:space="0"/>
            </w:tcBorders>
            <w:shd w:val="clear" w:color="auto" w:fill="auto"/>
            <w:vAlign w:val="center"/>
          </w:tcPr>
          <w:p w14:paraId="36931E64">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设备运行噪声</w:t>
            </w:r>
          </w:p>
        </w:tc>
        <w:tc>
          <w:tcPr>
            <w:tcW w:w="846" w:type="dxa"/>
            <w:tcBorders>
              <w:top w:val="nil"/>
              <w:left w:val="nil"/>
              <w:bottom w:val="single" w:color="auto" w:sz="4" w:space="0"/>
              <w:right w:val="single" w:color="auto" w:sz="4" w:space="0"/>
            </w:tcBorders>
            <w:shd w:val="clear" w:color="auto" w:fill="auto"/>
            <w:vAlign w:val="center"/>
          </w:tcPr>
          <w:p w14:paraId="2C4C241F">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1次/季</w:t>
            </w:r>
          </w:p>
        </w:tc>
        <w:tc>
          <w:tcPr>
            <w:tcW w:w="1631" w:type="dxa"/>
            <w:tcBorders>
              <w:top w:val="nil"/>
              <w:left w:val="nil"/>
              <w:bottom w:val="single" w:color="auto" w:sz="4" w:space="0"/>
              <w:right w:val="single" w:color="auto" w:sz="4" w:space="0"/>
            </w:tcBorders>
            <w:shd w:val="clear" w:color="auto" w:fill="auto"/>
            <w:vAlign w:val="center"/>
          </w:tcPr>
          <w:p w14:paraId="357B003A">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w:t>
            </w:r>
          </w:p>
        </w:tc>
        <w:tc>
          <w:tcPr>
            <w:tcW w:w="1266" w:type="dxa"/>
            <w:tcBorders>
              <w:top w:val="nil"/>
              <w:left w:val="nil"/>
              <w:bottom w:val="single" w:color="auto" w:sz="4" w:space="0"/>
              <w:right w:val="single" w:color="auto" w:sz="4" w:space="0"/>
            </w:tcBorders>
            <w:shd w:val="clear" w:color="auto" w:fill="auto"/>
            <w:vAlign w:val="center"/>
          </w:tcPr>
          <w:p w14:paraId="0980C1FC">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val="en-US" w:eastAsia="zh-CN"/>
              </w:rPr>
            </w:pPr>
            <w:r>
              <w:rPr>
                <w:rFonts w:hint="eastAsia" w:ascii="仿宋_GB2312" w:hAnsi="仿宋_GB2312" w:eastAsia="仿宋_GB2312" w:cs="仿宋_GB2312"/>
                <w:color w:val="auto"/>
                <w:kern w:val="0"/>
                <w:sz w:val="20"/>
                <w:szCs w:val="20"/>
                <w:lang w:val="en-US" w:eastAsia="zh-CN"/>
              </w:rPr>
              <w:t>28</w:t>
            </w:r>
          </w:p>
        </w:tc>
      </w:tr>
      <w:tr w14:paraId="5F0F21FF">
        <w:tblPrEx>
          <w:tblCellMar>
            <w:top w:w="0" w:type="dxa"/>
            <w:left w:w="108" w:type="dxa"/>
            <w:bottom w:w="0" w:type="dxa"/>
            <w:right w:w="108" w:type="dxa"/>
          </w:tblCellMar>
        </w:tblPrEx>
        <w:trPr>
          <w:trHeight w:val="1770" w:hRule="atLeast"/>
        </w:trPr>
        <w:tc>
          <w:tcPr>
            <w:tcW w:w="427" w:type="dxa"/>
            <w:tcBorders>
              <w:top w:val="nil"/>
              <w:left w:val="single" w:color="auto" w:sz="4" w:space="0"/>
              <w:bottom w:val="single" w:color="auto" w:sz="4" w:space="0"/>
              <w:right w:val="single" w:color="auto" w:sz="4" w:space="0"/>
            </w:tcBorders>
            <w:shd w:val="clear" w:color="auto" w:fill="auto"/>
            <w:vAlign w:val="center"/>
          </w:tcPr>
          <w:p w14:paraId="72782958">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val="en-US" w:eastAsia="zh-CN"/>
              </w:rPr>
            </w:pPr>
            <w:r>
              <w:rPr>
                <w:rFonts w:hint="eastAsia" w:ascii="仿宋_GB2312" w:hAnsi="仿宋_GB2312" w:eastAsia="仿宋_GB2312" w:cs="仿宋_GB2312"/>
                <w:color w:val="auto"/>
                <w:kern w:val="0"/>
                <w:sz w:val="20"/>
                <w:szCs w:val="20"/>
                <w:lang w:val="en-US" w:eastAsia="zh-CN"/>
              </w:rPr>
              <w:t>40</w:t>
            </w:r>
          </w:p>
        </w:tc>
        <w:tc>
          <w:tcPr>
            <w:tcW w:w="636" w:type="dxa"/>
            <w:tcBorders>
              <w:top w:val="nil"/>
              <w:left w:val="nil"/>
              <w:bottom w:val="single" w:color="auto" w:sz="4" w:space="0"/>
              <w:right w:val="single" w:color="auto" w:sz="4" w:space="0"/>
            </w:tcBorders>
            <w:shd w:val="clear" w:color="auto" w:fill="auto"/>
            <w:vAlign w:val="center"/>
          </w:tcPr>
          <w:p w14:paraId="0B54084D">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sz w:val="20"/>
                <w:szCs w:val="20"/>
              </w:rPr>
              <w:t>废矿物油设备噪声</w:t>
            </w:r>
          </w:p>
        </w:tc>
        <w:tc>
          <w:tcPr>
            <w:tcW w:w="1552" w:type="dxa"/>
            <w:tcBorders>
              <w:top w:val="single" w:color="auto" w:sz="4" w:space="0"/>
              <w:left w:val="nil"/>
              <w:bottom w:val="single" w:color="auto" w:sz="4" w:space="0"/>
              <w:right w:val="single" w:color="auto" w:sz="4" w:space="0"/>
            </w:tcBorders>
            <w:shd w:val="clear" w:color="auto" w:fill="auto"/>
            <w:vAlign w:val="center"/>
          </w:tcPr>
          <w:p w14:paraId="56FE4F80">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sz w:val="20"/>
                <w:szCs w:val="20"/>
              </w:rPr>
              <w:t>螺杆压缩机、组合式干燥机、原料油罐区、成品油罐区、提升泵、循环水泵、真空泵组、熔盐自循环泵等8处。</w:t>
            </w:r>
          </w:p>
        </w:tc>
        <w:tc>
          <w:tcPr>
            <w:tcW w:w="2001" w:type="dxa"/>
            <w:tcBorders>
              <w:top w:val="single" w:color="auto" w:sz="4" w:space="0"/>
              <w:left w:val="nil"/>
              <w:bottom w:val="single" w:color="auto" w:sz="4" w:space="0"/>
              <w:right w:val="single" w:color="auto" w:sz="4" w:space="0"/>
            </w:tcBorders>
            <w:shd w:val="clear" w:color="auto" w:fill="auto"/>
            <w:vAlign w:val="center"/>
          </w:tcPr>
          <w:p w14:paraId="0ECE1A9F">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sz w:val="20"/>
                <w:szCs w:val="20"/>
              </w:rPr>
              <w:t>设备运行噪声</w:t>
            </w:r>
          </w:p>
        </w:tc>
        <w:tc>
          <w:tcPr>
            <w:tcW w:w="846" w:type="dxa"/>
            <w:tcBorders>
              <w:top w:val="nil"/>
              <w:left w:val="nil"/>
              <w:bottom w:val="single" w:color="auto" w:sz="4" w:space="0"/>
              <w:right w:val="single" w:color="auto" w:sz="4" w:space="0"/>
            </w:tcBorders>
            <w:shd w:val="clear" w:color="auto" w:fill="auto"/>
            <w:vAlign w:val="center"/>
          </w:tcPr>
          <w:p w14:paraId="3375E76D">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sz w:val="20"/>
                <w:szCs w:val="20"/>
              </w:rPr>
              <w:t>1次/季度</w:t>
            </w:r>
          </w:p>
        </w:tc>
        <w:tc>
          <w:tcPr>
            <w:tcW w:w="1631" w:type="dxa"/>
            <w:tcBorders>
              <w:top w:val="nil"/>
              <w:left w:val="nil"/>
              <w:bottom w:val="single" w:color="auto" w:sz="4" w:space="0"/>
              <w:right w:val="single" w:color="auto" w:sz="4" w:space="0"/>
            </w:tcBorders>
            <w:shd w:val="clear" w:color="auto" w:fill="auto"/>
            <w:vAlign w:val="center"/>
          </w:tcPr>
          <w:p w14:paraId="290BF7EA">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w:t>
            </w:r>
          </w:p>
        </w:tc>
        <w:tc>
          <w:tcPr>
            <w:tcW w:w="1266" w:type="dxa"/>
            <w:tcBorders>
              <w:top w:val="single" w:color="auto" w:sz="4" w:space="0"/>
              <w:left w:val="nil"/>
              <w:bottom w:val="single" w:color="auto" w:sz="4" w:space="0"/>
              <w:right w:val="single" w:color="auto" w:sz="4" w:space="0"/>
            </w:tcBorders>
            <w:shd w:val="clear" w:color="auto" w:fill="auto"/>
            <w:vAlign w:val="center"/>
          </w:tcPr>
          <w:p w14:paraId="2534D2CE">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val="en-US" w:eastAsia="zh-CN"/>
              </w:rPr>
            </w:pPr>
            <w:r>
              <w:rPr>
                <w:rFonts w:hint="eastAsia" w:ascii="仿宋_GB2312" w:hAnsi="仿宋_GB2312" w:eastAsia="仿宋_GB2312" w:cs="仿宋_GB2312"/>
                <w:color w:val="auto"/>
                <w:kern w:val="0"/>
                <w:sz w:val="20"/>
                <w:szCs w:val="20"/>
                <w:lang w:val="en-US" w:eastAsia="zh-CN"/>
              </w:rPr>
              <w:t>32</w:t>
            </w:r>
          </w:p>
        </w:tc>
      </w:tr>
      <w:tr w14:paraId="5B522A8A">
        <w:tblPrEx>
          <w:tblCellMar>
            <w:top w:w="0" w:type="dxa"/>
            <w:left w:w="108" w:type="dxa"/>
            <w:bottom w:w="0" w:type="dxa"/>
            <w:right w:w="108" w:type="dxa"/>
          </w:tblCellMar>
        </w:tblPrEx>
        <w:trPr>
          <w:trHeight w:val="1770" w:hRule="atLeast"/>
        </w:trPr>
        <w:tc>
          <w:tcPr>
            <w:tcW w:w="427" w:type="dxa"/>
            <w:tcBorders>
              <w:top w:val="nil"/>
              <w:left w:val="single" w:color="auto" w:sz="4" w:space="0"/>
              <w:bottom w:val="single" w:color="auto" w:sz="4" w:space="0"/>
              <w:right w:val="single" w:color="auto" w:sz="4" w:space="0"/>
            </w:tcBorders>
            <w:shd w:val="clear" w:color="auto" w:fill="auto"/>
            <w:vAlign w:val="center"/>
          </w:tcPr>
          <w:p w14:paraId="7B56CD2A">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eastAsia="zh-CN"/>
              </w:rPr>
            </w:pPr>
            <w:r>
              <w:rPr>
                <w:rFonts w:hint="eastAsia" w:ascii="仿宋_GB2312" w:hAnsi="仿宋_GB2312" w:eastAsia="仿宋_GB2312" w:cs="仿宋_GB2312"/>
                <w:color w:val="auto"/>
                <w:kern w:val="0"/>
                <w:sz w:val="20"/>
                <w:szCs w:val="20"/>
              </w:rPr>
              <w:t>4</w:t>
            </w:r>
            <w:r>
              <w:rPr>
                <w:rFonts w:hint="eastAsia" w:ascii="仿宋_GB2312" w:hAnsi="仿宋_GB2312" w:eastAsia="仿宋_GB2312" w:cs="仿宋_GB2312"/>
                <w:color w:val="auto"/>
                <w:kern w:val="0"/>
                <w:sz w:val="20"/>
                <w:szCs w:val="20"/>
                <w:lang w:val="en-US" w:eastAsia="zh-CN"/>
              </w:rPr>
              <w:t>1</w:t>
            </w:r>
          </w:p>
        </w:tc>
        <w:tc>
          <w:tcPr>
            <w:tcW w:w="636" w:type="dxa"/>
            <w:tcBorders>
              <w:top w:val="nil"/>
              <w:left w:val="nil"/>
              <w:bottom w:val="single" w:color="auto" w:sz="4" w:space="0"/>
              <w:right w:val="single" w:color="auto" w:sz="4" w:space="0"/>
            </w:tcBorders>
            <w:shd w:val="clear" w:color="auto" w:fill="auto"/>
            <w:vAlign w:val="center"/>
          </w:tcPr>
          <w:p w14:paraId="7EBAD440">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sz w:val="20"/>
                <w:szCs w:val="20"/>
              </w:rPr>
              <w:t>铝灰渣设备噪声</w:t>
            </w:r>
          </w:p>
        </w:tc>
        <w:tc>
          <w:tcPr>
            <w:tcW w:w="1552" w:type="dxa"/>
            <w:tcBorders>
              <w:top w:val="single" w:color="auto" w:sz="4" w:space="0"/>
              <w:left w:val="nil"/>
              <w:bottom w:val="single" w:color="auto" w:sz="4" w:space="0"/>
              <w:right w:val="single" w:color="auto" w:sz="4" w:space="0"/>
            </w:tcBorders>
            <w:shd w:val="clear" w:color="auto" w:fill="auto"/>
            <w:vAlign w:val="center"/>
          </w:tcPr>
          <w:p w14:paraId="4C2FCD71">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sz w:val="20"/>
                <w:szCs w:val="20"/>
              </w:rPr>
              <w:t>预处理区、熔炼区熔化炉、湿法处理区的反应釜、空压机、泵、冷却塔、风机等7处</w:t>
            </w:r>
          </w:p>
        </w:tc>
        <w:tc>
          <w:tcPr>
            <w:tcW w:w="2001" w:type="dxa"/>
            <w:tcBorders>
              <w:top w:val="single" w:color="auto" w:sz="4" w:space="0"/>
              <w:left w:val="nil"/>
              <w:bottom w:val="single" w:color="auto" w:sz="4" w:space="0"/>
              <w:right w:val="single" w:color="auto" w:sz="4" w:space="0"/>
            </w:tcBorders>
            <w:shd w:val="clear" w:color="auto" w:fill="auto"/>
            <w:vAlign w:val="center"/>
          </w:tcPr>
          <w:p w14:paraId="30CA51BC">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sz w:val="20"/>
                <w:szCs w:val="20"/>
              </w:rPr>
              <w:t>设备运行噪声</w:t>
            </w:r>
          </w:p>
        </w:tc>
        <w:tc>
          <w:tcPr>
            <w:tcW w:w="846" w:type="dxa"/>
            <w:tcBorders>
              <w:top w:val="nil"/>
              <w:left w:val="nil"/>
              <w:bottom w:val="single" w:color="auto" w:sz="4" w:space="0"/>
              <w:right w:val="single" w:color="auto" w:sz="4" w:space="0"/>
            </w:tcBorders>
            <w:shd w:val="clear" w:color="auto" w:fill="auto"/>
            <w:vAlign w:val="center"/>
          </w:tcPr>
          <w:p w14:paraId="0DF49084">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sz w:val="20"/>
                <w:szCs w:val="20"/>
              </w:rPr>
              <w:t>1次/季度</w:t>
            </w:r>
          </w:p>
        </w:tc>
        <w:tc>
          <w:tcPr>
            <w:tcW w:w="1631" w:type="dxa"/>
            <w:tcBorders>
              <w:top w:val="nil"/>
              <w:left w:val="nil"/>
              <w:bottom w:val="single" w:color="auto" w:sz="4" w:space="0"/>
              <w:right w:val="single" w:color="auto" w:sz="4" w:space="0"/>
            </w:tcBorders>
            <w:shd w:val="clear" w:color="auto" w:fill="auto"/>
            <w:vAlign w:val="center"/>
          </w:tcPr>
          <w:p w14:paraId="7F396A90">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w:t>
            </w:r>
          </w:p>
        </w:tc>
        <w:tc>
          <w:tcPr>
            <w:tcW w:w="1266" w:type="dxa"/>
            <w:tcBorders>
              <w:top w:val="single" w:color="auto" w:sz="4" w:space="0"/>
              <w:left w:val="nil"/>
              <w:bottom w:val="single" w:color="auto" w:sz="4" w:space="0"/>
              <w:right w:val="single" w:color="auto" w:sz="4" w:space="0"/>
            </w:tcBorders>
            <w:shd w:val="clear" w:color="auto" w:fill="auto"/>
            <w:vAlign w:val="center"/>
          </w:tcPr>
          <w:p w14:paraId="3279F2BD">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val="en-US" w:eastAsia="zh-CN"/>
              </w:rPr>
            </w:pPr>
            <w:r>
              <w:rPr>
                <w:rFonts w:hint="eastAsia" w:ascii="仿宋_GB2312" w:hAnsi="仿宋_GB2312" w:eastAsia="仿宋_GB2312" w:cs="仿宋_GB2312"/>
                <w:color w:val="auto"/>
                <w:kern w:val="0"/>
                <w:sz w:val="20"/>
                <w:szCs w:val="20"/>
                <w:lang w:val="en-US" w:eastAsia="zh-CN"/>
              </w:rPr>
              <w:t>28</w:t>
            </w:r>
          </w:p>
        </w:tc>
      </w:tr>
      <w:tr w14:paraId="5F5F934D">
        <w:tblPrEx>
          <w:tblCellMar>
            <w:top w:w="0" w:type="dxa"/>
            <w:left w:w="108" w:type="dxa"/>
            <w:bottom w:w="0" w:type="dxa"/>
            <w:right w:w="108" w:type="dxa"/>
          </w:tblCellMar>
        </w:tblPrEx>
        <w:trPr>
          <w:trHeight w:val="1339" w:hRule="atLeast"/>
        </w:trPr>
        <w:tc>
          <w:tcPr>
            <w:tcW w:w="427" w:type="dxa"/>
            <w:tcBorders>
              <w:top w:val="nil"/>
              <w:left w:val="single" w:color="auto" w:sz="4" w:space="0"/>
              <w:bottom w:val="single" w:color="auto" w:sz="4" w:space="0"/>
              <w:right w:val="single" w:color="auto" w:sz="4" w:space="0"/>
            </w:tcBorders>
            <w:shd w:val="clear" w:color="auto" w:fill="auto"/>
            <w:vAlign w:val="center"/>
          </w:tcPr>
          <w:p w14:paraId="2CCE4653">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eastAsia="zh-CN"/>
              </w:rPr>
            </w:pPr>
            <w:r>
              <w:rPr>
                <w:rFonts w:hint="eastAsia" w:ascii="仿宋_GB2312" w:hAnsi="仿宋_GB2312" w:eastAsia="仿宋_GB2312" w:cs="仿宋_GB2312"/>
                <w:color w:val="auto"/>
                <w:kern w:val="0"/>
                <w:sz w:val="20"/>
                <w:szCs w:val="20"/>
              </w:rPr>
              <w:t>4</w:t>
            </w:r>
            <w:r>
              <w:rPr>
                <w:rFonts w:hint="eastAsia" w:ascii="仿宋_GB2312" w:hAnsi="仿宋_GB2312" w:eastAsia="仿宋_GB2312" w:cs="仿宋_GB2312"/>
                <w:color w:val="auto"/>
                <w:kern w:val="0"/>
                <w:sz w:val="20"/>
                <w:szCs w:val="20"/>
                <w:lang w:val="en-US" w:eastAsia="zh-CN"/>
              </w:rPr>
              <w:t>2</w:t>
            </w:r>
          </w:p>
        </w:tc>
        <w:tc>
          <w:tcPr>
            <w:tcW w:w="636" w:type="dxa"/>
            <w:tcBorders>
              <w:top w:val="nil"/>
              <w:left w:val="nil"/>
              <w:bottom w:val="single" w:color="auto" w:sz="4" w:space="0"/>
              <w:right w:val="single" w:color="auto" w:sz="4" w:space="0"/>
            </w:tcBorders>
            <w:shd w:val="clear" w:color="auto" w:fill="auto"/>
            <w:vAlign w:val="center"/>
          </w:tcPr>
          <w:p w14:paraId="1A03528D">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土壤</w:t>
            </w:r>
          </w:p>
        </w:tc>
        <w:tc>
          <w:tcPr>
            <w:tcW w:w="1552" w:type="dxa"/>
            <w:tcBorders>
              <w:top w:val="single" w:color="auto" w:sz="4" w:space="0"/>
              <w:left w:val="nil"/>
              <w:bottom w:val="nil"/>
              <w:right w:val="single" w:color="auto" w:sz="4" w:space="0"/>
            </w:tcBorders>
            <w:shd w:val="clear" w:color="auto" w:fill="auto"/>
            <w:vAlign w:val="center"/>
          </w:tcPr>
          <w:p w14:paraId="4BDA9FFB">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在厂区周边设3个监测点S1、S2、S3；厂区周边南侧和西侧基本农田保护S4、S5，合计5个点</w:t>
            </w:r>
          </w:p>
        </w:tc>
        <w:tc>
          <w:tcPr>
            <w:tcW w:w="2001" w:type="dxa"/>
            <w:tcBorders>
              <w:top w:val="single" w:color="auto" w:sz="4" w:space="0"/>
              <w:left w:val="nil"/>
              <w:bottom w:val="nil"/>
              <w:right w:val="single" w:color="auto" w:sz="4" w:space="0"/>
            </w:tcBorders>
            <w:shd w:val="clear" w:color="auto" w:fill="auto"/>
            <w:vAlign w:val="center"/>
          </w:tcPr>
          <w:p w14:paraId="480DCC4C">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pH值、总汞、总砷、总镉、总铅、总铬</w:t>
            </w:r>
            <w:r>
              <w:rPr>
                <w:rFonts w:hint="eastAsia" w:ascii="仿宋_GB2312" w:hAnsi="仿宋_GB2312" w:eastAsia="仿宋_GB2312" w:cs="仿宋_GB2312"/>
                <w:color w:val="auto"/>
                <w:kern w:val="0"/>
                <w:sz w:val="20"/>
                <w:szCs w:val="20"/>
                <w:lang w:eastAsia="zh-CN"/>
              </w:rPr>
              <w:t>、</w:t>
            </w:r>
            <w:r>
              <w:rPr>
                <w:rFonts w:hint="eastAsia" w:ascii="仿宋_GB2312" w:hAnsi="仿宋_GB2312" w:eastAsia="仿宋_GB2312" w:cs="仿宋_GB2312"/>
                <w:color w:val="auto"/>
                <w:kern w:val="0"/>
                <w:sz w:val="20"/>
                <w:szCs w:val="20"/>
              </w:rPr>
              <w:t>六价</w:t>
            </w:r>
            <w:r>
              <w:rPr>
                <w:rFonts w:hint="eastAsia" w:ascii="仿宋_GB2312" w:hAnsi="仿宋_GB2312" w:eastAsia="仿宋_GB2312" w:cs="仿宋_GB2312"/>
                <w:color w:val="auto"/>
                <w:kern w:val="0"/>
                <w:sz w:val="20"/>
                <w:szCs w:val="20"/>
                <w:lang w:val="en-US" w:eastAsia="zh-CN"/>
              </w:rPr>
              <w:t>铬</w:t>
            </w:r>
            <w:r>
              <w:rPr>
                <w:rFonts w:hint="eastAsia" w:ascii="仿宋_GB2312" w:hAnsi="仿宋_GB2312" w:eastAsia="仿宋_GB2312" w:cs="仿宋_GB2312"/>
                <w:color w:val="auto"/>
                <w:kern w:val="0"/>
                <w:sz w:val="20"/>
                <w:szCs w:val="20"/>
              </w:rPr>
              <w:t>、总铜、总镍、总锌</w:t>
            </w:r>
          </w:p>
        </w:tc>
        <w:tc>
          <w:tcPr>
            <w:tcW w:w="846" w:type="dxa"/>
            <w:tcBorders>
              <w:top w:val="nil"/>
              <w:left w:val="nil"/>
              <w:bottom w:val="single" w:color="auto" w:sz="4" w:space="0"/>
              <w:right w:val="single" w:color="auto" w:sz="4" w:space="0"/>
            </w:tcBorders>
            <w:shd w:val="clear" w:color="auto" w:fill="auto"/>
            <w:vAlign w:val="center"/>
          </w:tcPr>
          <w:p w14:paraId="3821F2FA">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1次/半年</w:t>
            </w:r>
          </w:p>
        </w:tc>
        <w:tc>
          <w:tcPr>
            <w:tcW w:w="1631" w:type="dxa"/>
            <w:tcBorders>
              <w:top w:val="nil"/>
              <w:left w:val="nil"/>
              <w:bottom w:val="single" w:color="auto" w:sz="4" w:space="0"/>
              <w:right w:val="single" w:color="auto" w:sz="4" w:space="0"/>
            </w:tcBorders>
            <w:shd w:val="clear" w:color="auto" w:fill="auto"/>
            <w:vAlign w:val="center"/>
          </w:tcPr>
          <w:p w14:paraId="5CB3B243">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w:t>
            </w:r>
          </w:p>
        </w:tc>
        <w:tc>
          <w:tcPr>
            <w:tcW w:w="1266" w:type="dxa"/>
            <w:tcBorders>
              <w:top w:val="single" w:color="auto" w:sz="4" w:space="0"/>
              <w:left w:val="nil"/>
              <w:bottom w:val="single" w:color="auto" w:sz="4" w:space="0"/>
              <w:right w:val="single" w:color="auto" w:sz="4" w:space="0"/>
            </w:tcBorders>
            <w:shd w:val="clear" w:color="auto" w:fill="auto"/>
            <w:vAlign w:val="center"/>
          </w:tcPr>
          <w:p w14:paraId="71254ACE">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val="en-US" w:eastAsia="zh-CN"/>
              </w:rPr>
            </w:pPr>
            <w:r>
              <w:rPr>
                <w:rFonts w:hint="eastAsia" w:ascii="仿宋_GB2312" w:hAnsi="仿宋_GB2312" w:eastAsia="仿宋_GB2312" w:cs="仿宋_GB2312"/>
                <w:color w:val="auto"/>
                <w:kern w:val="0"/>
                <w:sz w:val="20"/>
                <w:szCs w:val="20"/>
                <w:lang w:val="en-US" w:eastAsia="zh-CN"/>
              </w:rPr>
              <w:t>10</w:t>
            </w:r>
          </w:p>
        </w:tc>
      </w:tr>
      <w:tr w14:paraId="41B9B3DE">
        <w:tblPrEx>
          <w:tblCellMar>
            <w:top w:w="0" w:type="dxa"/>
            <w:left w:w="108" w:type="dxa"/>
            <w:bottom w:w="0" w:type="dxa"/>
            <w:right w:w="108" w:type="dxa"/>
          </w:tblCellMar>
        </w:tblPrEx>
        <w:trPr>
          <w:trHeight w:val="1339" w:hRule="atLeast"/>
        </w:trPr>
        <w:tc>
          <w:tcPr>
            <w:tcW w:w="427" w:type="dxa"/>
            <w:tcBorders>
              <w:top w:val="nil"/>
              <w:left w:val="single" w:color="auto" w:sz="4" w:space="0"/>
              <w:bottom w:val="single" w:color="auto" w:sz="4" w:space="0"/>
              <w:right w:val="single" w:color="auto" w:sz="4" w:space="0"/>
            </w:tcBorders>
            <w:shd w:val="clear" w:color="auto" w:fill="auto"/>
            <w:vAlign w:val="center"/>
          </w:tcPr>
          <w:p w14:paraId="4505801A">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eastAsia="zh-CN"/>
              </w:rPr>
            </w:pPr>
            <w:r>
              <w:rPr>
                <w:rFonts w:hint="eastAsia" w:ascii="仿宋_GB2312" w:hAnsi="仿宋_GB2312" w:eastAsia="仿宋_GB2312" w:cs="仿宋_GB2312"/>
                <w:color w:val="auto"/>
                <w:kern w:val="0"/>
                <w:sz w:val="20"/>
                <w:szCs w:val="20"/>
              </w:rPr>
              <w:t>4</w:t>
            </w:r>
            <w:r>
              <w:rPr>
                <w:rFonts w:hint="eastAsia" w:ascii="仿宋_GB2312" w:hAnsi="仿宋_GB2312" w:eastAsia="仿宋_GB2312" w:cs="仿宋_GB2312"/>
                <w:color w:val="auto"/>
                <w:kern w:val="0"/>
                <w:sz w:val="20"/>
                <w:szCs w:val="20"/>
                <w:lang w:val="en-US" w:eastAsia="zh-CN"/>
              </w:rPr>
              <w:t>3</w:t>
            </w:r>
          </w:p>
        </w:tc>
        <w:tc>
          <w:tcPr>
            <w:tcW w:w="636" w:type="dxa"/>
            <w:tcBorders>
              <w:top w:val="nil"/>
              <w:left w:val="nil"/>
              <w:bottom w:val="single" w:color="auto" w:sz="4" w:space="0"/>
              <w:right w:val="single" w:color="auto" w:sz="4" w:space="0"/>
            </w:tcBorders>
            <w:shd w:val="clear" w:color="auto" w:fill="auto"/>
            <w:vAlign w:val="center"/>
          </w:tcPr>
          <w:p w14:paraId="483FB254">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炉渣</w:t>
            </w:r>
          </w:p>
        </w:tc>
        <w:tc>
          <w:tcPr>
            <w:tcW w:w="1552" w:type="dxa"/>
            <w:tcBorders>
              <w:top w:val="single" w:color="auto" w:sz="4" w:space="0"/>
              <w:left w:val="nil"/>
              <w:bottom w:val="single" w:color="auto" w:sz="4" w:space="0"/>
              <w:right w:val="single" w:color="auto" w:sz="4" w:space="0"/>
            </w:tcBorders>
            <w:shd w:val="clear" w:color="auto" w:fill="auto"/>
            <w:vAlign w:val="center"/>
          </w:tcPr>
          <w:p w14:paraId="7E82E7C9">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焚烧1#、焚烧2#合计2个点</w:t>
            </w:r>
          </w:p>
        </w:tc>
        <w:tc>
          <w:tcPr>
            <w:tcW w:w="2001" w:type="dxa"/>
            <w:tcBorders>
              <w:top w:val="single" w:color="auto" w:sz="4" w:space="0"/>
              <w:left w:val="nil"/>
              <w:bottom w:val="single" w:color="auto" w:sz="4" w:space="0"/>
              <w:right w:val="single" w:color="auto" w:sz="4" w:space="0"/>
            </w:tcBorders>
            <w:shd w:val="clear" w:color="auto" w:fill="auto"/>
            <w:vAlign w:val="center"/>
          </w:tcPr>
          <w:p w14:paraId="641E251A">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热灼减率</w:t>
            </w:r>
          </w:p>
        </w:tc>
        <w:tc>
          <w:tcPr>
            <w:tcW w:w="846" w:type="dxa"/>
            <w:tcBorders>
              <w:top w:val="nil"/>
              <w:left w:val="nil"/>
              <w:bottom w:val="single" w:color="auto" w:sz="4" w:space="0"/>
              <w:right w:val="single" w:color="auto" w:sz="4" w:space="0"/>
            </w:tcBorders>
            <w:shd w:val="clear" w:color="auto" w:fill="auto"/>
            <w:vAlign w:val="center"/>
          </w:tcPr>
          <w:p w14:paraId="71F0C694">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1次/周</w:t>
            </w:r>
          </w:p>
        </w:tc>
        <w:tc>
          <w:tcPr>
            <w:tcW w:w="1631" w:type="dxa"/>
            <w:tcBorders>
              <w:top w:val="nil"/>
              <w:left w:val="nil"/>
              <w:bottom w:val="single" w:color="auto" w:sz="4" w:space="0"/>
              <w:right w:val="single" w:color="auto" w:sz="4" w:space="0"/>
            </w:tcBorders>
            <w:shd w:val="clear" w:color="auto" w:fill="auto"/>
            <w:vAlign w:val="center"/>
          </w:tcPr>
          <w:p w14:paraId="36DF7119">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w:t>
            </w:r>
          </w:p>
        </w:tc>
        <w:tc>
          <w:tcPr>
            <w:tcW w:w="1266" w:type="dxa"/>
            <w:tcBorders>
              <w:top w:val="nil"/>
              <w:left w:val="nil"/>
              <w:bottom w:val="single" w:color="auto" w:sz="4" w:space="0"/>
              <w:right w:val="single" w:color="auto" w:sz="4" w:space="0"/>
            </w:tcBorders>
            <w:shd w:val="clear" w:color="auto" w:fill="auto"/>
            <w:vAlign w:val="center"/>
          </w:tcPr>
          <w:p w14:paraId="057E04BE">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104</w:t>
            </w:r>
          </w:p>
        </w:tc>
      </w:tr>
      <w:tr w14:paraId="4235CBAD">
        <w:tblPrEx>
          <w:tblCellMar>
            <w:top w:w="0" w:type="dxa"/>
            <w:left w:w="108" w:type="dxa"/>
            <w:bottom w:w="0" w:type="dxa"/>
            <w:right w:w="108" w:type="dxa"/>
          </w:tblCellMar>
        </w:tblPrEx>
        <w:trPr>
          <w:trHeight w:val="489" w:hRule="atLeast"/>
        </w:trPr>
        <w:tc>
          <w:tcPr>
            <w:tcW w:w="7093" w:type="dxa"/>
            <w:gridSpan w:val="6"/>
            <w:tcBorders>
              <w:top w:val="single" w:color="auto" w:sz="4" w:space="0"/>
              <w:left w:val="single" w:color="auto" w:sz="4" w:space="0"/>
              <w:bottom w:val="single" w:color="auto" w:sz="4" w:space="0"/>
              <w:right w:val="single" w:color="auto" w:sz="4" w:space="0"/>
            </w:tcBorders>
            <w:shd w:val="clear" w:color="auto" w:fill="auto"/>
            <w:vAlign w:val="center"/>
          </w:tcPr>
          <w:p w14:paraId="1A8609F2">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小计</w:t>
            </w:r>
          </w:p>
        </w:tc>
        <w:tc>
          <w:tcPr>
            <w:tcW w:w="1266" w:type="dxa"/>
            <w:tcBorders>
              <w:top w:val="nil"/>
              <w:left w:val="nil"/>
              <w:bottom w:val="single" w:color="auto" w:sz="4" w:space="0"/>
              <w:right w:val="single" w:color="auto" w:sz="4" w:space="0"/>
            </w:tcBorders>
            <w:shd w:val="clear" w:color="auto" w:fill="auto"/>
            <w:vAlign w:val="center"/>
          </w:tcPr>
          <w:p w14:paraId="4CB10D2F">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val="en-US" w:eastAsia="zh-CN"/>
              </w:rPr>
            </w:pPr>
            <w:r>
              <w:rPr>
                <w:rFonts w:hint="eastAsia" w:ascii="仿宋_GB2312" w:hAnsi="仿宋_GB2312" w:eastAsia="仿宋_GB2312" w:cs="仿宋_GB2312"/>
                <w:color w:val="auto"/>
                <w:kern w:val="0"/>
                <w:sz w:val="20"/>
                <w:szCs w:val="20"/>
              </w:rPr>
              <w:t>1</w:t>
            </w:r>
            <w:r>
              <w:rPr>
                <w:rFonts w:hint="eastAsia" w:ascii="仿宋_GB2312" w:hAnsi="仿宋_GB2312" w:eastAsia="仿宋_GB2312" w:cs="仿宋_GB2312"/>
                <w:color w:val="auto"/>
                <w:kern w:val="0"/>
                <w:sz w:val="20"/>
                <w:szCs w:val="20"/>
                <w:lang w:val="en-US" w:eastAsia="zh-CN"/>
              </w:rPr>
              <w:t>287</w:t>
            </w:r>
          </w:p>
        </w:tc>
      </w:tr>
      <w:bookmarkEnd w:id="1"/>
    </w:tbl>
    <w:p w14:paraId="44D90020">
      <w:pPr>
        <w:spacing w:line="400" w:lineRule="exact"/>
        <w:ind w:firstLine="482" w:firstLineChars="200"/>
        <w:rPr>
          <w:rFonts w:hint="eastAsia" w:ascii="仿宋_GB2312" w:hAnsi="宋体" w:eastAsia="仿宋_GB2312"/>
          <w:color w:val="auto"/>
          <w:sz w:val="24"/>
          <w:szCs w:val="24"/>
        </w:rPr>
      </w:pPr>
      <w:bookmarkStart w:id="2" w:name="_Hlk137800497"/>
      <w:r>
        <w:rPr>
          <w:rFonts w:hint="eastAsia" w:ascii="仿宋_GB2312" w:hAnsi="宋体" w:eastAsia="仿宋_GB2312"/>
          <w:b/>
          <w:bCs/>
          <w:color w:val="auto"/>
          <w:sz w:val="24"/>
          <w:szCs w:val="24"/>
        </w:rPr>
        <w:t>2</w:t>
      </w:r>
      <w:r>
        <w:rPr>
          <w:rFonts w:ascii="仿宋_GB2312" w:hAnsi="宋体" w:eastAsia="仿宋_GB2312"/>
          <w:color w:val="auto"/>
          <w:sz w:val="24"/>
          <w:szCs w:val="24"/>
        </w:rPr>
        <w:t>.</w:t>
      </w:r>
      <w:r>
        <w:rPr>
          <w:rFonts w:hint="eastAsia" w:ascii="仿宋_GB2312" w:hAnsi="宋体" w:eastAsia="仿宋_GB2312"/>
          <w:color w:val="auto"/>
          <w:sz w:val="24"/>
          <w:szCs w:val="24"/>
        </w:rPr>
        <w:t>凤岗项目</w:t>
      </w:r>
    </w:p>
    <w:p w14:paraId="2AAF02E6">
      <w:pPr>
        <w:spacing w:line="400" w:lineRule="exact"/>
        <w:ind w:firstLine="480" w:firstLineChars="200"/>
        <w:rPr>
          <w:rFonts w:hint="eastAsia" w:ascii="仿宋_GB2312" w:hAnsi="宋体" w:eastAsia="仿宋_GB2312"/>
          <w:color w:val="auto"/>
          <w:sz w:val="24"/>
          <w:szCs w:val="24"/>
        </w:rPr>
      </w:pPr>
      <w:r>
        <w:rPr>
          <w:rFonts w:hint="eastAsia" w:ascii="仿宋_GB2312" w:hAnsi="宋体" w:eastAsia="仿宋_GB2312"/>
          <w:color w:val="auto"/>
          <w:sz w:val="24"/>
          <w:szCs w:val="24"/>
        </w:rPr>
        <w:t>2021年3月1日生态环境部施行的《排污许可管理条例》、《排污单位自行监测技术指南总则》（HJ819-2017）、排污许可证申请与核发技术规范 环境卫生管理业（HJ 1106-2020)及项目环评，确定委外环境监测方案如表</w:t>
      </w:r>
      <w:r>
        <w:rPr>
          <w:rFonts w:ascii="仿宋_GB2312" w:hAnsi="宋体" w:eastAsia="仿宋_GB2312"/>
          <w:color w:val="auto"/>
          <w:sz w:val="24"/>
          <w:szCs w:val="24"/>
        </w:rPr>
        <w:t>4</w:t>
      </w:r>
      <w:r>
        <w:rPr>
          <w:rFonts w:hint="eastAsia" w:ascii="仿宋_GB2312" w:hAnsi="宋体" w:eastAsia="仿宋_GB2312"/>
          <w:color w:val="auto"/>
          <w:sz w:val="24"/>
          <w:szCs w:val="24"/>
        </w:rPr>
        <w:t>，服务单位须根据约定时间完成采样、监测并出具监测报告。</w:t>
      </w:r>
    </w:p>
    <w:p w14:paraId="6CFF8979">
      <w:pPr>
        <w:spacing w:line="400" w:lineRule="exact"/>
        <w:ind w:firstLine="480" w:firstLineChars="200"/>
        <w:jc w:val="center"/>
        <w:rPr>
          <w:rFonts w:hint="eastAsia" w:ascii="仿宋_GB2312" w:hAnsi="宋体" w:eastAsia="仿宋_GB2312"/>
          <w:color w:val="auto"/>
          <w:sz w:val="24"/>
          <w:szCs w:val="24"/>
        </w:rPr>
      </w:pPr>
      <w:r>
        <w:rPr>
          <w:rFonts w:hint="eastAsia" w:ascii="仿宋_GB2312" w:hAnsi="宋体" w:eastAsia="仿宋_GB2312"/>
          <w:color w:val="auto"/>
          <w:sz w:val="24"/>
          <w:szCs w:val="24"/>
        </w:rPr>
        <w:t>表3：凤岗项目委外环境监测方案</w:t>
      </w:r>
    </w:p>
    <w:bookmarkEnd w:id="2"/>
    <w:tbl>
      <w:tblPr>
        <w:tblStyle w:val="13"/>
        <w:tblW w:w="0" w:type="auto"/>
        <w:tblInd w:w="-147" w:type="dxa"/>
        <w:tblLayout w:type="autofit"/>
        <w:tblCellMar>
          <w:top w:w="0" w:type="dxa"/>
          <w:left w:w="108" w:type="dxa"/>
          <w:bottom w:w="0" w:type="dxa"/>
          <w:right w:w="108" w:type="dxa"/>
        </w:tblCellMar>
      </w:tblPr>
      <w:tblGrid>
        <w:gridCol w:w="627"/>
        <w:gridCol w:w="676"/>
        <w:gridCol w:w="2292"/>
        <w:gridCol w:w="1593"/>
        <w:gridCol w:w="1007"/>
        <w:gridCol w:w="1544"/>
        <w:gridCol w:w="930"/>
      </w:tblGrid>
      <w:tr w14:paraId="337A355D">
        <w:trPr>
          <w:trHeight w:val="692" w:hRule="atLeast"/>
          <w:tblHeader/>
        </w:trPr>
        <w:tc>
          <w:tcPr>
            <w:tcW w:w="627" w:type="dxa"/>
            <w:tcBorders>
              <w:top w:val="single" w:color="auto" w:sz="4" w:space="0"/>
              <w:left w:val="single" w:color="auto" w:sz="4" w:space="0"/>
              <w:bottom w:val="nil"/>
              <w:right w:val="single" w:color="auto" w:sz="4" w:space="0"/>
            </w:tcBorders>
            <w:shd w:val="clear" w:color="auto" w:fill="auto"/>
            <w:vAlign w:val="center"/>
          </w:tcPr>
          <w:p w14:paraId="35A310C2">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b/>
                <w:bCs/>
                <w:color w:val="auto"/>
                <w:kern w:val="0"/>
                <w:sz w:val="20"/>
                <w:szCs w:val="20"/>
              </w:rPr>
            </w:pPr>
            <w:bookmarkStart w:id="3" w:name="_Hlk137800507"/>
            <w:r>
              <w:rPr>
                <w:rFonts w:hint="eastAsia" w:ascii="仿宋_GB2312" w:hAnsi="仿宋_GB2312" w:eastAsia="仿宋_GB2312" w:cs="仿宋_GB2312"/>
                <w:b/>
                <w:bCs/>
                <w:color w:val="auto"/>
                <w:kern w:val="0"/>
                <w:sz w:val="20"/>
                <w:szCs w:val="20"/>
              </w:rPr>
              <w:t>序号</w:t>
            </w:r>
          </w:p>
        </w:tc>
        <w:tc>
          <w:tcPr>
            <w:tcW w:w="0" w:type="auto"/>
            <w:tcBorders>
              <w:top w:val="single" w:color="auto" w:sz="4" w:space="0"/>
              <w:left w:val="nil"/>
              <w:bottom w:val="nil"/>
              <w:right w:val="single" w:color="auto" w:sz="4" w:space="0"/>
            </w:tcBorders>
            <w:shd w:val="clear" w:color="auto" w:fill="auto"/>
            <w:vAlign w:val="center"/>
          </w:tcPr>
          <w:p w14:paraId="42DF0513">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b/>
                <w:bCs/>
                <w:color w:val="auto"/>
                <w:kern w:val="0"/>
                <w:sz w:val="20"/>
                <w:szCs w:val="20"/>
              </w:rPr>
            </w:pPr>
            <w:r>
              <w:rPr>
                <w:rFonts w:hint="eastAsia" w:ascii="仿宋_GB2312" w:hAnsi="仿宋_GB2312" w:eastAsia="仿宋_GB2312" w:cs="仿宋_GB2312"/>
                <w:b/>
                <w:bCs/>
                <w:color w:val="auto"/>
                <w:kern w:val="0"/>
                <w:sz w:val="20"/>
                <w:szCs w:val="20"/>
              </w:rPr>
              <w:t>项目</w:t>
            </w:r>
          </w:p>
        </w:tc>
        <w:tc>
          <w:tcPr>
            <w:tcW w:w="2292" w:type="dxa"/>
            <w:tcBorders>
              <w:top w:val="single" w:color="auto" w:sz="4" w:space="0"/>
              <w:left w:val="nil"/>
              <w:bottom w:val="nil"/>
              <w:right w:val="single" w:color="auto" w:sz="4" w:space="0"/>
            </w:tcBorders>
            <w:shd w:val="clear" w:color="auto" w:fill="auto"/>
            <w:vAlign w:val="center"/>
          </w:tcPr>
          <w:p w14:paraId="52521EE2">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b/>
                <w:bCs/>
                <w:color w:val="auto"/>
                <w:kern w:val="0"/>
                <w:sz w:val="20"/>
                <w:szCs w:val="20"/>
              </w:rPr>
            </w:pPr>
            <w:r>
              <w:rPr>
                <w:rFonts w:hint="eastAsia" w:ascii="仿宋_GB2312" w:hAnsi="仿宋_GB2312" w:eastAsia="仿宋_GB2312" w:cs="仿宋_GB2312"/>
                <w:b/>
                <w:bCs/>
                <w:color w:val="auto"/>
                <w:kern w:val="0"/>
                <w:sz w:val="20"/>
                <w:szCs w:val="20"/>
              </w:rPr>
              <w:t>监测点位</w:t>
            </w:r>
          </w:p>
        </w:tc>
        <w:tc>
          <w:tcPr>
            <w:tcW w:w="1593" w:type="dxa"/>
            <w:tcBorders>
              <w:top w:val="single" w:color="auto" w:sz="4" w:space="0"/>
              <w:left w:val="nil"/>
              <w:bottom w:val="nil"/>
              <w:right w:val="single" w:color="auto" w:sz="4" w:space="0"/>
            </w:tcBorders>
            <w:shd w:val="clear" w:color="auto" w:fill="auto"/>
            <w:vAlign w:val="center"/>
          </w:tcPr>
          <w:p w14:paraId="551FD6FD">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b/>
                <w:bCs/>
                <w:color w:val="auto"/>
                <w:kern w:val="0"/>
                <w:sz w:val="20"/>
                <w:szCs w:val="20"/>
              </w:rPr>
            </w:pPr>
            <w:r>
              <w:rPr>
                <w:rFonts w:hint="eastAsia" w:ascii="仿宋_GB2312" w:hAnsi="仿宋_GB2312" w:eastAsia="仿宋_GB2312" w:cs="仿宋_GB2312"/>
                <w:b/>
                <w:bCs/>
                <w:color w:val="auto"/>
                <w:kern w:val="0"/>
                <w:sz w:val="20"/>
                <w:szCs w:val="20"/>
              </w:rPr>
              <w:t>监测因子</w:t>
            </w:r>
          </w:p>
        </w:tc>
        <w:tc>
          <w:tcPr>
            <w:tcW w:w="1007" w:type="dxa"/>
            <w:tcBorders>
              <w:top w:val="single" w:color="auto" w:sz="4" w:space="0"/>
              <w:left w:val="nil"/>
              <w:bottom w:val="nil"/>
              <w:right w:val="single" w:color="auto" w:sz="4" w:space="0"/>
            </w:tcBorders>
            <w:shd w:val="clear" w:color="auto" w:fill="auto"/>
            <w:vAlign w:val="center"/>
          </w:tcPr>
          <w:p w14:paraId="0DE765EE">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b/>
                <w:bCs/>
                <w:color w:val="auto"/>
                <w:kern w:val="0"/>
                <w:sz w:val="20"/>
                <w:szCs w:val="20"/>
              </w:rPr>
            </w:pPr>
            <w:r>
              <w:rPr>
                <w:rFonts w:hint="eastAsia" w:ascii="仿宋_GB2312" w:hAnsi="仿宋_GB2312" w:eastAsia="仿宋_GB2312" w:cs="仿宋_GB2312"/>
                <w:b/>
                <w:bCs/>
                <w:color w:val="auto"/>
                <w:kern w:val="0"/>
                <w:sz w:val="20"/>
                <w:szCs w:val="20"/>
              </w:rPr>
              <w:t>监测频次</w:t>
            </w:r>
          </w:p>
        </w:tc>
        <w:tc>
          <w:tcPr>
            <w:tcW w:w="1544" w:type="dxa"/>
            <w:tcBorders>
              <w:top w:val="single" w:color="auto" w:sz="4" w:space="0"/>
              <w:left w:val="nil"/>
              <w:bottom w:val="nil"/>
              <w:right w:val="single" w:color="auto" w:sz="4" w:space="0"/>
            </w:tcBorders>
            <w:shd w:val="clear" w:color="auto" w:fill="auto"/>
            <w:vAlign w:val="center"/>
          </w:tcPr>
          <w:p w14:paraId="2BC7F4DD">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b/>
                <w:bCs/>
                <w:color w:val="auto"/>
                <w:kern w:val="0"/>
                <w:sz w:val="20"/>
                <w:szCs w:val="20"/>
              </w:rPr>
            </w:pPr>
            <w:r>
              <w:rPr>
                <w:rFonts w:hint="eastAsia" w:ascii="仿宋_GB2312" w:hAnsi="仿宋_GB2312" w:eastAsia="仿宋_GB2312" w:cs="仿宋_GB2312"/>
                <w:b/>
                <w:bCs/>
                <w:color w:val="auto"/>
                <w:kern w:val="0"/>
                <w:sz w:val="20"/>
                <w:szCs w:val="20"/>
              </w:rPr>
              <w:t>备注</w:t>
            </w:r>
          </w:p>
        </w:tc>
        <w:tc>
          <w:tcPr>
            <w:tcW w:w="930" w:type="dxa"/>
            <w:tcBorders>
              <w:top w:val="single" w:color="auto" w:sz="4" w:space="0"/>
              <w:left w:val="nil"/>
              <w:bottom w:val="single" w:color="auto" w:sz="4" w:space="0"/>
              <w:right w:val="single" w:color="auto" w:sz="4" w:space="0"/>
            </w:tcBorders>
            <w:shd w:val="clear" w:color="000000" w:fill="BEBEBE"/>
            <w:vAlign w:val="center"/>
          </w:tcPr>
          <w:p w14:paraId="55A429DB">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b/>
                <w:bCs/>
                <w:color w:val="auto"/>
                <w:kern w:val="0"/>
                <w:sz w:val="20"/>
                <w:szCs w:val="20"/>
              </w:rPr>
            </w:pPr>
            <w:r>
              <w:rPr>
                <w:rFonts w:hint="eastAsia" w:ascii="仿宋_GB2312" w:hAnsi="仿宋_GB2312" w:eastAsia="仿宋_GB2312" w:cs="仿宋_GB2312"/>
                <w:b/>
                <w:bCs/>
                <w:color w:val="auto"/>
                <w:kern w:val="0"/>
                <w:sz w:val="20"/>
                <w:szCs w:val="20"/>
              </w:rPr>
              <w:t>年样品数量</w:t>
            </w:r>
          </w:p>
        </w:tc>
      </w:tr>
      <w:tr w14:paraId="69A2C5A6">
        <w:tblPrEx>
          <w:tblCellMar>
            <w:top w:w="0" w:type="dxa"/>
            <w:left w:w="108" w:type="dxa"/>
            <w:bottom w:w="0" w:type="dxa"/>
            <w:right w:w="108" w:type="dxa"/>
          </w:tblCellMar>
        </w:tblPrEx>
        <w:trPr>
          <w:trHeight w:val="1339" w:hRule="atLeast"/>
        </w:trPr>
        <w:tc>
          <w:tcPr>
            <w:tcW w:w="627" w:type="dxa"/>
            <w:tcBorders>
              <w:top w:val="single" w:color="auto" w:sz="4" w:space="0"/>
              <w:left w:val="single" w:color="auto" w:sz="4" w:space="0"/>
              <w:bottom w:val="single" w:color="auto" w:sz="4" w:space="0"/>
              <w:right w:val="single" w:color="auto" w:sz="4" w:space="0"/>
            </w:tcBorders>
            <w:shd w:val="clear" w:color="auto" w:fill="auto"/>
            <w:vAlign w:val="center"/>
          </w:tcPr>
          <w:p w14:paraId="11145243">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w:t>
            </w:r>
          </w:p>
        </w:tc>
        <w:tc>
          <w:tcPr>
            <w:tcW w:w="0" w:type="auto"/>
            <w:vMerge w:val="restart"/>
            <w:tcBorders>
              <w:top w:val="single" w:color="auto" w:sz="4" w:space="0"/>
              <w:left w:val="single" w:color="auto" w:sz="4" w:space="0"/>
              <w:bottom w:val="single" w:color="000000" w:sz="4" w:space="0"/>
              <w:right w:val="single" w:color="auto" w:sz="4" w:space="0"/>
            </w:tcBorders>
            <w:shd w:val="clear" w:color="auto" w:fill="auto"/>
            <w:vAlign w:val="center"/>
          </w:tcPr>
          <w:p w14:paraId="4B0EA1C2">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废水</w:t>
            </w:r>
          </w:p>
        </w:tc>
        <w:tc>
          <w:tcPr>
            <w:tcW w:w="2292"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14:paraId="08B824C1">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废水排放口DW001</w:t>
            </w:r>
          </w:p>
        </w:tc>
        <w:tc>
          <w:tcPr>
            <w:tcW w:w="1593" w:type="dxa"/>
            <w:tcBorders>
              <w:top w:val="single" w:color="auto" w:sz="4" w:space="0"/>
              <w:left w:val="nil"/>
              <w:bottom w:val="single" w:color="auto" w:sz="4" w:space="0"/>
              <w:right w:val="single" w:color="auto" w:sz="4" w:space="0"/>
            </w:tcBorders>
            <w:shd w:val="clear" w:color="auto" w:fill="auto"/>
            <w:vAlign w:val="center"/>
          </w:tcPr>
          <w:p w14:paraId="3D0B2F6A">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化学需氧量、氨氮、总磷、总氮</w:t>
            </w:r>
          </w:p>
        </w:tc>
        <w:tc>
          <w:tcPr>
            <w:tcW w:w="1007" w:type="dxa"/>
            <w:tcBorders>
              <w:top w:val="single" w:color="auto" w:sz="4" w:space="0"/>
              <w:left w:val="nil"/>
              <w:bottom w:val="single" w:color="auto" w:sz="4" w:space="0"/>
              <w:right w:val="single" w:color="auto" w:sz="4" w:space="0"/>
            </w:tcBorders>
            <w:shd w:val="clear" w:color="auto" w:fill="auto"/>
            <w:vAlign w:val="center"/>
          </w:tcPr>
          <w:p w14:paraId="453400D3">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i w:val="0"/>
                <w:iCs w:val="0"/>
                <w:color w:val="auto"/>
                <w:kern w:val="0"/>
                <w:sz w:val="20"/>
                <w:szCs w:val="20"/>
                <w:u w:val="none"/>
                <w:lang w:val="en-US" w:eastAsia="zh-CN" w:bidi="ar"/>
              </w:rPr>
              <w:t>1次/月</w:t>
            </w:r>
          </w:p>
        </w:tc>
        <w:tc>
          <w:tcPr>
            <w:tcW w:w="1544" w:type="dxa"/>
            <w:tcBorders>
              <w:top w:val="single" w:color="auto" w:sz="4" w:space="0"/>
              <w:left w:val="nil"/>
              <w:bottom w:val="single" w:color="auto" w:sz="4" w:space="0"/>
              <w:right w:val="single" w:color="auto" w:sz="4" w:space="0"/>
            </w:tcBorders>
            <w:shd w:val="clear" w:color="auto" w:fill="auto"/>
            <w:vAlign w:val="center"/>
          </w:tcPr>
          <w:p w14:paraId="53AACB13">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i w:val="0"/>
                <w:iCs w:val="0"/>
                <w:color w:val="auto"/>
                <w:kern w:val="0"/>
                <w:sz w:val="20"/>
                <w:szCs w:val="20"/>
                <w:u w:val="none"/>
                <w:lang w:val="en-US" w:eastAsia="zh-CN" w:bidi="ar"/>
              </w:rPr>
              <w:t>每4小时采样一次，24 小时不少于三次。</w:t>
            </w:r>
          </w:p>
        </w:tc>
        <w:tc>
          <w:tcPr>
            <w:tcW w:w="930" w:type="dxa"/>
            <w:tcBorders>
              <w:top w:val="nil"/>
              <w:left w:val="nil"/>
              <w:bottom w:val="single" w:color="auto" w:sz="4" w:space="0"/>
              <w:right w:val="single" w:color="auto" w:sz="4" w:space="0"/>
            </w:tcBorders>
            <w:shd w:val="clear" w:color="auto" w:fill="auto"/>
            <w:vAlign w:val="center"/>
          </w:tcPr>
          <w:p w14:paraId="7D5A19DA">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i w:val="0"/>
                <w:iCs w:val="0"/>
                <w:color w:val="auto"/>
                <w:kern w:val="0"/>
                <w:sz w:val="20"/>
                <w:szCs w:val="20"/>
                <w:u w:val="none"/>
                <w:lang w:val="en-US" w:eastAsia="zh-CN" w:bidi="ar"/>
              </w:rPr>
              <w:t>36</w:t>
            </w:r>
          </w:p>
        </w:tc>
      </w:tr>
      <w:tr w14:paraId="1BDC3FF1">
        <w:tblPrEx>
          <w:tblCellMar>
            <w:top w:w="0" w:type="dxa"/>
            <w:left w:w="108" w:type="dxa"/>
            <w:bottom w:w="0" w:type="dxa"/>
            <w:right w:w="108" w:type="dxa"/>
          </w:tblCellMar>
        </w:tblPrEx>
        <w:trPr>
          <w:trHeight w:val="1339" w:hRule="atLeast"/>
        </w:trPr>
        <w:tc>
          <w:tcPr>
            <w:tcW w:w="627" w:type="dxa"/>
            <w:tcBorders>
              <w:top w:val="nil"/>
              <w:left w:val="single" w:color="auto" w:sz="4" w:space="0"/>
              <w:bottom w:val="single" w:color="auto" w:sz="4" w:space="0"/>
              <w:right w:val="single" w:color="auto" w:sz="4" w:space="0"/>
            </w:tcBorders>
            <w:shd w:val="clear" w:color="auto" w:fill="auto"/>
            <w:vAlign w:val="center"/>
          </w:tcPr>
          <w:p w14:paraId="19801963">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2</w:t>
            </w:r>
          </w:p>
        </w:tc>
        <w:tc>
          <w:tcPr>
            <w:tcW w:w="0" w:type="auto"/>
            <w:vMerge w:val="continue"/>
            <w:tcBorders>
              <w:top w:val="single" w:color="auto" w:sz="4" w:space="0"/>
              <w:left w:val="single" w:color="auto" w:sz="4" w:space="0"/>
              <w:bottom w:val="single" w:color="000000" w:sz="4" w:space="0"/>
              <w:right w:val="single" w:color="auto" w:sz="4" w:space="0"/>
            </w:tcBorders>
            <w:vAlign w:val="center"/>
          </w:tcPr>
          <w:p w14:paraId="197AFADF">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p>
        </w:tc>
        <w:tc>
          <w:tcPr>
            <w:tcW w:w="2292" w:type="dxa"/>
            <w:vMerge w:val="continue"/>
            <w:tcBorders>
              <w:top w:val="single" w:color="auto" w:sz="4" w:space="0"/>
              <w:left w:val="single" w:color="auto" w:sz="4" w:space="0"/>
              <w:bottom w:val="single" w:color="000000" w:sz="4" w:space="0"/>
              <w:right w:val="single" w:color="auto" w:sz="4" w:space="0"/>
            </w:tcBorders>
            <w:vAlign w:val="center"/>
          </w:tcPr>
          <w:p w14:paraId="2439D98C">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p>
        </w:tc>
        <w:tc>
          <w:tcPr>
            <w:tcW w:w="1593" w:type="dxa"/>
            <w:tcBorders>
              <w:top w:val="nil"/>
              <w:left w:val="nil"/>
              <w:bottom w:val="single" w:color="auto" w:sz="4" w:space="0"/>
              <w:right w:val="single" w:color="auto" w:sz="4" w:space="0"/>
            </w:tcBorders>
            <w:shd w:val="clear" w:color="auto" w:fill="auto"/>
            <w:vAlign w:val="center"/>
          </w:tcPr>
          <w:p w14:paraId="67E130A3">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悬浮物、五日生化需氧量、粪大肠菌群</w:t>
            </w:r>
          </w:p>
        </w:tc>
        <w:tc>
          <w:tcPr>
            <w:tcW w:w="1007" w:type="dxa"/>
            <w:tcBorders>
              <w:top w:val="nil"/>
              <w:left w:val="nil"/>
              <w:bottom w:val="single" w:color="auto" w:sz="4" w:space="0"/>
              <w:right w:val="single" w:color="auto" w:sz="4" w:space="0"/>
            </w:tcBorders>
            <w:shd w:val="clear" w:color="auto" w:fill="auto"/>
            <w:vAlign w:val="center"/>
          </w:tcPr>
          <w:p w14:paraId="6B85BCA1">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i w:val="0"/>
                <w:iCs w:val="0"/>
                <w:color w:val="auto"/>
                <w:kern w:val="0"/>
                <w:sz w:val="20"/>
                <w:szCs w:val="20"/>
                <w:u w:val="none"/>
                <w:lang w:val="en-US" w:eastAsia="zh-CN" w:bidi="ar"/>
              </w:rPr>
              <w:t>1次/季度</w:t>
            </w:r>
          </w:p>
        </w:tc>
        <w:tc>
          <w:tcPr>
            <w:tcW w:w="1544" w:type="dxa"/>
            <w:tcBorders>
              <w:top w:val="nil"/>
              <w:left w:val="nil"/>
              <w:bottom w:val="single" w:color="auto" w:sz="4" w:space="0"/>
              <w:right w:val="single" w:color="auto" w:sz="4" w:space="0"/>
            </w:tcBorders>
            <w:shd w:val="clear" w:color="auto" w:fill="auto"/>
            <w:vAlign w:val="center"/>
          </w:tcPr>
          <w:p w14:paraId="4BC9D343">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i w:val="0"/>
                <w:iCs w:val="0"/>
                <w:color w:val="auto"/>
                <w:kern w:val="0"/>
                <w:sz w:val="20"/>
                <w:szCs w:val="20"/>
                <w:u w:val="none"/>
                <w:lang w:val="en-US" w:eastAsia="zh-CN" w:bidi="ar"/>
              </w:rPr>
              <w:t>每4小时采样一次，24 小时不少于三次。</w:t>
            </w:r>
          </w:p>
        </w:tc>
        <w:tc>
          <w:tcPr>
            <w:tcW w:w="930" w:type="dxa"/>
            <w:tcBorders>
              <w:top w:val="nil"/>
              <w:left w:val="nil"/>
              <w:bottom w:val="single" w:color="auto" w:sz="4" w:space="0"/>
              <w:right w:val="single" w:color="auto" w:sz="4" w:space="0"/>
            </w:tcBorders>
            <w:shd w:val="clear" w:color="auto" w:fill="auto"/>
            <w:vAlign w:val="center"/>
          </w:tcPr>
          <w:p w14:paraId="42AAA19A">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i w:val="0"/>
                <w:iCs w:val="0"/>
                <w:color w:val="auto"/>
                <w:kern w:val="0"/>
                <w:sz w:val="20"/>
                <w:szCs w:val="20"/>
                <w:u w:val="none"/>
                <w:lang w:val="en-US" w:eastAsia="zh-CN" w:bidi="ar"/>
              </w:rPr>
              <w:t>12</w:t>
            </w:r>
          </w:p>
        </w:tc>
      </w:tr>
      <w:tr w14:paraId="1ED61FA7">
        <w:tblPrEx>
          <w:tblCellMar>
            <w:top w:w="0" w:type="dxa"/>
            <w:left w:w="108" w:type="dxa"/>
            <w:bottom w:w="0" w:type="dxa"/>
            <w:right w:w="108" w:type="dxa"/>
          </w:tblCellMar>
        </w:tblPrEx>
        <w:trPr>
          <w:trHeight w:val="1339" w:hRule="atLeast"/>
        </w:trPr>
        <w:tc>
          <w:tcPr>
            <w:tcW w:w="627" w:type="dxa"/>
            <w:tcBorders>
              <w:top w:val="nil"/>
              <w:left w:val="single" w:color="auto" w:sz="4" w:space="0"/>
              <w:bottom w:val="single" w:color="auto" w:sz="4" w:space="0"/>
              <w:right w:val="single" w:color="auto" w:sz="4" w:space="0"/>
            </w:tcBorders>
            <w:shd w:val="clear" w:color="auto" w:fill="auto"/>
            <w:vAlign w:val="center"/>
          </w:tcPr>
          <w:p w14:paraId="532EE058">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3</w:t>
            </w:r>
          </w:p>
        </w:tc>
        <w:tc>
          <w:tcPr>
            <w:tcW w:w="0" w:type="auto"/>
            <w:vMerge w:val="continue"/>
            <w:tcBorders>
              <w:top w:val="single" w:color="auto" w:sz="4" w:space="0"/>
              <w:left w:val="single" w:color="auto" w:sz="4" w:space="0"/>
              <w:bottom w:val="single" w:color="000000" w:sz="4" w:space="0"/>
              <w:right w:val="single" w:color="auto" w:sz="4" w:space="0"/>
            </w:tcBorders>
            <w:vAlign w:val="center"/>
          </w:tcPr>
          <w:p w14:paraId="05D9FCA8">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p>
        </w:tc>
        <w:tc>
          <w:tcPr>
            <w:tcW w:w="2292" w:type="dxa"/>
            <w:vMerge w:val="continue"/>
            <w:tcBorders>
              <w:top w:val="single" w:color="auto" w:sz="4" w:space="0"/>
              <w:left w:val="single" w:color="auto" w:sz="4" w:space="0"/>
              <w:bottom w:val="single" w:color="000000" w:sz="4" w:space="0"/>
              <w:right w:val="single" w:color="auto" w:sz="4" w:space="0"/>
            </w:tcBorders>
            <w:vAlign w:val="center"/>
          </w:tcPr>
          <w:p w14:paraId="09412C05">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p>
        </w:tc>
        <w:tc>
          <w:tcPr>
            <w:tcW w:w="1593" w:type="dxa"/>
            <w:tcBorders>
              <w:top w:val="nil"/>
              <w:left w:val="nil"/>
              <w:bottom w:val="single" w:color="auto" w:sz="4" w:space="0"/>
              <w:right w:val="single" w:color="auto" w:sz="4" w:space="0"/>
            </w:tcBorders>
            <w:shd w:val="clear" w:color="auto" w:fill="auto"/>
            <w:vAlign w:val="center"/>
          </w:tcPr>
          <w:p w14:paraId="0C5F00AC">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色度、总汞、总镉、总铬、总砷、六价铬、总铅</w:t>
            </w:r>
          </w:p>
        </w:tc>
        <w:tc>
          <w:tcPr>
            <w:tcW w:w="1007" w:type="dxa"/>
            <w:tcBorders>
              <w:top w:val="nil"/>
              <w:left w:val="nil"/>
              <w:bottom w:val="single" w:color="auto" w:sz="4" w:space="0"/>
              <w:right w:val="single" w:color="auto" w:sz="4" w:space="0"/>
            </w:tcBorders>
            <w:shd w:val="clear" w:color="auto" w:fill="auto"/>
            <w:vAlign w:val="center"/>
          </w:tcPr>
          <w:p w14:paraId="1453D789">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i w:val="0"/>
                <w:iCs w:val="0"/>
                <w:color w:val="auto"/>
                <w:kern w:val="0"/>
                <w:sz w:val="20"/>
                <w:szCs w:val="20"/>
                <w:u w:val="none"/>
                <w:lang w:val="en-US" w:eastAsia="zh-CN" w:bidi="ar"/>
              </w:rPr>
              <w:t>1次/年</w:t>
            </w:r>
          </w:p>
        </w:tc>
        <w:tc>
          <w:tcPr>
            <w:tcW w:w="1544" w:type="dxa"/>
            <w:tcBorders>
              <w:top w:val="nil"/>
              <w:left w:val="nil"/>
              <w:bottom w:val="single" w:color="auto" w:sz="4" w:space="0"/>
              <w:right w:val="single" w:color="auto" w:sz="4" w:space="0"/>
            </w:tcBorders>
            <w:shd w:val="clear" w:color="auto" w:fill="auto"/>
            <w:vAlign w:val="center"/>
          </w:tcPr>
          <w:p w14:paraId="1FCEDE53">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i w:val="0"/>
                <w:iCs w:val="0"/>
                <w:color w:val="auto"/>
                <w:kern w:val="0"/>
                <w:sz w:val="20"/>
                <w:szCs w:val="20"/>
                <w:u w:val="none"/>
                <w:lang w:val="en-US" w:eastAsia="zh-CN" w:bidi="ar"/>
              </w:rPr>
              <w:t>每4小时采样一次，24 小时不少于三次。</w:t>
            </w:r>
          </w:p>
        </w:tc>
        <w:tc>
          <w:tcPr>
            <w:tcW w:w="930" w:type="dxa"/>
            <w:tcBorders>
              <w:top w:val="nil"/>
              <w:left w:val="nil"/>
              <w:bottom w:val="single" w:color="auto" w:sz="4" w:space="0"/>
              <w:right w:val="single" w:color="auto" w:sz="4" w:space="0"/>
            </w:tcBorders>
            <w:shd w:val="clear" w:color="auto" w:fill="auto"/>
            <w:vAlign w:val="center"/>
          </w:tcPr>
          <w:p w14:paraId="14CC3C32">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i w:val="0"/>
                <w:iCs w:val="0"/>
                <w:color w:val="auto"/>
                <w:kern w:val="0"/>
                <w:sz w:val="20"/>
                <w:szCs w:val="20"/>
                <w:u w:val="none"/>
                <w:lang w:val="en-US" w:eastAsia="zh-CN" w:bidi="ar"/>
              </w:rPr>
              <w:t>3</w:t>
            </w:r>
          </w:p>
        </w:tc>
      </w:tr>
      <w:tr w14:paraId="12E851C3">
        <w:tblPrEx>
          <w:tblCellMar>
            <w:top w:w="0" w:type="dxa"/>
            <w:left w:w="108" w:type="dxa"/>
            <w:bottom w:w="0" w:type="dxa"/>
            <w:right w:w="108" w:type="dxa"/>
          </w:tblCellMar>
        </w:tblPrEx>
        <w:trPr>
          <w:trHeight w:val="1339" w:hRule="atLeast"/>
        </w:trPr>
        <w:tc>
          <w:tcPr>
            <w:tcW w:w="627" w:type="dxa"/>
            <w:tcBorders>
              <w:top w:val="nil"/>
              <w:left w:val="single" w:color="auto" w:sz="4" w:space="0"/>
              <w:bottom w:val="single" w:color="auto" w:sz="4" w:space="0"/>
              <w:right w:val="single" w:color="auto" w:sz="4" w:space="0"/>
            </w:tcBorders>
            <w:shd w:val="clear" w:color="auto" w:fill="auto"/>
            <w:vAlign w:val="center"/>
          </w:tcPr>
          <w:p w14:paraId="3A46A23E">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4</w:t>
            </w:r>
          </w:p>
        </w:tc>
        <w:tc>
          <w:tcPr>
            <w:tcW w:w="0" w:type="auto"/>
            <w:tcBorders>
              <w:top w:val="nil"/>
              <w:left w:val="nil"/>
              <w:bottom w:val="single" w:color="auto" w:sz="4" w:space="0"/>
              <w:right w:val="single" w:color="auto" w:sz="4" w:space="0"/>
            </w:tcBorders>
            <w:shd w:val="clear" w:color="auto" w:fill="auto"/>
            <w:vAlign w:val="center"/>
          </w:tcPr>
          <w:p w14:paraId="15F65963">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无组织废气</w:t>
            </w:r>
          </w:p>
        </w:tc>
        <w:tc>
          <w:tcPr>
            <w:tcW w:w="2292" w:type="dxa"/>
            <w:tcBorders>
              <w:top w:val="nil"/>
              <w:left w:val="nil"/>
              <w:bottom w:val="single" w:color="auto" w:sz="4" w:space="0"/>
              <w:right w:val="single" w:color="auto" w:sz="4" w:space="0"/>
            </w:tcBorders>
            <w:shd w:val="clear" w:color="auto" w:fill="auto"/>
            <w:vAlign w:val="center"/>
          </w:tcPr>
          <w:p w14:paraId="1B62A167">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项目周界处，上风向1个点，下风向3个点，合计4个点。</w:t>
            </w:r>
          </w:p>
        </w:tc>
        <w:tc>
          <w:tcPr>
            <w:tcW w:w="1593" w:type="dxa"/>
            <w:tcBorders>
              <w:top w:val="nil"/>
              <w:left w:val="nil"/>
              <w:bottom w:val="single" w:color="auto" w:sz="4" w:space="0"/>
              <w:right w:val="single" w:color="auto" w:sz="4" w:space="0"/>
            </w:tcBorders>
            <w:shd w:val="clear" w:color="auto" w:fill="auto"/>
            <w:vAlign w:val="center"/>
          </w:tcPr>
          <w:p w14:paraId="77852822">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硫化氢、氨（氨气）、臭气浓度</w:t>
            </w:r>
          </w:p>
        </w:tc>
        <w:tc>
          <w:tcPr>
            <w:tcW w:w="1007" w:type="dxa"/>
            <w:tcBorders>
              <w:top w:val="nil"/>
              <w:left w:val="nil"/>
              <w:bottom w:val="single" w:color="auto" w:sz="4" w:space="0"/>
              <w:right w:val="single" w:color="auto" w:sz="4" w:space="0"/>
            </w:tcBorders>
            <w:shd w:val="clear" w:color="auto" w:fill="auto"/>
            <w:vAlign w:val="center"/>
          </w:tcPr>
          <w:p w14:paraId="35636CC8">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1次/季度</w:t>
            </w:r>
          </w:p>
        </w:tc>
        <w:tc>
          <w:tcPr>
            <w:tcW w:w="1544" w:type="dxa"/>
            <w:tcBorders>
              <w:top w:val="nil"/>
              <w:left w:val="nil"/>
              <w:bottom w:val="single" w:color="auto" w:sz="4" w:space="0"/>
              <w:right w:val="single" w:color="auto" w:sz="4" w:space="0"/>
            </w:tcBorders>
            <w:shd w:val="clear" w:color="auto" w:fill="auto"/>
            <w:vAlign w:val="center"/>
          </w:tcPr>
          <w:p w14:paraId="5EEB7850">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恶臭污染监测样品采集不少于4次，取最大测定值。</w:t>
            </w:r>
          </w:p>
        </w:tc>
        <w:tc>
          <w:tcPr>
            <w:tcW w:w="930" w:type="dxa"/>
            <w:tcBorders>
              <w:top w:val="nil"/>
              <w:left w:val="nil"/>
              <w:bottom w:val="single" w:color="auto" w:sz="4" w:space="0"/>
              <w:right w:val="single" w:color="auto" w:sz="4" w:space="0"/>
            </w:tcBorders>
            <w:shd w:val="clear" w:color="auto" w:fill="auto"/>
            <w:vAlign w:val="center"/>
          </w:tcPr>
          <w:p w14:paraId="0BAB7DA1">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64</w:t>
            </w:r>
          </w:p>
        </w:tc>
      </w:tr>
      <w:tr w14:paraId="6327C643">
        <w:tblPrEx>
          <w:tblCellMar>
            <w:top w:w="0" w:type="dxa"/>
            <w:left w:w="108" w:type="dxa"/>
            <w:bottom w:w="0" w:type="dxa"/>
            <w:right w:w="108" w:type="dxa"/>
          </w:tblCellMar>
        </w:tblPrEx>
        <w:trPr>
          <w:trHeight w:val="1339" w:hRule="atLeast"/>
        </w:trPr>
        <w:tc>
          <w:tcPr>
            <w:tcW w:w="627" w:type="dxa"/>
            <w:tcBorders>
              <w:top w:val="nil"/>
              <w:left w:val="single" w:color="auto" w:sz="4" w:space="0"/>
              <w:bottom w:val="single" w:color="auto" w:sz="4" w:space="0"/>
              <w:right w:val="single" w:color="auto" w:sz="4" w:space="0"/>
            </w:tcBorders>
            <w:shd w:val="clear" w:color="auto" w:fill="auto"/>
            <w:vAlign w:val="center"/>
          </w:tcPr>
          <w:p w14:paraId="1D798C4A">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5</w:t>
            </w:r>
          </w:p>
        </w:tc>
        <w:tc>
          <w:tcPr>
            <w:tcW w:w="0" w:type="auto"/>
            <w:tcBorders>
              <w:top w:val="nil"/>
              <w:left w:val="nil"/>
              <w:bottom w:val="single" w:color="auto" w:sz="4" w:space="0"/>
              <w:right w:val="single" w:color="auto" w:sz="4" w:space="0"/>
            </w:tcBorders>
            <w:shd w:val="clear" w:color="auto" w:fill="auto"/>
            <w:vAlign w:val="center"/>
          </w:tcPr>
          <w:p w14:paraId="113A6661">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有组织废气</w:t>
            </w:r>
          </w:p>
        </w:tc>
        <w:tc>
          <w:tcPr>
            <w:tcW w:w="2292" w:type="dxa"/>
            <w:tcBorders>
              <w:top w:val="nil"/>
              <w:left w:val="nil"/>
              <w:bottom w:val="single" w:color="auto" w:sz="4" w:space="0"/>
              <w:right w:val="single" w:color="auto" w:sz="4" w:space="0"/>
            </w:tcBorders>
            <w:shd w:val="clear" w:color="auto" w:fill="auto"/>
            <w:vAlign w:val="center"/>
          </w:tcPr>
          <w:p w14:paraId="194BB98F">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除臭设备排放口</w:t>
            </w:r>
          </w:p>
        </w:tc>
        <w:tc>
          <w:tcPr>
            <w:tcW w:w="1593" w:type="dxa"/>
            <w:tcBorders>
              <w:top w:val="nil"/>
              <w:left w:val="nil"/>
              <w:bottom w:val="single" w:color="auto" w:sz="4" w:space="0"/>
              <w:right w:val="single" w:color="auto" w:sz="4" w:space="0"/>
            </w:tcBorders>
            <w:shd w:val="clear" w:color="auto" w:fill="auto"/>
            <w:vAlign w:val="center"/>
          </w:tcPr>
          <w:p w14:paraId="763A0C26">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硫化氢、氨（氨气）、臭气浓度</w:t>
            </w:r>
          </w:p>
        </w:tc>
        <w:tc>
          <w:tcPr>
            <w:tcW w:w="1007" w:type="dxa"/>
            <w:tcBorders>
              <w:top w:val="nil"/>
              <w:left w:val="nil"/>
              <w:bottom w:val="single" w:color="auto" w:sz="4" w:space="0"/>
              <w:right w:val="single" w:color="auto" w:sz="4" w:space="0"/>
            </w:tcBorders>
            <w:shd w:val="clear" w:color="auto" w:fill="auto"/>
            <w:vAlign w:val="center"/>
          </w:tcPr>
          <w:p w14:paraId="03FB14BA">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1次/半年</w:t>
            </w:r>
          </w:p>
        </w:tc>
        <w:tc>
          <w:tcPr>
            <w:tcW w:w="1544" w:type="dxa"/>
            <w:tcBorders>
              <w:top w:val="nil"/>
              <w:left w:val="nil"/>
              <w:bottom w:val="single" w:color="auto" w:sz="4" w:space="0"/>
              <w:right w:val="single" w:color="auto" w:sz="4" w:space="0"/>
            </w:tcBorders>
            <w:shd w:val="clear" w:color="auto" w:fill="auto"/>
            <w:vAlign w:val="center"/>
          </w:tcPr>
          <w:p w14:paraId="552C94D2">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恶臭污染监测样品采集不少于3次，取最大测定值。</w:t>
            </w:r>
          </w:p>
        </w:tc>
        <w:tc>
          <w:tcPr>
            <w:tcW w:w="930" w:type="dxa"/>
            <w:tcBorders>
              <w:top w:val="nil"/>
              <w:left w:val="nil"/>
              <w:bottom w:val="single" w:color="auto" w:sz="4" w:space="0"/>
              <w:right w:val="single" w:color="auto" w:sz="4" w:space="0"/>
            </w:tcBorders>
            <w:shd w:val="clear" w:color="auto" w:fill="auto"/>
            <w:vAlign w:val="center"/>
          </w:tcPr>
          <w:p w14:paraId="3D9672B3">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6</w:t>
            </w:r>
          </w:p>
        </w:tc>
      </w:tr>
      <w:tr w14:paraId="11D06A49">
        <w:tblPrEx>
          <w:tblCellMar>
            <w:top w:w="0" w:type="dxa"/>
            <w:left w:w="108" w:type="dxa"/>
            <w:bottom w:w="0" w:type="dxa"/>
            <w:right w:w="108" w:type="dxa"/>
          </w:tblCellMar>
        </w:tblPrEx>
        <w:trPr>
          <w:trHeight w:val="1339" w:hRule="atLeast"/>
        </w:trPr>
        <w:tc>
          <w:tcPr>
            <w:tcW w:w="627" w:type="dxa"/>
            <w:tcBorders>
              <w:top w:val="nil"/>
              <w:left w:val="single" w:color="auto" w:sz="4" w:space="0"/>
              <w:bottom w:val="single" w:color="auto" w:sz="4" w:space="0"/>
              <w:right w:val="single" w:color="auto" w:sz="4" w:space="0"/>
            </w:tcBorders>
            <w:shd w:val="clear" w:color="auto" w:fill="auto"/>
            <w:vAlign w:val="center"/>
          </w:tcPr>
          <w:p w14:paraId="0EA8D5A9">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6</w:t>
            </w:r>
          </w:p>
        </w:tc>
        <w:tc>
          <w:tcPr>
            <w:tcW w:w="0" w:type="auto"/>
            <w:tcBorders>
              <w:top w:val="nil"/>
              <w:left w:val="nil"/>
              <w:bottom w:val="single" w:color="auto" w:sz="4" w:space="0"/>
              <w:right w:val="single" w:color="auto" w:sz="4" w:space="0"/>
            </w:tcBorders>
            <w:shd w:val="clear" w:color="auto" w:fill="auto"/>
            <w:vAlign w:val="center"/>
          </w:tcPr>
          <w:p w14:paraId="7D4A6FFA">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厂界噪声</w:t>
            </w:r>
          </w:p>
        </w:tc>
        <w:tc>
          <w:tcPr>
            <w:tcW w:w="2292" w:type="dxa"/>
            <w:tcBorders>
              <w:top w:val="nil"/>
              <w:left w:val="nil"/>
              <w:bottom w:val="single" w:color="auto" w:sz="4" w:space="0"/>
              <w:right w:val="single" w:color="auto" w:sz="4" w:space="0"/>
            </w:tcBorders>
            <w:shd w:val="clear" w:color="auto" w:fill="auto"/>
            <w:vAlign w:val="center"/>
          </w:tcPr>
          <w:p w14:paraId="498F19F2">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东、南、西、北四个方向各取一个点（V1、V2、V3、V4，合计4个点。）</w:t>
            </w:r>
          </w:p>
        </w:tc>
        <w:tc>
          <w:tcPr>
            <w:tcW w:w="1593" w:type="dxa"/>
            <w:tcBorders>
              <w:top w:val="nil"/>
              <w:left w:val="nil"/>
              <w:bottom w:val="single" w:color="auto" w:sz="4" w:space="0"/>
              <w:right w:val="single" w:color="auto" w:sz="4" w:space="0"/>
            </w:tcBorders>
            <w:shd w:val="clear" w:color="auto" w:fill="auto"/>
            <w:vAlign w:val="center"/>
          </w:tcPr>
          <w:p w14:paraId="6D413C45">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厂界噪声，等效连续A声级、夜间频发噪声最大声级</w:t>
            </w:r>
          </w:p>
          <w:p w14:paraId="0D6D9AA8">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、夜间偶发噪声最大声级</w:t>
            </w:r>
          </w:p>
        </w:tc>
        <w:tc>
          <w:tcPr>
            <w:tcW w:w="1007" w:type="dxa"/>
            <w:tcBorders>
              <w:top w:val="nil"/>
              <w:left w:val="nil"/>
              <w:bottom w:val="single" w:color="auto" w:sz="4" w:space="0"/>
              <w:right w:val="single" w:color="auto" w:sz="4" w:space="0"/>
            </w:tcBorders>
            <w:shd w:val="clear" w:color="auto" w:fill="auto"/>
            <w:vAlign w:val="center"/>
          </w:tcPr>
          <w:p w14:paraId="66A6860C">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1次/季</w:t>
            </w:r>
          </w:p>
        </w:tc>
        <w:tc>
          <w:tcPr>
            <w:tcW w:w="1544" w:type="dxa"/>
            <w:tcBorders>
              <w:top w:val="nil"/>
              <w:left w:val="nil"/>
              <w:bottom w:val="single" w:color="auto" w:sz="4" w:space="0"/>
              <w:right w:val="single" w:color="auto" w:sz="4" w:space="0"/>
            </w:tcBorders>
            <w:shd w:val="clear" w:color="auto" w:fill="auto"/>
            <w:vAlign w:val="center"/>
          </w:tcPr>
          <w:p w14:paraId="663DF4A4">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每个监测点每期监测需昼、夜各测1次</w:t>
            </w:r>
          </w:p>
        </w:tc>
        <w:tc>
          <w:tcPr>
            <w:tcW w:w="930" w:type="dxa"/>
            <w:tcBorders>
              <w:top w:val="nil"/>
              <w:left w:val="nil"/>
              <w:bottom w:val="single" w:color="auto" w:sz="4" w:space="0"/>
              <w:right w:val="single" w:color="auto" w:sz="4" w:space="0"/>
            </w:tcBorders>
            <w:shd w:val="clear" w:color="auto" w:fill="auto"/>
            <w:vAlign w:val="center"/>
          </w:tcPr>
          <w:p w14:paraId="70A5245D">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val="en-US" w:eastAsia="zh-CN"/>
              </w:rPr>
            </w:pPr>
            <w:r>
              <w:rPr>
                <w:rFonts w:hint="eastAsia" w:ascii="仿宋_GB2312" w:hAnsi="仿宋_GB2312" w:eastAsia="仿宋_GB2312" w:cs="仿宋_GB2312"/>
                <w:color w:val="auto"/>
                <w:kern w:val="0"/>
                <w:sz w:val="20"/>
                <w:szCs w:val="20"/>
                <w:lang w:val="en-US" w:eastAsia="zh-CN"/>
              </w:rPr>
              <w:t>32</w:t>
            </w:r>
          </w:p>
        </w:tc>
      </w:tr>
      <w:tr w14:paraId="6BC56876">
        <w:tblPrEx>
          <w:tblCellMar>
            <w:top w:w="0" w:type="dxa"/>
            <w:left w:w="108" w:type="dxa"/>
            <w:bottom w:w="0" w:type="dxa"/>
            <w:right w:w="108" w:type="dxa"/>
          </w:tblCellMar>
        </w:tblPrEx>
        <w:trPr>
          <w:trHeight w:val="1339" w:hRule="atLeast"/>
        </w:trPr>
        <w:tc>
          <w:tcPr>
            <w:tcW w:w="627" w:type="dxa"/>
            <w:tcBorders>
              <w:top w:val="nil"/>
              <w:left w:val="single" w:color="auto" w:sz="4" w:space="0"/>
              <w:bottom w:val="single" w:color="auto" w:sz="4" w:space="0"/>
              <w:right w:val="single" w:color="auto" w:sz="4" w:space="0"/>
            </w:tcBorders>
            <w:shd w:val="clear" w:color="auto" w:fill="auto"/>
            <w:vAlign w:val="center"/>
          </w:tcPr>
          <w:p w14:paraId="472671B1">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7</w:t>
            </w:r>
          </w:p>
        </w:tc>
        <w:tc>
          <w:tcPr>
            <w:tcW w:w="0" w:type="auto"/>
            <w:tcBorders>
              <w:top w:val="nil"/>
              <w:left w:val="nil"/>
              <w:bottom w:val="single" w:color="auto" w:sz="4" w:space="0"/>
              <w:right w:val="single" w:color="auto" w:sz="4" w:space="0"/>
            </w:tcBorders>
            <w:shd w:val="clear" w:color="auto" w:fill="auto"/>
            <w:vAlign w:val="center"/>
          </w:tcPr>
          <w:p w14:paraId="7E954991">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厂内设备噪声</w:t>
            </w:r>
          </w:p>
        </w:tc>
        <w:tc>
          <w:tcPr>
            <w:tcW w:w="2292" w:type="dxa"/>
            <w:tcBorders>
              <w:top w:val="nil"/>
              <w:left w:val="nil"/>
              <w:bottom w:val="single" w:color="auto" w:sz="4" w:space="0"/>
              <w:right w:val="single" w:color="auto" w:sz="4" w:space="0"/>
            </w:tcBorders>
            <w:shd w:val="clear" w:color="auto" w:fill="auto"/>
            <w:vAlign w:val="center"/>
          </w:tcPr>
          <w:p w14:paraId="0DADB1B8">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废气处理设施、废水处理设施共6个点</w:t>
            </w:r>
          </w:p>
        </w:tc>
        <w:tc>
          <w:tcPr>
            <w:tcW w:w="1593" w:type="dxa"/>
            <w:tcBorders>
              <w:top w:val="nil"/>
              <w:left w:val="nil"/>
              <w:bottom w:val="single" w:color="auto" w:sz="4" w:space="0"/>
              <w:right w:val="single" w:color="auto" w:sz="4" w:space="0"/>
            </w:tcBorders>
            <w:shd w:val="clear" w:color="auto" w:fill="auto"/>
            <w:vAlign w:val="center"/>
          </w:tcPr>
          <w:p w14:paraId="385034E9">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sz w:val="20"/>
                <w:szCs w:val="20"/>
              </w:rPr>
              <w:t>设备运行噪声</w:t>
            </w:r>
          </w:p>
        </w:tc>
        <w:tc>
          <w:tcPr>
            <w:tcW w:w="1007" w:type="dxa"/>
            <w:tcBorders>
              <w:top w:val="nil"/>
              <w:left w:val="nil"/>
              <w:bottom w:val="single" w:color="auto" w:sz="4" w:space="0"/>
              <w:right w:val="single" w:color="auto" w:sz="4" w:space="0"/>
            </w:tcBorders>
            <w:shd w:val="clear" w:color="auto" w:fill="auto"/>
            <w:vAlign w:val="center"/>
          </w:tcPr>
          <w:p w14:paraId="6D3F9A6E">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sz w:val="20"/>
                <w:szCs w:val="20"/>
              </w:rPr>
              <w:t>1次/季度</w:t>
            </w:r>
          </w:p>
        </w:tc>
        <w:tc>
          <w:tcPr>
            <w:tcW w:w="1544" w:type="dxa"/>
            <w:tcBorders>
              <w:top w:val="nil"/>
              <w:left w:val="nil"/>
              <w:bottom w:val="single" w:color="auto" w:sz="4" w:space="0"/>
              <w:right w:val="single" w:color="auto" w:sz="4" w:space="0"/>
            </w:tcBorders>
            <w:shd w:val="clear" w:color="auto" w:fill="auto"/>
            <w:vAlign w:val="center"/>
          </w:tcPr>
          <w:p w14:paraId="37EE946A">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w:t>
            </w:r>
          </w:p>
        </w:tc>
        <w:tc>
          <w:tcPr>
            <w:tcW w:w="930" w:type="dxa"/>
            <w:tcBorders>
              <w:top w:val="nil"/>
              <w:left w:val="nil"/>
              <w:bottom w:val="single" w:color="auto" w:sz="4" w:space="0"/>
              <w:right w:val="single" w:color="auto" w:sz="4" w:space="0"/>
            </w:tcBorders>
            <w:shd w:val="clear" w:color="auto" w:fill="auto"/>
            <w:vAlign w:val="center"/>
          </w:tcPr>
          <w:p w14:paraId="6504A55C">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24</w:t>
            </w:r>
          </w:p>
        </w:tc>
      </w:tr>
      <w:tr w14:paraId="6A89494D">
        <w:tblPrEx>
          <w:tblCellMar>
            <w:top w:w="0" w:type="dxa"/>
            <w:left w:w="108" w:type="dxa"/>
            <w:bottom w:w="0" w:type="dxa"/>
            <w:right w:w="108" w:type="dxa"/>
          </w:tblCellMar>
        </w:tblPrEx>
        <w:trPr>
          <w:trHeight w:val="435" w:hRule="atLeast"/>
        </w:trPr>
        <w:tc>
          <w:tcPr>
            <w:tcW w:w="7739" w:type="dxa"/>
            <w:gridSpan w:val="6"/>
            <w:tcBorders>
              <w:top w:val="single" w:color="auto" w:sz="4" w:space="0"/>
              <w:left w:val="single" w:color="auto" w:sz="4" w:space="0"/>
              <w:bottom w:val="single" w:color="auto" w:sz="4" w:space="0"/>
              <w:right w:val="single" w:color="auto" w:sz="4" w:space="0"/>
            </w:tcBorders>
            <w:shd w:val="clear" w:color="auto" w:fill="auto"/>
            <w:vAlign w:val="center"/>
          </w:tcPr>
          <w:p w14:paraId="4B1FD95A">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小计</w:t>
            </w:r>
          </w:p>
        </w:tc>
        <w:tc>
          <w:tcPr>
            <w:tcW w:w="930" w:type="dxa"/>
            <w:tcBorders>
              <w:top w:val="nil"/>
              <w:left w:val="nil"/>
              <w:bottom w:val="single" w:color="auto" w:sz="4" w:space="0"/>
              <w:right w:val="single" w:color="auto" w:sz="4" w:space="0"/>
            </w:tcBorders>
            <w:shd w:val="clear" w:color="auto" w:fill="auto"/>
            <w:vAlign w:val="center"/>
          </w:tcPr>
          <w:p w14:paraId="49D16534">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lang w:val="en-US" w:eastAsia="zh-CN"/>
              </w:rPr>
            </w:pPr>
            <w:r>
              <w:rPr>
                <w:rFonts w:hint="eastAsia" w:ascii="仿宋_GB2312" w:hAnsi="仿宋_GB2312" w:eastAsia="仿宋_GB2312" w:cs="仿宋_GB2312"/>
                <w:color w:val="auto"/>
                <w:kern w:val="0"/>
                <w:sz w:val="20"/>
                <w:szCs w:val="20"/>
                <w:lang w:val="en-US" w:eastAsia="zh-CN"/>
              </w:rPr>
              <w:t>177</w:t>
            </w:r>
          </w:p>
        </w:tc>
      </w:tr>
      <w:bookmarkEnd w:id="3"/>
    </w:tbl>
    <w:p w14:paraId="2F76912E">
      <w:pPr>
        <w:pStyle w:val="31"/>
        <w:ind w:firstLine="0" w:firstLineChars="0"/>
        <w:jc w:val="left"/>
        <w:rPr>
          <w:rFonts w:eastAsia="仿宋_GB2312"/>
          <w:b/>
          <w:color w:val="auto"/>
          <w:sz w:val="32"/>
          <w:szCs w:val="32"/>
        </w:rPr>
      </w:pPr>
      <w:r>
        <w:rPr>
          <w:rFonts w:hint="eastAsia" w:eastAsia="仿宋_GB2312"/>
          <w:b/>
          <w:color w:val="auto"/>
          <w:sz w:val="32"/>
          <w:szCs w:val="32"/>
        </w:rPr>
        <w:t>第三部分：</w:t>
      </w:r>
    </w:p>
    <w:p w14:paraId="247C9B20">
      <w:pPr>
        <w:pStyle w:val="31"/>
        <w:ind w:firstLine="0" w:firstLineChars="0"/>
        <w:jc w:val="center"/>
        <w:rPr>
          <w:rFonts w:eastAsia="仿宋_GB2312"/>
          <w:b/>
          <w:color w:val="auto"/>
          <w:sz w:val="32"/>
          <w:szCs w:val="32"/>
        </w:rPr>
      </w:pPr>
      <w:r>
        <w:rPr>
          <w:rFonts w:hint="eastAsia" w:eastAsia="仿宋_GB2312"/>
          <w:b/>
          <w:color w:val="auto"/>
          <w:sz w:val="32"/>
          <w:szCs w:val="32"/>
        </w:rPr>
        <w:t>东莞市新东元环保投资有限公司海心沙环保热电厂项目</w:t>
      </w:r>
    </w:p>
    <w:p w14:paraId="6573A17F">
      <w:pPr>
        <w:pStyle w:val="31"/>
        <w:ind w:firstLine="0" w:firstLineChars="0"/>
        <w:jc w:val="center"/>
        <w:rPr>
          <w:rFonts w:eastAsia="仿宋_GB2312"/>
          <w:b/>
          <w:color w:val="auto"/>
          <w:sz w:val="32"/>
          <w:szCs w:val="32"/>
        </w:rPr>
      </w:pPr>
      <w:r>
        <w:rPr>
          <w:rFonts w:hint="eastAsia" w:eastAsia="仿宋_GB2312"/>
          <w:b/>
          <w:color w:val="auto"/>
          <w:sz w:val="32"/>
          <w:szCs w:val="32"/>
        </w:rPr>
        <w:t>环境监测服务技术需求书</w:t>
      </w:r>
    </w:p>
    <w:p w14:paraId="024B2468">
      <w:pPr>
        <w:spacing w:line="400" w:lineRule="exact"/>
        <w:rPr>
          <w:rFonts w:hint="eastAsia" w:ascii="仿宋_GB2312" w:hAnsi="仿宋_GB2312" w:eastAsia="仿宋_GB2312" w:cs="仿宋_GB2312"/>
          <w:b/>
          <w:bCs/>
          <w:color w:val="auto"/>
          <w:sz w:val="24"/>
          <w:szCs w:val="24"/>
        </w:rPr>
      </w:pPr>
      <w:bookmarkStart w:id="4" w:name="_Toc21710"/>
      <w:bookmarkStart w:id="5" w:name="_Toc20570"/>
      <w:bookmarkStart w:id="6" w:name="_Toc4657"/>
      <w:bookmarkStart w:id="7" w:name="_Toc25523"/>
      <w:bookmarkStart w:id="8" w:name="_Toc15605"/>
      <w:bookmarkStart w:id="9" w:name="_Toc532455256"/>
      <w:bookmarkStart w:id="10" w:name="_Toc765"/>
      <w:r>
        <w:rPr>
          <w:rFonts w:hint="eastAsia" w:ascii="仿宋_GB2312" w:hAnsi="仿宋_GB2312" w:eastAsia="仿宋_GB2312" w:cs="仿宋_GB2312"/>
          <w:b/>
          <w:bCs/>
          <w:color w:val="auto"/>
          <w:sz w:val="24"/>
          <w:szCs w:val="24"/>
        </w:rPr>
        <w:t>一、技术规范</w:t>
      </w:r>
      <w:bookmarkEnd w:id="4"/>
      <w:bookmarkEnd w:id="5"/>
      <w:bookmarkEnd w:id="6"/>
      <w:bookmarkEnd w:id="7"/>
      <w:bookmarkEnd w:id="8"/>
      <w:bookmarkEnd w:id="9"/>
      <w:bookmarkEnd w:id="10"/>
    </w:p>
    <w:p w14:paraId="5392C86A">
      <w:pPr>
        <w:spacing w:line="400" w:lineRule="exact"/>
        <w:ind w:firstLine="480"/>
        <w:rPr>
          <w:rFonts w:hint="eastAsia" w:ascii="仿宋_GB2312" w:hAnsi="仿宋_GB2312" w:eastAsia="仿宋_GB2312" w:cs="仿宋_GB2312"/>
          <w:color w:val="auto"/>
          <w:sz w:val="24"/>
          <w:szCs w:val="24"/>
        </w:rPr>
      </w:pPr>
      <w:bookmarkStart w:id="11" w:name="_Hlt45194105"/>
      <w:bookmarkEnd w:id="11"/>
      <w:bookmarkStart w:id="12" w:name="_Toc451431779"/>
      <w:r>
        <w:rPr>
          <w:rFonts w:hint="eastAsia" w:ascii="仿宋_GB2312" w:hAnsi="仿宋_GB2312" w:eastAsia="仿宋_GB2312" w:cs="仿宋_GB2312"/>
          <w:color w:val="auto"/>
          <w:sz w:val="24"/>
          <w:szCs w:val="24"/>
        </w:rPr>
        <w:t>本技术规范所提及的要求和服务范围都是最低限度要求，并未对一切技术细节做出规定，也未充分地详述有关标准和规范条文，但响应人必须保证提供符合本技术规范和行业标准的功能齐全的优质产品及服务。</w:t>
      </w:r>
    </w:p>
    <w:bookmarkEnd w:id="12"/>
    <w:p w14:paraId="5E8D71E8">
      <w:pPr>
        <w:spacing w:line="400" w:lineRule="exact"/>
        <w:ind w:firstLine="48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项目名称：东莞市海心沙资源综合利用中心环保热电厂项目</w:t>
      </w:r>
    </w:p>
    <w:p w14:paraId="454F754D">
      <w:pPr>
        <w:spacing w:line="400" w:lineRule="exact"/>
        <w:ind w:firstLine="48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厂址：东莞市麻涌镇大步村海心沙岛</w:t>
      </w:r>
    </w:p>
    <w:p w14:paraId="0C278A9A">
      <w:pPr>
        <w:spacing w:line="400" w:lineRule="exact"/>
        <w:ind w:firstLine="48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项目规模：总处理规模为日处理生活垃圾和一般工业垃圾2250吨，年处理垃圾82.125万吨。配置安装3×750吨/日焚烧线及对应配套系统（包括烟气净化系统、飞灰螯合稳定化系统、给排水系统等），2×40MW纯凝式汽轮发电机组。项目用地总面积为6.96公顷。</w:t>
      </w:r>
    </w:p>
    <w:p w14:paraId="732145A8">
      <w:pPr>
        <w:spacing w:line="400" w:lineRule="exact"/>
        <w:rPr>
          <w:rFonts w:hint="eastAsia"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 xml:space="preserve"> 二、服务清单</w:t>
      </w:r>
    </w:p>
    <w:p w14:paraId="2E5B14A3">
      <w:pPr>
        <w:spacing w:line="400" w:lineRule="exact"/>
        <w:ind w:firstLine="480"/>
        <w:rPr>
          <w:rFonts w:hint="eastAsia"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（一）服务期限</w:t>
      </w:r>
    </w:p>
    <w:p w14:paraId="49D2B982">
      <w:pPr>
        <w:pStyle w:val="4"/>
        <w:snapToGrid w:val="0"/>
        <w:spacing w:after="0"/>
        <w:ind w:firstLine="480" w:firstLineChars="20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东莞市海心沙环保热电厂环境监测服务</w:t>
      </w:r>
      <w:r>
        <w:rPr>
          <w:rFonts w:hint="eastAsia" w:ascii="仿宋_GB2312" w:hAnsi="宋体" w:eastAsia="仿宋_GB2312"/>
          <w:color w:val="auto"/>
          <w:sz w:val="24"/>
          <w:szCs w:val="24"/>
        </w:rPr>
        <w:t>时间为自中标人实际进场开始检测之日起</w:t>
      </w:r>
      <w:r>
        <w:rPr>
          <w:rFonts w:hint="eastAsia" w:ascii="仿宋_GB2312" w:hAnsi="宋体" w:eastAsia="仿宋_GB2312"/>
          <w:color w:val="auto"/>
          <w:sz w:val="24"/>
          <w:szCs w:val="24"/>
          <w:lang w:val="en-US" w:eastAsia="zh-CN"/>
        </w:rPr>
        <w:t>两</w:t>
      </w:r>
      <w:r>
        <w:rPr>
          <w:rFonts w:hint="eastAsia" w:ascii="仿宋_GB2312" w:hAnsi="宋体" w:eastAsia="仿宋_GB2312"/>
          <w:color w:val="auto"/>
          <w:sz w:val="24"/>
          <w:szCs w:val="24"/>
        </w:rPr>
        <w:t>年。</w:t>
      </w:r>
    </w:p>
    <w:p w14:paraId="03773FDC">
      <w:pPr>
        <w:spacing w:line="400" w:lineRule="exact"/>
        <w:ind w:firstLine="480"/>
        <w:rPr>
          <w:rFonts w:hint="eastAsia"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（二）服务内容</w:t>
      </w:r>
    </w:p>
    <w:p w14:paraId="371EE46E">
      <w:pPr>
        <w:spacing w:line="400" w:lineRule="exact"/>
        <w:ind w:firstLine="48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对东莞市海心沙环保热电厂的有组织排放废气、无组织排放废气、废水、噪声、环境空气、土壤、地表水、地下水、炉渣、飞灰、雨水、垃圾等监测与分析，详情见下表。</w:t>
      </w:r>
    </w:p>
    <w:p w14:paraId="75B69E37">
      <w:pPr>
        <w:spacing w:line="400" w:lineRule="exact"/>
        <w:ind w:firstLine="480"/>
        <w:jc w:val="center"/>
        <w:rPr>
          <w:rFonts w:hint="eastAsia" w:ascii="仿宋_GB2312" w:hAnsi="仿宋_GB2312" w:eastAsia="仿宋_GB2312" w:cs="仿宋_GB2312"/>
          <w:color w:val="auto"/>
          <w:sz w:val="24"/>
          <w:szCs w:val="24"/>
        </w:rPr>
      </w:pPr>
      <w:bookmarkStart w:id="13" w:name="_Hlk137801053"/>
      <w:r>
        <w:rPr>
          <w:rFonts w:hint="eastAsia" w:ascii="仿宋_GB2312" w:hAnsi="仿宋_GB2312" w:eastAsia="仿宋_GB2312" w:cs="仿宋_GB2312"/>
          <w:color w:val="auto"/>
          <w:sz w:val="24"/>
          <w:szCs w:val="24"/>
        </w:rPr>
        <w:t>表</w:t>
      </w:r>
      <w:r>
        <w:rPr>
          <w:rFonts w:ascii="仿宋_GB2312" w:hAnsi="仿宋_GB2312" w:eastAsia="仿宋_GB2312" w:cs="仿宋_GB2312"/>
          <w:color w:val="auto"/>
          <w:sz w:val="24"/>
          <w:szCs w:val="24"/>
        </w:rPr>
        <w:t>5</w:t>
      </w:r>
      <w:r>
        <w:rPr>
          <w:rFonts w:hint="eastAsia" w:ascii="仿宋_GB2312" w:hAnsi="仿宋_GB2312" w:eastAsia="仿宋_GB2312" w:cs="仿宋_GB2312"/>
          <w:color w:val="auto"/>
          <w:sz w:val="24"/>
          <w:szCs w:val="24"/>
        </w:rPr>
        <w:t>：海心沙热电环境监测方案</w:t>
      </w:r>
    </w:p>
    <w:bookmarkEnd w:id="13"/>
    <w:tbl>
      <w:tblPr>
        <w:tblStyle w:val="13"/>
        <w:tblW w:w="4784" w:type="pct"/>
        <w:tblInd w:w="0" w:type="dxa"/>
        <w:tblLayout w:type="autofit"/>
        <w:tblCellMar>
          <w:top w:w="0" w:type="dxa"/>
          <w:left w:w="108" w:type="dxa"/>
          <w:bottom w:w="0" w:type="dxa"/>
          <w:right w:w="108" w:type="dxa"/>
        </w:tblCellMar>
      </w:tblPr>
      <w:tblGrid>
        <w:gridCol w:w="474"/>
        <w:gridCol w:w="845"/>
        <w:gridCol w:w="749"/>
        <w:gridCol w:w="1682"/>
        <w:gridCol w:w="1041"/>
        <w:gridCol w:w="2342"/>
        <w:gridCol w:w="1021"/>
      </w:tblGrid>
      <w:tr w14:paraId="5D2CEFD1">
        <w:tblPrEx>
          <w:tblCellMar>
            <w:top w:w="0" w:type="dxa"/>
            <w:left w:w="108" w:type="dxa"/>
            <w:bottom w:w="0" w:type="dxa"/>
            <w:right w:w="108" w:type="dxa"/>
          </w:tblCellMar>
        </w:tblPrEx>
        <w:trPr>
          <w:trHeight w:val="588" w:hRule="atLeast"/>
          <w:tblHeader/>
        </w:trPr>
        <w:tc>
          <w:tcPr>
            <w:tcW w:w="291" w:type="pct"/>
            <w:tcBorders>
              <w:top w:val="single" w:color="000000" w:sz="8" w:space="0"/>
              <w:left w:val="single" w:color="000000" w:sz="8" w:space="0"/>
              <w:bottom w:val="single" w:color="000000" w:sz="8" w:space="0"/>
              <w:right w:val="single" w:color="000000" w:sz="8" w:space="0"/>
            </w:tcBorders>
            <w:vAlign w:val="center"/>
          </w:tcPr>
          <w:p w14:paraId="58B07287">
            <w:pPr>
              <w:keepNext w:val="0"/>
              <w:keepLines w:val="0"/>
              <w:suppressLineNumbers w:val="0"/>
              <w:spacing w:before="0" w:beforeAutospacing="0" w:after="0" w:afterAutospacing="0"/>
              <w:ind w:left="0" w:right="0"/>
              <w:jc w:val="center"/>
              <w:rPr>
                <w:rFonts w:hint="eastAsia" w:ascii="仿宋_GB2312" w:hAnsi="仿宋_GB2312" w:eastAsia="仿宋_GB2312" w:cs="仿宋_GB2312"/>
                <w:b/>
                <w:bCs/>
                <w:color w:val="auto"/>
                <w:sz w:val="20"/>
                <w:szCs w:val="20"/>
              </w:rPr>
            </w:pPr>
            <w:bookmarkStart w:id="14" w:name="_Hlk137801033"/>
            <w:r>
              <w:rPr>
                <w:rFonts w:hint="eastAsia" w:ascii="仿宋_GB2312" w:hAnsi="仿宋_GB2312" w:eastAsia="仿宋_GB2312" w:cs="仿宋_GB2312"/>
                <w:b/>
                <w:bCs/>
                <w:color w:val="auto"/>
                <w:sz w:val="20"/>
                <w:szCs w:val="20"/>
              </w:rPr>
              <w:t>序号</w:t>
            </w:r>
          </w:p>
        </w:tc>
        <w:tc>
          <w:tcPr>
            <w:tcW w:w="518" w:type="pct"/>
            <w:tcBorders>
              <w:top w:val="single" w:color="000000" w:sz="8" w:space="0"/>
              <w:left w:val="single" w:color="000000" w:sz="8" w:space="0"/>
              <w:bottom w:val="single" w:color="000000" w:sz="8" w:space="0"/>
              <w:right w:val="single" w:color="000000" w:sz="8" w:space="0"/>
            </w:tcBorders>
            <w:vAlign w:val="center"/>
          </w:tcPr>
          <w:p w14:paraId="46273361">
            <w:pPr>
              <w:keepNext w:val="0"/>
              <w:keepLines w:val="0"/>
              <w:suppressLineNumbers w:val="0"/>
              <w:spacing w:before="0" w:beforeAutospacing="0" w:after="0" w:afterAutospacing="0"/>
              <w:ind w:left="0" w:right="0"/>
              <w:jc w:val="center"/>
              <w:rPr>
                <w:rFonts w:hint="eastAsia" w:ascii="仿宋_GB2312" w:hAnsi="仿宋_GB2312" w:eastAsia="仿宋_GB2312" w:cs="仿宋_GB2312"/>
                <w:b/>
                <w:bCs/>
                <w:color w:val="auto"/>
                <w:sz w:val="20"/>
                <w:szCs w:val="20"/>
              </w:rPr>
            </w:pPr>
            <w:r>
              <w:rPr>
                <w:rFonts w:hint="eastAsia" w:ascii="仿宋_GB2312" w:hAnsi="仿宋_GB2312" w:eastAsia="仿宋_GB2312" w:cs="仿宋_GB2312"/>
                <w:b/>
                <w:bCs/>
                <w:color w:val="auto"/>
                <w:sz w:val="20"/>
                <w:szCs w:val="20"/>
              </w:rPr>
              <w:t>项目</w:t>
            </w:r>
          </w:p>
        </w:tc>
        <w:tc>
          <w:tcPr>
            <w:tcW w:w="459" w:type="pct"/>
            <w:tcBorders>
              <w:top w:val="single" w:color="000000" w:sz="8" w:space="0"/>
              <w:left w:val="nil"/>
              <w:bottom w:val="single" w:color="000000" w:sz="8" w:space="0"/>
              <w:right w:val="single" w:color="000000" w:sz="8" w:space="0"/>
            </w:tcBorders>
            <w:vAlign w:val="center"/>
          </w:tcPr>
          <w:p w14:paraId="3E29F3ED">
            <w:pPr>
              <w:keepNext w:val="0"/>
              <w:keepLines w:val="0"/>
              <w:suppressLineNumbers w:val="0"/>
              <w:spacing w:before="0" w:beforeAutospacing="0" w:after="0" w:afterAutospacing="0"/>
              <w:ind w:left="0" w:right="0"/>
              <w:jc w:val="center"/>
              <w:rPr>
                <w:rFonts w:hint="eastAsia" w:ascii="仿宋_GB2312" w:hAnsi="仿宋_GB2312" w:eastAsia="仿宋_GB2312" w:cs="仿宋_GB2312"/>
                <w:b/>
                <w:bCs/>
                <w:color w:val="auto"/>
                <w:sz w:val="20"/>
                <w:szCs w:val="20"/>
              </w:rPr>
            </w:pPr>
            <w:r>
              <w:rPr>
                <w:rFonts w:hint="eastAsia" w:ascii="仿宋_GB2312" w:hAnsi="仿宋_GB2312" w:eastAsia="仿宋_GB2312" w:cs="仿宋_GB2312"/>
                <w:b/>
                <w:bCs/>
                <w:color w:val="auto"/>
                <w:sz w:val="20"/>
                <w:szCs w:val="20"/>
              </w:rPr>
              <w:t>监测点位</w:t>
            </w:r>
          </w:p>
        </w:tc>
        <w:tc>
          <w:tcPr>
            <w:tcW w:w="1031" w:type="pct"/>
            <w:tcBorders>
              <w:top w:val="single" w:color="000000" w:sz="8" w:space="0"/>
              <w:left w:val="nil"/>
              <w:bottom w:val="single" w:color="000000" w:sz="8" w:space="0"/>
              <w:right w:val="single" w:color="000000" w:sz="8" w:space="0"/>
            </w:tcBorders>
            <w:vAlign w:val="center"/>
          </w:tcPr>
          <w:p w14:paraId="283AF2B8">
            <w:pPr>
              <w:keepNext w:val="0"/>
              <w:keepLines w:val="0"/>
              <w:suppressLineNumbers w:val="0"/>
              <w:spacing w:before="0" w:beforeAutospacing="0" w:after="0" w:afterAutospacing="0"/>
              <w:ind w:left="0" w:right="0"/>
              <w:jc w:val="center"/>
              <w:rPr>
                <w:rFonts w:hint="eastAsia" w:ascii="仿宋_GB2312" w:hAnsi="仿宋_GB2312" w:eastAsia="仿宋_GB2312" w:cs="仿宋_GB2312"/>
                <w:b/>
                <w:bCs/>
                <w:color w:val="auto"/>
                <w:sz w:val="20"/>
                <w:szCs w:val="20"/>
              </w:rPr>
            </w:pPr>
            <w:r>
              <w:rPr>
                <w:rFonts w:hint="eastAsia" w:ascii="仿宋_GB2312" w:hAnsi="仿宋_GB2312" w:eastAsia="仿宋_GB2312" w:cs="仿宋_GB2312"/>
                <w:b/>
                <w:bCs/>
                <w:color w:val="auto"/>
                <w:sz w:val="20"/>
                <w:szCs w:val="20"/>
              </w:rPr>
              <w:t>监测因子</w:t>
            </w:r>
          </w:p>
        </w:tc>
        <w:tc>
          <w:tcPr>
            <w:tcW w:w="638" w:type="pct"/>
            <w:tcBorders>
              <w:top w:val="single" w:color="000000" w:sz="8" w:space="0"/>
              <w:left w:val="nil"/>
              <w:bottom w:val="single" w:color="000000" w:sz="8" w:space="0"/>
              <w:right w:val="single" w:color="000000" w:sz="8" w:space="0"/>
            </w:tcBorders>
            <w:vAlign w:val="center"/>
          </w:tcPr>
          <w:p w14:paraId="09B58211">
            <w:pPr>
              <w:keepNext w:val="0"/>
              <w:keepLines w:val="0"/>
              <w:suppressLineNumbers w:val="0"/>
              <w:spacing w:before="0" w:beforeAutospacing="0" w:after="0" w:afterAutospacing="0"/>
              <w:ind w:left="0" w:right="0"/>
              <w:jc w:val="center"/>
              <w:rPr>
                <w:rFonts w:hint="eastAsia" w:ascii="仿宋_GB2312" w:hAnsi="仿宋_GB2312" w:eastAsia="仿宋_GB2312" w:cs="仿宋_GB2312"/>
                <w:b/>
                <w:bCs/>
                <w:color w:val="auto"/>
                <w:sz w:val="20"/>
                <w:szCs w:val="20"/>
              </w:rPr>
            </w:pPr>
            <w:r>
              <w:rPr>
                <w:rFonts w:hint="eastAsia" w:ascii="仿宋_GB2312" w:hAnsi="仿宋_GB2312" w:eastAsia="仿宋_GB2312" w:cs="仿宋_GB2312"/>
                <w:b/>
                <w:bCs/>
                <w:color w:val="auto"/>
                <w:sz w:val="20"/>
                <w:szCs w:val="20"/>
              </w:rPr>
              <w:t>监测频次</w:t>
            </w:r>
          </w:p>
        </w:tc>
        <w:tc>
          <w:tcPr>
            <w:tcW w:w="1435" w:type="pct"/>
            <w:tcBorders>
              <w:top w:val="single" w:color="000000" w:sz="8" w:space="0"/>
              <w:left w:val="nil"/>
              <w:bottom w:val="single" w:color="000000" w:sz="8" w:space="0"/>
              <w:right w:val="single" w:color="000000" w:sz="8" w:space="0"/>
            </w:tcBorders>
            <w:vAlign w:val="center"/>
          </w:tcPr>
          <w:p w14:paraId="488FFEB3">
            <w:pPr>
              <w:keepNext w:val="0"/>
              <w:keepLines w:val="0"/>
              <w:suppressLineNumbers w:val="0"/>
              <w:spacing w:before="0" w:beforeAutospacing="0" w:after="0" w:afterAutospacing="0"/>
              <w:ind w:left="0" w:right="0"/>
              <w:jc w:val="center"/>
              <w:rPr>
                <w:rFonts w:hint="eastAsia" w:ascii="仿宋_GB2312" w:hAnsi="仿宋_GB2312" w:eastAsia="仿宋_GB2312" w:cs="仿宋_GB2312"/>
                <w:b/>
                <w:bCs/>
                <w:color w:val="auto"/>
                <w:sz w:val="20"/>
                <w:szCs w:val="20"/>
              </w:rPr>
            </w:pPr>
            <w:r>
              <w:rPr>
                <w:rFonts w:hint="eastAsia" w:ascii="仿宋_GB2312" w:hAnsi="仿宋_GB2312" w:eastAsia="仿宋_GB2312" w:cs="仿宋_GB2312"/>
                <w:b/>
                <w:bCs/>
                <w:color w:val="auto"/>
                <w:sz w:val="20"/>
                <w:szCs w:val="20"/>
              </w:rPr>
              <w:t>备注</w:t>
            </w:r>
          </w:p>
        </w:tc>
        <w:tc>
          <w:tcPr>
            <w:tcW w:w="626" w:type="pct"/>
            <w:tcBorders>
              <w:top w:val="single" w:color="000000" w:sz="8" w:space="0"/>
              <w:left w:val="nil"/>
              <w:bottom w:val="single" w:color="000000" w:sz="8" w:space="0"/>
              <w:right w:val="single" w:color="000000" w:sz="8" w:space="0"/>
            </w:tcBorders>
            <w:vAlign w:val="center"/>
          </w:tcPr>
          <w:p w14:paraId="1BA477AE">
            <w:pPr>
              <w:keepNext w:val="0"/>
              <w:keepLines w:val="0"/>
              <w:suppressLineNumbers w:val="0"/>
              <w:spacing w:before="0" w:beforeAutospacing="0" w:after="0" w:afterAutospacing="0"/>
              <w:ind w:left="0" w:right="0"/>
              <w:jc w:val="center"/>
              <w:rPr>
                <w:rFonts w:hint="eastAsia" w:ascii="仿宋_GB2312" w:hAnsi="仿宋_GB2312" w:eastAsia="仿宋_GB2312" w:cs="仿宋_GB2312"/>
                <w:b/>
                <w:bCs/>
                <w:color w:val="auto"/>
                <w:sz w:val="20"/>
                <w:szCs w:val="20"/>
              </w:rPr>
            </w:pPr>
            <w:r>
              <w:rPr>
                <w:rFonts w:hint="eastAsia" w:ascii="仿宋_GB2312" w:hAnsi="仿宋_GB2312" w:eastAsia="仿宋_GB2312" w:cs="仿宋_GB2312"/>
                <w:b/>
                <w:bCs/>
                <w:color w:val="auto"/>
                <w:sz w:val="20"/>
                <w:szCs w:val="20"/>
              </w:rPr>
              <w:t>年样品数量</w:t>
            </w:r>
          </w:p>
        </w:tc>
      </w:tr>
      <w:tr w14:paraId="0DB31A26">
        <w:tblPrEx>
          <w:tblCellMar>
            <w:top w:w="0" w:type="dxa"/>
            <w:left w:w="108" w:type="dxa"/>
            <w:bottom w:w="0" w:type="dxa"/>
            <w:right w:w="108" w:type="dxa"/>
          </w:tblCellMar>
        </w:tblPrEx>
        <w:trPr>
          <w:trHeight w:val="906" w:hRule="atLeast"/>
        </w:trPr>
        <w:tc>
          <w:tcPr>
            <w:tcW w:w="291" w:type="pct"/>
            <w:tcBorders>
              <w:top w:val="nil"/>
              <w:left w:val="single" w:color="000000" w:sz="8" w:space="0"/>
              <w:bottom w:val="single" w:color="000000" w:sz="8" w:space="0"/>
              <w:right w:val="single" w:color="000000" w:sz="8" w:space="0"/>
            </w:tcBorders>
            <w:vAlign w:val="center"/>
          </w:tcPr>
          <w:p w14:paraId="2238578B">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1</w:t>
            </w:r>
          </w:p>
        </w:tc>
        <w:tc>
          <w:tcPr>
            <w:tcW w:w="518" w:type="pct"/>
            <w:vMerge w:val="restart"/>
            <w:tcBorders>
              <w:top w:val="nil"/>
              <w:left w:val="single" w:color="000000" w:sz="8" w:space="0"/>
              <w:right w:val="single" w:color="000000" w:sz="8" w:space="0"/>
            </w:tcBorders>
            <w:vAlign w:val="center"/>
          </w:tcPr>
          <w:p w14:paraId="251C0E3F">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有组织排放废气</w:t>
            </w:r>
          </w:p>
        </w:tc>
        <w:tc>
          <w:tcPr>
            <w:tcW w:w="459" w:type="pct"/>
            <w:vMerge w:val="restart"/>
            <w:tcBorders>
              <w:top w:val="nil"/>
              <w:left w:val="single" w:color="000000" w:sz="8" w:space="0"/>
              <w:bottom w:val="single" w:color="000000" w:sz="8" w:space="0"/>
              <w:right w:val="single" w:color="000000" w:sz="8" w:space="0"/>
            </w:tcBorders>
            <w:vAlign w:val="center"/>
          </w:tcPr>
          <w:p w14:paraId="16E39187">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3台焚烧炉净烟气排放口</w:t>
            </w:r>
          </w:p>
        </w:tc>
        <w:tc>
          <w:tcPr>
            <w:tcW w:w="1031" w:type="pct"/>
            <w:tcBorders>
              <w:top w:val="nil"/>
              <w:left w:val="nil"/>
              <w:bottom w:val="single" w:color="000000" w:sz="8" w:space="0"/>
              <w:right w:val="single" w:color="000000" w:sz="8" w:space="0"/>
            </w:tcBorders>
            <w:vAlign w:val="center"/>
          </w:tcPr>
          <w:p w14:paraId="74BF503A">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颗粒物、HCl、SO</w:t>
            </w:r>
            <w:r>
              <w:rPr>
                <w:rFonts w:hint="eastAsia" w:ascii="仿宋_GB2312" w:hAnsi="仿宋_GB2312" w:eastAsia="仿宋_GB2312" w:cs="仿宋_GB2312"/>
                <w:color w:val="auto"/>
                <w:sz w:val="20"/>
                <w:szCs w:val="20"/>
                <w:vertAlign w:val="subscript"/>
              </w:rPr>
              <w:t>2</w:t>
            </w:r>
            <w:r>
              <w:rPr>
                <w:rFonts w:hint="eastAsia" w:ascii="仿宋_GB2312" w:hAnsi="仿宋_GB2312" w:eastAsia="仿宋_GB2312" w:cs="仿宋_GB2312"/>
                <w:color w:val="auto"/>
                <w:sz w:val="20"/>
                <w:szCs w:val="20"/>
              </w:rPr>
              <w:t>、NO</w:t>
            </w:r>
            <w:r>
              <w:rPr>
                <w:rFonts w:hint="eastAsia" w:ascii="仿宋_GB2312" w:hAnsi="仿宋_GB2312" w:eastAsia="仿宋_GB2312" w:cs="仿宋_GB2312"/>
                <w:color w:val="auto"/>
                <w:sz w:val="20"/>
                <w:szCs w:val="20"/>
                <w:vertAlign w:val="subscript"/>
              </w:rPr>
              <w:t>X</w:t>
            </w:r>
            <w:r>
              <w:rPr>
                <w:rFonts w:hint="eastAsia" w:ascii="仿宋_GB2312" w:hAnsi="仿宋_GB2312" w:eastAsia="仿宋_GB2312" w:cs="仿宋_GB2312"/>
                <w:color w:val="auto"/>
                <w:sz w:val="20"/>
                <w:szCs w:val="20"/>
              </w:rPr>
              <w:t>、CO、HF、O</w:t>
            </w:r>
            <w:r>
              <w:rPr>
                <w:rFonts w:hint="eastAsia" w:ascii="仿宋_GB2312" w:hAnsi="仿宋_GB2312" w:eastAsia="仿宋_GB2312" w:cs="仿宋_GB2312"/>
                <w:color w:val="auto"/>
                <w:sz w:val="20"/>
                <w:szCs w:val="20"/>
                <w:vertAlign w:val="subscript"/>
              </w:rPr>
              <w:t>2</w:t>
            </w:r>
            <w:r>
              <w:rPr>
                <w:rFonts w:hint="eastAsia" w:ascii="仿宋_GB2312" w:hAnsi="仿宋_GB2312" w:eastAsia="仿宋_GB2312" w:cs="仿宋_GB2312"/>
                <w:color w:val="auto"/>
                <w:sz w:val="20"/>
                <w:szCs w:val="20"/>
              </w:rPr>
              <w:t>、流速、烟温、湿度</w:t>
            </w:r>
          </w:p>
        </w:tc>
        <w:tc>
          <w:tcPr>
            <w:tcW w:w="638" w:type="pct"/>
            <w:tcBorders>
              <w:top w:val="nil"/>
              <w:left w:val="nil"/>
              <w:bottom w:val="single" w:color="000000" w:sz="8" w:space="0"/>
              <w:right w:val="single" w:color="000000" w:sz="8" w:space="0"/>
            </w:tcBorders>
            <w:vAlign w:val="center"/>
          </w:tcPr>
          <w:p w14:paraId="1BE8C6E4">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1次/季度</w:t>
            </w:r>
          </w:p>
        </w:tc>
        <w:tc>
          <w:tcPr>
            <w:tcW w:w="1435" w:type="pct"/>
            <w:tcBorders>
              <w:top w:val="nil"/>
              <w:left w:val="nil"/>
              <w:bottom w:val="single" w:color="000000" w:sz="8" w:space="0"/>
              <w:right w:val="single" w:color="000000" w:sz="8" w:space="0"/>
            </w:tcBorders>
            <w:vAlign w:val="center"/>
          </w:tcPr>
          <w:p w14:paraId="73EFF950">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采用参比方法对在线监测设备进行比对：测量气态污染物和氧气浓度，至少获取9个数据对，每个数据对取5~15min均值；测量流速、烟温湿度时，至少获取5个同时段测试断面值数据对，分别计算流速、烟温、湿度CMS准确度</w:t>
            </w:r>
          </w:p>
        </w:tc>
        <w:tc>
          <w:tcPr>
            <w:tcW w:w="626" w:type="pct"/>
            <w:tcBorders>
              <w:top w:val="nil"/>
              <w:left w:val="nil"/>
              <w:bottom w:val="single" w:color="000000" w:sz="8" w:space="0"/>
              <w:right w:val="single" w:color="000000" w:sz="8" w:space="0"/>
            </w:tcBorders>
            <w:vAlign w:val="center"/>
          </w:tcPr>
          <w:p w14:paraId="5B86C107">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12</w:t>
            </w:r>
          </w:p>
        </w:tc>
      </w:tr>
      <w:tr w14:paraId="78DDC0C4">
        <w:tblPrEx>
          <w:tblCellMar>
            <w:top w:w="0" w:type="dxa"/>
            <w:left w:w="108" w:type="dxa"/>
            <w:bottom w:w="0" w:type="dxa"/>
            <w:right w:w="108" w:type="dxa"/>
          </w:tblCellMar>
        </w:tblPrEx>
        <w:trPr>
          <w:trHeight w:val="976" w:hRule="atLeast"/>
        </w:trPr>
        <w:tc>
          <w:tcPr>
            <w:tcW w:w="291" w:type="pct"/>
            <w:tcBorders>
              <w:top w:val="nil"/>
              <w:left w:val="single" w:color="000000" w:sz="8" w:space="0"/>
              <w:bottom w:val="single" w:color="000000" w:sz="8" w:space="0"/>
              <w:right w:val="single" w:color="000000" w:sz="8" w:space="0"/>
            </w:tcBorders>
            <w:vAlign w:val="center"/>
          </w:tcPr>
          <w:p w14:paraId="58B0C358">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2</w:t>
            </w:r>
          </w:p>
        </w:tc>
        <w:tc>
          <w:tcPr>
            <w:tcW w:w="518" w:type="pct"/>
            <w:vMerge w:val="continue"/>
            <w:tcBorders>
              <w:left w:val="single" w:color="000000" w:sz="8" w:space="0"/>
              <w:right w:val="single" w:color="000000" w:sz="8" w:space="0"/>
            </w:tcBorders>
            <w:vAlign w:val="center"/>
          </w:tcPr>
          <w:p w14:paraId="7B01925D">
            <w:pPr>
              <w:keepNext w:val="0"/>
              <w:keepLines w:val="0"/>
              <w:suppressLineNumbers w:val="0"/>
              <w:spacing w:before="0" w:beforeAutospacing="0" w:after="0" w:afterAutospacing="0"/>
              <w:ind w:left="0" w:right="0"/>
              <w:rPr>
                <w:rFonts w:hint="eastAsia" w:ascii="仿宋_GB2312" w:hAnsi="仿宋_GB2312" w:eastAsia="仿宋_GB2312" w:cs="仿宋_GB2312"/>
                <w:color w:val="auto"/>
                <w:sz w:val="20"/>
                <w:szCs w:val="20"/>
              </w:rPr>
            </w:pPr>
          </w:p>
        </w:tc>
        <w:tc>
          <w:tcPr>
            <w:tcW w:w="459" w:type="pct"/>
            <w:vMerge w:val="continue"/>
            <w:tcBorders>
              <w:top w:val="nil"/>
              <w:left w:val="single" w:color="000000" w:sz="8" w:space="0"/>
              <w:bottom w:val="single" w:color="000000" w:sz="8" w:space="0"/>
              <w:right w:val="single" w:color="000000" w:sz="8" w:space="0"/>
            </w:tcBorders>
            <w:vAlign w:val="center"/>
          </w:tcPr>
          <w:p w14:paraId="47CC3744">
            <w:pPr>
              <w:keepNext w:val="0"/>
              <w:keepLines w:val="0"/>
              <w:suppressLineNumbers w:val="0"/>
              <w:spacing w:before="0" w:beforeAutospacing="0" w:after="0" w:afterAutospacing="0"/>
              <w:ind w:left="0" w:right="0"/>
              <w:rPr>
                <w:rFonts w:hint="eastAsia" w:ascii="仿宋_GB2312" w:hAnsi="仿宋_GB2312" w:eastAsia="仿宋_GB2312" w:cs="仿宋_GB2312"/>
                <w:color w:val="auto"/>
                <w:sz w:val="20"/>
                <w:szCs w:val="20"/>
              </w:rPr>
            </w:pPr>
          </w:p>
        </w:tc>
        <w:tc>
          <w:tcPr>
            <w:tcW w:w="1031" w:type="pct"/>
            <w:tcBorders>
              <w:top w:val="nil"/>
              <w:left w:val="nil"/>
              <w:bottom w:val="single" w:color="000000" w:sz="8" w:space="0"/>
              <w:right w:val="single" w:color="000000" w:sz="8" w:space="0"/>
            </w:tcBorders>
            <w:vAlign w:val="center"/>
          </w:tcPr>
          <w:p w14:paraId="23A4BA91">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颗粒物、HCl、SO</w:t>
            </w:r>
            <w:r>
              <w:rPr>
                <w:rFonts w:hint="eastAsia" w:ascii="仿宋_GB2312" w:hAnsi="仿宋_GB2312" w:eastAsia="仿宋_GB2312" w:cs="仿宋_GB2312"/>
                <w:color w:val="auto"/>
                <w:sz w:val="20"/>
                <w:szCs w:val="20"/>
                <w:vertAlign w:val="subscript"/>
              </w:rPr>
              <w:t>2</w:t>
            </w:r>
            <w:r>
              <w:rPr>
                <w:rFonts w:hint="eastAsia" w:ascii="仿宋_GB2312" w:hAnsi="仿宋_GB2312" w:eastAsia="仿宋_GB2312" w:cs="仿宋_GB2312"/>
                <w:color w:val="auto"/>
                <w:sz w:val="20"/>
                <w:szCs w:val="20"/>
              </w:rPr>
              <w:t>、NO</w:t>
            </w:r>
            <w:r>
              <w:rPr>
                <w:rFonts w:hint="eastAsia" w:ascii="仿宋_GB2312" w:hAnsi="仿宋_GB2312" w:eastAsia="仿宋_GB2312" w:cs="仿宋_GB2312"/>
                <w:color w:val="auto"/>
                <w:sz w:val="20"/>
                <w:szCs w:val="20"/>
                <w:vertAlign w:val="subscript"/>
              </w:rPr>
              <w:t>X</w:t>
            </w:r>
            <w:r>
              <w:rPr>
                <w:rFonts w:hint="eastAsia" w:ascii="仿宋_GB2312" w:hAnsi="仿宋_GB2312" w:eastAsia="仿宋_GB2312" w:cs="仿宋_GB2312"/>
                <w:color w:val="auto"/>
                <w:sz w:val="20"/>
                <w:szCs w:val="20"/>
              </w:rPr>
              <w:t>、CO</w:t>
            </w:r>
          </w:p>
        </w:tc>
        <w:tc>
          <w:tcPr>
            <w:tcW w:w="638" w:type="pct"/>
            <w:tcBorders>
              <w:top w:val="nil"/>
              <w:left w:val="nil"/>
              <w:bottom w:val="single" w:color="000000" w:sz="8" w:space="0"/>
              <w:right w:val="single" w:color="000000" w:sz="8" w:space="0"/>
            </w:tcBorders>
            <w:vAlign w:val="center"/>
          </w:tcPr>
          <w:p w14:paraId="024B8E3C">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1次/年</w:t>
            </w:r>
          </w:p>
        </w:tc>
        <w:tc>
          <w:tcPr>
            <w:tcW w:w="1435" w:type="pct"/>
            <w:tcBorders>
              <w:top w:val="nil"/>
              <w:left w:val="nil"/>
              <w:bottom w:val="single" w:color="000000" w:sz="8" w:space="0"/>
              <w:right w:val="single" w:color="000000" w:sz="8" w:space="0"/>
            </w:tcBorders>
            <w:vAlign w:val="center"/>
          </w:tcPr>
          <w:p w14:paraId="562942A0">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每台炉的测量需在一定时间内采集的一定数量样品中污染物浓度测试值的算术平均值</w:t>
            </w:r>
          </w:p>
        </w:tc>
        <w:tc>
          <w:tcPr>
            <w:tcW w:w="626" w:type="pct"/>
            <w:tcBorders>
              <w:top w:val="nil"/>
              <w:left w:val="nil"/>
              <w:bottom w:val="single" w:color="000000" w:sz="8" w:space="0"/>
              <w:right w:val="single" w:color="000000" w:sz="8" w:space="0"/>
            </w:tcBorders>
            <w:vAlign w:val="center"/>
          </w:tcPr>
          <w:p w14:paraId="55DC2E65">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1</w:t>
            </w:r>
          </w:p>
        </w:tc>
      </w:tr>
      <w:tr w14:paraId="2A8AEB21">
        <w:tblPrEx>
          <w:tblCellMar>
            <w:top w:w="0" w:type="dxa"/>
            <w:left w:w="108" w:type="dxa"/>
            <w:bottom w:w="0" w:type="dxa"/>
            <w:right w:w="108" w:type="dxa"/>
          </w:tblCellMar>
        </w:tblPrEx>
        <w:trPr>
          <w:trHeight w:val="1452" w:hRule="atLeast"/>
        </w:trPr>
        <w:tc>
          <w:tcPr>
            <w:tcW w:w="291" w:type="pct"/>
            <w:tcBorders>
              <w:top w:val="nil"/>
              <w:left w:val="single" w:color="000000" w:sz="8" w:space="0"/>
              <w:bottom w:val="single" w:color="000000" w:sz="8" w:space="0"/>
              <w:right w:val="single" w:color="000000" w:sz="8" w:space="0"/>
            </w:tcBorders>
            <w:vAlign w:val="center"/>
          </w:tcPr>
          <w:p w14:paraId="7D82D29C">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3</w:t>
            </w:r>
          </w:p>
        </w:tc>
        <w:tc>
          <w:tcPr>
            <w:tcW w:w="518" w:type="pct"/>
            <w:vMerge w:val="continue"/>
            <w:tcBorders>
              <w:left w:val="single" w:color="000000" w:sz="8" w:space="0"/>
              <w:right w:val="single" w:color="000000" w:sz="8" w:space="0"/>
            </w:tcBorders>
            <w:vAlign w:val="center"/>
          </w:tcPr>
          <w:p w14:paraId="610B08D5">
            <w:pPr>
              <w:keepNext w:val="0"/>
              <w:keepLines w:val="0"/>
              <w:suppressLineNumbers w:val="0"/>
              <w:spacing w:before="0" w:beforeAutospacing="0" w:after="0" w:afterAutospacing="0"/>
              <w:ind w:left="0" w:right="0"/>
              <w:rPr>
                <w:rFonts w:hint="eastAsia" w:ascii="仿宋_GB2312" w:hAnsi="仿宋_GB2312" w:eastAsia="仿宋_GB2312" w:cs="仿宋_GB2312"/>
                <w:color w:val="auto"/>
                <w:sz w:val="20"/>
                <w:szCs w:val="20"/>
              </w:rPr>
            </w:pPr>
          </w:p>
        </w:tc>
        <w:tc>
          <w:tcPr>
            <w:tcW w:w="459" w:type="pct"/>
            <w:vMerge w:val="continue"/>
            <w:tcBorders>
              <w:top w:val="nil"/>
              <w:left w:val="single" w:color="000000" w:sz="8" w:space="0"/>
              <w:bottom w:val="single" w:color="000000" w:sz="8" w:space="0"/>
              <w:right w:val="single" w:color="000000" w:sz="8" w:space="0"/>
            </w:tcBorders>
            <w:vAlign w:val="center"/>
          </w:tcPr>
          <w:p w14:paraId="2F3AA09E">
            <w:pPr>
              <w:keepNext w:val="0"/>
              <w:keepLines w:val="0"/>
              <w:suppressLineNumbers w:val="0"/>
              <w:spacing w:before="0" w:beforeAutospacing="0" w:after="0" w:afterAutospacing="0"/>
              <w:ind w:left="0" w:right="0"/>
              <w:rPr>
                <w:rFonts w:hint="eastAsia" w:ascii="仿宋_GB2312" w:hAnsi="仿宋_GB2312" w:eastAsia="仿宋_GB2312" w:cs="仿宋_GB2312"/>
                <w:color w:val="auto"/>
                <w:sz w:val="20"/>
                <w:szCs w:val="20"/>
              </w:rPr>
            </w:pPr>
          </w:p>
        </w:tc>
        <w:tc>
          <w:tcPr>
            <w:tcW w:w="1031" w:type="pct"/>
            <w:tcBorders>
              <w:top w:val="nil"/>
              <w:left w:val="nil"/>
              <w:bottom w:val="single" w:color="auto" w:sz="4" w:space="0"/>
              <w:right w:val="single" w:color="000000" w:sz="8" w:space="0"/>
            </w:tcBorders>
            <w:vAlign w:val="center"/>
          </w:tcPr>
          <w:p w14:paraId="4CE28B81">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汞及其化合物；镉、铊及其化合物；锑、砷、铅、铬、钴、铜、锰、镍及其化合物；烟气黑度</w:t>
            </w:r>
          </w:p>
        </w:tc>
        <w:tc>
          <w:tcPr>
            <w:tcW w:w="638" w:type="pct"/>
            <w:tcBorders>
              <w:top w:val="nil"/>
              <w:left w:val="nil"/>
              <w:bottom w:val="single" w:color="auto" w:sz="4" w:space="0"/>
              <w:right w:val="single" w:color="000000" w:sz="8" w:space="0"/>
            </w:tcBorders>
            <w:vAlign w:val="center"/>
          </w:tcPr>
          <w:p w14:paraId="36ABCF3F">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1次/月</w:t>
            </w:r>
          </w:p>
        </w:tc>
        <w:tc>
          <w:tcPr>
            <w:tcW w:w="1435" w:type="pct"/>
            <w:tcBorders>
              <w:top w:val="nil"/>
              <w:left w:val="nil"/>
              <w:bottom w:val="single" w:color="000000" w:sz="8" w:space="0"/>
              <w:right w:val="single" w:color="000000" w:sz="8" w:space="0"/>
            </w:tcBorders>
            <w:vAlign w:val="center"/>
          </w:tcPr>
          <w:p w14:paraId="7515F31A">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每台炉的测量值需为0.5～8 个小时内完成不少于 3 个样品的采集，取算术平均值</w:t>
            </w:r>
          </w:p>
        </w:tc>
        <w:tc>
          <w:tcPr>
            <w:tcW w:w="626" w:type="pct"/>
            <w:tcBorders>
              <w:top w:val="nil"/>
              <w:left w:val="nil"/>
              <w:bottom w:val="single" w:color="auto" w:sz="4" w:space="0"/>
              <w:right w:val="single" w:color="000000" w:sz="8" w:space="0"/>
            </w:tcBorders>
            <w:vAlign w:val="center"/>
          </w:tcPr>
          <w:p w14:paraId="7D31B5B7">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108</w:t>
            </w:r>
          </w:p>
        </w:tc>
      </w:tr>
      <w:tr w14:paraId="31B3F0B7">
        <w:tblPrEx>
          <w:tblCellMar>
            <w:top w:w="0" w:type="dxa"/>
            <w:left w:w="108" w:type="dxa"/>
            <w:bottom w:w="0" w:type="dxa"/>
            <w:right w:w="108" w:type="dxa"/>
          </w:tblCellMar>
        </w:tblPrEx>
        <w:trPr>
          <w:trHeight w:val="1084" w:hRule="atLeast"/>
        </w:trPr>
        <w:tc>
          <w:tcPr>
            <w:tcW w:w="291" w:type="pct"/>
            <w:tcBorders>
              <w:top w:val="nil"/>
              <w:left w:val="single" w:color="000000" w:sz="8" w:space="0"/>
              <w:bottom w:val="single" w:color="000000" w:sz="8" w:space="0"/>
              <w:right w:val="single" w:color="000000" w:sz="8" w:space="0"/>
            </w:tcBorders>
            <w:vAlign w:val="center"/>
          </w:tcPr>
          <w:p w14:paraId="1666932D">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4</w:t>
            </w:r>
          </w:p>
        </w:tc>
        <w:tc>
          <w:tcPr>
            <w:tcW w:w="518" w:type="pct"/>
            <w:vMerge w:val="continue"/>
            <w:tcBorders>
              <w:left w:val="single" w:color="000000" w:sz="8" w:space="0"/>
              <w:right w:val="single" w:color="000000" w:sz="8" w:space="0"/>
            </w:tcBorders>
            <w:vAlign w:val="center"/>
          </w:tcPr>
          <w:p w14:paraId="2693DFBA">
            <w:pPr>
              <w:keepNext w:val="0"/>
              <w:keepLines w:val="0"/>
              <w:suppressLineNumbers w:val="0"/>
              <w:spacing w:before="0" w:beforeAutospacing="0" w:after="0" w:afterAutospacing="0"/>
              <w:ind w:left="0" w:right="0"/>
              <w:rPr>
                <w:rFonts w:hint="eastAsia" w:ascii="仿宋_GB2312" w:hAnsi="仿宋_GB2312" w:eastAsia="仿宋_GB2312" w:cs="仿宋_GB2312"/>
                <w:color w:val="auto"/>
                <w:sz w:val="20"/>
                <w:szCs w:val="20"/>
              </w:rPr>
            </w:pPr>
          </w:p>
        </w:tc>
        <w:tc>
          <w:tcPr>
            <w:tcW w:w="459" w:type="pct"/>
            <w:vMerge w:val="continue"/>
            <w:tcBorders>
              <w:top w:val="nil"/>
              <w:left w:val="single" w:color="000000" w:sz="8" w:space="0"/>
              <w:bottom w:val="single" w:color="000000" w:sz="8" w:space="0"/>
              <w:right w:val="single" w:color="000000" w:sz="8" w:space="0"/>
            </w:tcBorders>
            <w:vAlign w:val="center"/>
          </w:tcPr>
          <w:p w14:paraId="5B83371D">
            <w:pPr>
              <w:keepNext w:val="0"/>
              <w:keepLines w:val="0"/>
              <w:suppressLineNumbers w:val="0"/>
              <w:spacing w:before="0" w:beforeAutospacing="0" w:after="0" w:afterAutospacing="0"/>
              <w:ind w:left="0" w:right="0"/>
              <w:rPr>
                <w:rFonts w:hint="eastAsia" w:ascii="仿宋_GB2312" w:hAnsi="仿宋_GB2312" w:eastAsia="仿宋_GB2312" w:cs="仿宋_GB2312"/>
                <w:color w:val="auto"/>
                <w:sz w:val="20"/>
                <w:szCs w:val="20"/>
              </w:rPr>
            </w:pPr>
          </w:p>
        </w:tc>
        <w:tc>
          <w:tcPr>
            <w:tcW w:w="1031" w:type="pct"/>
            <w:tcBorders>
              <w:top w:val="single" w:color="auto" w:sz="4" w:space="0"/>
              <w:left w:val="nil"/>
              <w:bottom w:val="single" w:color="000000" w:sz="8" w:space="0"/>
              <w:right w:val="single" w:color="000000" w:sz="8" w:space="0"/>
            </w:tcBorders>
            <w:vAlign w:val="center"/>
          </w:tcPr>
          <w:p w14:paraId="35C06C98">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二噁英类</w:t>
            </w:r>
          </w:p>
        </w:tc>
        <w:tc>
          <w:tcPr>
            <w:tcW w:w="638" w:type="pct"/>
            <w:tcBorders>
              <w:top w:val="single" w:color="auto" w:sz="4" w:space="0"/>
              <w:left w:val="nil"/>
              <w:bottom w:val="single" w:color="000000" w:sz="8" w:space="0"/>
              <w:right w:val="single" w:color="000000" w:sz="8" w:space="0"/>
            </w:tcBorders>
            <w:vAlign w:val="center"/>
          </w:tcPr>
          <w:p w14:paraId="64EBDB5E">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1次/季度</w:t>
            </w:r>
          </w:p>
        </w:tc>
        <w:tc>
          <w:tcPr>
            <w:tcW w:w="1435" w:type="pct"/>
            <w:tcBorders>
              <w:top w:val="nil"/>
              <w:left w:val="nil"/>
              <w:bottom w:val="single" w:color="000000" w:sz="8" w:space="0"/>
              <w:right w:val="single" w:color="000000" w:sz="8" w:space="0"/>
            </w:tcBorders>
            <w:vAlign w:val="center"/>
          </w:tcPr>
          <w:p w14:paraId="4AB3C785">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每台炉的测量值需为6～12 个小时内完成不少于 3 个样品的采集，取算术平均值</w:t>
            </w:r>
          </w:p>
        </w:tc>
        <w:tc>
          <w:tcPr>
            <w:tcW w:w="626" w:type="pct"/>
            <w:tcBorders>
              <w:top w:val="single" w:color="auto" w:sz="4" w:space="0"/>
              <w:left w:val="nil"/>
              <w:bottom w:val="single" w:color="000000" w:sz="8" w:space="0"/>
              <w:right w:val="single" w:color="000000" w:sz="8" w:space="0"/>
            </w:tcBorders>
            <w:vAlign w:val="center"/>
          </w:tcPr>
          <w:p w14:paraId="160481C4">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36</w:t>
            </w:r>
          </w:p>
        </w:tc>
      </w:tr>
      <w:tr w14:paraId="2678435B">
        <w:tblPrEx>
          <w:tblCellMar>
            <w:top w:w="0" w:type="dxa"/>
            <w:left w:w="108" w:type="dxa"/>
            <w:bottom w:w="0" w:type="dxa"/>
            <w:right w:w="108" w:type="dxa"/>
          </w:tblCellMar>
        </w:tblPrEx>
        <w:trPr>
          <w:trHeight w:val="1084" w:hRule="atLeast"/>
        </w:trPr>
        <w:tc>
          <w:tcPr>
            <w:tcW w:w="291" w:type="pct"/>
            <w:tcBorders>
              <w:top w:val="nil"/>
              <w:left w:val="single" w:color="000000" w:sz="8" w:space="0"/>
              <w:bottom w:val="single" w:color="000000" w:sz="8" w:space="0"/>
              <w:right w:val="single" w:color="000000" w:sz="8" w:space="0"/>
            </w:tcBorders>
            <w:vAlign w:val="center"/>
          </w:tcPr>
          <w:p w14:paraId="1080213C">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5</w:t>
            </w:r>
          </w:p>
        </w:tc>
        <w:tc>
          <w:tcPr>
            <w:tcW w:w="518" w:type="pct"/>
            <w:vMerge w:val="continue"/>
            <w:tcBorders>
              <w:left w:val="single" w:color="000000" w:sz="8" w:space="0"/>
              <w:bottom w:val="single" w:color="000000" w:sz="8" w:space="0"/>
              <w:right w:val="single" w:color="000000" w:sz="8" w:space="0"/>
            </w:tcBorders>
            <w:vAlign w:val="center"/>
          </w:tcPr>
          <w:p w14:paraId="22AC0635">
            <w:pPr>
              <w:keepNext w:val="0"/>
              <w:keepLines w:val="0"/>
              <w:suppressLineNumbers w:val="0"/>
              <w:spacing w:before="0" w:beforeAutospacing="0" w:after="0" w:afterAutospacing="0"/>
              <w:ind w:left="0" w:right="0"/>
              <w:rPr>
                <w:rFonts w:hint="eastAsia" w:ascii="仿宋_GB2312" w:hAnsi="仿宋_GB2312" w:eastAsia="仿宋_GB2312" w:cs="仿宋_GB2312"/>
                <w:color w:val="auto"/>
                <w:sz w:val="20"/>
                <w:szCs w:val="20"/>
              </w:rPr>
            </w:pPr>
          </w:p>
        </w:tc>
        <w:tc>
          <w:tcPr>
            <w:tcW w:w="459" w:type="pct"/>
            <w:tcBorders>
              <w:top w:val="nil"/>
              <w:left w:val="single" w:color="000000" w:sz="8" w:space="0"/>
              <w:bottom w:val="single" w:color="000000" w:sz="8" w:space="0"/>
              <w:right w:val="single" w:color="000000" w:sz="8" w:space="0"/>
            </w:tcBorders>
            <w:vAlign w:val="center"/>
          </w:tcPr>
          <w:p w14:paraId="517D695A">
            <w:pPr>
              <w:keepNext w:val="0"/>
              <w:keepLines w:val="0"/>
              <w:suppressLineNumbers w:val="0"/>
              <w:spacing w:before="0" w:beforeAutospacing="0" w:after="0" w:afterAutospacing="0"/>
              <w:ind w:left="0" w:right="0"/>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飞灰养护间排气筒有组织废气</w:t>
            </w:r>
          </w:p>
        </w:tc>
        <w:tc>
          <w:tcPr>
            <w:tcW w:w="1031" w:type="pct"/>
            <w:tcBorders>
              <w:top w:val="single" w:color="auto" w:sz="4" w:space="0"/>
              <w:left w:val="nil"/>
              <w:bottom w:val="single" w:color="000000" w:sz="8" w:space="0"/>
              <w:right w:val="single" w:color="000000" w:sz="8" w:space="0"/>
            </w:tcBorders>
            <w:vAlign w:val="center"/>
          </w:tcPr>
          <w:p w14:paraId="018F4D5A">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颗粒物</w:t>
            </w:r>
          </w:p>
        </w:tc>
        <w:tc>
          <w:tcPr>
            <w:tcW w:w="638" w:type="pct"/>
            <w:tcBorders>
              <w:top w:val="single" w:color="auto" w:sz="4" w:space="0"/>
              <w:left w:val="nil"/>
              <w:bottom w:val="single" w:color="000000" w:sz="8" w:space="0"/>
              <w:right w:val="single" w:color="000000" w:sz="8" w:space="0"/>
            </w:tcBorders>
            <w:vAlign w:val="center"/>
          </w:tcPr>
          <w:p w14:paraId="16BD40E6">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1次/季度</w:t>
            </w:r>
          </w:p>
        </w:tc>
        <w:tc>
          <w:tcPr>
            <w:tcW w:w="1435" w:type="pct"/>
            <w:tcBorders>
              <w:top w:val="nil"/>
              <w:left w:val="nil"/>
              <w:bottom w:val="single" w:color="000000" w:sz="8" w:space="0"/>
              <w:right w:val="single" w:color="000000" w:sz="8" w:space="0"/>
            </w:tcBorders>
            <w:vAlign w:val="center"/>
          </w:tcPr>
          <w:p w14:paraId="350FB87E">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w:t>
            </w:r>
          </w:p>
        </w:tc>
        <w:tc>
          <w:tcPr>
            <w:tcW w:w="626" w:type="pct"/>
            <w:tcBorders>
              <w:top w:val="single" w:color="auto" w:sz="4" w:space="0"/>
              <w:left w:val="nil"/>
              <w:bottom w:val="single" w:color="000000" w:sz="8" w:space="0"/>
              <w:right w:val="single" w:color="000000" w:sz="8" w:space="0"/>
            </w:tcBorders>
            <w:vAlign w:val="center"/>
          </w:tcPr>
          <w:p w14:paraId="30997B37">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4</w:t>
            </w:r>
          </w:p>
        </w:tc>
      </w:tr>
      <w:tr w14:paraId="7046D4E5">
        <w:tblPrEx>
          <w:tblCellMar>
            <w:top w:w="0" w:type="dxa"/>
            <w:left w:w="108" w:type="dxa"/>
            <w:bottom w:w="0" w:type="dxa"/>
            <w:right w:w="108" w:type="dxa"/>
          </w:tblCellMar>
        </w:tblPrEx>
        <w:trPr>
          <w:trHeight w:val="414" w:hRule="atLeast"/>
        </w:trPr>
        <w:tc>
          <w:tcPr>
            <w:tcW w:w="291" w:type="pct"/>
            <w:tcBorders>
              <w:top w:val="nil"/>
              <w:left w:val="single" w:color="000000" w:sz="8" w:space="0"/>
              <w:bottom w:val="single" w:color="000000" w:sz="8" w:space="0"/>
              <w:right w:val="single" w:color="000000" w:sz="8" w:space="0"/>
            </w:tcBorders>
            <w:vAlign w:val="center"/>
          </w:tcPr>
          <w:p w14:paraId="5B1E08D8">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6</w:t>
            </w:r>
          </w:p>
        </w:tc>
        <w:tc>
          <w:tcPr>
            <w:tcW w:w="518" w:type="pct"/>
            <w:tcBorders>
              <w:top w:val="nil"/>
              <w:left w:val="single" w:color="000000" w:sz="8" w:space="0"/>
              <w:bottom w:val="single" w:color="000000" w:sz="8" w:space="0"/>
              <w:right w:val="single" w:color="000000" w:sz="8" w:space="0"/>
            </w:tcBorders>
            <w:vAlign w:val="center"/>
          </w:tcPr>
          <w:p w14:paraId="6069FCE6">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无组织排放废气</w:t>
            </w:r>
          </w:p>
        </w:tc>
        <w:tc>
          <w:tcPr>
            <w:tcW w:w="459" w:type="pct"/>
            <w:tcBorders>
              <w:top w:val="nil"/>
              <w:left w:val="nil"/>
              <w:bottom w:val="single" w:color="000000" w:sz="8" w:space="0"/>
              <w:right w:val="single" w:color="000000" w:sz="8" w:space="0"/>
            </w:tcBorders>
            <w:vAlign w:val="center"/>
          </w:tcPr>
          <w:p w14:paraId="624AA9D2">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厂界4个点</w:t>
            </w:r>
          </w:p>
        </w:tc>
        <w:tc>
          <w:tcPr>
            <w:tcW w:w="1031" w:type="pct"/>
            <w:tcBorders>
              <w:top w:val="nil"/>
              <w:left w:val="nil"/>
              <w:bottom w:val="single" w:color="000000" w:sz="8" w:space="0"/>
              <w:right w:val="single" w:color="000000" w:sz="8" w:space="0"/>
            </w:tcBorders>
            <w:vAlign w:val="center"/>
          </w:tcPr>
          <w:p w14:paraId="369F1C18">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H</w:t>
            </w:r>
            <w:r>
              <w:rPr>
                <w:rFonts w:hint="eastAsia" w:ascii="仿宋_GB2312" w:hAnsi="仿宋_GB2312" w:eastAsia="仿宋_GB2312" w:cs="仿宋_GB2312"/>
                <w:color w:val="auto"/>
                <w:sz w:val="20"/>
                <w:szCs w:val="20"/>
                <w:vertAlign w:val="subscript"/>
              </w:rPr>
              <w:t>2</w:t>
            </w:r>
            <w:r>
              <w:rPr>
                <w:rFonts w:hint="eastAsia" w:ascii="仿宋_GB2312" w:hAnsi="仿宋_GB2312" w:eastAsia="仿宋_GB2312" w:cs="仿宋_GB2312"/>
                <w:color w:val="auto"/>
                <w:sz w:val="20"/>
                <w:szCs w:val="20"/>
              </w:rPr>
              <w:t>S、NH</w:t>
            </w:r>
            <w:r>
              <w:rPr>
                <w:rFonts w:hint="eastAsia" w:ascii="仿宋_GB2312" w:hAnsi="仿宋_GB2312" w:eastAsia="仿宋_GB2312" w:cs="仿宋_GB2312"/>
                <w:color w:val="auto"/>
                <w:sz w:val="20"/>
                <w:szCs w:val="20"/>
                <w:vertAlign w:val="subscript"/>
              </w:rPr>
              <w:t>3</w:t>
            </w:r>
            <w:r>
              <w:rPr>
                <w:rFonts w:hint="eastAsia" w:ascii="仿宋_GB2312" w:hAnsi="仿宋_GB2312" w:eastAsia="仿宋_GB2312" w:cs="仿宋_GB2312"/>
                <w:color w:val="auto"/>
                <w:sz w:val="20"/>
                <w:szCs w:val="20"/>
              </w:rPr>
              <w:t>、臭气浓度、颗粒物</w:t>
            </w:r>
          </w:p>
        </w:tc>
        <w:tc>
          <w:tcPr>
            <w:tcW w:w="638" w:type="pct"/>
            <w:tcBorders>
              <w:top w:val="nil"/>
              <w:left w:val="nil"/>
              <w:bottom w:val="single" w:color="000000" w:sz="8" w:space="0"/>
              <w:right w:val="single" w:color="000000" w:sz="8" w:space="0"/>
            </w:tcBorders>
            <w:vAlign w:val="center"/>
          </w:tcPr>
          <w:p w14:paraId="08ED7C70">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1次/季度</w:t>
            </w:r>
          </w:p>
        </w:tc>
        <w:tc>
          <w:tcPr>
            <w:tcW w:w="1435" w:type="pct"/>
            <w:tcBorders>
              <w:top w:val="nil"/>
              <w:left w:val="nil"/>
              <w:bottom w:val="single" w:color="000000" w:sz="8" w:space="0"/>
              <w:right w:val="single" w:color="000000" w:sz="8" w:space="0"/>
            </w:tcBorders>
            <w:vAlign w:val="center"/>
          </w:tcPr>
          <w:p w14:paraId="2FC23AB6">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每个监测点每隔2小时采集一次样品，共采集4次，取其最大测量值</w:t>
            </w:r>
          </w:p>
        </w:tc>
        <w:tc>
          <w:tcPr>
            <w:tcW w:w="626" w:type="pct"/>
            <w:tcBorders>
              <w:top w:val="nil"/>
              <w:left w:val="nil"/>
              <w:bottom w:val="single" w:color="000000" w:sz="8" w:space="0"/>
              <w:right w:val="single" w:color="000000" w:sz="8" w:space="0"/>
            </w:tcBorders>
            <w:vAlign w:val="center"/>
          </w:tcPr>
          <w:p w14:paraId="2CA4302F">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64</w:t>
            </w:r>
          </w:p>
        </w:tc>
      </w:tr>
      <w:tr w14:paraId="391CB8C6">
        <w:tblPrEx>
          <w:tblCellMar>
            <w:top w:w="0" w:type="dxa"/>
            <w:left w:w="108" w:type="dxa"/>
            <w:bottom w:w="0" w:type="dxa"/>
            <w:right w:w="108" w:type="dxa"/>
          </w:tblCellMar>
        </w:tblPrEx>
        <w:trPr>
          <w:trHeight w:val="1123" w:hRule="atLeast"/>
        </w:trPr>
        <w:tc>
          <w:tcPr>
            <w:tcW w:w="291" w:type="pct"/>
            <w:tcBorders>
              <w:top w:val="single" w:color="auto" w:sz="4" w:space="0"/>
              <w:left w:val="single" w:color="000000" w:sz="8" w:space="0"/>
              <w:bottom w:val="single" w:color="000000" w:sz="8" w:space="0"/>
              <w:right w:val="single" w:color="000000" w:sz="8" w:space="0"/>
            </w:tcBorders>
            <w:vAlign w:val="center"/>
          </w:tcPr>
          <w:p w14:paraId="7610AE71">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7</w:t>
            </w:r>
          </w:p>
        </w:tc>
        <w:tc>
          <w:tcPr>
            <w:tcW w:w="518" w:type="pct"/>
            <w:vMerge w:val="restart"/>
            <w:tcBorders>
              <w:top w:val="single" w:color="auto" w:sz="4" w:space="0"/>
              <w:left w:val="single" w:color="000000" w:sz="8" w:space="0"/>
              <w:bottom w:val="single" w:color="000000" w:sz="8" w:space="0"/>
              <w:right w:val="single" w:color="000000" w:sz="8" w:space="0"/>
            </w:tcBorders>
            <w:vAlign w:val="center"/>
          </w:tcPr>
          <w:p w14:paraId="5C4A5A01">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废水</w:t>
            </w:r>
          </w:p>
        </w:tc>
        <w:tc>
          <w:tcPr>
            <w:tcW w:w="459" w:type="pct"/>
            <w:tcBorders>
              <w:top w:val="single" w:color="auto" w:sz="4" w:space="0"/>
              <w:left w:val="nil"/>
              <w:bottom w:val="single" w:color="000000" w:sz="8" w:space="0"/>
              <w:right w:val="single" w:color="000000" w:sz="8" w:space="0"/>
            </w:tcBorders>
            <w:vAlign w:val="center"/>
          </w:tcPr>
          <w:p w14:paraId="0D66D721">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渗滤液处理设施出口</w:t>
            </w:r>
          </w:p>
        </w:tc>
        <w:tc>
          <w:tcPr>
            <w:tcW w:w="1031" w:type="pct"/>
            <w:tcBorders>
              <w:top w:val="single" w:color="auto" w:sz="4" w:space="0"/>
              <w:left w:val="nil"/>
              <w:bottom w:val="single" w:color="000000" w:sz="8" w:space="0"/>
              <w:right w:val="single" w:color="000000" w:sz="8" w:space="0"/>
            </w:tcBorders>
            <w:vAlign w:val="center"/>
          </w:tcPr>
          <w:p w14:paraId="7FFE1DE1">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pH值、COD</w:t>
            </w:r>
            <w:r>
              <w:rPr>
                <w:rFonts w:hint="eastAsia" w:ascii="仿宋_GB2312" w:hAnsi="仿宋_GB2312" w:eastAsia="仿宋_GB2312" w:cs="仿宋_GB2312"/>
                <w:color w:val="auto"/>
                <w:sz w:val="20"/>
                <w:szCs w:val="20"/>
                <w:vertAlign w:val="subscript"/>
              </w:rPr>
              <w:t>Cr</w:t>
            </w:r>
            <w:r>
              <w:rPr>
                <w:rFonts w:hint="eastAsia" w:ascii="仿宋_GB2312" w:hAnsi="仿宋_GB2312" w:eastAsia="仿宋_GB2312" w:cs="仿宋_GB2312"/>
                <w:color w:val="auto"/>
                <w:sz w:val="20"/>
                <w:szCs w:val="20"/>
              </w:rPr>
              <w:t>、BOD</w:t>
            </w:r>
            <w:r>
              <w:rPr>
                <w:rFonts w:hint="eastAsia" w:ascii="仿宋_GB2312" w:hAnsi="仿宋_GB2312" w:eastAsia="仿宋_GB2312" w:cs="仿宋_GB2312"/>
                <w:color w:val="auto"/>
                <w:sz w:val="20"/>
                <w:szCs w:val="20"/>
                <w:vertAlign w:val="subscript"/>
              </w:rPr>
              <w:t>5</w:t>
            </w:r>
            <w:r>
              <w:rPr>
                <w:rFonts w:hint="eastAsia" w:ascii="仿宋_GB2312" w:hAnsi="仿宋_GB2312" w:eastAsia="仿宋_GB2312" w:cs="仿宋_GB2312"/>
                <w:color w:val="auto"/>
                <w:sz w:val="20"/>
                <w:szCs w:val="20"/>
              </w:rPr>
              <w:t>、NH</w:t>
            </w:r>
            <w:r>
              <w:rPr>
                <w:rFonts w:hint="eastAsia" w:ascii="仿宋_GB2312" w:hAnsi="仿宋_GB2312" w:eastAsia="仿宋_GB2312" w:cs="仿宋_GB2312"/>
                <w:color w:val="auto"/>
                <w:sz w:val="20"/>
                <w:szCs w:val="20"/>
                <w:vertAlign w:val="subscript"/>
              </w:rPr>
              <w:t>3</w:t>
            </w:r>
            <w:r>
              <w:rPr>
                <w:rFonts w:hint="eastAsia" w:ascii="仿宋_GB2312" w:hAnsi="仿宋_GB2312" w:eastAsia="仿宋_GB2312" w:cs="仿宋_GB2312"/>
                <w:color w:val="auto"/>
                <w:sz w:val="20"/>
                <w:szCs w:val="20"/>
              </w:rPr>
              <w:t>-N、SS、Pb、Cd、Hg、水量</w:t>
            </w:r>
          </w:p>
        </w:tc>
        <w:tc>
          <w:tcPr>
            <w:tcW w:w="638" w:type="pct"/>
            <w:tcBorders>
              <w:top w:val="single" w:color="auto" w:sz="4" w:space="0"/>
              <w:left w:val="nil"/>
              <w:bottom w:val="single" w:color="000000" w:sz="8" w:space="0"/>
              <w:right w:val="single" w:color="000000" w:sz="8" w:space="0"/>
            </w:tcBorders>
            <w:vAlign w:val="center"/>
          </w:tcPr>
          <w:p w14:paraId="652BBE29">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1次/月</w:t>
            </w:r>
          </w:p>
        </w:tc>
        <w:tc>
          <w:tcPr>
            <w:tcW w:w="1435" w:type="pct"/>
            <w:tcBorders>
              <w:top w:val="single" w:color="auto" w:sz="4" w:space="0"/>
              <w:left w:val="nil"/>
              <w:bottom w:val="single" w:color="000000" w:sz="8" w:space="0"/>
              <w:right w:val="single" w:color="000000" w:sz="8" w:space="0"/>
            </w:tcBorders>
            <w:vAlign w:val="center"/>
          </w:tcPr>
          <w:p w14:paraId="16B49B4B">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w:t>
            </w:r>
          </w:p>
        </w:tc>
        <w:tc>
          <w:tcPr>
            <w:tcW w:w="626" w:type="pct"/>
            <w:tcBorders>
              <w:top w:val="single" w:color="auto" w:sz="4" w:space="0"/>
              <w:left w:val="nil"/>
              <w:bottom w:val="single" w:color="000000" w:sz="8" w:space="0"/>
              <w:right w:val="single" w:color="000000" w:sz="8" w:space="0"/>
            </w:tcBorders>
            <w:vAlign w:val="center"/>
          </w:tcPr>
          <w:p w14:paraId="3D014BC8">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12</w:t>
            </w:r>
          </w:p>
        </w:tc>
      </w:tr>
      <w:tr w14:paraId="5EADCB2C">
        <w:tblPrEx>
          <w:tblCellMar>
            <w:top w:w="0" w:type="dxa"/>
            <w:left w:w="108" w:type="dxa"/>
            <w:bottom w:w="0" w:type="dxa"/>
            <w:right w:w="108" w:type="dxa"/>
          </w:tblCellMar>
        </w:tblPrEx>
        <w:trPr>
          <w:trHeight w:val="983" w:hRule="atLeast"/>
        </w:trPr>
        <w:tc>
          <w:tcPr>
            <w:tcW w:w="291" w:type="pct"/>
            <w:tcBorders>
              <w:top w:val="nil"/>
              <w:left w:val="single" w:color="000000" w:sz="8" w:space="0"/>
              <w:bottom w:val="single" w:color="000000" w:sz="8" w:space="0"/>
              <w:right w:val="single" w:color="000000" w:sz="8" w:space="0"/>
            </w:tcBorders>
            <w:vAlign w:val="center"/>
          </w:tcPr>
          <w:p w14:paraId="78BBA41E">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8</w:t>
            </w:r>
          </w:p>
        </w:tc>
        <w:tc>
          <w:tcPr>
            <w:tcW w:w="518" w:type="pct"/>
            <w:vMerge w:val="continue"/>
            <w:tcBorders>
              <w:top w:val="nil"/>
              <w:left w:val="single" w:color="000000" w:sz="8" w:space="0"/>
              <w:bottom w:val="single" w:color="000000" w:sz="8" w:space="0"/>
              <w:right w:val="single" w:color="000000" w:sz="8" w:space="0"/>
            </w:tcBorders>
            <w:vAlign w:val="center"/>
          </w:tcPr>
          <w:p w14:paraId="07400C73">
            <w:pPr>
              <w:keepNext w:val="0"/>
              <w:keepLines w:val="0"/>
              <w:suppressLineNumbers w:val="0"/>
              <w:spacing w:before="0" w:beforeAutospacing="0" w:after="0" w:afterAutospacing="0"/>
              <w:ind w:left="0" w:right="0"/>
              <w:rPr>
                <w:rFonts w:hint="eastAsia" w:ascii="仿宋_GB2312" w:hAnsi="仿宋_GB2312" w:eastAsia="仿宋_GB2312" w:cs="仿宋_GB2312"/>
                <w:color w:val="auto"/>
                <w:sz w:val="20"/>
                <w:szCs w:val="20"/>
              </w:rPr>
            </w:pPr>
          </w:p>
        </w:tc>
        <w:tc>
          <w:tcPr>
            <w:tcW w:w="459" w:type="pct"/>
            <w:tcBorders>
              <w:top w:val="nil"/>
              <w:left w:val="nil"/>
              <w:bottom w:val="single" w:color="000000" w:sz="8" w:space="0"/>
              <w:right w:val="single" w:color="000000" w:sz="8" w:space="0"/>
            </w:tcBorders>
            <w:vAlign w:val="center"/>
          </w:tcPr>
          <w:p w14:paraId="26ED0560">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洗烟废水处理设施出口</w:t>
            </w:r>
          </w:p>
        </w:tc>
        <w:tc>
          <w:tcPr>
            <w:tcW w:w="1031" w:type="pct"/>
            <w:tcBorders>
              <w:top w:val="nil"/>
              <w:left w:val="nil"/>
              <w:bottom w:val="single" w:color="000000" w:sz="8" w:space="0"/>
              <w:right w:val="single" w:color="000000" w:sz="8" w:space="0"/>
            </w:tcBorders>
            <w:vAlign w:val="center"/>
          </w:tcPr>
          <w:p w14:paraId="1C4F07D6">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pH值、COD</w:t>
            </w:r>
            <w:r>
              <w:rPr>
                <w:rFonts w:hint="eastAsia" w:ascii="仿宋_GB2312" w:hAnsi="仿宋_GB2312" w:eastAsia="仿宋_GB2312" w:cs="仿宋_GB2312"/>
                <w:color w:val="auto"/>
                <w:sz w:val="20"/>
                <w:szCs w:val="20"/>
                <w:vertAlign w:val="subscript"/>
              </w:rPr>
              <w:t>Cr</w:t>
            </w:r>
            <w:r>
              <w:rPr>
                <w:rFonts w:hint="eastAsia" w:ascii="仿宋_GB2312" w:hAnsi="仿宋_GB2312" w:eastAsia="仿宋_GB2312" w:cs="仿宋_GB2312"/>
                <w:color w:val="auto"/>
                <w:sz w:val="20"/>
                <w:szCs w:val="20"/>
              </w:rPr>
              <w:t>、BOD</w:t>
            </w:r>
            <w:r>
              <w:rPr>
                <w:rFonts w:hint="eastAsia" w:ascii="仿宋_GB2312" w:hAnsi="仿宋_GB2312" w:eastAsia="仿宋_GB2312" w:cs="仿宋_GB2312"/>
                <w:color w:val="auto"/>
                <w:sz w:val="20"/>
                <w:szCs w:val="20"/>
                <w:vertAlign w:val="subscript"/>
              </w:rPr>
              <w:t>5</w:t>
            </w:r>
            <w:r>
              <w:rPr>
                <w:rFonts w:hint="eastAsia" w:ascii="仿宋_GB2312" w:hAnsi="仿宋_GB2312" w:eastAsia="仿宋_GB2312" w:cs="仿宋_GB2312"/>
                <w:color w:val="auto"/>
                <w:sz w:val="20"/>
                <w:szCs w:val="20"/>
              </w:rPr>
              <w:t>、NH</w:t>
            </w:r>
            <w:r>
              <w:rPr>
                <w:rFonts w:hint="eastAsia" w:ascii="仿宋_GB2312" w:hAnsi="仿宋_GB2312" w:eastAsia="仿宋_GB2312" w:cs="仿宋_GB2312"/>
                <w:color w:val="auto"/>
                <w:sz w:val="20"/>
                <w:szCs w:val="20"/>
                <w:vertAlign w:val="subscript"/>
              </w:rPr>
              <w:t>3</w:t>
            </w:r>
            <w:r>
              <w:rPr>
                <w:rFonts w:hint="eastAsia" w:ascii="仿宋_GB2312" w:hAnsi="仿宋_GB2312" w:eastAsia="仿宋_GB2312" w:cs="仿宋_GB2312"/>
                <w:color w:val="auto"/>
                <w:sz w:val="20"/>
                <w:szCs w:val="20"/>
              </w:rPr>
              <w:t>-N、SS、Pb、Cd、Hg、水量</w:t>
            </w:r>
          </w:p>
        </w:tc>
        <w:tc>
          <w:tcPr>
            <w:tcW w:w="638" w:type="pct"/>
            <w:tcBorders>
              <w:top w:val="nil"/>
              <w:left w:val="nil"/>
              <w:bottom w:val="single" w:color="000000" w:sz="8" w:space="0"/>
              <w:right w:val="single" w:color="000000" w:sz="8" w:space="0"/>
            </w:tcBorders>
            <w:vAlign w:val="center"/>
          </w:tcPr>
          <w:p w14:paraId="5D275724">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1次/月</w:t>
            </w:r>
          </w:p>
        </w:tc>
        <w:tc>
          <w:tcPr>
            <w:tcW w:w="1435" w:type="pct"/>
            <w:tcBorders>
              <w:top w:val="nil"/>
              <w:left w:val="nil"/>
              <w:bottom w:val="single" w:color="000000" w:sz="8" w:space="0"/>
              <w:right w:val="single" w:color="000000" w:sz="8" w:space="0"/>
            </w:tcBorders>
            <w:vAlign w:val="center"/>
          </w:tcPr>
          <w:p w14:paraId="3596C612">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w:t>
            </w:r>
          </w:p>
        </w:tc>
        <w:tc>
          <w:tcPr>
            <w:tcW w:w="626" w:type="pct"/>
            <w:tcBorders>
              <w:top w:val="nil"/>
              <w:left w:val="nil"/>
              <w:bottom w:val="single" w:color="000000" w:sz="8" w:space="0"/>
              <w:right w:val="single" w:color="000000" w:sz="8" w:space="0"/>
            </w:tcBorders>
            <w:vAlign w:val="center"/>
          </w:tcPr>
          <w:p w14:paraId="4ACB1140">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12</w:t>
            </w:r>
          </w:p>
        </w:tc>
      </w:tr>
      <w:tr w14:paraId="1258CFC0">
        <w:tblPrEx>
          <w:tblCellMar>
            <w:top w:w="0" w:type="dxa"/>
            <w:left w:w="108" w:type="dxa"/>
            <w:bottom w:w="0" w:type="dxa"/>
            <w:right w:w="108" w:type="dxa"/>
          </w:tblCellMar>
        </w:tblPrEx>
        <w:trPr>
          <w:trHeight w:val="876" w:hRule="atLeast"/>
        </w:trPr>
        <w:tc>
          <w:tcPr>
            <w:tcW w:w="291" w:type="pct"/>
            <w:tcBorders>
              <w:top w:val="nil"/>
              <w:left w:val="single" w:color="000000" w:sz="8" w:space="0"/>
              <w:bottom w:val="single" w:color="000000" w:sz="8" w:space="0"/>
              <w:right w:val="single" w:color="000000" w:sz="8" w:space="0"/>
            </w:tcBorders>
            <w:vAlign w:val="center"/>
          </w:tcPr>
          <w:p w14:paraId="7E7D0440">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9</w:t>
            </w:r>
          </w:p>
        </w:tc>
        <w:tc>
          <w:tcPr>
            <w:tcW w:w="518" w:type="pct"/>
            <w:tcBorders>
              <w:top w:val="nil"/>
              <w:left w:val="single" w:color="000000" w:sz="8" w:space="0"/>
              <w:bottom w:val="single" w:color="000000" w:sz="8" w:space="0"/>
              <w:right w:val="single" w:color="000000" w:sz="8" w:space="0"/>
            </w:tcBorders>
            <w:vAlign w:val="center"/>
          </w:tcPr>
          <w:p w14:paraId="04E64D2F">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水质</w:t>
            </w:r>
          </w:p>
        </w:tc>
        <w:tc>
          <w:tcPr>
            <w:tcW w:w="459" w:type="pct"/>
            <w:tcBorders>
              <w:top w:val="nil"/>
              <w:left w:val="nil"/>
              <w:bottom w:val="single" w:color="000000" w:sz="8" w:space="0"/>
              <w:right w:val="single" w:color="000000" w:sz="8" w:space="0"/>
            </w:tcBorders>
            <w:vAlign w:val="center"/>
          </w:tcPr>
          <w:p w14:paraId="615AD85E">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自来水出水口</w:t>
            </w:r>
          </w:p>
        </w:tc>
        <w:tc>
          <w:tcPr>
            <w:tcW w:w="1031" w:type="pct"/>
            <w:tcBorders>
              <w:top w:val="nil"/>
              <w:left w:val="nil"/>
              <w:bottom w:val="single" w:color="000000" w:sz="8" w:space="0"/>
              <w:right w:val="single" w:color="000000" w:sz="8" w:space="0"/>
            </w:tcBorders>
            <w:vAlign w:val="center"/>
          </w:tcPr>
          <w:p w14:paraId="7E7FF9CF">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pH、色度、浑浊度、总硬度、氯化物、溶解性总固体、耗氧量、挥发酚类、电导率、硫酸盐、氟化物、总大肠菌群、菌落总数、硝酸盐氮、游离余氯、六价铬、铁</w:t>
            </w:r>
          </w:p>
        </w:tc>
        <w:tc>
          <w:tcPr>
            <w:tcW w:w="638" w:type="pct"/>
            <w:tcBorders>
              <w:top w:val="nil"/>
              <w:left w:val="nil"/>
              <w:bottom w:val="single" w:color="000000" w:sz="8" w:space="0"/>
              <w:right w:val="single" w:color="000000" w:sz="8" w:space="0"/>
            </w:tcBorders>
            <w:vAlign w:val="center"/>
          </w:tcPr>
          <w:p w14:paraId="347D1883">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1次/半年</w:t>
            </w:r>
          </w:p>
        </w:tc>
        <w:tc>
          <w:tcPr>
            <w:tcW w:w="1435" w:type="pct"/>
            <w:tcBorders>
              <w:top w:val="nil"/>
              <w:left w:val="nil"/>
              <w:bottom w:val="single" w:color="000000" w:sz="8" w:space="0"/>
              <w:right w:val="single" w:color="000000" w:sz="8" w:space="0"/>
            </w:tcBorders>
            <w:vAlign w:val="center"/>
          </w:tcPr>
          <w:p w14:paraId="6E9A85D2">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w:t>
            </w:r>
          </w:p>
        </w:tc>
        <w:tc>
          <w:tcPr>
            <w:tcW w:w="626" w:type="pct"/>
            <w:tcBorders>
              <w:top w:val="nil"/>
              <w:left w:val="nil"/>
              <w:bottom w:val="single" w:color="000000" w:sz="8" w:space="0"/>
              <w:right w:val="single" w:color="000000" w:sz="8" w:space="0"/>
            </w:tcBorders>
            <w:vAlign w:val="center"/>
          </w:tcPr>
          <w:p w14:paraId="4D982D07">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2</w:t>
            </w:r>
          </w:p>
        </w:tc>
      </w:tr>
      <w:tr w14:paraId="1D90838D">
        <w:tblPrEx>
          <w:tblCellMar>
            <w:top w:w="0" w:type="dxa"/>
            <w:left w:w="108" w:type="dxa"/>
            <w:bottom w:w="0" w:type="dxa"/>
            <w:right w:w="108" w:type="dxa"/>
          </w:tblCellMar>
        </w:tblPrEx>
        <w:trPr>
          <w:trHeight w:val="876" w:hRule="atLeast"/>
        </w:trPr>
        <w:tc>
          <w:tcPr>
            <w:tcW w:w="291" w:type="pct"/>
            <w:tcBorders>
              <w:top w:val="nil"/>
              <w:left w:val="single" w:color="000000" w:sz="8" w:space="0"/>
              <w:bottom w:val="single" w:color="000000" w:sz="8" w:space="0"/>
              <w:right w:val="single" w:color="000000" w:sz="8" w:space="0"/>
            </w:tcBorders>
            <w:vAlign w:val="center"/>
          </w:tcPr>
          <w:p w14:paraId="00375604">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10</w:t>
            </w:r>
          </w:p>
        </w:tc>
        <w:tc>
          <w:tcPr>
            <w:tcW w:w="518" w:type="pct"/>
            <w:tcBorders>
              <w:top w:val="nil"/>
              <w:left w:val="single" w:color="000000" w:sz="8" w:space="0"/>
              <w:bottom w:val="single" w:color="000000" w:sz="8" w:space="0"/>
              <w:right w:val="single" w:color="000000" w:sz="8" w:space="0"/>
            </w:tcBorders>
            <w:vAlign w:val="center"/>
          </w:tcPr>
          <w:p w14:paraId="27DAE41A">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噪声</w:t>
            </w:r>
          </w:p>
        </w:tc>
        <w:tc>
          <w:tcPr>
            <w:tcW w:w="459" w:type="pct"/>
            <w:tcBorders>
              <w:top w:val="nil"/>
              <w:left w:val="nil"/>
              <w:bottom w:val="single" w:color="000000" w:sz="8" w:space="0"/>
              <w:right w:val="single" w:color="000000" w:sz="8" w:space="0"/>
            </w:tcBorders>
            <w:vAlign w:val="center"/>
          </w:tcPr>
          <w:p w14:paraId="47C9B6F7">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厂界周围4个点</w:t>
            </w:r>
          </w:p>
        </w:tc>
        <w:tc>
          <w:tcPr>
            <w:tcW w:w="1031" w:type="pct"/>
            <w:tcBorders>
              <w:top w:val="nil"/>
              <w:left w:val="nil"/>
              <w:bottom w:val="single" w:color="000000" w:sz="8" w:space="0"/>
              <w:right w:val="single" w:color="000000" w:sz="8" w:space="0"/>
            </w:tcBorders>
            <w:vAlign w:val="center"/>
          </w:tcPr>
          <w:p w14:paraId="61BB616E">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厂界噪声，等效连续A声级、夜间频发噪声最大声级</w:t>
            </w:r>
          </w:p>
          <w:p w14:paraId="64B28A02">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kern w:val="0"/>
                <w:sz w:val="20"/>
                <w:szCs w:val="20"/>
              </w:rPr>
              <w:t>、夜间偶发噪声最大声级</w:t>
            </w:r>
          </w:p>
        </w:tc>
        <w:tc>
          <w:tcPr>
            <w:tcW w:w="638" w:type="pct"/>
            <w:tcBorders>
              <w:top w:val="nil"/>
              <w:left w:val="nil"/>
              <w:bottom w:val="single" w:color="000000" w:sz="8" w:space="0"/>
              <w:right w:val="single" w:color="000000" w:sz="8" w:space="0"/>
            </w:tcBorders>
            <w:vAlign w:val="center"/>
          </w:tcPr>
          <w:p w14:paraId="43B0AB6C">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1次/季度</w:t>
            </w:r>
          </w:p>
        </w:tc>
        <w:tc>
          <w:tcPr>
            <w:tcW w:w="1435" w:type="pct"/>
            <w:tcBorders>
              <w:top w:val="nil"/>
              <w:left w:val="nil"/>
              <w:bottom w:val="single" w:color="000000" w:sz="8" w:space="0"/>
              <w:right w:val="single" w:color="000000" w:sz="8" w:space="0"/>
            </w:tcBorders>
            <w:vAlign w:val="center"/>
          </w:tcPr>
          <w:p w14:paraId="24164343">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每个监测点每期监测需昼、夜各测1次</w:t>
            </w:r>
          </w:p>
        </w:tc>
        <w:tc>
          <w:tcPr>
            <w:tcW w:w="626" w:type="pct"/>
            <w:tcBorders>
              <w:top w:val="nil"/>
              <w:left w:val="nil"/>
              <w:bottom w:val="single" w:color="000000" w:sz="8" w:space="0"/>
              <w:right w:val="single" w:color="000000" w:sz="8" w:space="0"/>
            </w:tcBorders>
            <w:vAlign w:val="center"/>
          </w:tcPr>
          <w:p w14:paraId="2E2E1C92">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lang w:val="en-US" w:eastAsia="zh-CN"/>
              </w:rPr>
            </w:pPr>
            <w:r>
              <w:rPr>
                <w:rFonts w:hint="eastAsia" w:ascii="仿宋_GB2312" w:hAnsi="仿宋_GB2312" w:eastAsia="仿宋_GB2312" w:cs="仿宋_GB2312"/>
                <w:color w:val="auto"/>
                <w:sz w:val="20"/>
                <w:szCs w:val="20"/>
                <w:lang w:val="en-US" w:eastAsia="zh-CN"/>
              </w:rPr>
              <w:t>32</w:t>
            </w:r>
          </w:p>
        </w:tc>
      </w:tr>
      <w:tr w14:paraId="0262E980">
        <w:tblPrEx>
          <w:tblCellMar>
            <w:top w:w="0" w:type="dxa"/>
            <w:left w:w="108" w:type="dxa"/>
            <w:bottom w:w="0" w:type="dxa"/>
            <w:right w:w="108" w:type="dxa"/>
          </w:tblCellMar>
        </w:tblPrEx>
        <w:trPr>
          <w:trHeight w:val="1524" w:hRule="atLeast"/>
        </w:trPr>
        <w:tc>
          <w:tcPr>
            <w:tcW w:w="291" w:type="pct"/>
            <w:tcBorders>
              <w:top w:val="nil"/>
              <w:left w:val="single" w:color="000000" w:sz="8" w:space="0"/>
              <w:bottom w:val="single" w:color="000000" w:sz="8" w:space="0"/>
              <w:right w:val="single" w:color="000000" w:sz="8" w:space="0"/>
            </w:tcBorders>
            <w:vAlign w:val="center"/>
          </w:tcPr>
          <w:p w14:paraId="5F5E3394">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11</w:t>
            </w:r>
          </w:p>
        </w:tc>
        <w:tc>
          <w:tcPr>
            <w:tcW w:w="518" w:type="pct"/>
            <w:vMerge w:val="restart"/>
            <w:tcBorders>
              <w:top w:val="nil"/>
              <w:left w:val="single" w:color="000000" w:sz="8" w:space="0"/>
              <w:bottom w:val="single" w:color="000000" w:sz="8" w:space="0"/>
              <w:right w:val="single" w:color="000000" w:sz="8" w:space="0"/>
            </w:tcBorders>
            <w:vAlign w:val="center"/>
          </w:tcPr>
          <w:p w14:paraId="47F8D485">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环境空气</w:t>
            </w:r>
          </w:p>
        </w:tc>
        <w:tc>
          <w:tcPr>
            <w:tcW w:w="459" w:type="pct"/>
            <w:vMerge w:val="restart"/>
            <w:tcBorders>
              <w:top w:val="nil"/>
              <w:left w:val="single" w:color="000000" w:sz="8" w:space="0"/>
              <w:bottom w:val="single" w:color="000000" w:sz="8" w:space="0"/>
              <w:right w:val="single" w:color="000000" w:sz="8" w:space="0"/>
            </w:tcBorders>
            <w:vAlign w:val="center"/>
          </w:tcPr>
          <w:p w14:paraId="415BB1F3">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梅沙村、万科珠江东岸、恒大滨江左岸、漳澎村、泗安医院各1个监测点，共5个监测点</w:t>
            </w:r>
          </w:p>
        </w:tc>
        <w:tc>
          <w:tcPr>
            <w:tcW w:w="1031" w:type="pct"/>
            <w:tcBorders>
              <w:top w:val="nil"/>
              <w:left w:val="nil"/>
              <w:bottom w:val="single" w:color="000000" w:sz="8" w:space="0"/>
              <w:right w:val="single" w:color="000000" w:sz="8" w:space="0"/>
            </w:tcBorders>
            <w:vAlign w:val="center"/>
          </w:tcPr>
          <w:p w14:paraId="27342F8A">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SO</w:t>
            </w:r>
            <w:r>
              <w:rPr>
                <w:rFonts w:hint="eastAsia" w:ascii="仿宋_GB2312" w:hAnsi="仿宋_GB2312" w:eastAsia="仿宋_GB2312" w:cs="仿宋_GB2312"/>
                <w:color w:val="auto"/>
                <w:sz w:val="20"/>
                <w:szCs w:val="20"/>
                <w:vertAlign w:val="subscript"/>
              </w:rPr>
              <w:t>2</w:t>
            </w:r>
            <w:r>
              <w:rPr>
                <w:rFonts w:hint="eastAsia" w:ascii="仿宋_GB2312" w:hAnsi="仿宋_GB2312" w:eastAsia="仿宋_GB2312" w:cs="仿宋_GB2312"/>
                <w:color w:val="auto"/>
                <w:sz w:val="20"/>
                <w:szCs w:val="20"/>
              </w:rPr>
              <w:t>、NO</w:t>
            </w:r>
            <w:r>
              <w:rPr>
                <w:rFonts w:hint="eastAsia" w:ascii="仿宋_GB2312" w:hAnsi="仿宋_GB2312" w:eastAsia="仿宋_GB2312" w:cs="仿宋_GB2312"/>
                <w:color w:val="auto"/>
                <w:sz w:val="20"/>
                <w:szCs w:val="20"/>
                <w:vertAlign w:val="subscript"/>
              </w:rPr>
              <w:t>X</w:t>
            </w:r>
            <w:r>
              <w:rPr>
                <w:rFonts w:hint="eastAsia" w:ascii="仿宋_GB2312" w:hAnsi="仿宋_GB2312" w:eastAsia="仿宋_GB2312" w:cs="仿宋_GB2312"/>
                <w:color w:val="auto"/>
                <w:sz w:val="20"/>
                <w:szCs w:val="20"/>
              </w:rPr>
              <w:t>、NO</w:t>
            </w:r>
            <w:r>
              <w:rPr>
                <w:rFonts w:hint="eastAsia" w:ascii="仿宋_GB2312" w:hAnsi="仿宋_GB2312" w:eastAsia="仿宋_GB2312" w:cs="仿宋_GB2312"/>
                <w:color w:val="auto"/>
                <w:sz w:val="20"/>
                <w:szCs w:val="20"/>
                <w:vertAlign w:val="subscript"/>
              </w:rPr>
              <w:t>2</w:t>
            </w:r>
            <w:r>
              <w:rPr>
                <w:rFonts w:hint="eastAsia" w:ascii="仿宋_GB2312" w:hAnsi="仿宋_GB2312" w:eastAsia="仿宋_GB2312" w:cs="仿宋_GB2312"/>
                <w:color w:val="auto"/>
                <w:sz w:val="20"/>
                <w:szCs w:val="20"/>
              </w:rPr>
              <w:t>、CO、O</w:t>
            </w:r>
            <w:r>
              <w:rPr>
                <w:rFonts w:hint="eastAsia" w:ascii="仿宋_GB2312" w:hAnsi="仿宋_GB2312" w:eastAsia="仿宋_GB2312" w:cs="仿宋_GB2312"/>
                <w:color w:val="auto"/>
                <w:sz w:val="20"/>
                <w:szCs w:val="20"/>
                <w:vertAlign w:val="subscript"/>
              </w:rPr>
              <w:t>3</w:t>
            </w:r>
            <w:r>
              <w:rPr>
                <w:rFonts w:hint="eastAsia" w:ascii="仿宋_GB2312" w:hAnsi="仿宋_GB2312" w:eastAsia="仿宋_GB2312" w:cs="仿宋_GB2312"/>
                <w:color w:val="auto"/>
                <w:sz w:val="20"/>
                <w:szCs w:val="20"/>
              </w:rPr>
              <w:t>、PM10、PM2.5、HCl、氟化氢、汞、Cr、Pb、Cd、氨、硫化氢、臭气浓度</w:t>
            </w:r>
          </w:p>
        </w:tc>
        <w:tc>
          <w:tcPr>
            <w:tcW w:w="638" w:type="pct"/>
            <w:tcBorders>
              <w:top w:val="nil"/>
              <w:left w:val="nil"/>
              <w:bottom w:val="single" w:color="000000" w:sz="8" w:space="0"/>
              <w:right w:val="single" w:color="000000" w:sz="8" w:space="0"/>
            </w:tcBorders>
            <w:vAlign w:val="center"/>
          </w:tcPr>
          <w:p w14:paraId="4A87D83F">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1次/半年</w:t>
            </w:r>
          </w:p>
        </w:tc>
        <w:tc>
          <w:tcPr>
            <w:tcW w:w="1435" w:type="pct"/>
            <w:tcBorders>
              <w:top w:val="nil"/>
              <w:left w:val="nil"/>
              <w:bottom w:val="single" w:color="000000" w:sz="8" w:space="0"/>
              <w:right w:val="single" w:color="000000" w:sz="8" w:space="0"/>
            </w:tcBorders>
            <w:vAlign w:val="center"/>
          </w:tcPr>
          <w:p w14:paraId="761B7D6A">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w:t>
            </w:r>
          </w:p>
        </w:tc>
        <w:tc>
          <w:tcPr>
            <w:tcW w:w="626" w:type="pct"/>
            <w:tcBorders>
              <w:top w:val="nil"/>
              <w:left w:val="nil"/>
              <w:bottom w:val="single" w:color="000000" w:sz="8" w:space="0"/>
              <w:right w:val="single" w:color="000000" w:sz="8" w:space="0"/>
            </w:tcBorders>
            <w:vAlign w:val="center"/>
          </w:tcPr>
          <w:p w14:paraId="4C2F6638">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10</w:t>
            </w:r>
          </w:p>
        </w:tc>
      </w:tr>
      <w:tr w14:paraId="5280C5E7">
        <w:tblPrEx>
          <w:tblCellMar>
            <w:top w:w="0" w:type="dxa"/>
            <w:left w:w="108" w:type="dxa"/>
            <w:bottom w:w="0" w:type="dxa"/>
            <w:right w:w="108" w:type="dxa"/>
          </w:tblCellMar>
        </w:tblPrEx>
        <w:trPr>
          <w:trHeight w:val="1452" w:hRule="atLeast"/>
        </w:trPr>
        <w:tc>
          <w:tcPr>
            <w:tcW w:w="291" w:type="pct"/>
            <w:tcBorders>
              <w:top w:val="nil"/>
              <w:left w:val="single" w:color="000000" w:sz="8" w:space="0"/>
              <w:bottom w:val="single" w:color="000000" w:sz="8" w:space="0"/>
              <w:right w:val="single" w:color="000000" w:sz="8" w:space="0"/>
            </w:tcBorders>
            <w:vAlign w:val="center"/>
          </w:tcPr>
          <w:p w14:paraId="34F82131">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12</w:t>
            </w:r>
          </w:p>
        </w:tc>
        <w:tc>
          <w:tcPr>
            <w:tcW w:w="518" w:type="pct"/>
            <w:vMerge w:val="continue"/>
            <w:tcBorders>
              <w:top w:val="nil"/>
              <w:left w:val="single" w:color="000000" w:sz="8" w:space="0"/>
              <w:bottom w:val="single" w:color="000000" w:sz="8" w:space="0"/>
              <w:right w:val="single" w:color="000000" w:sz="8" w:space="0"/>
            </w:tcBorders>
            <w:vAlign w:val="center"/>
          </w:tcPr>
          <w:p w14:paraId="4D4DF159">
            <w:pPr>
              <w:keepNext w:val="0"/>
              <w:keepLines w:val="0"/>
              <w:suppressLineNumbers w:val="0"/>
              <w:spacing w:before="0" w:beforeAutospacing="0" w:after="0" w:afterAutospacing="0"/>
              <w:ind w:left="0" w:right="0"/>
              <w:rPr>
                <w:rFonts w:hint="eastAsia" w:ascii="仿宋_GB2312" w:hAnsi="仿宋_GB2312" w:eastAsia="仿宋_GB2312" w:cs="仿宋_GB2312"/>
                <w:color w:val="auto"/>
                <w:sz w:val="20"/>
                <w:szCs w:val="20"/>
              </w:rPr>
            </w:pPr>
          </w:p>
        </w:tc>
        <w:tc>
          <w:tcPr>
            <w:tcW w:w="459" w:type="pct"/>
            <w:vMerge w:val="continue"/>
            <w:tcBorders>
              <w:top w:val="nil"/>
              <w:left w:val="single" w:color="000000" w:sz="8" w:space="0"/>
              <w:bottom w:val="single" w:color="000000" w:sz="8" w:space="0"/>
              <w:right w:val="single" w:color="000000" w:sz="8" w:space="0"/>
            </w:tcBorders>
            <w:vAlign w:val="center"/>
          </w:tcPr>
          <w:p w14:paraId="1B7EFF9B">
            <w:pPr>
              <w:keepNext w:val="0"/>
              <w:keepLines w:val="0"/>
              <w:suppressLineNumbers w:val="0"/>
              <w:spacing w:before="0" w:beforeAutospacing="0" w:after="0" w:afterAutospacing="0"/>
              <w:ind w:left="0" w:right="0"/>
              <w:rPr>
                <w:rFonts w:hint="eastAsia" w:ascii="仿宋_GB2312" w:hAnsi="仿宋_GB2312" w:eastAsia="仿宋_GB2312" w:cs="仿宋_GB2312"/>
                <w:color w:val="auto"/>
                <w:sz w:val="20"/>
                <w:szCs w:val="20"/>
              </w:rPr>
            </w:pPr>
          </w:p>
        </w:tc>
        <w:tc>
          <w:tcPr>
            <w:tcW w:w="1031" w:type="pct"/>
            <w:tcBorders>
              <w:top w:val="nil"/>
              <w:left w:val="nil"/>
              <w:bottom w:val="single" w:color="000000" w:sz="8" w:space="0"/>
              <w:right w:val="single" w:color="000000" w:sz="8" w:space="0"/>
            </w:tcBorders>
            <w:vAlign w:val="center"/>
          </w:tcPr>
          <w:p w14:paraId="678B4048">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二噁英类</w:t>
            </w:r>
          </w:p>
        </w:tc>
        <w:tc>
          <w:tcPr>
            <w:tcW w:w="638" w:type="pct"/>
            <w:tcBorders>
              <w:top w:val="nil"/>
              <w:left w:val="nil"/>
              <w:bottom w:val="single" w:color="000000" w:sz="8" w:space="0"/>
              <w:right w:val="single" w:color="000000" w:sz="8" w:space="0"/>
            </w:tcBorders>
            <w:vAlign w:val="center"/>
          </w:tcPr>
          <w:p w14:paraId="70C1C527">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1次/年</w:t>
            </w:r>
          </w:p>
        </w:tc>
        <w:tc>
          <w:tcPr>
            <w:tcW w:w="1435" w:type="pct"/>
            <w:tcBorders>
              <w:top w:val="nil"/>
              <w:left w:val="nil"/>
              <w:bottom w:val="single" w:color="000000" w:sz="8" w:space="0"/>
              <w:right w:val="single" w:color="000000" w:sz="8" w:space="0"/>
            </w:tcBorders>
            <w:vAlign w:val="center"/>
          </w:tcPr>
          <w:p w14:paraId="66904E55">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每期监测每个监测点位应取得至少3天的样品，且每天采样时间不少于18小时</w:t>
            </w:r>
          </w:p>
        </w:tc>
        <w:tc>
          <w:tcPr>
            <w:tcW w:w="626" w:type="pct"/>
            <w:tcBorders>
              <w:top w:val="nil"/>
              <w:left w:val="nil"/>
              <w:bottom w:val="single" w:color="000000" w:sz="8" w:space="0"/>
              <w:right w:val="single" w:color="000000" w:sz="8" w:space="0"/>
            </w:tcBorders>
            <w:vAlign w:val="center"/>
          </w:tcPr>
          <w:p w14:paraId="28190A77">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15</w:t>
            </w:r>
          </w:p>
        </w:tc>
      </w:tr>
      <w:tr w14:paraId="16862904">
        <w:tblPrEx>
          <w:tblCellMar>
            <w:top w:w="0" w:type="dxa"/>
            <w:left w:w="108" w:type="dxa"/>
            <w:bottom w:w="0" w:type="dxa"/>
            <w:right w:w="108" w:type="dxa"/>
          </w:tblCellMar>
        </w:tblPrEx>
        <w:trPr>
          <w:trHeight w:val="2028" w:hRule="atLeast"/>
        </w:trPr>
        <w:tc>
          <w:tcPr>
            <w:tcW w:w="291" w:type="pct"/>
            <w:tcBorders>
              <w:top w:val="nil"/>
              <w:left w:val="single" w:color="000000" w:sz="8" w:space="0"/>
              <w:bottom w:val="single" w:color="000000" w:sz="8" w:space="0"/>
              <w:right w:val="single" w:color="000000" w:sz="8" w:space="0"/>
            </w:tcBorders>
            <w:vAlign w:val="center"/>
          </w:tcPr>
          <w:p w14:paraId="253742A2">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13</w:t>
            </w:r>
          </w:p>
        </w:tc>
        <w:tc>
          <w:tcPr>
            <w:tcW w:w="518" w:type="pct"/>
            <w:tcBorders>
              <w:top w:val="nil"/>
              <w:left w:val="single" w:color="000000" w:sz="8" w:space="0"/>
              <w:bottom w:val="single" w:color="000000" w:sz="8" w:space="0"/>
              <w:right w:val="single" w:color="000000" w:sz="8" w:space="0"/>
            </w:tcBorders>
            <w:vAlign w:val="center"/>
          </w:tcPr>
          <w:p w14:paraId="4E4F57EB">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土壤</w:t>
            </w:r>
          </w:p>
        </w:tc>
        <w:tc>
          <w:tcPr>
            <w:tcW w:w="459" w:type="pct"/>
            <w:tcBorders>
              <w:top w:val="nil"/>
              <w:left w:val="nil"/>
              <w:bottom w:val="single" w:color="000000" w:sz="8" w:space="0"/>
              <w:right w:val="single" w:color="000000" w:sz="8" w:space="0"/>
            </w:tcBorders>
            <w:vAlign w:val="center"/>
          </w:tcPr>
          <w:p w14:paraId="1F420D97">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泗安医院、洪梅中心小学、漳澎村各1各监测点，共3个监测点</w:t>
            </w:r>
          </w:p>
        </w:tc>
        <w:tc>
          <w:tcPr>
            <w:tcW w:w="1031" w:type="pct"/>
            <w:tcBorders>
              <w:top w:val="nil"/>
              <w:left w:val="nil"/>
              <w:bottom w:val="single" w:color="000000" w:sz="8" w:space="0"/>
              <w:right w:val="single" w:color="000000" w:sz="8" w:space="0"/>
            </w:tcBorders>
            <w:vAlign w:val="center"/>
          </w:tcPr>
          <w:p w14:paraId="05159AFF">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pH值、镉、汞、砷、铜、铅、铬、锌、镍、二噁英</w:t>
            </w:r>
          </w:p>
        </w:tc>
        <w:tc>
          <w:tcPr>
            <w:tcW w:w="638" w:type="pct"/>
            <w:tcBorders>
              <w:top w:val="nil"/>
              <w:left w:val="nil"/>
              <w:bottom w:val="single" w:color="000000" w:sz="8" w:space="0"/>
              <w:right w:val="single" w:color="000000" w:sz="8" w:space="0"/>
            </w:tcBorders>
            <w:vAlign w:val="center"/>
          </w:tcPr>
          <w:p w14:paraId="7FE6FF6C">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1次/年</w:t>
            </w:r>
          </w:p>
        </w:tc>
        <w:tc>
          <w:tcPr>
            <w:tcW w:w="1435" w:type="pct"/>
            <w:tcBorders>
              <w:top w:val="nil"/>
              <w:left w:val="nil"/>
              <w:bottom w:val="single" w:color="000000" w:sz="8" w:space="0"/>
              <w:right w:val="single" w:color="000000" w:sz="8" w:space="0"/>
            </w:tcBorders>
            <w:vAlign w:val="center"/>
          </w:tcPr>
          <w:p w14:paraId="0D5DDDAC">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w:t>
            </w:r>
          </w:p>
        </w:tc>
        <w:tc>
          <w:tcPr>
            <w:tcW w:w="626" w:type="pct"/>
            <w:tcBorders>
              <w:top w:val="nil"/>
              <w:left w:val="nil"/>
              <w:bottom w:val="single" w:color="000000" w:sz="8" w:space="0"/>
              <w:right w:val="single" w:color="000000" w:sz="8" w:space="0"/>
            </w:tcBorders>
            <w:vAlign w:val="center"/>
          </w:tcPr>
          <w:p w14:paraId="1CE9512E">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3</w:t>
            </w:r>
          </w:p>
        </w:tc>
      </w:tr>
      <w:tr w14:paraId="738D7581">
        <w:tblPrEx>
          <w:tblCellMar>
            <w:top w:w="0" w:type="dxa"/>
            <w:left w:w="108" w:type="dxa"/>
            <w:bottom w:w="0" w:type="dxa"/>
            <w:right w:w="108" w:type="dxa"/>
          </w:tblCellMar>
        </w:tblPrEx>
        <w:trPr>
          <w:trHeight w:val="90" w:hRule="atLeast"/>
        </w:trPr>
        <w:tc>
          <w:tcPr>
            <w:tcW w:w="291" w:type="pct"/>
            <w:tcBorders>
              <w:top w:val="nil"/>
              <w:left w:val="single" w:color="000000" w:sz="8" w:space="0"/>
              <w:bottom w:val="single" w:color="000000" w:sz="8" w:space="0"/>
              <w:right w:val="single" w:color="000000" w:sz="8" w:space="0"/>
            </w:tcBorders>
            <w:vAlign w:val="center"/>
          </w:tcPr>
          <w:p w14:paraId="48D2FD4F">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14</w:t>
            </w:r>
          </w:p>
        </w:tc>
        <w:tc>
          <w:tcPr>
            <w:tcW w:w="518" w:type="pct"/>
            <w:tcBorders>
              <w:top w:val="nil"/>
              <w:left w:val="single" w:color="000000" w:sz="8" w:space="0"/>
              <w:bottom w:val="single" w:color="000000" w:sz="8" w:space="0"/>
              <w:right w:val="single" w:color="000000" w:sz="8" w:space="0"/>
            </w:tcBorders>
            <w:vAlign w:val="center"/>
          </w:tcPr>
          <w:p w14:paraId="3F2B8965">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地表水</w:t>
            </w:r>
          </w:p>
        </w:tc>
        <w:tc>
          <w:tcPr>
            <w:tcW w:w="459" w:type="pct"/>
            <w:tcBorders>
              <w:top w:val="nil"/>
              <w:left w:val="nil"/>
              <w:bottom w:val="single" w:color="000000" w:sz="8" w:space="0"/>
              <w:right w:val="single" w:color="000000" w:sz="8" w:space="0"/>
            </w:tcBorders>
            <w:vAlign w:val="center"/>
          </w:tcPr>
          <w:p w14:paraId="3F38EC06">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厂区下游500米处1个监测点</w:t>
            </w:r>
          </w:p>
        </w:tc>
        <w:tc>
          <w:tcPr>
            <w:tcW w:w="1031" w:type="pct"/>
            <w:tcBorders>
              <w:top w:val="nil"/>
              <w:left w:val="nil"/>
              <w:bottom w:val="single" w:color="000000" w:sz="8" w:space="0"/>
              <w:right w:val="single" w:color="000000" w:sz="8" w:space="0"/>
            </w:tcBorders>
            <w:vAlign w:val="center"/>
          </w:tcPr>
          <w:p w14:paraId="5BED79D3">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水温、pH值、溶解氧、COD、BOD</w:t>
            </w:r>
            <w:r>
              <w:rPr>
                <w:rFonts w:hint="eastAsia" w:ascii="仿宋_GB2312" w:hAnsi="仿宋_GB2312" w:eastAsia="仿宋_GB2312" w:cs="仿宋_GB2312"/>
                <w:color w:val="auto"/>
                <w:sz w:val="20"/>
                <w:szCs w:val="20"/>
                <w:vertAlign w:val="subscript"/>
              </w:rPr>
              <w:t>5</w:t>
            </w:r>
            <w:r>
              <w:rPr>
                <w:rFonts w:hint="eastAsia" w:ascii="仿宋_GB2312" w:hAnsi="仿宋_GB2312" w:eastAsia="仿宋_GB2312" w:cs="仿宋_GB2312"/>
                <w:color w:val="auto"/>
                <w:sz w:val="20"/>
                <w:szCs w:val="20"/>
              </w:rPr>
              <w:t>、NH</w:t>
            </w:r>
            <w:r>
              <w:rPr>
                <w:rFonts w:hint="eastAsia" w:ascii="仿宋_GB2312" w:hAnsi="仿宋_GB2312" w:eastAsia="仿宋_GB2312" w:cs="仿宋_GB2312"/>
                <w:color w:val="auto"/>
                <w:sz w:val="20"/>
                <w:szCs w:val="20"/>
                <w:vertAlign w:val="subscript"/>
              </w:rPr>
              <w:t>3</w:t>
            </w:r>
            <w:r>
              <w:rPr>
                <w:rFonts w:hint="eastAsia" w:ascii="仿宋_GB2312" w:hAnsi="仿宋_GB2312" w:eastAsia="仿宋_GB2312" w:cs="仿宋_GB2312"/>
                <w:color w:val="auto"/>
                <w:sz w:val="20"/>
                <w:szCs w:val="20"/>
              </w:rPr>
              <w:t>-N、总磷、总氮、挥发酚、硫化物、氟化物、悬浮物、石油类、镉、六价铬、铅、汞、砷，同步监测河宽、水深、流速、流量等水文参数</w:t>
            </w:r>
          </w:p>
        </w:tc>
        <w:tc>
          <w:tcPr>
            <w:tcW w:w="638" w:type="pct"/>
            <w:tcBorders>
              <w:top w:val="nil"/>
              <w:left w:val="nil"/>
              <w:bottom w:val="single" w:color="000000" w:sz="8" w:space="0"/>
              <w:right w:val="single" w:color="000000" w:sz="8" w:space="0"/>
            </w:tcBorders>
            <w:vAlign w:val="center"/>
          </w:tcPr>
          <w:p w14:paraId="5593C729">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1次/年</w:t>
            </w:r>
          </w:p>
        </w:tc>
        <w:tc>
          <w:tcPr>
            <w:tcW w:w="1435" w:type="pct"/>
            <w:tcBorders>
              <w:top w:val="nil"/>
              <w:left w:val="nil"/>
              <w:bottom w:val="single" w:color="000000" w:sz="8" w:space="0"/>
              <w:right w:val="single" w:color="000000" w:sz="8" w:space="0"/>
            </w:tcBorders>
            <w:vAlign w:val="center"/>
          </w:tcPr>
          <w:p w14:paraId="6DA92FB3">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w:t>
            </w:r>
          </w:p>
        </w:tc>
        <w:tc>
          <w:tcPr>
            <w:tcW w:w="626" w:type="pct"/>
            <w:tcBorders>
              <w:top w:val="nil"/>
              <w:left w:val="nil"/>
              <w:bottom w:val="single" w:color="000000" w:sz="8" w:space="0"/>
              <w:right w:val="single" w:color="000000" w:sz="8" w:space="0"/>
            </w:tcBorders>
            <w:vAlign w:val="center"/>
          </w:tcPr>
          <w:p w14:paraId="4351CB9E">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1</w:t>
            </w:r>
          </w:p>
        </w:tc>
      </w:tr>
      <w:tr w14:paraId="09A951C1">
        <w:tblPrEx>
          <w:tblCellMar>
            <w:top w:w="0" w:type="dxa"/>
            <w:left w:w="108" w:type="dxa"/>
            <w:bottom w:w="0" w:type="dxa"/>
            <w:right w:w="108" w:type="dxa"/>
          </w:tblCellMar>
        </w:tblPrEx>
        <w:trPr>
          <w:trHeight w:val="2988" w:hRule="atLeast"/>
        </w:trPr>
        <w:tc>
          <w:tcPr>
            <w:tcW w:w="291" w:type="pct"/>
            <w:tcBorders>
              <w:top w:val="single" w:color="auto" w:sz="4" w:space="0"/>
              <w:left w:val="single" w:color="000000" w:sz="8" w:space="0"/>
              <w:bottom w:val="single" w:color="000000" w:sz="8" w:space="0"/>
              <w:right w:val="single" w:color="000000" w:sz="8" w:space="0"/>
            </w:tcBorders>
            <w:vAlign w:val="center"/>
          </w:tcPr>
          <w:p w14:paraId="53C7F104">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15</w:t>
            </w:r>
          </w:p>
        </w:tc>
        <w:tc>
          <w:tcPr>
            <w:tcW w:w="518" w:type="pct"/>
            <w:tcBorders>
              <w:top w:val="single" w:color="auto" w:sz="4" w:space="0"/>
              <w:left w:val="single" w:color="000000" w:sz="8" w:space="0"/>
              <w:bottom w:val="single" w:color="000000" w:sz="8" w:space="0"/>
              <w:right w:val="single" w:color="000000" w:sz="8" w:space="0"/>
            </w:tcBorders>
            <w:vAlign w:val="center"/>
          </w:tcPr>
          <w:p w14:paraId="1B22D970">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地下水</w:t>
            </w:r>
          </w:p>
        </w:tc>
        <w:tc>
          <w:tcPr>
            <w:tcW w:w="459" w:type="pct"/>
            <w:tcBorders>
              <w:top w:val="single" w:color="auto" w:sz="4" w:space="0"/>
              <w:left w:val="nil"/>
              <w:bottom w:val="single" w:color="000000" w:sz="8" w:space="0"/>
              <w:right w:val="single" w:color="000000" w:sz="8" w:space="0"/>
            </w:tcBorders>
            <w:vAlign w:val="center"/>
          </w:tcPr>
          <w:p w14:paraId="78337F72">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厂区内地下水监测井监测点2个</w:t>
            </w:r>
          </w:p>
        </w:tc>
        <w:tc>
          <w:tcPr>
            <w:tcW w:w="1031" w:type="pct"/>
            <w:tcBorders>
              <w:top w:val="single" w:color="auto" w:sz="4" w:space="0"/>
              <w:left w:val="nil"/>
              <w:bottom w:val="single" w:color="000000" w:sz="8" w:space="0"/>
              <w:right w:val="single" w:color="000000" w:sz="8" w:space="0"/>
            </w:tcBorders>
            <w:vAlign w:val="center"/>
          </w:tcPr>
          <w:p w14:paraId="6EB40955">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K</w:t>
            </w:r>
            <w:r>
              <w:rPr>
                <w:rFonts w:hint="eastAsia" w:ascii="仿宋_GB2312" w:hAnsi="仿宋_GB2312" w:eastAsia="仿宋_GB2312" w:cs="仿宋_GB2312"/>
                <w:color w:val="auto"/>
                <w:sz w:val="20"/>
                <w:szCs w:val="20"/>
                <w:vertAlign w:val="superscript"/>
              </w:rPr>
              <w:t>+</w:t>
            </w:r>
            <w:r>
              <w:rPr>
                <w:rFonts w:hint="eastAsia" w:ascii="仿宋_GB2312" w:hAnsi="仿宋_GB2312" w:eastAsia="仿宋_GB2312" w:cs="仿宋_GB2312"/>
                <w:color w:val="auto"/>
                <w:sz w:val="20"/>
                <w:szCs w:val="20"/>
              </w:rPr>
              <w:t>、Ca</w:t>
            </w:r>
            <w:r>
              <w:rPr>
                <w:rFonts w:hint="eastAsia" w:ascii="仿宋_GB2312" w:hAnsi="仿宋_GB2312" w:eastAsia="仿宋_GB2312" w:cs="仿宋_GB2312"/>
                <w:color w:val="auto"/>
                <w:sz w:val="20"/>
                <w:szCs w:val="20"/>
                <w:vertAlign w:val="superscript"/>
              </w:rPr>
              <w:t>2+</w:t>
            </w:r>
            <w:r>
              <w:rPr>
                <w:rFonts w:hint="eastAsia" w:ascii="仿宋_GB2312" w:hAnsi="仿宋_GB2312" w:eastAsia="仿宋_GB2312" w:cs="仿宋_GB2312"/>
                <w:color w:val="auto"/>
                <w:sz w:val="20"/>
                <w:szCs w:val="20"/>
              </w:rPr>
              <w:t>、Mg</w:t>
            </w:r>
            <w:r>
              <w:rPr>
                <w:rFonts w:hint="eastAsia" w:ascii="仿宋_GB2312" w:hAnsi="仿宋_GB2312" w:eastAsia="仿宋_GB2312" w:cs="仿宋_GB2312"/>
                <w:color w:val="auto"/>
                <w:sz w:val="20"/>
                <w:szCs w:val="20"/>
                <w:vertAlign w:val="superscript"/>
              </w:rPr>
              <w:t>2+</w:t>
            </w:r>
            <w:r>
              <w:rPr>
                <w:rFonts w:hint="eastAsia" w:ascii="仿宋_GB2312" w:hAnsi="仿宋_GB2312" w:eastAsia="仿宋_GB2312" w:cs="仿宋_GB2312"/>
                <w:color w:val="auto"/>
                <w:sz w:val="20"/>
                <w:szCs w:val="20"/>
              </w:rPr>
              <w:t>、Cl</w:t>
            </w:r>
            <w:r>
              <w:rPr>
                <w:rFonts w:hint="eastAsia" w:ascii="仿宋_GB2312" w:hAnsi="仿宋_GB2312" w:eastAsia="仿宋_GB2312" w:cs="仿宋_GB2312"/>
                <w:color w:val="auto"/>
                <w:sz w:val="20"/>
                <w:szCs w:val="20"/>
                <w:vertAlign w:val="superscript"/>
              </w:rPr>
              <w:t>-</w:t>
            </w:r>
            <w:r>
              <w:rPr>
                <w:rFonts w:hint="eastAsia" w:ascii="仿宋_GB2312" w:hAnsi="仿宋_GB2312" w:eastAsia="仿宋_GB2312" w:cs="仿宋_GB2312"/>
                <w:color w:val="auto"/>
                <w:sz w:val="20"/>
                <w:szCs w:val="20"/>
              </w:rPr>
              <w:t>、pH值、总硬度、溶解性总固体、氨氮、高锰酸盐指数、硝酸盐、亚硝酸盐、硫酸盐、氟化物、氰化物、细菌总数、总大肠菌群、汞、砷、镉、六价铬、铅、挥发性酚类、铁、锰、铜、锌、粪大肠菌群</w:t>
            </w:r>
          </w:p>
        </w:tc>
        <w:tc>
          <w:tcPr>
            <w:tcW w:w="638" w:type="pct"/>
            <w:tcBorders>
              <w:top w:val="single" w:color="auto" w:sz="4" w:space="0"/>
              <w:left w:val="nil"/>
              <w:bottom w:val="single" w:color="000000" w:sz="8" w:space="0"/>
              <w:right w:val="single" w:color="000000" w:sz="8" w:space="0"/>
            </w:tcBorders>
            <w:vAlign w:val="center"/>
          </w:tcPr>
          <w:p w14:paraId="78F9CDB6">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1次/季度</w:t>
            </w:r>
          </w:p>
        </w:tc>
        <w:tc>
          <w:tcPr>
            <w:tcW w:w="1435" w:type="pct"/>
            <w:tcBorders>
              <w:top w:val="single" w:color="auto" w:sz="4" w:space="0"/>
              <w:left w:val="nil"/>
              <w:bottom w:val="single" w:color="000000" w:sz="8" w:space="0"/>
              <w:right w:val="single" w:color="000000" w:sz="8" w:space="0"/>
            </w:tcBorders>
            <w:vAlign w:val="center"/>
          </w:tcPr>
          <w:p w14:paraId="1C5EFD9A">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w:t>
            </w:r>
          </w:p>
        </w:tc>
        <w:tc>
          <w:tcPr>
            <w:tcW w:w="626" w:type="pct"/>
            <w:tcBorders>
              <w:top w:val="single" w:color="auto" w:sz="4" w:space="0"/>
              <w:left w:val="nil"/>
              <w:bottom w:val="single" w:color="000000" w:sz="8" w:space="0"/>
              <w:right w:val="single" w:color="000000" w:sz="8" w:space="0"/>
            </w:tcBorders>
            <w:vAlign w:val="center"/>
          </w:tcPr>
          <w:p w14:paraId="30FDBBF7">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8</w:t>
            </w:r>
          </w:p>
        </w:tc>
      </w:tr>
      <w:tr w14:paraId="12A5444F">
        <w:tblPrEx>
          <w:tblCellMar>
            <w:top w:w="0" w:type="dxa"/>
            <w:left w:w="108" w:type="dxa"/>
            <w:bottom w:w="0" w:type="dxa"/>
            <w:right w:w="108" w:type="dxa"/>
          </w:tblCellMar>
        </w:tblPrEx>
        <w:trPr>
          <w:trHeight w:val="576" w:hRule="atLeast"/>
        </w:trPr>
        <w:tc>
          <w:tcPr>
            <w:tcW w:w="291" w:type="pct"/>
            <w:tcBorders>
              <w:top w:val="single" w:color="000000" w:sz="8" w:space="0"/>
              <w:left w:val="single" w:color="000000" w:sz="8" w:space="0"/>
              <w:bottom w:val="single" w:color="000000" w:sz="8" w:space="0"/>
              <w:right w:val="single" w:color="000000" w:sz="8" w:space="0"/>
            </w:tcBorders>
            <w:vAlign w:val="center"/>
          </w:tcPr>
          <w:p w14:paraId="74C06E3E">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16</w:t>
            </w:r>
          </w:p>
        </w:tc>
        <w:tc>
          <w:tcPr>
            <w:tcW w:w="518" w:type="pct"/>
            <w:vMerge w:val="restart"/>
            <w:tcBorders>
              <w:top w:val="single" w:color="000000" w:sz="8" w:space="0"/>
              <w:left w:val="single" w:color="000000" w:sz="8" w:space="0"/>
              <w:bottom w:val="single" w:color="000000" w:sz="8" w:space="0"/>
              <w:right w:val="single" w:color="000000" w:sz="8" w:space="0"/>
            </w:tcBorders>
            <w:vAlign w:val="center"/>
          </w:tcPr>
          <w:p w14:paraId="369F777C">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炉渣</w:t>
            </w:r>
          </w:p>
        </w:tc>
        <w:tc>
          <w:tcPr>
            <w:tcW w:w="459" w:type="pct"/>
            <w:vMerge w:val="restart"/>
            <w:tcBorders>
              <w:top w:val="single" w:color="000000" w:sz="8" w:space="0"/>
              <w:left w:val="single" w:color="000000" w:sz="8" w:space="0"/>
              <w:bottom w:val="single" w:color="000000" w:sz="8" w:space="0"/>
              <w:right w:val="single" w:color="000000" w:sz="8" w:space="0"/>
            </w:tcBorders>
            <w:vAlign w:val="center"/>
          </w:tcPr>
          <w:p w14:paraId="46BF131D">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3台焚烧炉炉渣，每台炉炉渣各1个样品</w:t>
            </w:r>
          </w:p>
        </w:tc>
        <w:tc>
          <w:tcPr>
            <w:tcW w:w="1031" w:type="pct"/>
            <w:tcBorders>
              <w:top w:val="single" w:color="000000" w:sz="8" w:space="0"/>
              <w:left w:val="single" w:color="000000" w:sz="8" w:space="0"/>
              <w:bottom w:val="single" w:color="000000" w:sz="8" w:space="0"/>
              <w:right w:val="single" w:color="000000" w:sz="8" w:space="0"/>
            </w:tcBorders>
            <w:vAlign w:val="center"/>
          </w:tcPr>
          <w:p w14:paraId="02DDD1A3">
            <w:pPr>
              <w:keepNext w:val="0"/>
              <w:keepLines w:val="0"/>
              <w:suppressLineNumbers w:val="0"/>
              <w:spacing w:before="0" w:beforeAutospacing="0" w:after="0" w:afterAutospacing="0"/>
              <w:ind w:left="0" w:right="0"/>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热灼减率</w:t>
            </w:r>
          </w:p>
        </w:tc>
        <w:tc>
          <w:tcPr>
            <w:tcW w:w="638" w:type="pct"/>
            <w:tcBorders>
              <w:top w:val="single" w:color="000000" w:sz="8" w:space="0"/>
              <w:left w:val="single" w:color="000000" w:sz="8" w:space="0"/>
              <w:bottom w:val="single" w:color="000000" w:sz="8" w:space="0"/>
              <w:right w:val="single" w:color="000000" w:sz="8" w:space="0"/>
            </w:tcBorders>
            <w:vAlign w:val="center"/>
          </w:tcPr>
          <w:p w14:paraId="334F1962">
            <w:pPr>
              <w:keepNext w:val="0"/>
              <w:keepLines w:val="0"/>
              <w:suppressLineNumbers w:val="0"/>
              <w:spacing w:before="0" w:beforeAutospacing="0" w:after="0" w:afterAutospacing="0"/>
              <w:ind w:left="0" w:right="0"/>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1次/周</w:t>
            </w:r>
          </w:p>
        </w:tc>
        <w:tc>
          <w:tcPr>
            <w:tcW w:w="1435" w:type="pct"/>
            <w:tcBorders>
              <w:top w:val="single" w:color="000000" w:sz="8" w:space="0"/>
              <w:left w:val="single" w:color="000000" w:sz="8" w:space="0"/>
              <w:bottom w:val="single" w:color="000000" w:sz="8" w:space="0"/>
              <w:right w:val="single" w:color="000000" w:sz="8" w:space="0"/>
            </w:tcBorders>
            <w:vAlign w:val="center"/>
          </w:tcPr>
          <w:p w14:paraId="628DC3DF">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送样检测</w:t>
            </w:r>
          </w:p>
        </w:tc>
        <w:tc>
          <w:tcPr>
            <w:tcW w:w="626" w:type="pct"/>
            <w:tcBorders>
              <w:top w:val="single" w:color="000000" w:sz="8" w:space="0"/>
              <w:left w:val="single" w:color="000000" w:sz="8" w:space="0"/>
              <w:bottom w:val="single" w:color="000000" w:sz="8" w:space="0"/>
              <w:right w:val="single" w:color="000000" w:sz="8" w:space="0"/>
            </w:tcBorders>
            <w:vAlign w:val="center"/>
          </w:tcPr>
          <w:p w14:paraId="396906E0">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157</w:t>
            </w:r>
          </w:p>
        </w:tc>
      </w:tr>
      <w:tr w14:paraId="1BE3275F">
        <w:tblPrEx>
          <w:tblCellMar>
            <w:top w:w="0" w:type="dxa"/>
            <w:left w:w="108" w:type="dxa"/>
            <w:bottom w:w="0" w:type="dxa"/>
            <w:right w:w="108" w:type="dxa"/>
          </w:tblCellMar>
        </w:tblPrEx>
        <w:trPr>
          <w:trHeight w:val="1884" w:hRule="atLeast"/>
        </w:trPr>
        <w:tc>
          <w:tcPr>
            <w:tcW w:w="291" w:type="pct"/>
            <w:tcBorders>
              <w:top w:val="single" w:color="000000" w:sz="8" w:space="0"/>
              <w:left w:val="single" w:color="000000" w:sz="8" w:space="0"/>
              <w:bottom w:val="single" w:color="000000" w:sz="8" w:space="0"/>
              <w:right w:val="single" w:color="000000" w:sz="8" w:space="0"/>
            </w:tcBorders>
            <w:vAlign w:val="center"/>
          </w:tcPr>
          <w:p w14:paraId="59C33C21">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17</w:t>
            </w:r>
          </w:p>
        </w:tc>
        <w:tc>
          <w:tcPr>
            <w:tcW w:w="518" w:type="pct"/>
            <w:vMerge w:val="continue"/>
            <w:tcBorders>
              <w:top w:val="single" w:color="000000" w:sz="8" w:space="0"/>
              <w:left w:val="single" w:color="000000" w:sz="8" w:space="0"/>
              <w:bottom w:val="single" w:color="000000" w:sz="8" w:space="0"/>
              <w:right w:val="single" w:color="000000" w:sz="8" w:space="0"/>
            </w:tcBorders>
            <w:vAlign w:val="center"/>
          </w:tcPr>
          <w:p w14:paraId="22F9A913">
            <w:pPr>
              <w:keepNext w:val="0"/>
              <w:keepLines w:val="0"/>
              <w:suppressLineNumbers w:val="0"/>
              <w:spacing w:before="0" w:beforeAutospacing="0" w:after="0" w:afterAutospacing="0"/>
              <w:ind w:left="0" w:right="0"/>
              <w:rPr>
                <w:rFonts w:hint="eastAsia" w:ascii="仿宋_GB2312" w:hAnsi="仿宋_GB2312" w:eastAsia="仿宋_GB2312" w:cs="仿宋_GB2312"/>
                <w:color w:val="auto"/>
                <w:sz w:val="20"/>
                <w:szCs w:val="20"/>
              </w:rPr>
            </w:pPr>
          </w:p>
        </w:tc>
        <w:tc>
          <w:tcPr>
            <w:tcW w:w="459" w:type="pct"/>
            <w:vMerge w:val="continue"/>
            <w:tcBorders>
              <w:top w:val="single" w:color="000000" w:sz="8" w:space="0"/>
              <w:left w:val="single" w:color="000000" w:sz="8" w:space="0"/>
              <w:bottom w:val="single" w:color="000000" w:sz="8" w:space="0"/>
              <w:right w:val="single" w:color="000000" w:sz="8" w:space="0"/>
            </w:tcBorders>
            <w:vAlign w:val="center"/>
          </w:tcPr>
          <w:p w14:paraId="244C7DE0">
            <w:pPr>
              <w:keepNext w:val="0"/>
              <w:keepLines w:val="0"/>
              <w:suppressLineNumbers w:val="0"/>
              <w:spacing w:before="0" w:beforeAutospacing="0" w:after="0" w:afterAutospacing="0"/>
              <w:ind w:left="0" w:right="0"/>
              <w:rPr>
                <w:rFonts w:hint="eastAsia" w:ascii="仿宋_GB2312" w:hAnsi="仿宋_GB2312" w:eastAsia="仿宋_GB2312" w:cs="仿宋_GB2312"/>
                <w:color w:val="auto"/>
                <w:sz w:val="20"/>
                <w:szCs w:val="20"/>
              </w:rPr>
            </w:pPr>
          </w:p>
        </w:tc>
        <w:tc>
          <w:tcPr>
            <w:tcW w:w="1031" w:type="pct"/>
            <w:tcBorders>
              <w:top w:val="single" w:color="000000" w:sz="8" w:space="0"/>
              <w:left w:val="single" w:color="000000" w:sz="8" w:space="0"/>
              <w:bottom w:val="single" w:color="000000" w:sz="8" w:space="0"/>
              <w:right w:val="single" w:color="000000" w:sz="8" w:space="0"/>
            </w:tcBorders>
            <w:vAlign w:val="center"/>
          </w:tcPr>
          <w:p w14:paraId="555B67B2">
            <w:pPr>
              <w:keepNext w:val="0"/>
              <w:keepLines w:val="0"/>
              <w:suppressLineNumbers w:val="0"/>
              <w:spacing w:before="0" w:beforeAutospacing="0" w:after="0" w:afterAutospacing="0"/>
              <w:ind w:left="0" w:right="0"/>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含水率、浸出液重金属（汞、铜、锌、铅、镉、铍、钡、镍、砷、总铬、六价铬、硒）含量</w:t>
            </w:r>
          </w:p>
        </w:tc>
        <w:tc>
          <w:tcPr>
            <w:tcW w:w="638" w:type="pct"/>
            <w:tcBorders>
              <w:top w:val="single" w:color="000000" w:sz="8" w:space="0"/>
              <w:left w:val="single" w:color="000000" w:sz="8" w:space="0"/>
              <w:bottom w:val="single" w:color="000000" w:sz="8" w:space="0"/>
              <w:right w:val="single" w:color="000000" w:sz="8" w:space="0"/>
            </w:tcBorders>
            <w:vAlign w:val="center"/>
          </w:tcPr>
          <w:p w14:paraId="04674349">
            <w:pPr>
              <w:keepNext w:val="0"/>
              <w:keepLines w:val="0"/>
              <w:suppressLineNumbers w:val="0"/>
              <w:spacing w:before="0" w:beforeAutospacing="0" w:after="0" w:afterAutospacing="0"/>
              <w:ind w:left="0" w:right="0"/>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1次/年</w:t>
            </w:r>
          </w:p>
        </w:tc>
        <w:tc>
          <w:tcPr>
            <w:tcW w:w="1435" w:type="pct"/>
            <w:tcBorders>
              <w:top w:val="single" w:color="000000" w:sz="8" w:space="0"/>
              <w:left w:val="single" w:color="000000" w:sz="8" w:space="0"/>
              <w:bottom w:val="single" w:color="000000" w:sz="8" w:space="0"/>
              <w:right w:val="single" w:color="000000" w:sz="8" w:space="0"/>
            </w:tcBorders>
            <w:vAlign w:val="center"/>
          </w:tcPr>
          <w:p w14:paraId="7F828D01">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送样检测</w:t>
            </w:r>
          </w:p>
        </w:tc>
        <w:tc>
          <w:tcPr>
            <w:tcW w:w="626" w:type="pct"/>
            <w:tcBorders>
              <w:top w:val="single" w:color="000000" w:sz="8" w:space="0"/>
              <w:left w:val="single" w:color="000000" w:sz="8" w:space="0"/>
              <w:bottom w:val="single" w:color="000000" w:sz="8" w:space="0"/>
              <w:right w:val="single" w:color="000000" w:sz="8" w:space="0"/>
            </w:tcBorders>
            <w:vAlign w:val="center"/>
          </w:tcPr>
          <w:p w14:paraId="01CBFF7D">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3</w:t>
            </w:r>
          </w:p>
        </w:tc>
      </w:tr>
      <w:tr w14:paraId="3EAB8F29">
        <w:tblPrEx>
          <w:tblCellMar>
            <w:top w:w="0" w:type="dxa"/>
            <w:left w:w="108" w:type="dxa"/>
            <w:bottom w:w="0" w:type="dxa"/>
            <w:right w:w="108" w:type="dxa"/>
          </w:tblCellMar>
        </w:tblPrEx>
        <w:trPr>
          <w:trHeight w:val="1884" w:hRule="atLeast"/>
        </w:trPr>
        <w:tc>
          <w:tcPr>
            <w:tcW w:w="291" w:type="pct"/>
            <w:tcBorders>
              <w:top w:val="single" w:color="000000" w:sz="8" w:space="0"/>
              <w:left w:val="single" w:color="000000" w:sz="8" w:space="0"/>
              <w:bottom w:val="single" w:color="000000" w:sz="8" w:space="0"/>
              <w:right w:val="single" w:color="000000" w:sz="8" w:space="0"/>
            </w:tcBorders>
            <w:vAlign w:val="center"/>
          </w:tcPr>
          <w:p w14:paraId="4C6F5BEF">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18</w:t>
            </w:r>
          </w:p>
        </w:tc>
        <w:tc>
          <w:tcPr>
            <w:tcW w:w="518" w:type="pct"/>
            <w:vMerge w:val="restart"/>
            <w:tcBorders>
              <w:top w:val="single" w:color="000000" w:sz="8" w:space="0"/>
              <w:left w:val="single" w:color="000000" w:sz="8" w:space="0"/>
              <w:bottom w:val="single" w:color="000000" w:sz="8" w:space="0"/>
              <w:right w:val="single" w:color="000000" w:sz="8" w:space="0"/>
            </w:tcBorders>
            <w:vAlign w:val="center"/>
          </w:tcPr>
          <w:p w14:paraId="55E516FC">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稳定化飞灰</w:t>
            </w:r>
          </w:p>
        </w:tc>
        <w:tc>
          <w:tcPr>
            <w:tcW w:w="459" w:type="pct"/>
            <w:vMerge w:val="restart"/>
            <w:tcBorders>
              <w:top w:val="single" w:color="000000" w:sz="8" w:space="0"/>
              <w:left w:val="single" w:color="000000" w:sz="8" w:space="0"/>
              <w:bottom w:val="single" w:color="000000" w:sz="8" w:space="0"/>
              <w:right w:val="single" w:color="000000" w:sz="8" w:space="0"/>
            </w:tcBorders>
            <w:vAlign w:val="center"/>
          </w:tcPr>
          <w:p w14:paraId="5C5B9473">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稳定化飞灰混合样</w:t>
            </w:r>
          </w:p>
        </w:tc>
        <w:tc>
          <w:tcPr>
            <w:tcW w:w="1031" w:type="pct"/>
            <w:tcBorders>
              <w:top w:val="single" w:color="000000" w:sz="8" w:space="0"/>
              <w:left w:val="single" w:color="000000" w:sz="8" w:space="0"/>
              <w:bottom w:val="single" w:color="000000" w:sz="8" w:space="0"/>
              <w:right w:val="single" w:color="000000" w:sz="8" w:space="0"/>
            </w:tcBorders>
            <w:vAlign w:val="center"/>
          </w:tcPr>
          <w:p w14:paraId="7E3846D3">
            <w:pPr>
              <w:keepNext w:val="0"/>
              <w:keepLines w:val="0"/>
              <w:suppressLineNumbers w:val="0"/>
              <w:spacing w:before="0" w:beforeAutospacing="0" w:after="0" w:afterAutospacing="0"/>
              <w:ind w:left="0" w:right="0"/>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含水率、浸出液重金属（汞、铜、锌、铅、镉、铍、钡、镍、砷、总铬、六价铬、硒）含量</w:t>
            </w:r>
          </w:p>
        </w:tc>
        <w:tc>
          <w:tcPr>
            <w:tcW w:w="638" w:type="pct"/>
            <w:tcBorders>
              <w:top w:val="single" w:color="000000" w:sz="8" w:space="0"/>
              <w:left w:val="single" w:color="000000" w:sz="8" w:space="0"/>
              <w:bottom w:val="single" w:color="000000" w:sz="8" w:space="0"/>
              <w:right w:val="single" w:color="000000" w:sz="8" w:space="0"/>
            </w:tcBorders>
            <w:vAlign w:val="center"/>
          </w:tcPr>
          <w:p w14:paraId="2C6B1576">
            <w:pPr>
              <w:keepNext w:val="0"/>
              <w:keepLines w:val="0"/>
              <w:suppressLineNumbers w:val="0"/>
              <w:spacing w:before="0" w:beforeAutospacing="0" w:after="0" w:afterAutospacing="0"/>
              <w:ind w:left="0" w:right="0"/>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6次/月</w:t>
            </w:r>
          </w:p>
        </w:tc>
        <w:tc>
          <w:tcPr>
            <w:tcW w:w="1435" w:type="pct"/>
            <w:vMerge w:val="restart"/>
            <w:tcBorders>
              <w:top w:val="single" w:color="000000" w:sz="8" w:space="0"/>
              <w:left w:val="single" w:color="000000" w:sz="8" w:space="0"/>
              <w:bottom w:val="single" w:color="000000" w:sz="8" w:space="0"/>
              <w:right w:val="single" w:color="000000" w:sz="8" w:space="0"/>
            </w:tcBorders>
            <w:vAlign w:val="center"/>
          </w:tcPr>
          <w:p w14:paraId="06355BA7">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送样检测</w:t>
            </w:r>
          </w:p>
        </w:tc>
        <w:tc>
          <w:tcPr>
            <w:tcW w:w="626" w:type="pct"/>
            <w:tcBorders>
              <w:top w:val="single" w:color="000000" w:sz="8" w:space="0"/>
              <w:left w:val="single" w:color="000000" w:sz="8" w:space="0"/>
              <w:bottom w:val="single" w:color="000000" w:sz="8" w:space="0"/>
              <w:right w:val="single" w:color="000000" w:sz="8" w:space="0"/>
            </w:tcBorders>
            <w:vAlign w:val="center"/>
          </w:tcPr>
          <w:p w14:paraId="172900FC">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72</w:t>
            </w:r>
          </w:p>
        </w:tc>
      </w:tr>
      <w:tr w14:paraId="1D3701D7">
        <w:tblPrEx>
          <w:tblCellMar>
            <w:top w:w="0" w:type="dxa"/>
            <w:left w:w="108" w:type="dxa"/>
            <w:bottom w:w="0" w:type="dxa"/>
            <w:right w:w="108" w:type="dxa"/>
          </w:tblCellMar>
        </w:tblPrEx>
        <w:trPr>
          <w:trHeight w:val="324" w:hRule="atLeast"/>
        </w:trPr>
        <w:tc>
          <w:tcPr>
            <w:tcW w:w="291" w:type="pct"/>
            <w:tcBorders>
              <w:top w:val="single" w:color="000000" w:sz="8" w:space="0"/>
              <w:left w:val="single" w:color="000000" w:sz="8" w:space="0"/>
              <w:bottom w:val="single" w:color="000000" w:sz="8" w:space="0"/>
              <w:right w:val="single" w:color="000000" w:sz="8" w:space="0"/>
            </w:tcBorders>
            <w:vAlign w:val="center"/>
          </w:tcPr>
          <w:p w14:paraId="1D216735">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19</w:t>
            </w:r>
          </w:p>
        </w:tc>
        <w:tc>
          <w:tcPr>
            <w:tcW w:w="518" w:type="pct"/>
            <w:vMerge w:val="continue"/>
            <w:tcBorders>
              <w:top w:val="single" w:color="000000" w:sz="8" w:space="0"/>
              <w:left w:val="single" w:color="000000" w:sz="8" w:space="0"/>
              <w:bottom w:val="single" w:color="000000" w:sz="8" w:space="0"/>
              <w:right w:val="single" w:color="000000" w:sz="8" w:space="0"/>
            </w:tcBorders>
            <w:vAlign w:val="center"/>
          </w:tcPr>
          <w:p w14:paraId="119E5C52">
            <w:pPr>
              <w:keepNext w:val="0"/>
              <w:keepLines w:val="0"/>
              <w:suppressLineNumbers w:val="0"/>
              <w:spacing w:before="0" w:beforeAutospacing="0" w:after="0" w:afterAutospacing="0"/>
              <w:ind w:left="0" w:right="0"/>
              <w:rPr>
                <w:rFonts w:hint="eastAsia" w:ascii="仿宋_GB2312" w:hAnsi="仿宋_GB2312" w:eastAsia="仿宋_GB2312" w:cs="仿宋_GB2312"/>
                <w:color w:val="auto"/>
                <w:sz w:val="20"/>
                <w:szCs w:val="20"/>
              </w:rPr>
            </w:pPr>
          </w:p>
        </w:tc>
        <w:tc>
          <w:tcPr>
            <w:tcW w:w="459" w:type="pct"/>
            <w:vMerge w:val="continue"/>
            <w:tcBorders>
              <w:top w:val="single" w:color="000000" w:sz="8" w:space="0"/>
              <w:left w:val="single" w:color="000000" w:sz="8" w:space="0"/>
              <w:bottom w:val="single" w:color="000000" w:sz="8" w:space="0"/>
              <w:right w:val="single" w:color="000000" w:sz="8" w:space="0"/>
            </w:tcBorders>
            <w:vAlign w:val="center"/>
          </w:tcPr>
          <w:p w14:paraId="4BEC2D7E">
            <w:pPr>
              <w:keepNext w:val="0"/>
              <w:keepLines w:val="0"/>
              <w:suppressLineNumbers w:val="0"/>
              <w:spacing w:before="0" w:beforeAutospacing="0" w:after="0" w:afterAutospacing="0"/>
              <w:ind w:left="0" w:right="0"/>
              <w:rPr>
                <w:rFonts w:hint="eastAsia" w:ascii="仿宋_GB2312" w:hAnsi="仿宋_GB2312" w:eastAsia="仿宋_GB2312" w:cs="仿宋_GB2312"/>
                <w:color w:val="auto"/>
                <w:sz w:val="20"/>
                <w:szCs w:val="20"/>
              </w:rPr>
            </w:pPr>
          </w:p>
        </w:tc>
        <w:tc>
          <w:tcPr>
            <w:tcW w:w="1031" w:type="pct"/>
            <w:tcBorders>
              <w:top w:val="single" w:color="000000" w:sz="8" w:space="0"/>
              <w:left w:val="nil"/>
              <w:bottom w:val="single" w:color="000000" w:sz="8" w:space="0"/>
              <w:right w:val="single" w:color="000000" w:sz="8" w:space="0"/>
            </w:tcBorders>
            <w:vAlign w:val="center"/>
          </w:tcPr>
          <w:p w14:paraId="441EBBA5">
            <w:pPr>
              <w:keepNext w:val="0"/>
              <w:keepLines w:val="0"/>
              <w:suppressLineNumbers w:val="0"/>
              <w:spacing w:before="0" w:beforeAutospacing="0" w:after="0" w:afterAutospacing="0"/>
              <w:ind w:left="0" w:right="0"/>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二噁英类</w:t>
            </w:r>
          </w:p>
        </w:tc>
        <w:tc>
          <w:tcPr>
            <w:tcW w:w="638" w:type="pct"/>
            <w:tcBorders>
              <w:top w:val="single" w:color="000000" w:sz="8" w:space="0"/>
              <w:left w:val="nil"/>
              <w:bottom w:val="single" w:color="000000" w:sz="8" w:space="0"/>
              <w:right w:val="single" w:color="000000" w:sz="8" w:space="0"/>
            </w:tcBorders>
            <w:vAlign w:val="center"/>
          </w:tcPr>
          <w:p w14:paraId="66EE5DDF">
            <w:pPr>
              <w:keepNext w:val="0"/>
              <w:keepLines w:val="0"/>
              <w:suppressLineNumbers w:val="0"/>
              <w:spacing w:before="0" w:beforeAutospacing="0" w:after="0" w:afterAutospacing="0"/>
              <w:ind w:left="0" w:right="0"/>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1次/季</w:t>
            </w:r>
          </w:p>
        </w:tc>
        <w:tc>
          <w:tcPr>
            <w:tcW w:w="1435" w:type="pct"/>
            <w:vMerge w:val="continue"/>
            <w:tcBorders>
              <w:top w:val="single" w:color="000000" w:sz="8" w:space="0"/>
              <w:left w:val="nil"/>
              <w:bottom w:val="single" w:color="000000" w:sz="8" w:space="0"/>
              <w:right w:val="single" w:color="000000" w:sz="8" w:space="0"/>
            </w:tcBorders>
            <w:vAlign w:val="center"/>
          </w:tcPr>
          <w:p w14:paraId="15066A3B">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p>
        </w:tc>
        <w:tc>
          <w:tcPr>
            <w:tcW w:w="626" w:type="pct"/>
            <w:tcBorders>
              <w:top w:val="single" w:color="000000" w:sz="8" w:space="0"/>
              <w:left w:val="nil"/>
              <w:bottom w:val="single" w:color="000000" w:sz="8" w:space="0"/>
              <w:right w:val="single" w:color="000000" w:sz="8" w:space="0"/>
            </w:tcBorders>
            <w:vAlign w:val="center"/>
          </w:tcPr>
          <w:p w14:paraId="54C18284">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4</w:t>
            </w:r>
          </w:p>
        </w:tc>
      </w:tr>
      <w:tr w14:paraId="45CFD4D7">
        <w:tblPrEx>
          <w:tblCellMar>
            <w:top w:w="0" w:type="dxa"/>
            <w:left w:w="108" w:type="dxa"/>
            <w:bottom w:w="0" w:type="dxa"/>
            <w:right w:w="108" w:type="dxa"/>
          </w:tblCellMar>
        </w:tblPrEx>
        <w:trPr>
          <w:trHeight w:val="588" w:hRule="atLeast"/>
        </w:trPr>
        <w:tc>
          <w:tcPr>
            <w:tcW w:w="291" w:type="pct"/>
            <w:tcBorders>
              <w:top w:val="nil"/>
              <w:left w:val="single" w:color="000000" w:sz="8" w:space="0"/>
              <w:bottom w:val="single" w:color="auto" w:sz="4" w:space="0"/>
              <w:right w:val="single" w:color="000000" w:sz="8" w:space="0"/>
            </w:tcBorders>
            <w:vAlign w:val="center"/>
          </w:tcPr>
          <w:p w14:paraId="67140856">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20</w:t>
            </w:r>
          </w:p>
        </w:tc>
        <w:tc>
          <w:tcPr>
            <w:tcW w:w="518" w:type="pct"/>
            <w:tcBorders>
              <w:top w:val="nil"/>
              <w:left w:val="single" w:color="000000" w:sz="8" w:space="0"/>
              <w:bottom w:val="single" w:color="auto" w:sz="4" w:space="0"/>
              <w:right w:val="single" w:color="000000" w:sz="8" w:space="0"/>
            </w:tcBorders>
            <w:vAlign w:val="center"/>
          </w:tcPr>
          <w:p w14:paraId="72363AA1">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雨水</w:t>
            </w:r>
          </w:p>
        </w:tc>
        <w:tc>
          <w:tcPr>
            <w:tcW w:w="459" w:type="pct"/>
            <w:tcBorders>
              <w:top w:val="nil"/>
              <w:left w:val="nil"/>
              <w:bottom w:val="single" w:color="auto" w:sz="4" w:space="0"/>
              <w:right w:val="single" w:color="000000" w:sz="8" w:space="0"/>
            </w:tcBorders>
            <w:vAlign w:val="center"/>
          </w:tcPr>
          <w:p w14:paraId="370A0564">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雨水排放口</w:t>
            </w:r>
          </w:p>
        </w:tc>
        <w:tc>
          <w:tcPr>
            <w:tcW w:w="1031" w:type="pct"/>
            <w:tcBorders>
              <w:top w:val="nil"/>
              <w:left w:val="nil"/>
              <w:bottom w:val="single" w:color="auto" w:sz="4" w:space="0"/>
              <w:right w:val="single" w:color="000000" w:sz="8" w:space="0"/>
            </w:tcBorders>
            <w:vAlign w:val="center"/>
          </w:tcPr>
          <w:p w14:paraId="5D7C7E59">
            <w:pPr>
              <w:keepNext w:val="0"/>
              <w:keepLines w:val="0"/>
              <w:suppressLineNumbers w:val="0"/>
              <w:spacing w:before="0" w:beforeAutospacing="0" w:after="0" w:afterAutospacing="0"/>
              <w:ind w:left="0" w:right="0"/>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COD</w:t>
            </w:r>
            <w:r>
              <w:rPr>
                <w:rFonts w:hint="eastAsia" w:ascii="仿宋_GB2312" w:hAnsi="仿宋_GB2312" w:eastAsia="仿宋_GB2312" w:cs="仿宋_GB2312"/>
                <w:color w:val="auto"/>
                <w:sz w:val="20"/>
                <w:szCs w:val="20"/>
                <w:vertAlign w:val="subscript"/>
              </w:rPr>
              <w:t>Cr</w:t>
            </w:r>
            <w:r>
              <w:rPr>
                <w:rFonts w:hint="eastAsia" w:ascii="仿宋_GB2312" w:hAnsi="仿宋_GB2312" w:eastAsia="仿宋_GB2312" w:cs="仿宋_GB2312"/>
                <w:color w:val="auto"/>
                <w:sz w:val="20"/>
                <w:szCs w:val="20"/>
              </w:rPr>
              <w:t>、NH</w:t>
            </w:r>
            <w:r>
              <w:rPr>
                <w:rFonts w:hint="eastAsia" w:ascii="仿宋_GB2312" w:hAnsi="仿宋_GB2312" w:eastAsia="仿宋_GB2312" w:cs="仿宋_GB2312"/>
                <w:color w:val="auto"/>
                <w:sz w:val="20"/>
                <w:szCs w:val="20"/>
                <w:vertAlign w:val="subscript"/>
              </w:rPr>
              <w:t>3</w:t>
            </w:r>
            <w:r>
              <w:rPr>
                <w:rFonts w:hint="eastAsia" w:ascii="仿宋_GB2312" w:hAnsi="仿宋_GB2312" w:eastAsia="仿宋_GB2312" w:cs="仿宋_GB2312"/>
                <w:color w:val="auto"/>
                <w:sz w:val="20"/>
                <w:szCs w:val="20"/>
              </w:rPr>
              <w:t>-N、悬浮物</w:t>
            </w:r>
          </w:p>
        </w:tc>
        <w:tc>
          <w:tcPr>
            <w:tcW w:w="638" w:type="pct"/>
            <w:tcBorders>
              <w:top w:val="nil"/>
              <w:left w:val="nil"/>
              <w:bottom w:val="single" w:color="auto" w:sz="4" w:space="0"/>
              <w:right w:val="single" w:color="000000" w:sz="8" w:space="0"/>
            </w:tcBorders>
            <w:vAlign w:val="center"/>
          </w:tcPr>
          <w:p w14:paraId="4CAFFE91">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1次/季</w:t>
            </w:r>
          </w:p>
        </w:tc>
        <w:tc>
          <w:tcPr>
            <w:tcW w:w="1435" w:type="pct"/>
            <w:tcBorders>
              <w:top w:val="nil"/>
              <w:left w:val="nil"/>
              <w:bottom w:val="single" w:color="auto" w:sz="4" w:space="0"/>
              <w:right w:val="single" w:color="000000" w:sz="8" w:space="0"/>
            </w:tcBorders>
            <w:vAlign w:val="center"/>
          </w:tcPr>
          <w:p w14:paraId="72733AB0">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采样时间间隔不少于4h，采样频次不少于3次。</w:t>
            </w:r>
          </w:p>
        </w:tc>
        <w:tc>
          <w:tcPr>
            <w:tcW w:w="626" w:type="pct"/>
            <w:tcBorders>
              <w:top w:val="nil"/>
              <w:left w:val="nil"/>
              <w:bottom w:val="single" w:color="auto" w:sz="4" w:space="0"/>
              <w:right w:val="single" w:color="000000" w:sz="8" w:space="0"/>
            </w:tcBorders>
            <w:vAlign w:val="center"/>
          </w:tcPr>
          <w:p w14:paraId="6658B260">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12</w:t>
            </w:r>
          </w:p>
        </w:tc>
      </w:tr>
      <w:tr w14:paraId="29D5B9E0">
        <w:tblPrEx>
          <w:tblCellMar>
            <w:top w:w="0" w:type="dxa"/>
            <w:left w:w="108" w:type="dxa"/>
            <w:bottom w:w="0" w:type="dxa"/>
            <w:right w:w="108" w:type="dxa"/>
          </w:tblCellMar>
        </w:tblPrEx>
        <w:trPr>
          <w:trHeight w:val="324" w:hRule="atLeast"/>
        </w:trPr>
        <w:tc>
          <w:tcPr>
            <w:tcW w:w="291" w:type="pct"/>
            <w:tcBorders>
              <w:top w:val="single" w:color="auto" w:sz="4" w:space="0"/>
              <w:left w:val="single" w:color="auto" w:sz="4" w:space="0"/>
              <w:bottom w:val="single" w:color="auto" w:sz="4" w:space="0"/>
              <w:right w:val="single" w:color="auto" w:sz="4" w:space="0"/>
            </w:tcBorders>
            <w:vAlign w:val="center"/>
          </w:tcPr>
          <w:p w14:paraId="5353A938">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21</w:t>
            </w:r>
          </w:p>
        </w:tc>
        <w:tc>
          <w:tcPr>
            <w:tcW w:w="518" w:type="pct"/>
            <w:vMerge w:val="restart"/>
            <w:tcBorders>
              <w:top w:val="single" w:color="auto" w:sz="4" w:space="0"/>
              <w:left w:val="single" w:color="auto" w:sz="4" w:space="0"/>
              <w:bottom w:val="single" w:color="auto" w:sz="4" w:space="0"/>
              <w:right w:val="single" w:color="auto" w:sz="4" w:space="0"/>
            </w:tcBorders>
            <w:vAlign w:val="center"/>
          </w:tcPr>
          <w:p w14:paraId="5B97B2A6">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垃圾</w:t>
            </w:r>
          </w:p>
        </w:tc>
        <w:tc>
          <w:tcPr>
            <w:tcW w:w="459" w:type="pct"/>
            <w:vMerge w:val="restart"/>
            <w:tcBorders>
              <w:top w:val="single" w:color="auto" w:sz="4" w:space="0"/>
              <w:left w:val="single" w:color="auto" w:sz="4" w:space="0"/>
              <w:bottom w:val="single" w:color="auto" w:sz="4" w:space="0"/>
              <w:right w:val="single" w:color="auto" w:sz="4" w:space="0"/>
            </w:tcBorders>
            <w:vAlign w:val="center"/>
          </w:tcPr>
          <w:p w14:paraId="2C6ABAD6">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垃圾库</w:t>
            </w:r>
          </w:p>
        </w:tc>
        <w:tc>
          <w:tcPr>
            <w:tcW w:w="1031" w:type="pct"/>
            <w:tcBorders>
              <w:top w:val="single" w:color="auto" w:sz="4" w:space="0"/>
              <w:left w:val="single" w:color="auto" w:sz="4" w:space="0"/>
              <w:bottom w:val="single" w:color="auto" w:sz="4" w:space="0"/>
              <w:right w:val="single" w:color="auto" w:sz="4" w:space="0"/>
            </w:tcBorders>
            <w:vAlign w:val="center"/>
          </w:tcPr>
          <w:p w14:paraId="4E754963">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热值</w:t>
            </w:r>
          </w:p>
        </w:tc>
        <w:tc>
          <w:tcPr>
            <w:tcW w:w="638" w:type="pct"/>
            <w:tcBorders>
              <w:top w:val="single" w:color="auto" w:sz="4" w:space="0"/>
              <w:left w:val="single" w:color="auto" w:sz="4" w:space="0"/>
              <w:bottom w:val="single" w:color="auto" w:sz="4" w:space="0"/>
              <w:right w:val="single" w:color="auto" w:sz="4" w:space="0"/>
            </w:tcBorders>
            <w:vAlign w:val="center"/>
          </w:tcPr>
          <w:p w14:paraId="095E390E">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w:t>
            </w:r>
          </w:p>
        </w:tc>
        <w:tc>
          <w:tcPr>
            <w:tcW w:w="1435" w:type="pct"/>
            <w:vMerge w:val="restart"/>
            <w:tcBorders>
              <w:top w:val="single" w:color="auto" w:sz="4" w:space="0"/>
              <w:left w:val="single" w:color="auto" w:sz="4" w:space="0"/>
              <w:bottom w:val="single" w:color="auto" w:sz="4" w:space="0"/>
              <w:right w:val="single" w:color="auto" w:sz="4" w:space="0"/>
            </w:tcBorders>
            <w:vAlign w:val="center"/>
          </w:tcPr>
          <w:p w14:paraId="3E5ACC42">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送样检测</w:t>
            </w:r>
          </w:p>
        </w:tc>
        <w:tc>
          <w:tcPr>
            <w:tcW w:w="626" w:type="pct"/>
            <w:tcBorders>
              <w:top w:val="single" w:color="auto" w:sz="4" w:space="0"/>
              <w:left w:val="single" w:color="auto" w:sz="4" w:space="0"/>
              <w:bottom w:val="single" w:color="auto" w:sz="4" w:space="0"/>
              <w:right w:val="single" w:color="auto" w:sz="4" w:space="0"/>
            </w:tcBorders>
            <w:vAlign w:val="center"/>
          </w:tcPr>
          <w:p w14:paraId="0F006AC1">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12</w:t>
            </w:r>
          </w:p>
        </w:tc>
      </w:tr>
      <w:tr w14:paraId="4872DA86">
        <w:tblPrEx>
          <w:tblCellMar>
            <w:top w:w="0" w:type="dxa"/>
            <w:left w:w="108" w:type="dxa"/>
            <w:bottom w:w="0" w:type="dxa"/>
            <w:right w:w="108" w:type="dxa"/>
          </w:tblCellMar>
        </w:tblPrEx>
        <w:trPr>
          <w:trHeight w:val="2047" w:hRule="atLeast"/>
        </w:trPr>
        <w:tc>
          <w:tcPr>
            <w:tcW w:w="291" w:type="pct"/>
            <w:tcBorders>
              <w:top w:val="single" w:color="auto" w:sz="4" w:space="0"/>
              <w:left w:val="single" w:color="auto" w:sz="4" w:space="0"/>
              <w:bottom w:val="single" w:color="auto" w:sz="4" w:space="0"/>
              <w:right w:val="single" w:color="auto" w:sz="4" w:space="0"/>
            </w:tcBorders>
            <w:vAlign w:val="center"/>
          </w:tcPr>
          <w:p w14:paraId="007F3CCC">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22</w:t>
            </w:r>
          </w:p>
        </w:tc>
        <w:tc>
          <w:tcPr>
            <w:tcW w:w="518" w:type="pct"/>
            <w:vMerge w:val="continue"/>
            <w:tcBorders>
              <w:top w:val="single" w:color="auto" w:sz="4" w:space="0"/>
              <w:left w:val="single" w:color="auto" w:sz="4" w:space="0"/>
              <w:bottom w:val="single" w:color="auto" w:sz="4" w:space="0"/>
              <w:right w:val="single" w:color="auto" w:sz="4" w:space="0"/>
            </w:tcBorders>
            <w:vAlign w:val="center"/>
          </w:tcPr>
          <w:p w14:paraId="497A072B">
            <w:pPr>
              <w:keepNext w:val="0"/>
              <w:keepLines w:val="0"/>
              <w:suppressLineNumbers w:val="0"/>
              <w:spacing w:before="0" w:beforeAutospacing="0" w:after="0" w:afterAutospacing="0"/>
              <w:ind w:left="0" w:right="0"/>
              <w:rPr>
                <w:rFonts w:hint="eastAsia" w:ascii="仿宋_GB2312" w:hAnsi="仿宋_GB2312" w:eastAsia="仿宋_GB2312" w:cs="仿宋_GB2312"/>
                <w:color w:val="auto"/>
                <w:sz w:val="20"/>
                <w:szCs w:val="20"/>
              </w:rPr>
            </w:pPr>
          </w:p>
        </w:tc>
        <w:tc>
          <w:tcPr>
            <w:tcW w:w="459" w:type="pct"/>
            <w:vMerge w:val="continue"/>
            <w:tcBorders>
              <w:top w:val="single" w:color="auto" w:sz="4" w:space="0"/>
              <w:left w:val="single" w:color="auto" w:sz="4" w:space="0"/>
              <w:bottom w:val="single" w:color="auto" w:sz="4" w:space="0"/>
              <w:right w:val="single" w:color="auto" w:sz="4" w:space="0"/>
            </w:tcBorders>
            <w:vAlign w:val="center"/>
          </w:tcPr>
          <w:p w14:paraId="01D23F18">
            <w:pPr>
              <w:keepNext w:val="0"/>
              <w:keepLines w:val="0"/>
              <w:suppressLineNumbers w:val="0"/>
              <w:spacing w:before="0" w:beforeAutospacing="0" w:after="0" w:afterAutospacing="0"/>
              <w:ind w:left="0" w:right="0"/>
              <w:rPr>
                <w:rFonts w:hint="eastAsia" w:ascii="仿宋_GB2312" w:hAnsi="仿宋_GB2312" w:eastAsia="仿宋_GB2312" w:cs="仿宋_GB2312"/>
                <w:color w:val="auto"/>
                <w:sz w:val="20"/>
                <w:szCs w:val="20"/>
              </w:rPr>
            </w:pPr>
          </w:p>
        </w:tc>
        <w:tc>
          <w:tcPr>
            <w:tcW w:w="1031" w:type="pct"/>
            <w:tcBorders>
              <w:top w:val="single" w:color="auto" w:sz="4" w:space="0"/>
              <w:left w:val="single" w:color="auto" w:sz="4" w:space="0"/>
              <w:bottom w:val="single" w:color="auto" w:sz="4" w:space="0"/>
              <w:right w:val="single" w:color="auto" w:sz="4" w:space="0"/>
            </w:tcBorders>
            <w:vAlign w:val="center"/>
          </w:tcPr>
          <w:p w14:paraId="609E10EB">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物理组成、工业分析（挥发分、固定碳、灰分）、含水率、元素分析（C、H、N、S、O、Cl）、重金属分析（Hg、Pb、Cd、Cr、As）</w:t>
            </w:r>
          </w:p>
        </w:tc>
        <w:tc>
          <w:tcPr>
            <w:tcW w:w="638" w:type="pct"/>
            <w:tcBorders>
              <w:top w:val="single" w:color="auto" w:sz="4" w:space="0"/>
              <w:left w:val="single" w:color="auto" w:sz="4" w:space="0"/>
              <w:bottom w:val="single" w:color="auto" w:sz="4" w:space="0"/>
              <w:right w:val="single" w:color="auto" w:sz="4" w:space="0"/>
            </w:tcBorders>
            <w:vAlign w:val="center"/>
          </w:tcPr>
          <w:p w14:paraId="1AFD7312">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w:t>
            </w:r>
          </w:p>
        </w:tc>
        <w:tc>
          <w:tcPr>
            <w:tcW w:w="1435" w:type="pct"/>
            <w:vMerge w:val="continue"/>
            <w:tcBorders>
              <w:top w:val="single" w:color="auto" w:sz="4" w:space="0"/>
              <w:left w:val="single" w:color="auto" w:sz="4" w:space="0"/>
              <w:bottom w:val="single" w:color="auto" w:sz="4" w:space="0"/>
              <w:right w:val="single" w:color="auto" w:sz="4" w:space="0"/>
            </w:tcBorders>
            <w:vAlign w:val="center"/>
          </w:tcPr>
          <w:p w14:paraId="7EF9DF43">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p>
        </w:tc>
        <w:tc>
          <w:tcPr>
            <w:tcW w:w="626" w:type="pct"/>
            <w:tcBorders>
              <w:top w:val="single" w:color="auto" w:sz="4" w:space="0"/>
              <w:left w:val="single" w:color="auto" w:sz="4" w:space="0"/>
              <w:bottom w:val="single" w:color="auto" w:sz="4" w:space="0"/>
              <w:right w:val="single" w:color="auto" w:sz="4" w:space="0"/>
            </w:tcBorders>
            <w:vAlign w:val="center"/>
          </w:tcPr>
          <w:p w14:paraId="3D0230A5">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12</w:t>
            </w:r>
          </w:p>
        </w:tc>
      </w:tr>
      <w:tr w14:paraId="185F5FDC">
        <w:tblPrEx>
          <w:tblCellMar>
            <w:top w:w="0" w:type="dxa"/>
            <w:left w:w="108" w:type="dxa"/>
            <w:bottom w:w="0" w:type="dxa"/>
            <w:right w:w="108" w:type="dxa"/>
          </w:tblCellMar>
        </w:tblPrEx>
        <w:trPr>
          <w:trHeight w:val="2047" w:hRule="atLeast"/>
        </w:trPr>
        <w:tc>
          <w:tcPr>
            <w:tcW w:w="291" w:type="pct"/>
            <w:tcBorders>
              <w:top w:val="single" w:color="auto" w:sz="4" w:space="0"/>
              <w:left w:val="single" w:color="auto" w:sz="4" w:space="0"/>
              <w:bottom w:val="single" w:color="auto" w:sz="4" w:space="0"/>
              <w:right w:val="single" w:color="auto" w:sz="4" w:space="0"/>
            </w:tcBorders>
            <w:vAlign w:val="center"/>
          </w:tcPr>
          <w:p w14:paraId="1BDD140C">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23</w:t>
            </w:r>
          </w:p>
        </w:tc>
        <w:tc>
          <w:tcPr>
            <w:tcW w:w="518" w:type="pct"/>
            <w:tcBorders>
              <w:top w:val="single" w:color="auto" w:sz="4" w:space="0"/>
              <w:left w:val="single" w:color="auto" w:sz="4" w:space="0"/>
              <w:bottom w:val="single" w:color="auto" w:sz="4" w:space="0"/>
              <w:right w:val="single" w:color="auto" w:sz="4" w:space="0"/>
            </w:tcBorders>
            <w:vAlign w:val="center"/>
          </w:tcPr>
          <w:p w14:paraId="6FF3DC12">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入厂环保物资</w:t>
            </w:r>
          </w:p>
        </w:tc>
        <w:tc>
          <w:tcPr>
            <w:tcW w:w="459" w:type="pct"/>
            <w:tcBorders>
              <w:top w:val="single" w:color="auto" w:sz="4" w:space="0"/>
              <w:left w:val="single" w:color="auto" w:sz="4" w:space="0"/>
              <w:bottom w:val="single" w:color="auto" w:sz="4" w:space="0"/>
              <w:right w:val="single" w:color="auto" w:sz="4" w:space="0"/>
            </w:tcBorders>
            <w:vAlign w:val="center"/>
          </w:tcPr>
          <w:p w14:paraId="69574358">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活性炭（粉末）</w:t>
            </w:r>
          </w:p>
        </w:tc>
        <w:tc>
          <w:tcPr>
            <w:tcW w:w="1031" w:type="pct"/>
            <w:tcBorders>
              <w:top w:val="single" w:color="auto" w:sz="4" w:space="0"/>
              <w:left w:val="single" w:color="auto" w:sz="4" w:space="0"/>
              <w:bottom w:val="single" w:color="auto" w:sz="4" w:space="0"/>
              <w:right w:val="single" w:color="auto" w:sz="4" w:space="0"/>
            </w:tcBorders>
            <w:vAlign w:val="center"/>
          </w:tcPr>
          <w:p w14:paraId="0BC6E216">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pH值、灰分、水分、填充密度、比表面积、碘吸附值、粒径</w:t>
            </w:r>
          </w:p>
        </w:tc>
        <w:tc>
          <w:tcPr>
            <w:tcW w:w="638" w:type="pct"/>
            <w:tcBorders>
              <w:top w:val="single" w:color="auto" w:sz="4" w:space="0"/>
              <w:left w:val="single" w:color="auto" w:sz="4" w:space="0"/>
              <w:bottom w:val="single" w:color="auto" w:sz="4" w:space="0"/>
              <w:right w:val="single" w:color="auto" w:sz="4" w:space="0"/>
            </w:tcBorders>
            <w:vAlign w:val="center"/>
          </w:tcPr>
          <w:p w14:paraId="3C73622D">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1次/月</w:t>
            </w:r>
          </w:p>
        </w:tc>
        <w:tc>
          <w:tcPr>
            <w:tcW w:w="1435" w:type="pct"/>
            <w:tcBorders>
              <w:top w:val="single" w:color="auto" w:sz="4" w:space="0"/>
              <w:left w:val="single" w:color="auto" w:sz="4" w:space="0"/>
              <w:bottom w:val="single" w:color="auto" w:sz="4" w:space="0"/>
              <w:right w:val="single" w:color="auto" w:sz="4" w:space="0"/>
            </w:tcBorders>
            <w:vAlign w:val="center"/>
          </w:tcPr>
          <w:p w14:paraId="7EBCDEC6">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送样检测</w:t>
            </w:r>
          </w:p>
        </w:tc>
        <w:tc>
          <w:tcPr>
            <w:tcW w:w="626" w:type="pct"/>
            <w:tcBorders>
              <w:top w:val="single" w:color="auto" w:sz="4" w:space="0"/>
              <w:left w:val="single" w:color="auto" w:sz="4" w:space="0"/>
              <w:bottom w:val="single" w:color="auto" w:sz="4" w:space="0"/>
              <w:right w:val="single" w:color="auto" w:sz="4" w:space="0"/>
            </w:tcBorders>
            <w:vAlign w:val="center"/>
          </w:tcPr>
          <w:p w14:paraId="2D75BE64">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12</w:t>
            </w:r>
          </w:p>
        </w:tc>
      </w:tr>
      <w:tr w14:paraId="77E4D5EB">
        <w:tblPrEx>
          <w:tblCellMar>
            <w:top w:w="0" w:type="dxa"/>
            <w:left w:w="108" w:type="dxa"/>
            <w:bottom w:w="0" w:type="dxa"/>
            <w:right w:w="108" w:type="dxa"/>
          </w:tblCellMar>
        </w:tblPrEx>
        <w:trPr>
          <w:trHeight w:val="2047" w:hRule="atLeast"/>
        </w:trPr>
        <w:tc>
          <w:tcPr>
            <w:tcW w:w="291" w:type="pct"/>
            <w:tcBorders>
              <w:top w:val="single" w:color="auto" w:sz="4" w:space="0"/>
              <w:left w:val="single" w:color="auto" w:sz="4" w:space="0"/>
              <w:bottom w:val="single" w:color="auto" w:sz="4" w:space="0"/>
              <w:right w:val="single" w:color="auto" w:sz="4" w:space="0"/>
            </w:tcBorders>
            <w:vAlign w:val="center"/>
          </w:tcPr>
          <w:p w14:paraId="49784D20">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24</w:t>
            </w:r>
          </w:p>
        </w:tc>
        <w:tc>
          <w:tcPr>
            <w:tcW w:w="518" w:type="pct"/>
            <w:tcBorders>
              <w:top w:val="single" w:color="auto" w:sz="4" w:space="0"/>
              <w:left w:val="single" w:color="auto" w:sz="4" w:space="0"/>
              <w:bottom w:val="single" w:color="auto" w:sz="4" w:space="0"/>
              <w:right w:val="single" w:color="auto" w:sz="4" w:space="0"/>
            </w:tcBorders>
            <w:vAlign w:val="center"/>
          </w:tcPr>
          <w:p w14:paraId="3F13C430">
            <w:pPr>
              <w:keepNext w:val="0"/>
              <w:keepLines w:val="0"/>
              <w:suppressLineNumbers w:val="0"/>
              <w:spacing w:before="0" w:beforeAutospacing="0" w:after="0" w:afterAutospacing="0"/>
              <w:ind w:left="0" w:right="0"/>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w:t>
            </w:r>
          </w:p>
        </w:tc>
        <w:tc>
          <w:tcPr>
            <w:tcW w:w="459" w:type="pct"/>
            <w:tcBorders>
              <w:top w:val="single" w:color="auto" w:sz="4" w:space="0"/>
              <w:left w:val="single" w:color="auto" w:sz="4" w:space="0"/>
              <w:bottom w:val="single" w:color="auto" w:sz="4" w:space="0"/>
              <w:right w:val="single" w:color="auto" w:sz="4" w:space="0"/>
            </w:tcBorders>
            <w:vAlign w:val="center"/>
          </w:tcPr>
          <w:p w14:paraId="7A25C196">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活性炭（柱状）</w:t>
            </w:r>
          </w:p>
        </w:tc>
        <w:tc>
          <w:tcPr>
            <w:tcW w:w="1031" w:type="pct"/>
            <w:tcBorders>
              <w:top w:val="single" w:color="auto" w:sz="4" w:space="0"/>
              <w:left w:val="single" w:color="auto" w:sz="4" w:space="0"/>
              <w:bottom w:val="single" w:color="auto" w:sz="4" w:space="0"/>
              <w:right w:val="single" w:color="auto" w:sz="4" w:space="0"/>
            </w:tcBorders>
            <w:vAlign w:val="center"/>
          </w:tcPr>
          <w:p w14:paraId="1D75795A">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pH值、灰分、水分、填充密度、比表面积、碘吸附值、粒径</w:t>
            </w:r>
          </w:p>
        </w:tc>
        <w:tc>
          <w:tcPr>
            <w:tcW w:w="638" w:type="pct"/>
            <w:tcBorders>
              <w:top w:val="single" w:color="auto" w:sz="4" w:space="0"/>
              <w:left w:val="single" w:color="auto" w:sz="4" w:space="0"/>
              <w:bottom w:val="single" w:color="auto" w:sz="4" w:space="0"/>
              <w:right w:val="single" w:color="auto" w:sz="4" w:space="0"/>
            </w:tcBorders>
            <w:vAlign w:val="center"/>
          </w:tcPr>
          <w:p w14:paraId="7FDBBC6C">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w:t>
            </w:r>
          </w:p>
        </w:tc>
        <w:tc>
          <w:tcPr>
            <w:tcW w:w="1435" w:type="pct"/>
            <w:tcBorders>
              <w:top w:val="single" w:color="auto" w:sz="4" w:space="0"/>
              <w:left w:val="single" w:color="auto" w:sz="4" w:space="0"/>
              <w:bottom w:val="single" w:color="auto" w:sz="4" w:space="0"/>
              <w:right w:val="single" w:color="auto" w:sz="4" w:space="0"/>
            </w:tcBorders>
            <w:vAlign w:val="center"/>
          </w:tcPr>
          <w:p w14:paraId="2EEAEB1B">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送样检测（次数待定），目前暂按2次/年报价（活性炭除臭风机启动前、后各一次）</w:t>
            </w:r>
          </w:p>
        </w:tc>
        <w:tc>
          <w:tcPr>
            <w:tcW w:w="626" w:type="pct"/>
            <w:tcBorders>
              <w:top w:val="single" w:color="auto" w:sz="4" w:space="0"/>
              <w:left w:val="single" w:color="auto" w:sz="4" w:space="0"/>
              <w:bottom w:val="single" w:color="auto" w:sz="4" w:space="0"/>
              <w:right w:val="single" w:color="auto" w:sz="4" w:space="0"/>
            </w:tcBorders>
            <w:vAlign w:val="center"/>
          </w:tcPr>
          <w:p w14:paraId="392C7EA2">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2</w:t>
            </w:r>
          </w:p>
        </w:tc>
      </w:tr>
      <w:tr w14:paraId="468C86F2">
        <w:tblPrEx>
          <w:tblCellMar>
            <w:top w:w="0" w:type="dxa"/>
            <w:left w:w="108" w:type="dxa"/>
            <w:bottom w:w="0" w:type="dxa"/>
            <w:right w:w="108" w:type="dxa"/>
          </w:tblCellMar>
        </w:tblPrEx>
        <w:trPr>
          <w:trHeight w:val="2047" w:hRule="atLeast"/>
        </w:trPr>
        <w:tc>
          <w:tcPr>
            <w:tcW w:w="291" w:type="pct"/>
            <w:tcBorders>
              <w:top w:val="single" w:color="auto" w:sz="4" w:space="0"/>
              <w:left w:val="single" w:color="auto" w:sz="4" w:space="0"/>
              <w:bottom w:val="single" w:color="auto" w:sz="4" w:space="0"/>
              <w:right w:val="single" w:color="auto" w:sz="4" w:space="0"/>
            </w:tcBorders>
            <w:vAlign w:val="center"/>
          </w:tcPr>
          <w:p w14:paraId="62A2C7B8">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25</w:t>
            </w:r>
          </w:p>
        </w:tc>
        <w:tc>
          <w:tcPr>
            <w:tcW w:w="518" w:type="pct"/>
            <w:tcBorders>
              <w:top w:val="single" w:color="auto" w:sz="4" w:space="0"/>
              <w:left w:val="single" w:color="auto" w:sz="4" w:space="0"/>
              <w:bottom w:val="single" w:color="auto" w:sz="4" w:space="0"/>
              <w:right w:val="single" w:color="auto" w:sz="4" w:space="0"/>
            </w:tcBorders>
            <w:vAlign w:val="center"/>
          </w:tcPr>
          <w:p w14:paraId="27D4FC82">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渗滤液原液</w:t>
            </w:r>
          </w:p>
        </w:tc>
        <w:tc>
          <w:tcPr>
            <w:tcW w:w="459" w:type="pct"/>
            <w:tcBorders>
              <w:top w:val="single" w:color="auto" w:sz="4" w:space="0"/>
              <w:left w:val="single" w:color="auto" w:sz="4" w:space="0"/>
              <w:bottom w:val="single" w:color="auto" w:sz="4" w:space="0"/>
              <w:right w:val="single" w:color="auto" w:sz="4" w:space="0"/>
            </w:tcBorders>
            <w:vAlign w:val="center"/>
          </w:tcPr>
          <w:p w14:paraId="2BD10A39">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调节池进水口</w:t>
            </w:r>
          </w:p>
        </w:tc>
        <w:tc>
          <w:tcPr>
            <w:tcW w:w="1031" w:type="pct"/>
            <w:tcBorders>
              <w:top w:val="single" w:color="auto" w:sz="4" w:space="0"/>
              <w:left w:val="single" w:color="auto" w:sz="4" w:space="0"/>
              <w:bottom w:val="single" w:color="auto" w:sz="4" w:space="0"/>
              <w:right w:val="single" w:color="auto" w:sz="4" w:space="0"/>
            </w:tcBorders>
            <w:vAlign w:val="center"/>
          </w:tcPr>
          <w:p w14:paraId="285A1C43">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pH、SS、CODCr、BOD5、NH3-N</w:t>
            </w:r>
          </w:p>
        </w:tc>
        <w:tc>
          <w:tcPr>
            <w:tcW w:w="638" w:type="pct"/>
            <w:tcBorders>
              <w:top w:val="single" w:color="auto" w:sz="4" w:space="0"/>
              <w:left w:val="single" w:color="auto" w:sz="4" w:space="0"/>
              <w:bottom w:val="single" w:color="auto" w:sz="4" w:space="0"/>
              <w:right w:val="single" w:color="auto" w:sz="4" w:space="0"/>
            </w:tcBorders>
            <w:vAlign w:val="center"/>
          </w:tcPr>
          <w:p w14:paraId="6A116106">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1次/半年</w:t>
            </w:r>
          </w:p>
        </w:tc>
        <w:tc>
          <w:tcPr>
            <w:tcW w:w="1435" w:type="pct"/>
            <w:tcBorders>
              <w:top w:val="single" w:color="auto" w:sz="4" w:space="0"/>
              <w:left w:val="single" w:color="auto" w:sz="4" w:space="0"/>
              <w:bottom w:val="single" w:color="auto" w:sz="4" w:space="0"/>
              <w:right w:val="single" w:color="auto" w:sz="4" w:space="0"/>
            </w:tcBorders>
            <w:vAlign w:val="center"/>
          </w:tcPr>
          <w:p w14:paraId="1D3A8EEA">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w:t>
            </w:r>
          </w:p>
        </w:tc>
        <w:tc>
          <w:tcPr>
            <w:tcW w:w="626" w:type="pct"/>
            <w:tcBorders>
              <w:top w:val="single" w:color="auto" w:sz="4" w:space="0"/>
              <w:left w:val="single" w:color="auto" w:sz="4" w:space="0"/>
              <w:bottom w:val="single" w:color="auto" w:sz="4" w:space="0"/>
              <w:right w:val="single" w:color="auto" w:sz="4" w:space="0"/>
            </w:tcBorders>
            <w:vAlign w:val="center"/>
          </w:tcPr>
          <w:p w14:paraId="6463D7E5">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2</w:t>
            </w:r>
          </w:p>
        </w:tc>
      </w:tr>
      <w:tr w14:paraId="60FDE4B6">
        <w:tblPrEx>
          <w:tblCellMar>
            <w:top w:w="0" w:type="dxa"/>
            <w:left w:w="108" w:type="dxa"/>
            <w:bottom w:w="0" w:type="dxa"/>
            <w:right w:w="108" w:type="dxa"/>
          </w:tblCellMar>
        </w:tblPrEx>
        <w:trPr>
          <w:trHeight w:val="757" w:hRule="atLeast"/>
        </w:trPr>
        <w:tc>
          <w:tcPr>
            <w:tcW w:w="4373" w:type="pct"/>
            <w:gridSpan w:val="6"/>
            <w:tcBorders>
              <w:top w:val="single" w:color="auto" w:sz="4" w:space="0"/>
              <w:left w:val="single" w:color="auto" w:sz="4" w:space="0"/>
              <w:bottom w:val="single" w:color="auto" w:sz="4" w:space="0"/>
              <w:right w:val="single" w:color="auto" w:sz="4" w:space="0"/>
            </w:tcBorders>
            <w:vAlign w:val="center"/>
          </w:tcPr>
          <w:p w14:paraId="62D91F61">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rPr>
            </w:pPr>
            <w:r>
              <w:rPr>
                <w:rFonts w:hint="eastAsia" w:ascii="仿宋_GB2312" w:hAnsi="仿宋_GB2312" w:eastAsia="仿宋_GB2312" w:cs="仿宋_GB2312"/>
                <w:color w:val="auto"/>
                <w:sz w:val="20"/>
                <w:szCs w:val="20"/>
              </w:rPr>
              <w:t>合计</w:t>
            </w:r>
          </w:p>
        </w:tc>
        <w:tc>
          <w:tcPr>
            <w:tcW w:w="626" w:type="pct"/>
            <w:tcBorders>
              <w:top w:val="single" w:color="auto" w:sz="4" w:space="0"/>
              <w:left w:val="single" w:color="auto" w:sz="4" w:space="0"/>
              <w:bottom w:val="single" w:color="auto" w:sz="4" w:space="0"/>
              <w:right w:val="single" w:color="auto" w:sz="4" w:space="0"/>
            </w:tcBorders>
            <w:vAlign w:val="center"/>
          </w:tcPr>
          <w:p w14:paraId="35168738">
            <w:pPr>
              <w:keepNext w:val="0"/>
              <w:keepLines w:val="0"/>
              <w:suppressLineNumbers w:val="0"/>
              <w:spacing w:before="0" w:beforeAutospacing="0" w:after="0" w:afterAutospacing="0"/>
              <w:ind w:left="0" w:right="0"/>
              <w:jc w:val="center"/>
              <w:rPr>
                <w:rFonts w:hint="eastAsia" w:ascii="仿宋_GB2312" w:hAnsi="仿宋_GB2312" w:eastAsia="仿宋_GB2312" w:cs="仿宋_GB2312"/>
                <w:color w:val="auto"/>
                <w:sz w:val="20"/>
                <w:szCs w:val="20"/>
                <w:lang w:val="en-US" w:eastAsia="zh-CN"/>
              </w:rPr>
            </w:pPr>
            <w:r>
              <w:rPr>
                <w:rFonts w:hint="eastAsia" w:ascii="仿宋_GB2312" w:hAnsi="仿宋_GB2312" w:eastAsia="仿宋_GB2312" w:cs="仿宋_GB2312"/>
                <w:color w:val="auto"/>
                <w:sz w:val="20"/>
                <w:szCs w:val="20"/>
                <w:lang w:val="en-US" w:eastAsia="zh-CN"/>
              </w:rPr>
              <w:t>608</w:t>
            </w:r>
          </w:p>
        </w:tc>
      </w:tr>
      <w:bookmarkEnd w:id="14"/>
    </w:tbl>
    <w:p w14:paraId="455AA0DC">
      <w:pPr>
        <w:pStyle w:val="31"/>
        <w:ind w:firstLine="0" w:firstLineChars="0"/>
        <w:jc w:val="left"/>
        <w:rPr>
          <w:rFonts w:eastAsia="仿宋_GB2312"/>
          <w:b/>
          <w:color w:val="auto"/>
          <w:sz w:val="32"/>
          <w:szCs w:val="32"/>
        </w:rPr>
      </w:pPr>
      <w:r>
        <w:rPr>
          <w:rFonts w:hint="eastAsia" w:eastAsia="仿宋_GB2312"/>
          <w:b/>
          <w:color w:val="auto"/>
          <w:sz w:val="32"/>
          <w:szCs w:val="32"/>
        </w:rPr>
        <w:t>第四部分：</w:t>
      </w:r>
    </w:p>
    <w:p w14:paraId="7C8DB202">
      <w:pPr>
        <w:pStyle w:val="4"/>
        <w:spacing w:after="0"/>
        <w:jc w:val="center"/>
        <w:rPr>
          <w:rFonts w:ascii="方正小标宋简体" w:eastAsia="方正小标宋简体"/>
          <w:color w:val="auto"/>
          <w:sz w:val="32"/>
          <w:szCs w:val="32"/>
        </w:rPr>
      </w:pPr>
      <w:bookmarkStart w:id="15" w:name="_Hlk137801208"/>
      <w:r>
        <w:rPr>
          <w:rFonts w:hint="eastAsia" w:ascii="方正小标宋简体" w:eastAsia="方正小标宋简体"/>
          <w:color w:val="auto"/>
          <w:sz w:val="32"/>
          <w:szCs w:val="32"/>
        </w:rPr>
        <w:t>东莞市海心沙资源循环利用基地委外环境监测</w:t>
      </w:r>
    </w:p>
    <w:bookmarkEnd w:id="15"/>
    <w:p w14:paraId="075BD717">
      <w:pPr>
        <w:pStyle w:val="4"/>
        <w:spacing w:after="0"/>
        <w:jc w:val="center"/>
        <w:rPr>
          <w:rFonts w:eastAsia="方正小标宋简体"/>
          <w:color w:val="auto"/>
        </w:rPr>
      </w:pPr>
      <w:r>
        <w:rPr>
          <w:rFonts w:hint="eastAsia" w:ascii="方正小标宋简体" w:eastAsia="方正小标宋简体"/>
          <w:color w:val="auto"/>
          <w:sz w:val="32"/>
          <w:szCs w:val="32"/>
        </w:rPr>
        <w:t>需求书商务文件</w:t>
      </w:r>
    </w:p>
    <w:p w14:paraId="0425E61C">
      <w:pPr>
        <w:spacing w:line="400" w:lineRule="exact"/>
        <w:jc w:val="left"/>
        <w:rPr>
          <w:rFonts w:hint="eastAsia"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一、项目需求</w:t>
      </w:r>
    </w:p>
    <w:p w14:paraId="7CABF90B">
      <w:pPr>
        <w:spacing w:line="400" w:lineRule="exact"/>
        <w:rPr>
          <w:rFonts w:hint="eastAsia" w:ascii="仿宋_GB2312" w:hAnsi="宋体" w:eastAsia="仿宋_GB2312"/>
          <w:b/>
          <w:bCs/>
          <w:color w:val="auto"/>
          <w:sz w:val="24"/>
          <w:szCs w:val="24"/>
        </w:rPr>
      </w:pPr>
      <w:r>
        <w:rPr>
          <w:rFonts w:hint="eastAsia" w:ascii="仿宋_GB2312" w:hAnsi="宋体" w:eastAsia="仿宋_GB2312"/>
          <w:b/>
          <w:bCs/>
          <w:color w:val="auto"/>
          <w:sz w:val="24"/>
          <w:szCs w:val="24"/>
        </w:rPr>
        <w:t>（一）服务期限</w:t>
      </w:r>
    </w:p>
    <w:p w14:paraId="500C2136">
      <w:pPr>
        <w:spacing w:line="400" w:lineRule="exact"/>
        <w:ind w:firstLine="480" w:firstLineChars="200"/>
        <w:rPr>
          <w:rFonts w:hint="eastAsia" w:ascii="仿宋_GB2312" w:hAnsi="宋体" w:eastAsia="仿宋_GB2312"/>
          <w:color w:val="auto"/>
          <w:sz w:val="24"/>
          <w:szCs w:val="24"/>
        </w:rPr>
      </w:pPr>
      <w:r>
        <w:rPr>
          <w:rFonts w:hint="eastAsia" w:ascii="仿宋_GB2312" w:hAnsi="宋体" w:eastAsia="仿宋_GB2312"/>
          <w:color w:val="auto"/>
          <w:sz w:val="24"/>
          <w:szCs w:val="24"/>
          <w:lang w:val="en-US" w:eastAsia="zh-CN"/>
        </w:rPr>
        <w:t>东实环境公司餐厨项目、新东欣公司绿色工业服务项目、凤岗项目及新东元公司海心沙热电厂项目委外环境监测服务服务时间为自中标人</w:t>
      </w:r>
      <w:r>
        <w:rPr>
          <w:rFonts w:hint="eastAsia" w:ascii="仿宋_GB2312" w:hAnsi="宋体" w:eastAsia="仿宋_GB2312"/>
          <w:b/>
          <w:bCs/>
          <w:color w:val="auto"/>
          <w:sz w:val="24"/>
          <w:szCs w:val="24"/>
          <w:lang w:val="en-US" w:eastAsia="zh-CN"/>
        </w:rPr>
        <w:t>实际进场开始检测之日起</w:t>
      </w:r>
      <w:r>
        <w:rPr>
          <w:rFonts w:hint="eastAsia" w:ascii="仿宋_GB2312" w:hAnsi="宋体" w:eastAsia="仿宋_GB2312"/>
          <w:b/>
          <w:bCs/>
          <w:color w:val="auto"/>
          <w:sz w:val="24"/>
          <w:szCs w:val="24"/>
          <w:highlight w:val="none"/>
          <w:lang w:val="en-US" w:eastAsia="zh-CN"/>
        </w:rPr>
        <w:t>两年,合同1年1签 ，依据季度及年度履约评价情况作为续依据</w:t>
      </w:r>
      <w:r>
        <w:rPr>
          <w:rFonts w:hint="eastAsia" w:ascii="仿宋_GB2312" w:hAnsi="宋体" w:eastAsia="仿宋_GB2312"/>
          <w:b/>
          <w:bCs/>
          <w:color w:val="auto"/>
          <w:sz w:val="24"/>
          <w:szCs w:val="24"/>
          <w:lang w:val="en-US" w:eastAsia="zh-CN"/>
        </w:rPr>
        <w:t>。</w:t>
      </w:r>
    </w:p>
    <w:p w14:paraId="7BAC9A2A">
      <w:pPr>
        <w:spacing w:line="400" w:lineRule="exact"/>
        <w:rPr>
          <w:rFonts w:hint="eastAsia" w:ascii="仿宋_GB2312" w:hAnsi="宋体" w:eastAsia="仿宋_GB2312"/>
          <w:b/>
          <w:bCs/>
          <w:color w:val="auto"/>
          <w:sz w:val="24"/>
          <w:szCs w:val="24"/>
        </w:rPr>
      </w:pPr>
      <w:r>
        <w:rPr>
          <w:rFonts w:hint="eastAsia" w:ascii="仿宋_GB2312" w:hAnsi="宋体" w:eastAsia="仿宋_GB2312"/>
          <w:b/>
          <w:bCs/>
          <w:color w:val="auto"/>
          <w:sz w:val="24"/>
          <w:szCs w:val="24"/>
        </w:rPr>
        <w:t>（二）服务要求</w:t>
      </w:r>
    </w:p>
    <w:p w14:paraId="05CA8E6E">
      <w:pPr>
        <w:spacing w:line="400" w:lineRule="exact"/>
        <w:rPr>
          <w:rFonts w:hint="eastAsia" w:ascii="仿宋_GB2312" w:hAnsi="宋体" w:eastAsia="仿宋_GB2312" w:cs="Times New Roman"/>
          <w:color w:val="auto"/>
          <w:sz w:val="24"/>
          <w:szCs w:val="24"/>
        </w:rPr>
      </w:pPr>
      <w:r>
        <w:rPr>
          <w:rFonts w:hint="eastAsia" w:ascii="仿宋_GB2312" w:hAnsi="宋体" w:eastAsia="仿宋_GB2312"/>
          <w:color w:val="auto"/>
          <w:sz w:val="24"/>
          <w:szCs w:val="24"/>
          <w:lang w:val="en-US" w:eastAsia="zh-CN"/>
        </w:rPr>
        <w:t>*</w:t>
      </w:r>
      <w:r>
        <w:rPr>
          <w:rFonts w:hint="eastAsia" w:ascii="仿宋_GB2312" w:hAnsi="宋体" w:eastAsia="仿宋_GB2312"/>
          <w:color w:val="auto"/>
          <w:sz w:val="24"/>
          <w:szCs w:val="24"/>
        </w:rPr>
        <w:t>1.服务单位须依据招标人的要求于每月10号前完成环境监测采样，并于完成采样后的15个日历日内</w:t>
      </w:r>
      <w:r>
        <w:rPr>
          <w:rFonts w:hint="eastAsia" w:ascii="仿宋_GB2312" w:hAnsi="仿宋_GB2312" w:eastAsia="仿宋_GB2312" w:cs="仿宋_GB2312"/>
          <w:color w:val="auto"/>
          <w:sz w:val="24"/>
          <w:szCs w:val="24"/>
        </w:rPr>
        <w:t>（稳定化飞灰含水率、浸出液重金属含量监测项目需在接收到样品后7个日历日内）</w:t>
      </w:r>
      <w:r>
        <w:rPr>
          <w:rFonts w:hint="eastAsia" w:ascii="仿宋_GB2312" w:hAnsi="宋体" w:eastAsia="仿宋_GB2312"/>
          <w:color w:val="auto"/>
          <w:sz w:val="24"/>
          <w:szCs w:val="24"/>
        </w:rPr>
        <w:t>出具</w:t>
      </w:r>
      <w:r>
        <w:rPr>
          <w:rFonts w:hint="eastAsia" w:ascii="仿宋_GB2312" w:hAnsi="宋体" w:eastAsia="仿宋_GB2312" w:cs="Times New Roman"/>
          <w:color w:val="auto"/>
          <w:sz w:val="24"/>
          <w:szCs w:val="24"/>
        </w:rPr>
        <w:t>准确、无数据及文字错误错漏的</w:t>
      </w:r>
      <w:r>
        <w:rPr>
          <w:rFonts w:hint="eastAsia" w:ascii="仿宋_GB2312" w:hAnsi="宋体" w:eastAsia="仿宋_GB2312"/>
          <w:color w:val="auto"/>
          <w:sz w:val="24"/>
          <w:szCs w:val="24"/>
        </w:rPr>
        <w:t>环境监测报告。</w:t>
      </w:r>
      <w:r>
        <w:rPr>
          <w:rFonts w:hint="eastAsia" w:ascii="仿宋_GB2312" w:hAnsi="宋体" w:eastAsia="仿宋_GB2312" w:cs="Times New Roman"/>
          <w:color w:val="auto"/>
          <w:sz w:val="24"/>
          <w:szCs w:val="24"/>
        </w:rPr>
        <w:t>逾期不提交报告或提供出现数据及文字错误错漏的报告的，视为违约责任，每延误一日或错误/漏一处扣除当季应付监测费用5000元，以此类推。如因中标人原因影响采购人正常工作或造成采购人损失的，招标人有权单方面终止合同，更换服务单位，并有权要求中标人赔付采购人的损失。</w:t>
      </w:r>
    </w:p>
    <w:p w14:paraId="013E8126">
      <w:pPr>
        <w:spacing w:line="400" w:lineRule="exact"/>
        <w:rPr>
          <w:rFonts w:hint="eastAsia" w:ascii="仿宋_GB2312" w:hAnsi="宋体" w:eastAsia="仿宋_GB2312" w:cs="Times New Roman"/>
          <w:color w:val="auto"/>
          <w:sz w:val="24"/>
          <w:szCs w:val="24"/>
        </w:rPr>
      </w:pPr>
      <w:r>
        <w:rPr>
          <w:rFonts w:hint="eastAsia" w:ascii="仿宋_GB2312" w:hAnsi="宋体" w:eastAsia="仿宋_GB2312"/>
          <w:color w:val="auto"/>
          <w:sz w:val="24"/>
          <w:szCs w:val="24"/>
          <w:lang w:val="en-US" w:eastAsia="zh-CN"/>
        </w:rPr>
        <w:t>*</w:t>
      </w:r>
      <w:r>
        <w:rPr>
          <w:rFonts w:hint="eastAsia" w:ascii="仿宋_GB2312" w:hAnsi="宋体" w:eastAsia="仿宋_GB2312" w:cs="Times New Roman"/>
          <w:color w:val="auto"/>
          <w:sz w:val="24"/>
          <w:szCs w:val="24"/>
        </w:rPr>
        <w:t>2.中标人从合同签订后，必须服从并按照招标人的环境监测任计划内容开展任务，不得以任何理由拒绝执行或监测，否则视为违约责任；监测任务执行超期的，也视为违约责任，招标人有权单方面终止合同，更换服务单位，并有权要求中标人赔付采购人的一切损失。</w:t>
      </w:r>
    </w:p>
    <w:p w14:paraId="0740B82D">
      <w:pPr>
        <w:spacing w:line="400" w:lineRule="exact"/>
        <w:rPr>
          <w:rFonts w:hint="eastAsia" w:ascii="仿宋_GB2312" w:hAnsi="宋体" w:eastAsia="仿宋_GB2312" w:cs="Times New Roman"/>
          <w:color w:val="auto"/>
          <w:sz w:val="24"/>
          <w:szCs w:val="24"/>
        </w:rPr>
      </w:pPr>
      <w:r>
        <w:rPr>
          <w:rFonts w:hint="eastAsia" w:ascii="仿宋_GB2312" w:hAnsi="宋体" w:eastAsia="仿宋_GB2312" w:cs="Times New Roman"/>
          <w:color w:val="auto"/>
          <w:sz w:val="24"/>
          <w:szCs w:val="24"/>
        </w:rPr>
        <w:t>3.中标人应公平、公正出具检测结果，招标人对检测结果有疑议的，由中标人协助进行全过程质量排查，并提供复测行动查找原因。</w:t>
      </w:r>
    </w:p>
    <w:p w14:paraId="1B2922A4">
      <w:pPr>
        <w:tabs>
          <w:tab w:val="left" w:pos="4410"/>
        </w:tabs>
        <w:spacing w:line="400" w:lineRule="exact"/>
        <w:rPr>
          <w:rFonts w:hint="eastAsia" w:ascii="仿宋_GB2312" w:hAnsi="宋体" w:eastAsia="仿宋_GB2312"/>
          <w:color w:val="auto"/>
          <w:sz w:val="24"/>
          <w:szCs w:val="24"/>
        </w:rPr>
      </w:pPr>
      <w:r>
        <w:rPr>
          <w:rFonts w:hint="eastAsia" w:ascii="仿宋_GB2312" w:hAnsi="宋体" w:eastAsia="仿宋_GB2312"/>
          <w:color w:val="auto"/>
          <w:sz w:val="24"/>
          <w:szCs w:val="24"/>
        </w:rPr>
        <w:t>4.中标人应依据检测项目执行标准及技术规范要求，落实样品采集、分析及结果评价工作，确保所有的检测项目均依据控制标准/限值进行有效评价，出具的报告真实有效，可追溯。</w:t>
      </w:r>
    </w:p>
    <w:p w14:paraId="380B3E90">
      <w:pPr>
        <w:spacing w:line="400" w:lineRule="exact"/>
        <w:jc w:val="left"/>
        <w:rPr>
          <w:rFonts w:hint="eastAsia"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lang w:val="en-US" w:eastAsia="zh-CN"/>
        </w:rPr>
        <w:t>二</w:t>
      </w:r>
      <w:r>
        <w:rPr>
          <w:rFonts w:hint="eastAsia" w:ascii="仿宋_GB2312" w:hAnsi="仿宋_GB2312" w:eastAsia="仿宋_GB2312" w:cs="仿宋_GB2312"/>
          <w:b/>
          <w:bCs/>
          <w:color w:val="auto"/>
          <w:sz w:val="24"/>
          <w:szCs w:val="24"/>
        </w:rPr>
        <w:t>、中标人其他服务项</w:t>
      </w:r>
    </w:p>
    <w:p w14:paraId="4440E4CC">
      <w:pPr>
        <w:spacing w:line="400" w:lineRule="exact"/>
        <w:jc w:val="lef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1.中标方就监测相关内容，接受招标人的咨询。</w:t>
      </w:r>
    </w:p>
    <w:p w14:paraId="51570448">
      <w:pPr>
        <w:spacing w:line="400" w:lineRule="exact"/>
        <w:jc w:val="lef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2.中标方应积极组织技术力量及时、紧密开展环境监测工作，确保符合招标方约定的期限内提交监测报告。</w:t>
      </w:r>
    </w:p>
    <w:p w14:paraId="205B945A">
      <w:pPr>
        <w:spacing w:line="400" w:lineRule="exact"/>
        <w:jc w:val="lef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3.监测报告提交书面文本（一式四份加盖具有CMA质量认证资质章）和电子文本。</w:t>
      </w:r>
    </w:p>
    <w:p w14:paraId="3FC1FC0E">
      <w:pPr>
        <w:spacing w:line="400" w:lineRule="exac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4.按时到中标人指定的现场进行采样、监测、结果分析、编写监测报告，并于约定期限内将监测报告（包括纸质版和电子版）送达采购人。</w:t>
      </w:r>
    </w:p>
    <w:p w14:paraId="654C0A49">
      <w:pPr>
        <w:spacing w:line="400" w:lineRule="exac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5.监测分析方法、依据应为国家规定的现行有效方法。</w:t>
      </w:r>
    </w:p>
    <w:p w14:paraId="350D823D">
      <w:pPr>
        <w:spacing w:line="400" w:lineRule="exac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6.监测单位根据监测方案所确定的采样点位、采样频次、时间，按照符合国家规定的方法进行采样。样品运输过程中要采取保障措施，保证样品性质稳定、避免玷污、损失和丢失。样品接收、核查和发放各环节应受控，样品交接记录、采样标签及其包装应完整。发现样品异常或处于损坏状态应如实记录，并尽快采取补改措施，必要时重新采样。样品保存应分区存放，并有明显标志，保存条件符合相关标准、规范。</w:t>
      </w:r>
    </w:p>
    <w:p w14:paraId="3DFAAD5B">
      <w:pPr>
        <w:spacing w:line="400" w:lineRule="exac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7.监测所用计量仪器均应经过计量部门检定合格并在有效期内使用。</w:t>
      </w:r>
    </w:p>
    <w:p w14:paraId="78529845">
      <w:pPr>
        <w:spacing w:line="400" w:lineRule="exac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8.标准物质、试剂、耗材的购买和使用情况建立台账予以记录。</w:t>
      </w:r>
    </w:p>
    <w:p w14:paraId="5C81C097">
      <w:pPr>
        <w:spacing w:line="400" w:lineRule="exac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9.配备满足工作要求的技术人员，规范监测人员录用、培训教育和能力确认/考核等活动，建立人员档案，并对监测人员实施监督和管理，规避人为因素对监测数据正确性和可靠性产生影响。</w:t>
      </w:r>
    </w:p>
    <w:p w14:paraId="72372534">
      <w:pPr>
        <w:spacing w:line="400" w:lineRule="exac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10.需保证监测服务全过程及监测报告符合国家及地方有关标准与规范，满足中标人相关行政主管部门的技术审查要求。</w:t>
      </w:r>
    </w:p>
    <w:p w14:paraId="6B88C771">
      <w:pPr>
        <w:pStyle w:val="4"/>
        <w:spacing w:after="0" w:line="400" w:lineRule="exact"/>
        <w:rPr>
          <w:color w:val="auto"/>
          <w:sz w:val="24"/>
          <w:szCs w:val="24"/>
        </w:rPr>
      </w:pPr>
      <w:r>
        <w:rPr>
          <w:rFonts w:hint="eastAsia" w:ascii="仿宋_GB2312" w:hAnsi="仿宋_GB2312" w:eastAsia="仿宋_GB2312" w:cs="仿宋_GB2312"/>
          <w:color w:val="auto"/>
          <w:sz w:val="24"/>
          <w:szCs w:val="24"/>
        </w:rPr>
        <w:t>11.遵守中标人的厂规厂纪以及各项规章制度，符合中标人安全文明管理的有关规定。</w:t>
      </w:r>
    </w:p>
    <w:p w14:paraId="0DA65B0C">
      <w:pPr>
        <w:spacing w:line="400" w:lineRule="exact"/>
        <w:rPr>
          <w:rFonts w:hint="eastAsia"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lang w:val="en-US" w:eastAsia="zh-CN"/>
        </w:rPr>
        <w:t>三</w:t>
      </w:r>
      <w:r>
        <w:rPr>
          <w:rFonts w:hint="eastAsia" w:ascii="仿宋_GB2312" w:hAnsi="仿宋_GB2312" w:eastAsia="仿宋_GB2312" w:cs="仿宋_GB2312"/>
          <w:b/>
          <w:bCs/>
          <w:color w:val="auto"/>
          <w:sz w:val="24"/>
          <w:szCs w:val="24"/>
        </w:rPr>
        <w:t>、现场管理</w:t>
      </w:r>
    </w:p>
    <w:p w14:paraId="79DE4EB3">
      <w:pPr>
        <w:spacing w:line="400" w:lineRule="exac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1、现场安全管理</w:t>
      </w:r>
    </w:p>
    <w:p w14:paraId="2958D4DB">
      <w:pPr>
        <w:tabs>
          <w:tab w:val="left" w:pos="495"/>
        </w:tabs>
        <w:adjustRightInd w:val="0"/>
        <w:snapToGrid w:val="0"/>
        <w:spacing w:line="400" w:lineRule="exact"/>
        <w:jc w:val="left"/>
        <w:rPr>
          <w:rFonts w:hint="eastAsia" w:ascii="仿宋_GB2312" w:hAnsi="仿宋_GB2312" w:eastAsia="仿宋_GB2312" w:cs="仿宋_GB2312"/>
          <w:bCs/>
          <w:color w:val="auto"/>
          <w:sz w:val="24"/>
          <w:szCs w:val="24"/>
        </w:rPr>
      </w:pPr>
      <w:r>
        <w:rPr>
          <w:rFonts w:hint="eastAsia" w:ascii="仿宋_GB2312" w:hAnsi="仿宋_GB2312" w:eastAsia="仿宋_GB2312" w:cs="仿宋_GB2312"/>
          <w:color w:val="auto"/>
          <w:sz w:val="24"/>
          <w:szCs w:val="24"/>
        </w:rPr>
        <w:t>（1）</w:t>
      </w:r>
      <w:r>
        <w:rPr>
          <w:rFonts w:hint="eastAsia" w:ascii="仿宋_GB2312" w:hAnsi="仿宋_GB2312" w:eastAsia="仿宋_GB2312" w:cs="仿宋_GB2312"/>
          <w:bCs/>
          <w:color w:val="auto"/>
          <w:sz w:val="24"/>
          <w:szCs w:val="24"/>
        </w:rPr>
        <w:t>坚决贯彻执行党和国家及设备维修工程所在地各级人民政府关于安全生产的一系列方针、政策、法规、条例和规定，必须采取一切必要措施和手段强化维修安全管理，提高安全维修水平，确定严格的安全维修秩序以保证现场人员和设备在维修工作中的安全与健康。</w:t>
      </w:r>
    </w:p>
    <w:p w14:paraId="78330A83">
      <w:pPr>
        <w:tabs>
          <w:tab w:val="left" w:pos="495"/>
        </w:tabs>
        <w:adjustRightInd w:val="0"/>
        <w:snapToGrid w:val="0"/>
        <w:spacing w:line="400" w:lineRule="exact"/>
        <w:jc w:val="lef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（2）成交人贯彻执行“安全第一、预防为主”的方针，严格执行国家法律法规及行业标准等有关规定。</w:t>
      </w:r>
    </w:p>
    <w:p w14:paraId="0EA41582">
      <w:pPr>
        <w:tabs>
          <w:tab w:val="left" w:pos="495"/>
        </w:tabs>
        <w:adjustRightInd w:val="0"/>
        <w:snapToGrid w:val="0"/>
        <w:spacing w:line="400" w:lineRule="exact"/>
        <w:jc w:val="lef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（3）成交人人员保证熟悉各项目工作票执行中的相关事项并依据国家法律法规及行业标准和采购人有关工作票的相关规定执行。</w:t>
      </w:r>
    </w:p>
    <w:p w14:paraId="146B1F07">
      <w:pPr>
        <w:tabs>
          <w:tab w:val="left" w:pos="495"/>
        </w:tabs>
        <w:adjustRightInd w:val="0"/>
        <w:snapToGrid w:val="0"/>
        <w:spacing w:line="400" w:lineRule="exact"/>
        <w:jc w:val="lef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（4）成交人在本合同开始履行前，组织维修人员认真听取采购人的安全生产技术部管理人员的安全技术交底和安全等方面的培训，制定出维修工作安全技术措施和防火防盗措施，经采购人审核批准后开工。</w:t>
      </w:r>
    </w:p>
    <w:p w14:paraId="220BC996">
      <w:pPr>
        <w:tabs>
          <w:tab w:val="left" w:pos="495"/>
        </w:tabs>
        <w:adjustRightInd w:val="0"/>
        <w:snapToGrid w:val="0"/>
        <w:spacing w:line="400" w:lineRule="exact"/>
        <w:jc w:val="lef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（5）成交人人员在现场维修工作过程中，接受采购人安全各项考核制度和管理人员的安全监督。</w:t>
      </w:r>
    </w:p>
    <w:p w14:paraId="029E9C48">
      <w:pPr>
        <w:tabs>
          <w:tab w:val="left" w:pos="495"/>
        </w:tabs>
        <w:adjustRightInd w:val="0"/>
        <w:snapToGrid w:val="0"/>
        <w:spacing w:line="400" w:lineRule="exact"/>
        <w:jc w:val="lef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6）成交人自行负责合同范围内的人员和设备的安全；成交人必须对项目驻场人员做好职业病监护工作，并为在现场服务的全部人员购买人身意外伤亡保险（保额100万元以上/人），并将保险合同复印件交采购人备案；成交人未为员工购买保险的，采购人有权随时单方中止合同并不支付当季度劳务费，且不对成交人进行任何赔偿。</w:t>
      </w:r>
    </w:p>
    <w:p w14:paraId="74E51BEB">
      <w:pPr>
        <w:spacing w:line="400" w:lineRule="exac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2、现场文明生产</w:t>
      </w:r>
    </w:p>
    <w:p w14:paraId="7E298DF3">
      <w:pPr>
        <w:spacing w:line="400" w:lineRule="exac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（1）成交人在现场遵守采购人有关文明生产的文件、规定、考核办法。</w:t>
      </w:r>
    </w:p>
    <w:p w14:paraId="6D7ED61B">
      <w:pPr>
        <w:spacing w:line="400" w:lineRule="exac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（2）成交人采取一切合理措施，保护现场及周围的环境，避免污染、噪音或由于其采样方法的不当造成的对公共人员和财产等的危害或干扰。</w:t>
      </w:r>
    </w:p>
    <w:p w14:paraId="5989D857">
      <w:pPr>
        <w:spacing w:line="400" w:lineRule="exac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（3）成交人随时保持所负责采样区域的整洁与卫生，保证每个采样作业点都做到“工完、料净、场地清”。</w:t>
      </w:r>
    </w:p>
    <w:p w14:paraId="03FE5122">
      <w:pPr>
        <w:spacing w:line="400" w:lineRule="exact"/>
        <w:jc w:val="lef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（4）成交人在现场采样时，采取一切合理的预防措施，以防止零件遗失或异物落入测量设备中。</w:t>
      </w:r>
    </w:p>
    <w:p w14:paraId="6321087F">
      <w:pPr>
        <w:pStyle w:val="2"/>
        <w:ind w:firstLine="0"/>
        <w:rPr>
          <w:rFonts w:eastAsia="仿宋_GB2312"/>
          <w:color w:val="auto"/>
        </w:rPr>
      </w:pPr>
      <w:r>
        <w:rPr>
          <w:rFonts w:hint="eastAsia" w:ascii="仿宋_GB2312" w:hAnsi="仿宋_GB2312" w:eastAsia="仿宋_GB2312" w:cs="仿宋_GB2312"/>
          <w:color w:val="auto"/>
          <w:sz w:val="24"/>
          <w:szCs w:val="24"/>
        </w:rPr>
        <w:t>（5）成交人违反发标方现场管理规定的，发标方有权对成交人的违规行为进行考核。</w:t>
      </w:r>
    </w:p>
    <w:p w14:paraId="2E18C199">
      <w:pPr>
        <w:spacing w:line="400" w:lineRule="exact"/>
        <w:jc w:val="left"/>
        <w:rPr>
          <w:rFonts w:hint="eastAsia"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lang w:val="en-US" w:eastAsia="zh-CN"/>
        </w:rPr>
        <w:t>四</w:t>
      </w:r>
      <w:bookmarkStart w:id="16" w:name="_GoBack"/>
      <w:bookmarkEnd w:id="16"/>
      <w:r>
        <w:rPr>
          <w:rFonts w:hint="eastAsia" w:ascii="仿宋_GB2312" w:hAnsi="仿宋_GB2312" w:eastAsia="仿宋_GB2312" w:cs="仿宋_GB2312"/>
          <w:b/>
          <w:bCs/>
          <w:color w:val="auto"/>
          <w:sz w:val="24"/>
          <w:szCs w:val="24"/>
        </w:rPr>
        <w:t>、费用及支付说明</w:t>
      </w:r>
    </w:p>
    <w:p w14:paraId="0C6A6742">
      <w:pPr>
        <w:spacing w:line="400" w:lineRule="exact"/>
        <w:jc w:val="lef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（一）费用要求</w:t>
      </w:r>
    </w:p>
    <w:p w14:paraId="56DBBC74">
      <w:pPr>
        <w:spacing w:line="400" w:lineRule="exact"/>
        <w:ind w:firstLine="480" w:firstLineChars="200"/>
        <w:jc w:val="lef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投标方报价费用需含环境监测的整个过程的差旅、餐饮、调查、采样、分析及报告出具的费用，发标方不承担其他额外费用。</w:t>
      </w:r>
    </w:p>
    <w:p w14:paraId="0D5E4E96">
      <w:pPr>
        <w:spacing w:line="400" w:lineRule="exact"/>
        <w:jc w:val="lef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（二）合同签署</w:t>
      </w:r>
    </w:p>
    <w:p w14:paraId="48953352">
      <w:pPr>
        <w:pStyle w:val="4"/>
        <w:spacing w:after="0" w:line="400" w:lineRule="exact"/>
        <w:ind w:firstLine="480" w:firstLineChars="20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本采购需求按项目分开为三个合同进行签署。</w:t>
      </w:r>
    </w:p>
    <w:p w14:paraId="5B960FCB">
      <w:pPr>
        <w:spacing w:line="400" w:lineRule="exact"/>
        <w:jc w:val="lef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（三）支付方式</w:t>
      </w:r>
    </w:p>
    <w:p w14:paraId="2B870422">
      <w:pPr>
        <w:pStyle w:val="10"/>
        <w:shd w:val="clear" w:color="auto" w:fill="FFFFFF"/>
        <w:spacing w:before="0" w:beforeAutospacing="0" w:after="0" w:afterAutospacing="0" w:line="450" w:lineRule="atLeast"/>
        <w:rPr>
          <w:rFonts w:hint="eastAsia" w:ascii="仿宋_GB2312" w:hAnsi="仿宋_GB2312" w:eastAsia="仿宋_GB2312" w:cs="仿宋_GB2312"/>
          <w:color w:val="auto"/>
          <w:kern w:val="2"/>
        </w:rPr>
      </w:pPr>
      <w:r>
        <w:rPr>
          <w:rFonts w:hint="eastAsia" w:ascii="仿宋_GB2312" w:hAnsi="仿宋_GB2312" w:eastAsia="仿宋_GB2312" w:cs="仿宋_GB2312"/>
          <w:color w:val="auto"/>
          <w:kern w:val="2"/>
        </w:rPr>
        <w:t>1.完成季度的采样监测计划并取得报告（含文本+电子）后，按实测支付。</w:t>
      </w:r>
    </w:p>
    <w:p w14:paraId="1C336307">
      <w:pPr>
        <w:pStyle w:val="10"/>
        <w:shd w:val="clear" w:color="auto" w:fill="FFFFFF"/>
        <w:spacing w:before="0" w:beforeAutospacing="0" w:after="0" w:afterAutospacing="0" w:line="450" w:lineRule="atLeast"/>
        <w:rPr>
          <w:rFonts w:hint="eastAsia" w:ascii="仿宋_GB2312" w:hAnsi="仿宋_GB2312" w:eastAsia="仿宋_GB2312" w:cs="仿宋_GB2312"/>
          <w:color w:val="auto"/>
          <w:kern w:val="2"/>
        </w:rPr>
      </w:pPr>
      <w:r>
        <w:rPr>
          <w:rFonts w:hint="eastAsia" w:ascii="仿宋_GB2312" w:hAnsi="仿宋_GB2312" w:eastAsia="仿宋_GB2312" w:cs="仿宋_GB2312"/>
          <w:color w:val="auto"/>
          <w:kern w:val="2"/>
        </w:rPr>
        <w:t>2.每次支付费用之前，中标人应提供等额增值税专用发票；招标人在收到发票后，30个工作日内完成款项支付。中标人未按约定时间提交有效请款资料及增值税专用发票的，招标人有权延期付款。</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hkYWYyYTNjNGM2NmNjZDUzMTcxM2IyMzJjZTg1NTUifQ=="/>
    <w:docVar w:name="KSO_WPS_MARK_KEY" w:val="d14a0af2-8c80-4e5c-97ca-5eef8ba0ec0f"/>
  </w:docVars>
  <w:rsids>
    <w:rsidRoot w:val="00172A27"/>
    <w:rsid w:val="00000231"/>
    <w:rsid w:val="00011D86"/>
    <w:rsid w:val="00020693"/>
    <w:rsid w:val="00037717"/>
    <w:rsid w:val="00037867"/>
    <w:rsid w:val="00037903"/>
    <w:rsid w:val="00040754"/>
    <w:rsid w:val="000416C0"/>
    <w:rsid w:val="00042404"/>
    <w:rsid w:val="0004543C"/>
    <w:rsid w:val="00046776"/>
    <w:rsid w:val="00056AC4"/>
    <w:rsid w:val="00061ED5"/>
    <w:rsid w:val="00064A54"/>
    <w:rsid w:val="00066A54"/>
    <w:rsid w:val="00075E82"/>
    <w:rsid w:val="000768AB"/>
    <w:rsid w:val="000978E3"/>
    <w:rsid w:val="000A29CE"/>
    <w:rsid w:val="000A495D"/>
    <w:rsid w:val="000A65D6"/>
    <w:rsid w:val="000C65A8"/>
    <w:rsid w:val="000C6AE6"/>
    <w:rsid w:val="000D60EB"/>
    <w:rsid w:val="00102311"/>
    <w:rsid w:val="00120750"/>
    <w:rsid w:val="0012521B"/>
    <w:rsid w:val="00136729"/>
    <w:rsid w:val="001414E5"/>
    <w:rsid w:val="001565B4"/>
    <w:rsid w:val="00162187"/>
    <w:rsid w:val="00172A27"/>
    <w:rsid w:val="0017607D"/>
    <w:rsid w:val="00180F78"/>
    <w:rsid w:val="001900A2"/>
    <w:rsid w:val="00195A2F"/>
    <w:rsid w:val="001B142D"/>
    <w:rsid w:val="001B31BE"/>
    <w:rsid w:val="001B7971"/>
    <w:rsid w:val="001C0EF8"/>
    <w:rsid w:val="001C1957"/>
    <w:rsid w:val="001C7B47"/>
    <w:rsid w:val="001D0903"/>
    <w:rsid w:val="001E1C23"/>
    <w:rsid w:val="00205F04"/>
    <w:rsid w:val="00207EB0"/>
    <w:rsid w:val="00210D58"/>
    <w:rsid w:val="002171A2"/>
    <w:rsid w:val="00230F0B"/>
    <w:rsid w:val="002366DA"/>
    <w:rsid w:val="00240ABC"/>
    <w:rsid w:val="00242A0D"/>
    <w:rsid w:val="00254E24"/>
    <w:rsid w:val="00257A81"/>
    <w:rsid w:val="002631A9"/>
    <w:rsid w:val="00277126"/>
    <w:rsid w:val="002807D7"/>
    <w:rsid w:val="00287CB8"/>
    <w:rsid w:val="00287EDC"/>
    <w:rsid w:val="00295A81"/>
    <w:rsid w:val="002A65BB"/>
    <w:rsid w:val="002C21C4"/>
    <w:rsid w:val="002C5570"/>
    <w:rsid w:val="002D376C"/>
    <w:rsid w:val="002D48A7"/>
    <w:rsid w:val="002D672B"/>
    <w:rsid w:val="002E0042"/>
    <w:rsid w:val="002E70D2"/>
    <w:rsid w:val="002F2A20"/>
    <w:rsid w:val="002F59D2"/>
    <w:rsid w:val="002F7D13"/>
    <w:rsid w:val="00311ABA"/>
    <w:rsid w:val="00333AE4"/>
    <w:rsid w:val="00334DC0"/>
    <w:rsid w:val="0033531E"/>
    <w:rsid w:val="0033608A"/>
    <w:rsid w:val="003501A7"/>
    <w:rsid w:val="003536DD"/>
    <w:rsid w:val="00366A07"/>
    <w:rsid w:val="00370988"/>
    <w:rsid w:val="00373E49"/>
    <w:rsid w:val="003A333C"/>
    <w:rsid w:val="003B0639"/>
    <w:rsid w:val="003B5C65"/>
    <w:rsid w:val="003D6866"/>
    <w:rsid w:val="003E4932"/>
    <w:rsid w:val="003F6A17"/>
    <w:rsid w:val="003F7AC6"/>
    <w:rsid w:val="0040448B"/>
    <w:rsid w:val="004140A8"/>
    <w:rsid w:val="00420110"/>
    <w:rsid w:val="0042052C"/>
    <w:rsid w:val="00421205"/>
    <w:rsid w:val="004276EB"/>
    <w:rsid w:val="0043468B"/>
    <w:rsid w:val="00446306"/>
    <w:rsid w:val="00447CFF"/>
    <w:rsid w:val="00455FE5"/>
    <w:rsid w:val="00460E58"/>
    <w:rsid w:val="00471623"/>
    <w:rsid w:val="004745FE"/>
    <w:rsid w:val="0047716F"/>
    <w:rsid w:val="00486828"/>
    <w:rsid w:val="00495793"/>
    <w:rsid w:val="00497130"/>
    <w:rsid w:val="004C05AA"/>
    <w:rsid w:val="004D32BE"/>
    <w:rsid w:val="004E7162"/>
    <w:rsid w:val="0050669C"/>
    <w:rsid w:val="00510478"/>
    <w:rsid w:val="005130CD"/>
    <w:rsid w:val="00525A9C"/>
    <w:rsid w:val="00526592"/>
    <w:rsid w:val="00526F14"/>
    <w:rsid w:val="0052716F"/>
    <w:rsid w:val="00531FF0"/>
    <w:rsid w:val="00535980"/>
    <w:rsid w:val="00536A8A"/>
    <w:rsid w:val="00554AEB"/>
    <w:rsid w:val="00563604"/>
    <w:rsid w:val="00570D15"/>
    <w:rsid w:val="00572D57"/>
    <w:rsid w:val="005754FA"/>
    <w:rsid w:val="00580BD6"/>
    <w:rsid w:val="00583DB7"/>
    <w:rsid w:val="00591690"/>
    <w:rsid w:val="005C197A"/>
    <w:rsid w:val="005C21FE"/>
    <w:rsid w:val="005D0706"/>
    <w:rsid w:val="005D1A81"/>
    <w:rsid w:val="005D37A5"/>
    <w:rsid w:val="005D500E"/>
    <w:rsid w:val="005E1F04"/>
    <w:rsid w:val="005E308C"/>
    <w:rsid w:val="0060543C"/>
    <w:rsid w:val="006068C5"/>
    <w:rsid w:val="0061126B"/>
    <w:rsid w:val="00644E2E"/>
    <w:rsid w:val="00652832"/>
    <w:rsid w:val="00654674"/>
    <w:rsid w:val="006553DD"/>
    <w:rsid w:val="00655C77"/>
    <w:rsid w:val="0066274F"/>
    <w:rsid w:val="00683260"/>
    <w:rsid w:val="006832C1"/>
    <w:rsid w:val="006847B1"/>
    <w:rsid w:val="00697956"/>
    <w:rsid w:val="006B344A"/>
    <w:rsid w:val="006B7F07"/>
    <w:rsid w:val="006D4455"/>
    <w:rsid w:val="006E3064"/>
    <w:rsid w:val="006F16F9"/>
    <w:rsid w:val="006F2BF3"/>
    <w:rsid w:val="006F6C44"/>
    <w:rsid w:val="007020C0"/>
    <w:rsid w:val="00705644"/>
    <w:rsid w:val="007074C7"/>
    <w:rsid w:val="00712704"/>
    <w:rsid w:val="00714056"/>
    <w:rsid w:val="00717C65"/>
    <w:rsid w:val="007273E6"/>
    <w:rsid w:val="007310B0"/>
    <w:rsid w:val="0073619E"/>
    <w:rsid w:val="00741499"/>
    <w:rsid w:val="007439B3"/>
    <w:rsid w:val="007633FF"/>
    <w:rsid w:val="0077577B"/>
    <w:rsid w:val="00781B02"/>
    <w:rsid w:val="007874E4"/>
    <w:rsid w:val="0079067F"/>
    <w:rsid w:val="00792BF6"/>
    <w:rsid w:val="007A103B"/>
    <w:rsid w:val="007A5C0E"/>
    <w:rsid w:val="007B28A9"/>
    <w:rsid w:val="007B547A"/>
    <w:rsid w:val="007D22EC"/>
    <w:rsid w:val="007D4051"/>
    <w:rsid w:val="007D5661"/>
    <w:rsid w:val="007E34F6"/>
    <w:rsid w:val="007E5AEC"/>
    <w:rsid w:val="007E7E5D"/>
    <w:rsid w:val="0080182A"/>
    <w:rsid w:val="008037EA"/>
    <w:rsid w:val="00804D62"/>
    <w:rsid w:val="008147E3"/>
    <w:rsid w:val="00815E1C"/>
    <w:rsid w:val="00817452"/>
    <w:rsid w:val="008302AD"/>
    <w:rsid w:val="00837813"/>
    <w:rsid w:val="0084079C"/>
    <w:rsid w:val="00843C24"/>
    <w:rsid w:val="00843FAD"/>
    <w:rsid w:val="00854AB9"/>
    <w:rsid w:val="008602F0"/>
    <w:rsid w:val="008608D7"/>
    <w:rsid w:val="00873804"/>
    <w:rsid w:val="00880FEA"/>
    <w:rsid w:val="00887C2B"/>
    <w:rsid w:val="00896D58"/>
    <w:rsid w:val="008A036F"/>
    <w:rsid w:val="008A0867"/>
    <w:rsid w:val="008A3FA7"/>
    <w:rsid w:val="008A5AB8"/>
    <w:rsid w:val="008B5EE5"/>
    <w:rsid w:val="008B76BC"/>
    <w:rsid w:val="008C78EF"/>
    <w:rsid w:val="008D270E"/>
    <w:rsid w:val="008D3CA5"/>
    <w:rsid w:val="008E46DC"/>
    <w:rsid w:val="008E4D1D"/>
    <w:rsid w:val="008E5454"/>
    <w:rsid w:val="008E58E0"/>
    <w:rsid w:val="008E6915"/>
    <w:rsid w:val="008E7099"/>
    <w:rsid w:val="008F17D0"/>
    <w:rsid w:val="008F4F72"/>
    <w:rsid w:val="009014D3"/>
    <w:rsid w:val="00903538"/>
    <w:rsid w:val="0090575D"/>
    <w:rsid w:val="0093259D"/>
    <w:rsid w:val="00934351"/>
    <w:rsid w:val="00943403"/>
    <w:rsid w:val="00960716"/>
    <w:rsid w:val="00961107"/>
    <w:rsid w:val="00963D2A"/>
    <w:rsid w:val="0096408C"/>
    <w:rsid w:val="009720E9"/>
    <w:rsid w:val="00972F82"/>
    <w:rsid w:val="009731DF"/>
    <w:rsid w:val="009901E0"/>
    <w:rsid w:val="009A6D4A"/>
    <w:rsid w:val="009A76F2"/>
    <w:rsid w:val="009B0FD6"/>
    <w:rsid w:val="009B70E5"/>
    <w:rsid w:val="009C572E"/>
    <w:rsid w:val="009C5DF1"/>
    <w:rsid w:val="009D2BFF"/>
    <w:rsid w:val="009D2F8F"/>
    <w:rsid w:val="009D49E7"/>
    <w:rsid w:val="009E175E"/>
    <w:rsid w:val="009E25A2"/>
    <w:rsid w:val="009E767B"/>
    <w:rsid w:val="009F1E03"/>
    <w:rsid w:val="009F292C"/>
    <w:rsid w:val="009F47AD"/>
    <w:rsid w:val="009F4DEE"/>
    <w:rsid w:val="00A021AF"/>
    <w:rsid w:val="00A062C0"/>
    <w:rsid w:val="00A1305A"/>
    <w:rsid w:val="00A13F90"/>
    <w:rsid w:val="00A1435D"/>
    <w:rsid w:val="00A30FAA"/>
    <w:rsid w:val="00A32E51"/>
    <w:rsid w:val="00A34589"/>
    <w:rsid w:val="00A351CC"/>
    <w:rsid w:val="00A362D6"/>
    <w:rsid w:val="00A36819"/>
    <w:rsid w:val="00A36F4B"/>
    <w:rsid w:val="00A41955"/>
    <w:rsid w:val="00A52C96"/>
    <w:rsid w:val="00A62CE8"/>
    <w:rsid w:val="00A652D9"/>
    <w:rsid w:val="00A70BA6"/>
    <w:rsid w:val="00A71AE8"/>
    <w:rsid w:val="00A7252B"/>
    <w:rsid w:val="00A741AC"/>
    <w:rsid w:val="00A86703"/>
    <w:rsid w:val="00A9345F"/>
    <w:rsid w:val="00AA706F"/>
    <w:rsid w:val="00AC22D7"/>
    <w:rsid w:val="00AC2D97"/>
    <w:rsid w:val="00AC770A"/>
    <w:rsid w:val="00AD2DAA"/>
    <w:rsid w:val="00AE409B"/>
    <w:rsid w:val="00AF1CF3"/>
    <w:rsid w:val="00AF6571"/>
    <w:rsid w:val="00B03D68"/>
    <w:rsid w:val="00B109B1"/>
    <w:rsid w:val="00B113DB"/>
    <w:rsid w:val="00B1351A"/>
    <w:rsid w:val="00B151A8"/>
    <w:rsid w:val="00B166B0"/>
    <w:rsid w:val="00B20F02"/>
    <w:rsid w:val="00B2364D"/>
    <w:rsid w:val="00B25747"/>
    <w:rsid w:val="00B32F0E"/>
    <w:rsid w:val="00B3601F"/>
    <w:rsid w:val="00B471FD"/>
    <w:rsid w:val="00B53D7C"/>
    <w:rsid w:val="00B5628F"/>
    <w:rsid w:val="00B576B1"/>
    <w:rsid w:val="00B5788C"/>
    <w:rsid w:val="00B63594"/>
    <w:rsid w:val="00B7446C"/>
    <w:rsid w:val="00B759E1"/>
    <w:rsid w:val="00B93294"/>
    <w:rsid w:val="00B979A1"/>
    <w:rsid w:val="00BA5AD1"/>
    <w:rsid w:val="00BA6464"/>
    <w:rsid w:val="00BA6FFF"/>
    <w:rsid w:val="00BD454B"/>
    <w:rsid w:val="00BE3F73"/>
    <w:rsid w:val="00BF057E"/>
    <w:rsid w:val="00C02F63"/>
    <w:rsid w:val="00C10FF3"/>
    <w:rsid w:val="00C11268"/>
    <w:rsid w:val="00C120DF"/>
    <w:rsid w:val="00C223B1"/>
    <w:rsid w:val="00C26999"/>
    <w:rsid w:val="00C33B4A"/>
    <w:rsid w:val="00C36FA2"/>
    <w:rsid w:val="00C42D2C"/>
    <w:rsid w:val="00C42DE9"/>
    <w:rsid w:val="00C473A2"/>
    <w:rsid w:val="00C628CE"/>
    <w:rsid w:val="00C71C50"/>
    <w:rsid w:val="00C71FA5"/>
    <w:rsid w:val="00C86273"/>
    <w:rsid w:val="00C927E4"/>
    <w:rsid w:val="00C92D42"/>
    <w:rsid w:val="00C96529"/>
    <w:rsid w:val="00C967E7"/>
    <w:rsid w:val="00CB0A58"/>
    <w:rsid w:val="00CC6A78"/>
    <w:rsid w:val="00CD0F48"/>
    <w:rsid w:val="00CE0BF9"/>
    <w:rsid w:val="00CF5082"/>
    <w:rsid w:val="00CF7CB8"/>
    <w:rsid w:val="00D01DF6"/>
    <w:rsid w:val="00D04F16"/>
    <w:rsid w:val="00D116D8"/>
    <w:rsid w:val="00D1414D"/>
    <w:rsid w:val="00D17456"/>
    <w:rsid w:val="00D206D9"/>
    <w:rsid w:val="00D36309"/>
    <w:rsid w:val="00D40358"/>
    <w:rsid w:val="00D414A4"/>
    <w:rsid w:val="00D44A1A"/>
    <w:rsid w:val="00D6009C"/>
    <w:rsid w:val="00D80716"/>
    <w:rsid w:val="00D86C9F"/>
    <w:rsid w:val="00D975B3"/>
    <w:rsid w:val="00DB61B6"/>
    <w:rsid w:val="00DC30DE"/>
    <w:rsid w:val="00DC4299"/>
    <w:rsid w:val="00DC582D"/>
    <w:rsid w:val="00DC65EC"/>
    <w:rsid w:val="00DC6F85"/>
    <w:rsid w:val="00DD4C46"/>
    <w:rsid w:val="00DE3A20"/>
    <w:rsid w:val="00DE78E5"/>
    <w:rsid w:val="00DF08C5"/>
    <w:rsid w:val="00DF6F4F"/>
    <w:rsid w:val="00E005A5"/>
    <w:rsid w:val="00E07495"/>
    <w:rsid w:val="00E10E9E"/>
    <w:rsid w:val="00E15518"/>
    <w:rsid w:val="00E26977"/>
    <w:rsid w:val="00E2754A"/>
    <w:rsid w:val="00E27B13"/>
    <w:rsid w:val="00E31F47"/>
    <w:rsid w:val="00E434B0"/>
    <w:rsid w:val="00E504CE"/>
    <w:rsid w:val="00E534D5"/>
    <w:rsid w:val="00E615ED"/>
    <w:rsid w:val="00E62DA9"/>
    <w:rsid w:val="00E73009"/>
    <w:rsid w:val="00E77B91"/>
    <w:rsid w:val="00E86BC0"/>
    <w:rsid w:val="00E976A4"/>
    <w:rsid w:val="00EA05E6"/>
    <w:rsid w:val="00EB2197"/>
    <w:rsid w:val="00EC3061"/>
    <w:rsid w:val="00EC4AB4"/>
    <w:rsid w:val="00ED4743"/>
    <w:rsid w:val="00EE224D"/>
    <w:rsid w:val="00EE25A4"/>
    <w:rsid w:val="00EE5188"/>
    <w:rsid w:val="00EF4AE1"/>
    <w:rsid w:val="00F045C5"/>
    <w:rsid w:val="00F12FFD"/>
    <w:rsid w:val="00F1452E"/>
    <w:rsid w:val="00F15906"/>
    <w:rsid w:val="00F20E53"/>
    <w:rsid w:val="00F3644B"/>
    <w:rsid w:val="00F367AC"/>
    <w:rsid w:val="00F515A6"/>
    <w:rsid w:val="00F54B42"/>
    <w:rsid w:val="00F621FB"/>
    <w:rsid w:val="00F77A80"/>
    <w:rsid w:val="00F80640"/>
    <w:rsid w:val="00F90E7C"/>
    <w:rsid w:val="00F934DC"/>
    <w:rsid w:val="00FA380E"/>
    <w:rsid w:val="00FA5FAA"/>
    <w:rsid w:val="00FB0456"/>
    <w:rsid w:val="00FC2CED"/>
    <w:rsid w:val="00FC2EA1"/>
    <w:rsid w:val="00FD1EF4"/>
    <w:rsid w:val="00FD24E1"/>
    <w:rsid w:val="00FE05E7"/>
    <w:rsid w:val="00FE567B"/>
    <w:rsid w:val="00FF1DF8"/>
    <w:rsid w:val="0881276C"/>
    <w:rsid w:val="088A08F6"/>
    <w:rsid w:val="095C7812"/>
    <w:rsid w:val="0C646460"/>
    <w:rsid w:val="0E252C04"/>
    <w:rsid w:val="12CA627A"/>
    <w:rsid w:val="14B20F69"/>
    <w:rsid w:val="14CB202B"/>
    <w:rsid w:val="17D05219"/>
    <w:rsid w:val="1846319D"/>
    <w:rsid w:val="192D7318"/>
    <w:rsid w:val="1A884FED"/>
    <w:rsid w:val="1AD13D22"/>
    <w:rsid w:val="1B341CAE"/>
    <w:rsid w:val="1CE575B7"/>
    <w:rsid w:val="1ED74273"/>
    <w:rsid w:val="223549BD"/>
    <w:rsid w:val="22C41F87"/>
    <w:rsid w:val="24901CBB"/>
    <w:rsid w:val="26FB402C"/>
    <w:rsid w:val="27714AEB"/>
    <w:rsid w:val="299B6C7F"/>
    <w:rsid w:val="2AE71BA2"/>
    <w:rsid w:val="2CDF446E"/>
    <w:rsid w:val="2D744BB6"/>
    <w:rsid w:val="2F973883"/>
    <w:rsid w:val="33220B02"/>
    <w:rsid w:val="333F2F03"/>
    <w:rsid w:val="35415CC5"/>
    <w:rsid w:val="35B97163"/>
    <w:rsid w:val="3606769D"/>
    <w:rsid w:val="3702718A"/>
    <w:rsid w:val="38FE3DDA"/>
    <w:rsid w:val="391D74F1"/>
    <w:rsid w:val="39B260D5"/>
    <w:rsid w:val="3A1A4D37"/>
    <w:rsid w:val="3EAF647C"/>
    <w:rsid w:val="3EDC69CA"/>
    <w:rsid w:val="3F454604"/>
    <w:rsid w:val="3FE87599"/>
    <w:rsid w:val="400E25A2"/>
    <w:rsid w:val="404F7B0A"/>
    <w:rsid w:val="45621EC7"/>
    <w:rsid w:val="46E46CA4"/>
    <w:rsid w:val="472F2670"/>
    <w:rsid w:val="49852665"/>
    <w:rsid w:val="4B574DB1"/>
    <w:rsid w:val="4D751027"/>
    <w:rsid w:val="500D10FE"/>
    <w:rsid w:val="516139A7"/>
    <w:rsid w:val="52870849"/>
    <w:rsid w:val="52D35010"/>
    <w:rsid w:val="538F119C"/>
    <w:rsid w:val="545466A2"/>
    <w:rsid w:val="575F2CE8"/>
    <w:rsid w:val="57CF5068"/>
    <w:rsid w:val="589657CA"/>
    <w:rsid w:val="5999137D"/>
    <w:rsid w:val="59B12B61"/>
    <w:rsid w:val="5CD7381E"/>
    <w:rsid w:val="5DDD4386"/>
    <w:rsid w:val="5DF574F8"/>
    <w:rsid w:val="5E622685"/>
    <w:rsid w:val="5FB56333"/>
    <w:rsid w:val="5FD41360"/>
    <w:rsid w:val="60F60941"/>
    <w:rsid w:val="629A0EA8"/>
    <w:rsid w:val="636E3C5B"/>
    <w:rsid w:val="639F4543"/>
    <w:rsid w:val="65007875"/>
    <w:rsid w:val="67671BCF"/>
    <w:rsid w:val="6819340A"/>
    <w:rsid w:val="6968328E"/>
    <w:rsid w:val="698A528C"/>
    <w:rsid w:val="6CAD0A31"/>
    <w:rsid w:val="6D9E086E"/>
    <w:rsid w:val="6DA938EC"/>
    <w:rsid w:val="6EDC2FEB"/>
    <w:rsid w:val="707310B0"/>
    <w:rsid w:val="724F35EF"/>
    <w:rsid w:val="74CC6652"/>
    <w:rsid w:val="765E1BB5"/>
    <w:rsid w:val="76A22B1D"/>
    <w:rsid w:val="79665BBB"/>
    <w:rsid w:val="7A57575A"/>
    <w:rsid w:val="7C5A5430"/>
    <w:rsid w:val="7D4A6009"/>
    <w:rsid w:val="7D9013BB"/>
    <w:rsid w:val="7DA8633A"/>
    <w:rsid w:val="7F6E64D6"/>
    <w:rsid w:val="7F8E2E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0" w:semiHidden="0"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5">
    <w:name w:val="Default Paragraph Font"/>
    <w:autoRedefine/>
    <w:semiHidden/>
    <w:unhideWhenUsed/>
    <w:qFormat/>
    <w:uiPriority w:val="1"/>
  </w:style>
  <w:style w:type="table" w:default="1" w:styleId="13">
    <w:name w:val="Normal Table"/>
    <w:autoRedefin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Normal Indent"/>
    <w:basedOn w:val="1"/>
    <w:autoRedefine/>
    <w:unhideWhenUsed/>
    <w:qFormat/>
    <w:uiPriority w:val="0"/>
    <w:pPr>
      <w:ind w:firstLine="420"/>
    </w:pPr>
  </w:style>
  <w:style w:type="paragraph" w:styleId="3">
    <w:name w:val="annotation text"/>
    <w:basedOn w:val="1"/>
    <w:link w:val="24"/>
    <w:autoRedefine/>
    <w:qFormat/>
    <w:uiPriority w:val="0"/>
    <w:pPr>
      <w:jc w:val="left"/>
    </w:pPr>
    <w:rPr>
      <w:szCs w:val="24"/>
    </w:rPr>
  </w:style>
  <w:style w:type="paragraph" w:styleId="4">
    <w:name w:val="Body Text"/>
    <w:basedOn w:val="1"/>
    <w:next w:val="1"/>
    <w:link w:val="30"/>
    <w:autoRedefine/>
    <w:semiHidden/>
    <w:unhideWhenUsed/>
    <w:qFormat/>
    <w:uiPriority w:val="99"/>
    <w:pPr>
      <w:spacing w:after="120"/>
    </w:pPr>
  </w:style>
  <w:style w:type="paragraph" w:styleId="5">
    <w:name w:val="Body Text Indent"/>
    <w:basedOn w:val="1"/>
    <w:next w:val="1"/>
    <w:autoRedefine/>
    <w:qFormat/>
    <w:uiPriority w:val="0"/>
    <w:pPr>
      <w:spacing w:line="600" w:lineRule="atLeast"/>
      <w:ind w:firstLine="480" w:firstLineChars="200"/>
    </w:pPr>
    <w:rPr>
      <w:rFonts w:ascii="宋体" w:hAnsi="宋体"/>
      <w:sz w:val="24"/>
      <w:szCs w:val="24"/>
    </w:rPr>
  </w:style>
  <w:style w:type="paragraph" w:styleId="6">
    <w:name w:val="Balloon Text"/>
    <w:basedOn w:val="1"/>
    <w:link w:val="19"/>
    <w:autoRedefine/>
    <w:semiHidden/>
    <w:unhideWhenUsed/>
    <w:qFormat/>
    <w:uiPriority w:val="99"/>
    <w:rPr>
      <w:sz w:val="18"/>
      <w:szCs w:val="18"/>
    </w:rPr>
  </w:style>
  <w:style w:type="paragraph" w:styleId="7">
    <w:name w:val="footer"/>
    <w:basedOn w:val="1"/>
    <w:link w:val="22"/>
    <w:autoRedefine/>
    <w:unhideWhenUsed/>
    <w:qFormat/>
    <w:uiPriority w:val="99"/>
    <w:pPr>
      <w:tabs>
        <w:tab w:val="center" w:pos="4153"/>
        <w:tab w:val="right" w:pos="8306"/>
      </w:tabs>
      <w:snapToGrid w:val="0"/>
      <w:jc w:val="left"/>
    </w:pPr>
    <w:rPr>
      <w:sz w:val="18"/>
      <w:szCs w:val="18"/>
    </w:rPr>
  </w:style>
  <w:style w:type="paragraph" w:styleId="8">
    <w:name w:val="header"/>
    <w:basedOn w:val="1"/>
    <w:link w:val="2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Body Text Indent 3"/>
    <w:basedOn w:val="1"/>
    <w:link w:val="28"/>
    <w:autoRedefine/>
    <w:qFormat/>
    <w:uiPriority w:val="0"/>
    <w:pPr>
      <w:spacing w:line="360" w:lineRule="auto"/>
      <w:ind w:firstLine="458" w:firstLineChars="218"/>
    </w:pPr>
    <w:rPr>
      <w:rFonts w:ascii="宋体" w:hAnsi="宋体" w:eastAsia="宋体" w:cs="Times New Roman"/>
      <w:szCs w:val="24"/>
    </w:rPr>
  </w:style>
  <w:style w:type="paragraph" w:styleId="10">
    <w:name w:val="Normal (Web)"/>
    <w:basedOn w:val="1"/>
    <w:autoRedefine/>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1">
    <w:name w:val="annotation subject"/>
    <w:basedOn w:val="3"/>
    <w:next w:val="3"/>
    <w:link w:val="79"/>
    <w:autoRedefine/>
    <w:semiHidden/>
    <w:unhideWhenUsed/>
    <w:qFormat/>
    <w:uiPriority w:val="99"/>
    <w:rPr>
      <w:b/>
      <w:bCs/>
      <w:szCs w:val="22"/>
    </w:rPr>
  </w:style>
  <w:style w:type="paragraph" w:styleId="12">
    <w:name w:val="Body Text First Indent 2"/>
    <w:basedOn w:val="5"/>
    <w:autoRedefine/>
    <w:qFormat/>
    <w:uiPriority w:val="0"/>
    <w:pPr>
      <w:spacing w:after="120" w:line="240" w:lineRule="auto"/>
      <w:ind w:left="420" w:leftChars="200" w:firstLine="420"/>
    </w:pPr>
    <w:rPr>
      <w:rFonts w:ascii="Times New Roman" w:hAnsi="Times New Roman"/>
      <w:sz w:val="21"/>
      <w:szCs w:val="20"/>
    </w:rPr>
  </w:style>
  <w:style w:type="table" w:styleId="14">
    <w:name w:val="Table Grid"/>
    <w:basedOn w:val="13"/>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FollowedHyperlink"/>
    <w:basedOn w:val="15"/>
    <w:autoRedefine/>
    <w:semiHidden/>
    <w:unhideWhenUsed/>
    <w:qFormat/>
    <w:uiPriority w:val="99"/>
    <w:rPr>
      <w:color w:val="954F72"/>
      <w:u w:val="single"/>
    </w:rPr>
  </w:style>
  <w:style w:type="character" w:styleId="17">
    <w:name w:val="Hyperlink"/>
    <w:basedOn w:val="15"/>
    <w:autoRedefine/>
    <w:semiHidden/>
    <w:unhideWhenUsed/>
    <w:qFormat/>
    <w:uiPriority w:val="99"/>
    <w:rPr>
      <w:color w:val="0563C1"/>
      <w:u w:val="single"/>
    </w:rPr>
  </w:style>
  <w:style w:type="character" w:styleId="18">
    <w:name w:val="annotation reference"/>
    <w:basedOn w:val="15"/>
    <w:autoRedefine/>
    <w:semiHidden/>
    <w:unhideWhenUsed/>
    <w:qFormat/>
    <w:uiPriority w:val="99"/>
    <w:rPr>
      <w:sz w:val="21"/>
      <w:szCs w:val="21"/>
    </w:rPr>
  </w:style>
  <w:style w:type="character" w:customStyle="1" w:styleId="19">
    <w:name w:val="批注框文本 字符"/>
    <w:basedOn w:val="15"/>
    <w:link w:val="6"/>
    <w:autoRedefine/>
    <w:semiHidden/>
    <w:qFormat/>
    <w:uiPriority w:val="99"/>
    <w:rPr>
      <w:sz w:val="18"/>
      <w:szCs w:val="18"/>
    </w:rPr>
  </w:style>
  <w:style w:type="paragraph" w:styleId="20">
    <w:name w:val="List Paragraph"/>
    <w:basedOn w:val="1"/>
    <w:autoRedefine/>
    <w:qFormat/>
    <w:uiPriority w:val="34"/>
    <w:pPr>
      <w:ind w:firstLine="420" w:firstLineChars="200"/>
    </w:pPr>
  </w:style>
  <w:style w:type="character" w:customStyle="1" w:styleId="21">
    <w:name w:val="页眉 字符"/>
    <w:basedOn w:val="15"/>
    <w:link w:val="8"/>
    <w:autoRedefine/>
    <w:qFormat/>
    <w:uiPriority w:val="99"/>
    <w:rPr>
      <w:sz w:val="18"/>
      <w:szCs w:val="18"/>
    </w:rPr>
  </w:style>
  <w:style w:type="character" w:customStyle="1" w:styleId="22">
    <w:name w:val="页脚 字符"/>
    <w:basedOn w:val="15"/>
    <w:link w:val="7"/>
    <w:autoRedefine/>
    <w:qFormat/>
    <w:uiPriority w:val="99"/>
    <w:rPr>
      <w:sz w:val="18"/>
      <w:szCs w:val="18"/>
    </w:rPr>
  </w:style>
  <w:style w:type="table" w:customStyle="1" w:styleId="23">
    <w:name w:val="网格型1"/>
    <w:basedOn w:val="13"/>
    <w:autoRedefine/>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customStyle="1" w:styleId="24">
    <w:name w:val="批注文字 字符"/>
    <w:link w:val="3"/>
    <w:autoRedefine/>
    <w:qFormat/>
    <w:uiPriority w:val="0"/>
    <w:rPr>
      <w:szCs w:val="24"/>
    </w:rPr>
  </w:style>
  <w:style w:type="character" w:customStyle="1" w:styleId="25">
    <w:name w:val="批注文字 字符1"/>
    <w:basedOn w:val="15"/>
    <w:autoRedefine/>
    <w:semiHidden/>
    <w:qFormat/>
    <w:uiPriority w:val="99"/>
  </w:style>
  <w:style w:type="paragraph" w:customStyle="1" w:styleId="26">
    <w:name w:val="报告正文"/>
    <w:next w:val="1"/>
    <w:link w:val="27"/>
    <w:autoRedefine/>
    <w:qFormat/>
    <w:uiPriority w:val="0"/>
    <w:pPr>
      <w:spacing w:line="360" w:lineRule="auto"/>
      <w:ind w:firstLine="200" w:firstLineChars="200"/>
    </w:pPr>
    <w:rPr>
      <w:rFonts w:ascii="Times New Roman" w:hAnsi="Times New Roman" w:eastAsia="宋体" w:cs="Times New Roman"/>
      <w:kern w:val="2"/>
      <w:sz w:val="24"/>
      <w:szCs w:val="24"/>
      <w:lang w:val="en-US" w:eastAsia="zh-CN" w:bidi="ar-SA"/>
    </w:rPr>
  </w:style>
  <w:style w:type="character" w:customStyle="1" w:styleId="27">
    <w:name w:val="报告正文 Char"/>
    <w:link w:val="26"/>
    <w:autoRedefine/>
    <w:qFormat/>
    <w:uiPriority w:val="0"/>
    <w:rPr>
      <w:rFonts w:ascii="Times New Roman" w:hAnsi="Times New Roman" w:eastAsia="宋体" w:cs="Times New Roman"/>
      <w:sz w:val="24"/>
      <w:szCs w:val="24"/>
    </w:rPr>
  </w:style>
  <w:style w:type="character" w:customStyle="1" w:styleId="28">
    <w:name w:val="正文文本缩进 3 字符"/>
    <w:link w:val="9"/>
    <w:autoRedefine/>
    <w:qFormat/>
    <w:uiPriority w:val="0"/>
    <w:rPr>
      <w:rFonts w:ascii="宋体" w:hAnsi="宋体" w:eastAsia="宋体" w:cs="Times New Roman"/>
      <w:szCs w:val="24"/>
    </w:rPr>
  </w:style>
  <w:style w:type="character" w:customStyle="1" w:styleId="29">
    <w:name w:val="正文文本缩进 3 字符1"/>
    <w:basedOn w:val="15"/>
    <w:autoRedefine/>
    <w:semiHidden/>
    <w:qFormat/>
    <w:uiPriority w:val="99"/>
    <w:rPr>
      <w:sz w:val="16"/>
      <w:szCs w:val="16"/>
    </w:rPr>
  </w:style>
  <w:style w:type="character" w:customStyle="1" w:styleId="30">
    <w:name w:val="正文文本 字符"/>
    <w:basedOn w:val="15"/>
    <w:link w:val="4"/>
    <w:autoRedefine/>
    <w:semiHidden/>
    <w:qFormat/>
    <w:uiPriority w:val="99"/>
  </w:style>
  <w:style w:type="paragraph" w:customStyle="1" w:styleId="31">
    <w:name w:val="列出段落1"/>
    <w:basedOn w:val="1"/>
    <w:autoRedefine/>
    <w:qFormat/>
    <w:uiPriority w:val="99"/>
    <w:pPr>
      <w:ind w:firstLine="420" w:firstLineChars="200"/>
    </w:pPr>
  </w:style>
  <w:style w:type="paragraph" w:customStyle="1" w:styleId="32">
    <w:name w:val="msonormal"/>
    <w:basedOn w:val="1"/>
    <w:autoRedefine/>
    <w:qFormat/>
    <w:uiPriority w:val="0"/>
    <w:pPr>
      <w:widowControl/>
      <w:spacing w:before="100" w:beforeAutospacing="1" w:after="100" w:afterAutospacing="1"/>
      <w:jc w:val="left"/>
    </w:pPr>
    <w:rPr>
      <w:rFonts w:ascii="宋体" w:hAnsi="宋体" w:eastAsia="宋体" w:cs="宋体"/>
      <w:kern w:val="0"/>
      <w:sz w:val="24"/>
      <w:szCs w:val="24"/>
      <w14:ligatures w14:val="standardContextual"/>
    </w:rPr>
  </w:style>
  <w:style w:type="paragraph" w:customStyle="1" w:styleId="33">
    <w:name w:val="font5"/>
    <w:basedOn w:val="1"/>
    <w:autoRedefine/>
    <w:qFormat/>
    <w:uiPriority w:val="0"/>
    <w:pPr>
      <w:widowControl/>
      <w:spacing w:before="100" w:beforeAutospacing="1" w:after="100" w:afterAutospacing="1"/>
      <w:jc w:val="left"/>
    </w:pPr>
    <w:rPr>
      <w:rFonts w:ascii="仿宋_GB2312" w:hAnsi="宋体" w:eastAsia="仿宋_GB2312" w:cs="宋体"/>
      <w:color w:val="000000"/>
      <w:kern w:val="0"/>
      <w:sz w:val="22"/>
      <w14:ligatures w14:val="standardContextual"/>
    </w:rPr>
  </w:style>
  <w:style w:type="paragraph" w:customStyle="1" w:styleId="34">
    <w:name w:val="font6"/>
    <w:basedOn w:val="1"/>
    <w:autoRedefine/>
    <w:qFormat/>
    <w:uiPriority w:val="0"/>
    <w:pPr>
      <w:widowControl/>
      <w:spacing w:before="100" w:beforeAutospacing="1" w:after="100" w:afterAutospacing="1"/>
      <w:jc w:val="left"/>
    </w:pPr>
    <w:rPr>
      <w:rFonts w:ascii="仿宋_GB2312" w:hAnsi="宋体" w:eastAsia="仿宋_GB2312" w:cs="宋体"/>
      <w:color w:val="000000"/>
      <w:kern w:val="0"/>
      <w:sz w:val="20"/>
      <w:szCs w:val="20"/>
      <w14:ligatures w14:val="standardContextual"/>
    </w:rPr>
  </w:style>
  <w:style w:type="paragraph" w:customStyle="1" w:styleId="35">
    <w:name w:val="font7"/>
    <w:basedOn w:val="1"/>
    <w:autoRedefine/>
    <w:qFormat/>
    <w:uiPriority w:val="0"/>
    <w:pPr>
      <w:widowControl/>
      <w:spacing w:before="100" w:beforeAutospacing="1" w:after="100" w:afterAutospacing="1"/>
      <w:jc w:val="left"/>
    </w:pPr>
    <w:rPr>
      <w:rFonts w:ascii="仿宋_GB2312" w:hAnsi="宋体" w:eastAsia="仿宋_GB2312" w:cs="宋体"/>
      <w:color w:val="000000"/>
      <w:kern w:val="0"/>
      <w:sz w:val="22"/>
      <w14:ligatures w14:val="standardContextual"/>
    </w:rPr>
  </w:style>
  <w:style w:type="paragraph" w:customStyle="1" w:styleId="36">
    <w:name w:val="font8"/>
    <w:basedOn w:val="1"/>
    <w:autoRedefine/>
    <w:qFormat/>
    <w:uiPriority w:val="0"/>
    <w:pPr>
      <w:widowControl/>
      <w:spacing w:before="100" w:beforeAutospacing="1" w:after="100" w:afterAutospacing="1"/>
      <w:jc w:val="left"/>
    </w:pPr>
    <w:rPr>
      <w:rFonts w:ascii="Calibri" w:hAnsi="Calibri" w:eastAsia="宋体" w:cs="Calibri"/>
      <w:color w:val="000000"/>
      <w:kern w:val="0"/>
      <w:sz w:val="22"/>
      <w14:ligatures w14:val="standardContextual"/>
    </w:rPr>
  </w:style>
  <w:style w:type="paragraph" w:customStyle="1" w:styleId="37">
    <w:name w:val="font9"/>
    <w:basedOn w:val="1"/>
    <w:autoRedefine/>
    <w:qFormat/>
    <w:uiPriority w:val="0"/>
    <w:pPr>
      <w:widowControl/>
      <w:spacing w:before="100" w:beforeAutospacing="1" w:after="100" w:afterAutospacing="1"/>
      <w:jc w:val="left"/>
    </w:pPr>
    <w:rPr>
      <w:rFonts w:ascii="仿宋_GB2312" w:hAnsi="宋体" w:eastAsia="仿宋_GB2312" w:cs="宋体"/>
      <w:color w:val="000000"/>
      <w:kern w:val="0"/>
      <w:sz w:val="22"/>
      <w14:ligatures w14:val="standardContextual"/>
    </w:rPr>
  </w:style>
  <w:style w:type="paragraph" w:customStyle="1" w:styleId="38">
    <w:name w:val="font10"/>
    <w:basedOn w:val="1"/>
    <w:autoRedefine/>
    <w:qFormat/>
    <w:uiPriority w:val="0"/>
    <w:pPr>
      <w:widowControl/>
      <w:spacing w:before="100" w:beforeAutospacing="1" w:after="100" w:afterAutospacing="1"/>
      <w:jc w:val="left"/>
    </w:pPr>
    <w:rPr>
      <w:rFonts w:ascii="微软雅黑" w:hAnsi="微软雅黑" w:eastAsia="微软雅黑" w:cs="宋体"/>
      <w:color w:val="000000"/>
      <w:kern w:val="0"/>
      <w:sz w:val="22"/>
      <w14:ligatures w14:val="standardContextual"/>
    </w:rPr>
  </w:style>
  <w:style w:type="paragraph" w:customStyle="1" w:styleId="39">
    <w:name w:val="font11"/>
    <w:basedOn w:val="1"/>
    <w:autoRedefine/>
    <w:qFormat/>
    <w:uiPriority w:val="0"/>
    <w:pPr>
      <w:widowControl/>
      <w:spacing w:before="100" w:beforeAutospacing="1" w:after="100" w:afterAutospacing="1"/>
      <w:jc w:val="left"/>
    </w:pPr>
    <w:rPr>
      <w:rFonts w:ascii="Calibri" w:hAnsi="Calibri" w:eastAsia="宋体" w:cs="Calibri"/>
      <w:color w:val="000000"/>
      <w:kern w:val="0"/>
      <w:sz w:val="20"/>
      <w:szCs w:val="20"/>
      <w14:ligatures w14:val="standardContextual"/>
    </w:rPr>
  </w:style>
  <w:style w:type="paragraph" w:customStyle="1" w:styleId="40">
    <w:name w:val="font12"/>
    <w:basedOn w:val="1"/>
    <w:autoRedefine/>
    <w:qFormat/>
    <w:uiPriority w:val="0"/>
    <w:pPr>
      <w:widowControl/>
      <w:spacing w:before="100" w:beforeAutospacing="1" w:after="100" w:afterAutospacing="1"/>
      <w:jc w:val="left"/>
    </w:pPr>
    <w:rPr>
      <w:rFonts w:ascii="微软雅黑" w:hAnsi="微软雅黑" w:eastAsia="微软雅黑" w:cs="宋体"/>
      <w:color w:val="000000"/>
      <w:kern w:val="0"/>
      <w:sz w:val="20"/>
      <w:szCs w:val="20"/>
      <w14:ligatures w14:val="standardContextual"/>
    </w:rPr>
  </w:style>
  <w:style w:type="paragraph" w:customStyle="1" w:styleId="41">
    <w:name w:val="font13"/>
    <w:basedOn w:val="1"/>
    <w:autoRedefine/>
    <w:qFormat/>
    <w:uiPriority w:val="0"/>
    <w:pPr>
      <w:widowControl/>
      <w:spacing w:before="100" w:beforeAutospacing="1" w:after="100" w:afterAutospacing="1"/>
      <w:jc w:val="left"/>
    </w:pPr>
    <w:rPr>
      <w:rFonts w:ascii="等线" w:hAnsi="等线" w:eastAsia="等线" w:cs="宋体"/>
      <w:kern w:val="0"/>
      <w:sz w:val="18"/>
      <w:szCs w:val="18"/>
      <w14:ligatures w14:val="standardContextual"/>
    </w:rPr>
  </w:style>
  <w:style w:type="paragraph" w:customStyle="1" w:styleId="42">
    <w:name w:val="xl63"/>
    <w:basedOn w:val="1"/>
    <w:autoRedefine/>
    <w:qFormat/>
    <w:uiPriority w:val="0"/>
    <w:pPr>
      <w:widowControl/>
      <w:pBdr>
        <w:top w:val="single" w:color="auto" w:sz="8" w:space="0"/>
        <w:left w:val="single" w:color="auto" w:sz="8" w:space="0"/>
        <w:bottom w:val="single" w:color="auto" w:sz="8" w:space="0"/>
        <w:right w:val="single" w:color="auto" w:sz="8" w:space="0"/>
      </w:pBdr>
      <w:shd w:val="clear" w:color="000000" w:fill="BFBFBF"/>
      <w:spacing w:before="100" w:beforeAutospacing="1" w:after="100" w:afterAutospacing="1"/>
      <w:jc w:val="center"/>
      <w:textAlignment w:val="center"/>
    </w:pPr>
    <w:rPr>
      <w:rFonts w:ascii="仿宋_GB2312" w:hAnsi="宋体" w:eastAsia="仿宋_GB2312" w:cs="宋体"/>
      <w:b/>
      <w:bCs/>
      <w:color w:val="000000"/>
      <w:kern w:val="0"/>
      <w:sz w:val="24"/>
      <w:szCs w:val="24"/>
      <w14:ligatures w14:val="standardContextual"/>
    </w:rPr>
  </w:style>
  <w:style w:type="paragraph" w:customStyle="1" w:styleId="43">
    <w:name w:val="xl64"/>
    <w:basedOn w:val="1"/>
    <w:autoRedefine/>
    <w:qFormat/>
    <w:uiPriority w:val="0"/>
    <w:pPr>
      <w:widowControl/>
      <w:pBdr>
        <w:top w:val="single" w:color="auto" w:sz="8" w:space="0"/>
        <w:bottom w:val="single" w:color="auto" w:sz="8" w:space="0"/>
        <w:right w:val="single" w:color="auto" w:sz="8" w:space="0"/>
      </w:pBdr>
      <w:shd w:val="clear" w:color="000000" w:fill="BFBFBF"/>
      <w:spacing w:before="100" w:beforeAutospacing="1" w:after="100" w:afterAutospacing="1"/>
      <w:jc w:val="center"/>
      <w:textAlignment w:val="center"/>
    </w:pPr>
    <w:rPr>
      <w:rFonts w:ascii="仿宋_GB2312" w:hAnsi="宋体" w:eastAsia="仿宋_GB2312" w:cs="宋体"/>
      <w:b/>
      <w:bCs/>
      <w:color w:val="000000"/>
      <w:kern w:val="0"/>
      <w:sz w:val="24"/>
      <w:szCs w:val="24"/>
      <w14:ligatures w14:val="standardContextual"/>
    </w:rPr>
  </w:style>
  <w:style w:type="paragraph" w:customStyle="1" w:styleId="44">
    <w:name w:val="xl65"/>
    <w:basedOn w:val="1"/>
    <w:autoRedefine/>
    <w:qFormat/>
    <w:uiPriority w:val="0"/>
    <w:pPr>
      <w:widowControl/>
      <w:pBdr>
        <w:bottom w:val="single" w:color="auto" w:sz="8" w:space="0"/>
        <w:right w:val="single" w:color="auto" w:sz="8" w:space="0"/>
      </w:pBdr>
      <w:spacing w:before="100" w:beforeAutospacing="1" w:after="100" w:afterAutospacing="1"/>
      <w:jc w:val="center"/>
      <w:textAlignment w:val="center"/>
    </w:pPr>
    <w:rPr>
      <w:rFonts w:ascii="仿宋_GB2312" w:hAnsi="宋体" w:eastAsia="仿宋_GB2312" w:cs="宋体"/>
      <w:kern w:val="0"/>
      <w:sz w:val="24"/>
      <w:szCs w:val="24"/>
      <w14:ligatures w14:val="standardContextual"/>
    </w:rPr>
  </w:style>
  <w:style w:type="paragraph" w:customStyle="1" w:styleId="45">
    <w:name w:val="xl66"/>
    <w:basedOn w:val="1"/>
    <w:autoRedefine/>
    <w:qFormat/>
    <w:uiPriority w:val="0"/>
    <w:pPr>
      <w:widowControl/>
      <w:pBdr>
        <w:bottom w:val="single" w:color="auto" w:sz="8" w:space="0"/>
        <w:right w:val="single" w:color="auto" w:sz="8" w:space="0"/>
      </w:pBdr>
      <w:spacing w:before="100" w:beforeAutospacing="1" w:after="100" w:afterAutospacing="1"/>
      <w:jc w:val="center"/>
      <w:textAlignment w:val="center"/>
    </w:pPr>
    <w:rPr>
      <w:rFonts w:ascii="仿宋_GB2312" w:hAnsi="宋体" w:eastAsia="仿宋_GB2312" w:cs="宋体"/>
      <w:kern w:val="0"/>
      <w:sz w:val="24"/>
      <w:szCs w:val="24"/>
      <w14:ligatures w14:val="standardContextual"/>
    </w:rPr>
  </w:style>
  <w:style w:type="paragraph" w:customStyle="1" w:styleId="46">
    <w:name w:val="xl67"/>
    <w:basedOn w:val="1"/>
    <w:autoRedefine/>
    <w:qFormat/>
    <w:uiPriority w:val="0"/>
    <w:pPr>
      <w:widowControl/>
      <w:pBdr>
        <w:bottom w:val="single" w:color="auto" w:sz="8" w:space="0"/>
        <w:right w:val="single" w:color="auto" w:sz="8" w:space="0"/>
      </w:pBdr>
      <w:spacing w:before="100" w:beforeAutospacing="1" w:after="100" w:afterAutospacing="1"/>
      <w:jc w:val="center"/>
      <w:textAlignment w:val="center"/>
    </w:pPr>
    <w:rPr>
      <w:rFonts w:ascii="仿宋_GB2312" w:hAnsi="宋体" w:eastAsia="仿宋_GB2312" w:cs="宋体"/>
      <w:kern w:val="0"/>
      <w:sz w:val="20"/>
      <w:szCs w:val="20"/>
      <w14:ligatures w14:val="standardContextual"/>
    </w:rPr>
  </w:style>
  <w:style w:type="paragraph" w:customStyle="1" w:styleId="47">
    <w:name w:val="xl68"/>
    <w:basedOn w:val="1"/>
    <w:autoRedefine/>
    <w:qFormat/>
    <w:uiPriority w:val="0"/>
    <w:pPr>
      <w:widowControl/>
      <w:pBdr>
        <w:bottom w:val="single" w:color="auto" w:sz="8" w:space="0"/>
        <w:right w:val="single" w:color="auto" w:sz="8" w:space="0"/>
      </w:pBdr>
      <w:spacing w:before="100" w:beforeAutospacing="1" w:after="100" w:afterAutospacing="1"/>
      <w:jc w:val="center"/>
      <w:textAlignment w:val="center"/>
    </w:pPr>
    <w:rPr>
      <w:rFonts w:ascii="仿宋_GB2312" w:hAnsi="宋体" w:eastAsia="仿宋_GB2312" w:cs="宋体"/>
      <w:kern w:val="0"/>
      <w:sz w:val="20"/>
      <w:szCs w:val="20"/>
      <w14:ligatures w14:val="standardContextual"/>
    </w:rPr>
  </w:style>
  <w:style w:type="paragraph" w:customStyle="1" w:styleId="48">
    <w:name w:val="xl69"/>
    <w:basedOn w:val="1"/>
    <w:autoRedefine/>
    <w:qFormat/>
    <w:uiPriority w:val="0"/>
    <w:pPr>
      <w:widowControl/>
      <w:pBdr>
        <w:bottom w:val="single" w:color="auto" w:sz="8" w:space="0"/>
        <w:right w:val="single" w:color="auto" w:sz="8" w:space="0"/>
      </w:pBdr>
      <w:spacing w:before="100" w:beforeAutospacing="1" w:after="100" w:afterAutospacing="1"/>
      <w:jc w:val="center"/>
      <w:textAlignment w:val="center"/>
    </w:pPr>
    <w:rPr>
      <w:rFonts w:ascii="仿宋_GB2312" w:hAnsi="宋体" w:eastAsia="仿宋_GB2312" w:cs="宋体"/>
      <w:kern w:val="0"/>
      <w:sz w:val="18"/>
      <w:szCs w:val="18"/>
      <w14:ligatures w14:val="standardContextual"/>
    </w:rPr>
  </w:style>
  <w:style w:type="paragraph" w:customStyle="1" w:styleId="49">
    <w:name w:val="xl70"/>
    <w:basedOn w:val="1"/>
    <w:autoRedefine/>
    <w:qFormat/>
    <w:uiPriority w:val="0"/>
    <w:pPr>
      <w:widowControl/>
      <w:pBdr>
        <w:top w:val="single" w:color="auto" w:sz="8" w:space="0"/>
        <w:left w:val="single" w:color="auto" w:sz="8" w:space="0"/>
        <w:bottom w:val="single" w:color="auto" w:sz="8" w:space="0"/>
      </w:pBdr>
      <w:shd w:val="clear" w:color="000000" w:fill="BFBFBF"/>
      <w:spacing w:before="100" w:beforeAutospacing="1" w:after="100" w:afterAutospacing="1"/>
      <w:jc w:val="center"/>
      <w:textAlignment w:val="center"/>
    </w:pPr>
    <w:rPr>
      <w:rFonts w:ascii="仿宋_GB2312" w:hAnsi="宋体" w:eastAsia="仿宋_GB2312" w:cs="宋体"/>
      <w:b/>
      <w:bCs/>
      <w:color w:val="000000"/>
      <w:kern w:val="0"/>
      <w:sz w:val="24"/>
      <w:szCs w:val="24"/>
      <w14:ligatures w14:val="standardContextual"/>
    </w:rPr>
  </w:style>
  <w:style w:type="paragraph" w:customStyle="1" w:styleId="50">
    <w:name w:val="xl71"/>
    <w:basedOn w:val="1"/>
    <w:autoRedefine/>
    <w:qFormat/>
    <w:uiPriority w:val="0"/>
    <w:pPr>
      <w:widowControl/>
      <w:pBdr>
        <w:left w:val="single" w:color="auto" w:sz="8" w:space="0"/>
        <w:right w:val="single" w:color="auto" w:sz="8" w:space="0"/>
      </w:pBdr>
      <w:spacing w:before="100" w:beforeAutospacing="1" w:after="100" w:afterAutospacing="1"/>
      <w:jc w:val="center"/>
      <w:textAlignment w:val="center"/>
    </w:pPr>
    <w:rPr>
      <w:rFonts w:ascii="仿宋_GB2312" w:hAnsi="宋体" w:eastAsia="仿宋_GB2312" w:cs="宋体"/>
      <w:kern w:val="0"/>
      <w:sz w:val="24"/>
      <w:szCs w:val="24"/>
      <w14:ligatures w14:val="standardContextual"/>
    </w:rPr>
  </w:style>
  <w:style w:type="paragraph" w:customStyle="1" w:styleId="51">
    <w:name w:val="xl72"/>
    <w:basedOn w:val="1"/>
    <w:autoRedefine/>
    <w:qFormat/>
    <w:uiPriority w:val="0"/>
    <w:pPr>
      <w:widowControl/>
      <w:pBdr>
        <w:top w:val="single" w:color="auto" w:sz="8" w:space="0"/>
        <w:left w:val="single" w:color="auto" w:sz="8" w:space="0"/>
        <w:right w:val="single" w:color="auto" w:sz="8" w:space="0"/>
      </w:pBdr>
      <w:spacing w:before="100" w:beforeAutospacing="1" w:after="100" w:afterAutospacing="1"/>
      <w:jc w:val="center"/>
      <w:textAlignment w:val="center"/>
    </w:pPr>
    <w:rPr>
      <w:rFonts w:ascii="仿宋_GB2312" w:hAnsi="宋体" w:eastAsia="仿宋_GB2312" w:cs="宋体"/>
      <w:kern w:val="0"/>
      <w:sz w:val="24"/>
      <w:szCs w:val="24"/>
      <w14:ligatures w14:val="standardContextual"/>
    </w:rPr>
  </w:style>
  <w:style w:type="paragraph" w:customStyle="1" w:styleId="52">
    <w:name w:val="xl73"/>
    <w:basedOn w:val="1"/>
    <w:autoRedefine/>
    <w:qFormat/>
    <w:uiPriority w:val="0"/>
    <w:pPr>
      <w:widowControl/>
      <w:pBdr>
        <w:left w:val="single" w:color="auto" w:sz="8" w:space="0"/>
        <w:bottom w:val="single" w:color="auto" w:sz="8" w:space="0"/>
        <w:right w:val="single" w:color="auto" w:sz="8" w:space="0"/>
      </w:pBdr>
      <w:spacing w:before="100" w:beforeAutospacing="1" w:after="100" w:afterAutospacing="1"/>
      <w:jc w:val="center"/>
      <w:textAlignment w:val="center"/>
    </w:pPr>
    <w:rPr>
      <w:rFonts w:ascii="仿宋_GB2312" w:hAnsi="宋体" w:eastAsia="仿宋_GB2312" w:cs="宋体"/>
      <w:kern w:val="0"/>
      <w:sz w:val="24"/>
      <w:szCs w:val="24"/>
      <w14:ligatures w14:val="standardContextual"/>
    </w:rPr>
  </w:style>
  <w:style w:type="paragraph" w:customStyle="1" w:styleId="53">
    <w:name w:val="xl74"/>
    <w:basedOn w:val="1"/>
    <w:autoRedefine/>
    <w:qFormat/>
    <w:uiPriority w:val="0"/>
    <w:pPr>
      <w:widowControl/>
      <w:pBdr>
        <w:right w:val="single" w:color="auto" w:sz="8" w:space="0"/>
      </w:pBdr>
      <w:spacing w:before="100" w:beforeAutospacing="1" w:after="100" w:afterAutospacing="1"/>
      <w:jc w:val="center"/>
      <w:textAlignment w:val="center"/>
    </w:pPr>
    <w:rPr>
      <w:rFonts w:ascii="仿宋_GB2312" w:hAnsi="宋体" w:eastAsia="仿宋_GB2312" w:cs="宋体"/>
      <w:kern w:val="0"/>
      <w:sz w:val="24"/>
      <w:szCs w:val="24"/>
      <w14:ligatures w14:val="standardContextual"/>
    </w:rPr>
  </w:style>
  <w:style w:type="paragraph" w:customStyle="1" w:styleId="54">
    <w:name w:val="xl75"/>
    <w:basedOn w:val="1"/>
    <w:autoRedefine/>
    <w:qFormat/>
    <w:uiPriority w:val="0"/>
    <w:pPr>
      <w:widowControl/>
      <w:pBdr>
        <w:bottom w:val="single" w:color="auto" w:sz="8" w:space="0"/>
      </w:pBdr>
      <w:spacing w:before="100" w:beforeAutospacing="1" w:after="100" w:afterAutospacing="1"/>
      <w:jc w:val="center"/>
      <w:textAlignment w:val="center"/>
    </w:pPr>
    <w:rPr>
      <w:rFonts w:ascii="仿宋_GB2312" w:hAnsi="宋体" w:eastAsia="仿宋_GB2312" w:cs="宋体"/>
      <w:kern w:val="0"/>
      <w:sz w:val="24"/>
      <w:szCs w:val="24"/>
      <w14:ligatures w14:val="standardContextual"/>
    </w:rPr>
  </w:style>
  <w:style w:type="paragraph" w:customStyle="1" w:styleId="55">
    <w:name w:val="xl76"/>
    <w:basedOn w:val="1"/>
    <w:autoRedefine/>
    <w:qFormat/>
    <w:uiPriority w:val="0"/>
    <w:pPr>
      <w:widowControl/>
      <w:pBdr>
        <w:top w:val="single" w:color="auto" w:sz="8" w:space="0"/>
        <w:left w:val="single" w:color="auto" w:sz="8" w:space="0"/>
        <w:bottom w:val="single" w:color="auto" w:sz="8" w:space="0"/>
      </w:pBdr>
      <w:spacing w:before="100" w:beforeAutospacing="1" w:after="100" w:afterAutospacing="1"/>
      <w:jc w:val="center"/>
      <w:textAlignment w:val="center"/>
    </w:pPr>
    <w:rPr>
      <w:rFonts w:ascii="仿宋_GB2312" w:hAnsi="宋体" w:eastAsia="仿宋_GB2312" w:cs="宋体"/>
      <w:kern w:val="0"/>
      <w:sz w:val="24"/>
      <w:szCs w:val="24"/>
      <w14:ligatures w14:val="standardContextual"/>
    </w:rPr>
  </w:style>
  <w:style w:type="paragraph" w:customStyle="1" w:styleId="56">
    <w:name w:val="xl77"/>
    <w:basedOn w:val="1"/>
    <w:autoRedefine/>
    <w:qFormat/>
    <w:uiPriority w:val="0"/>
    <w:pPr>
      <w:widowControl/>
      <w:pBdr>
        <w:top w:val="single" w:color="auto" w:sz="8" w:space="0"/>
        <w:bottom w:val="single" w:color="auto" w:sz="8" w:space="0"/>
        <w:right w:val="single" w:color="auto" w:sz="8" w:space="0"/>
      </w:pBdr>
      <w:spacing w:before="100" w:beforeAutospacing="1" w:after="100" w:afterAutospacing="1"/>
      <w:jc w:val="center"/>
      <w:textAlignment w:val="center"/>
    </w:pPr>
    <w:rPr>
      <w:rFonts w:ascii="仿宋_GB2312" w:hAnsi="宋体" w:eastAsia="仿宋_GB2312" w:cs="宋体"/>
      <w:kern w:val="0"/>
      <w:sz w:val="24"/>
      <w:szCs w:val="24"/>
      <w14:ligatures w14:val="standardContextual"/>
    </w:rPr>
  </w:style>
  <w:style w:type="paragraph" w:customStyle="1" w:styleId="57">
    <w:name w:val="xl78"/>
    <w:basedOn w:val="1"/>
    <w:autoRedefine/>
    <w:qFormat/>
    <w:uiPriority w:val="0"/>
    <w:pPr>
      <w:widowControl/>
      <w:pBdr>
        <w:top w:val="single" w:color="auto" w:sz="8" w:space="0"/>
        <w:left w:val="single" w:color="auto" w:sz="8" w:space="0"/>
        <w:bottom w:val="single" w:color="auto" w:sz="8" w:space="0"/>
      </w:pBdr>
      <w:spacing w:before="100" w:beforeAutospacing="1" w:after="100" w:afterAutospacing="1"/>
      <w:jc w:val="center"/>
      <w:textAlignment w:val="center"/>
    </w:pPr>
    <w:rPr>
      <w:rFonts w:ascii="仿宋_GB2312" w:hAnsi="宋体" w:eastAsia="仿宋_GB2312" w:cs="宋体"/>
      <w:kern w:val="0"/>
      <w:sz w:val="20"/>
      <w:szCs w:val="20"/>
      <w14:ligatures w14:val="standardContextual"/>
    </w:rPr>
  </w:style>
  <w:style w:type="paragraph" w:customStyle="1" w:styleId="58">
    <w:name w:val="xl79"/>
    <w:basedOn w:val="1"/>
    <w:autoRedefine/>
    <w:qFormat/>
    <w:uiPriority w:val="0"/>
    <w:pPr>
      <w:widowControl/>
      <w:pBdr>
        <w:top w:val="single" w:color="auto" w:sz="8" w:space="0"/>
        <w:bottom w:val="single" w:color="auto" w:sz="8" w:space="0"/>
        <w:right w:val="single" w:color="auto" w:sz="8" w:space="0"/>
      </w:pBdr>
      <w:spacing w:before="100" w:beforeAutospacing="1" w:after="100" w:afterAutospacing="1"/>
      <w:jc w:val="center"/>
      <w:textAlignment w:val="center"/>
    </w:pPr>
    <w:rPr>
      <w:rFonts w:ascii="仿宋_GB2312" w:hAnsi="宋体" w:eastAsia="仿宋_GB2312" w:cs="宋体"/>
      <w:kern w:val="0"/>
      <w:sz w:val="20"/>
      <w:szCs w:val="20"/>
      <w14:ligatures w14:val="standardContextual"/>
    </w:rPr>
  </w:style>
  <w:style w:type="paragraph" w:customStyle="1" w:styleId="59">
    <w:name w:val="xl80"/>
    <w:basedOn w:val="1"/>
    <w:autoRedefine/>
    <w:qFormat/>
    <w:uiPriority w:val="0"/>
    <w:pPr>
      <w:widowControl/>
      <w:pBdr>
        <w:top w:val="single" w:color="auto" w:sz="8" w:space="0"/>
        <w:left w:val="single" w:color="auto" w:sz="8" w:space="0"/>
        <w:bottom w:val="single" w:color="auto" w:sz="8" w:space="0"/>
      </w:pBdr>
      <w:spacing w:before="100" w:beforeAutospacing="1" w:after="100" w:afterAutospacing="1"/>
      <w:jc w:val="center"/>
      <w:textAlignment w:val="center"/>
    </w:pPr>
    <w:rPr>
      <w:rFonts w:ascii="仿宋_GB2312" w:hAnsi="宋体" w:eastAsia="仿宋_GB2312" w:cs="宋体"/>
      <w:kern w:val="0"/>
      <w:sz w:val="24"/>
      <w:szCs w:val="24"/>
      <w14:ligatures w14:val="standardContextual"/>
    </w:rPr>
  </w:style>
  <w:style w:type="paragraph" w:customStyle="1" w:styleId="60">
    <w:name w:val="xl81"/>
    <w:basedOn w:val="1"/>
    <w:autoRedefine/>
    <w:qFormat/>
    <w:uiPriority w:val="0"/>
    <w:pPr>
      <w:widowControl/>
      <w:pBdr>
        <w:top w:val="single" w:color="auto" w:sz="8" w:space="0"/>
        <w:bottom w:val="single" w:color="auto" w:sz="8" w:space="0"/>
        <w:right w:val="single" w:color="auto" w:sz="8" w:space="0"/>
      </w:pBdr>
      <w:spacing w:before="100" w:beforeAutospacing="1" w:after="100" w:afterAutospacing="1"/>
      <w:jc w:val="center"/>
      <w:textAlignment w:val="center"/>
    </w:pPr>
    <w:rPr>
      <w:rFonts w:ascii="仿宋_GB2312" w:hAnsi="宋体" w:eastAsia="仿宋_GB2312" w:cs="宋体"/>
      <w:kern w:val="0"/>
      <w:sz w:val="24"/>
      <w:szCs w:val="24"/>
      <w14:ligatures w14:val="standardContextual"/>
    </w:rPr>
  </w:style>
  <w:style w:type="paragraph" w:customStyle="1" w:styleId="61">
    <w:name w:val="xl82"/>
    <w:basedOn w:val="1"/>
    <w:autoRedefine/>
    <w:qFormat/>
    <w:uiPriority w:val="0"/>
    <w:pPr>
      <w:widowControl/>
      <w:pBdr>
        <w:top w:val="single" w:color="auto" w:sz="8" w:space="0"/>
        <w:left w:val="single" w:color="auto" w:sz="8" w:space="0"/>
        <w:right w:val="single" w:color="auto" w:sz="8" w:space="0"/>
      </w:pBdr>
      <w:spacing w:before="100" w:beforeAutospacing="1" w:after="100" w:afterAutospacing="1"/>
      <w:jc w:val="center"/>
      <w:textAlignment w:val="center"/>
    </w:pPr>
    <w:rPr>
      <w:rFonts w:ascii="仿宋_GB2312" w:hAnsi="宋体" w:eastAsia="仿宋_GB2312" w:cs="宋体"/>
      <w:kern w:val="0"/>
      <w:sz w:val="20"/>
      <w:szCs w:val="20"/>
      <w14:ligatures w14:val="standardContextual"/>
    </w:rPr>
  </w:style>
  <w:style w:type="paragraph" w:customStyle="1" w:styleId="62">
    <w:name w:val="xl83"/>
    <w:basedOn w:val="1"/>
    <w:autoRedefine/>
    <w:qFormat/>
    <w:uiPriority w:val="0"/>
    <w:pPr>
      <w:widowControl/>
      <w:pBdr>
        <w:left w:val="single" w:color="auto" w:sz="8" w:space="0"/>
        <w:right w:val="single" w:color="auto" w:sz="8" w:space="0"/>
      </w:pBdr>
      <w:spacing w:before="100" w:beforeAutospacing="1" w:after="100" w:afterAutospacing="1"/>
      <w:jc w:val="center"/>
      <w:textAlignment w:val="center"/>
    </w:pPr>
    <w:rPr>
      <w:rFonts w:ascii="仿宋_GB2312" w:hAnsi="宋体" w:eastAsia="仿宋_GB2312" w:cs="宋体"/>
      <w:kern w:val="0"/>
      <w:sz w:val="20"/>
      <w:szCs w:val="20"/>
      <w14:ligatures w14:val="standardContextual"/>
    </w:rPr>
  </w:style>
  <w:style w:type="paragraph" w:customStyle="1" w:styleId="63">
    <w:name w:val="xl84"/>
    <w:basedOn w:val="1"/>
    <w:autoRedefine/>
    <w:qFormat/>
    <w:uiPriority w:val="0"/>
    <w:pPr>
      <w:widowControl/>
      <w:pBdr>
        <w:left w:val="single" w:color="auto" w:sz="8" w:space="0"/>
        <w:bottom w:val="single" w:color="auto" w:sz="8" w:space="0"/>
        <w:right w:val="single" w:color="auto" w:sz="8" w:space="0"/>
      </w:pBdr>
      <w:spacing w:before="100" w:beforeAutospacing="1" w:after="100" w:afterAutospacing="1"/>
      <w:jc w:val="center"/>
      <w:textAlignment w:val="center"/>
    </w:pPr>
    <w:rPr>
      <w:rFonts w:ascii="仿宋_GB2312" w:hAnsi="宋体" w:eastAsia="仿宋_GB2312" w:cs="宋体"/>
      <w:kern w:val="0"/>
      <w:sz w:val="20"/>
      <w:szCs w:val="20"/>
      <w14:ligatures w14:val="standardContextual"/>
    </w:rPr>
  </w:style>
  <w:style w:type="paragraph" w:customStyle="1" w:styleId="64">
    <w:name w:val="xl85"/>
    <w:basedOn w:val="1"/>
    <w:autoRedefine/>
    <w:qFormat/>
    <w:uiPriority w:val="0"/>
    <w:pPr>
      <w:widowControl/>
      <w:pBdr>
        <w:top w:val="single" w:color="auto" w:sz="8" w:space="0"/>
        <w:left w:val="single" w:color="auto" w:sz="8" w:space="0"/>
        <w:bottom w:val="single" w:color="auto" w:sz="8" w:space="0"/>
      </w:pBdr>
      <w:spacing w:before="100" w:beforeAutospacing="1" w:after="100" w:afterAutospacing="1"/>
      <w:jc w:val="center"/>
      <w:textAlignment w:val="center"/>
    </w:pPr>
    <w:rPr>
      <w:rFonts w:ascii="仿宋_GB2312" w:hAnsi="宋体" w:eastAsia="仿宋_GB2312" w:cs="宋体"/>
      <w:kern w:val="0"/>
      <w:sz w:val="24"/>
      <w:szCs w:val="24"/>
      <w14:ligatures w14:val="standardContextual"/>
    </w:rPr>
  </w:style>
  <w:style w:type="paragraph" w:customStyle="1" w:styleId="65">
    <w:name w:val="xl86"/>
    <w:basedOn w:val="1"/>
    <w:autoRedefine/>
    <w:qFormat/>
    <w:uiPriority w:val="0"/>
    <w:pPr>
      <w:widowControl/>
      <w:pBdr>
        <w:top w:val="single" w:color="auto" w:sz="8" w:space="0"/>
        <w:bottom w:val="single" w:color="auto" w:sz="8" w:space="0"/>
        <w:right w:val="single" w:color="auto" w:sz="8" w:space="0"/>
      </w:pBdr>
      <w:spacing w:before="100" w:beforeAutospacing="1" w:after="100" w:afterAutospacing="1"/>
      <w:jc w:val="center"/>
      <w:textAlignment w:val="center"/>
    </w:pPr>
    <w:rPr>
      <w:rFonts w:ascii="仿宋_GB2312" w:hAnsi="宋体" w:eastAsia="仿宋_GB2312" w:cs="宋体"/>
      <w:kern w:val="0"/>
      <w:sz w:val="24"/>
      <w:szCs w:val="24"/>
      <w14:ligatures w14:val="standardContextual"/>
    </w:rPr>
  </w:style>
  <w:style w:type="paragraph" w:customStyle="1" w:styleId="66">
    <w:name w:val="xl87"/>
    <w:basedOn w:val="1"/>
    <w:autoRedefine/>
    <w:qFormat/>
    <w:uiPriority w:val="0"/>
    <w:pPr>
      <w:widowControl/>
      <w:pBdr>
        <w:top w:val="single" w:color="auto" w:sz="8" w:space="0"/>
        <w:left w:val="single" w:color="auto" w:sz="8" w:space="0"/>
        <w:bottom w:val="single" w:color="auto" w:sz="8" w:space="0"/>
      </w:pBdr>
      <w:spacing w:before="100" w:beforeAutospacing="1" w:after="100" w:afterAutospacing="1"/>
      <w:jc w:val="center"/>
      <w:textAlignment w:val="center"/>
    </w:pPr>
    <w:rPr>
      <w:rFonts w:ascii="仿宋_GB2312" w:hAnsi="宋体" w:eastAsia="仿宋_GB2312" w:cs="宋体"/>
      <w:color w:val="000000"/>
      <w:kern w:val="0"/>
      <w:sz w:val="24"/>
      <w:szCs w:val="24"/>
      <w14:ligatures w14:val="standardContextual"/>
    </w:rPr>
  </w:style>
  <w:style w:type="paragraph" w:customStyle="1" w:styleId="67">
    <w:name w:val="xl88"/>
    <w:basedOn w:val="1"/>
    <w:autoRedefine/>
    <w:qFormat/>
    <w:uiPriority w:val="0"/>
    <w:pPr>
      <w:widowControl/>
      <w:pBdr>
        <w:top w:val="single" w:color="auto" w:sz="8" w:space="0"/>
        <w:bottom w:val="single" w:color="auto" w:sz="8" w:space="0"/>
        <w:right w:val="single" w:color="auto" w:sz="8" w:space="0"/>
      </w:pBdr>
      <w:spacing w:before="100" w:beforeAutospacing="1" w:after="100" w:afterAutospacing="1"/>
      <w:jc w:val="center"/>
      <w:textAlignment w:val="center"/>
    </w:pPr>
    <w:rPr>
      <w:rFonts w:ascii="仿宋_GB2312" w:hAnsi="宋体" w:eastAsia="仿宋_GB2312" w:cs="宋体"/>
      <w:color w:val="000000"/>
      <w:kern w:val="0"/>
      <w:sz w:val="24"/>
      <w:szCs w:val="24"/>
      <w14:ligatures w14:val="standardContextual"/>
    </w:rPr>
  </w:style>
  <w:style w:type="paragraph" w:customStyle="1" w:styleId="68">
    <w:name w:val="xl89"/>
    <w:basedOn w:val="1"/>
    <w:autoRedefine/>
    <w:qFormat/>
    <w:uiPriority w:val="0"/>
    <w:pPr>
      <w:widowControl/>
      <w:spacing w:before="100" w:beforeAutospacing="1" w:after="100" w:afterAutospacing="1"/>
      <w:jc w:val="center"/>
      <w:textAlignment w:val="center"/>
    </w:pPr>
    <w:rPr>
      <w:rFonts w:ascii="仿宋_GB2312" w:hAnsi="宋体" w:eastAsia="仿宋_GB2312" w:cs="宋体"/>
      <w:kern w:val="0"/>
      <w:sz w:val="24"/>
      <w:szCs w:val="24"/>
      <w14:ligatures w14:val="standardContextual"/>
    </w:rPr>
  </w:style>
  <w:style w:type="paragraph" w:customStyle="1" w:styleId="69">
    <w:name w:val="xl90"/>
    <w:basedOn w:val="1"/>
    <w:autoRedefine/>
    <w:qFormat/>
    <w:uiPriority w:val="0"/>
    <w:pPr>
      <w:widowControl/>
      <w:pBdr>
        <w:top w:val="single" w:color="auto" w:sz="8" w:space="0"/>
        <w:left w:val="single" w:color="auto" w:sz="8" w:space="0"/>
      </w:pBdr>
      <w:spacing w:before="100" w:beforeAutospacing="1" w:after="100" w:afterAutospacing="1"/>
      <w:jc w:val="center"/>
      <w:textAlignment w:val="center"/>
    </w:pPr>
    <w:rPr>
      <w:rFonts w:ascii="仿宋_GB2312" w:hAnsi="宋体" w:eastAsia="仿宋_GB2312" w:cs="宋体"/>
      <w:kern w:val="0"/>
      <w:sz w:val="24"/>
      <w:szCs w:val="24"/>
      <w14:ligatures w14:val="standardContextual"/>
    </w:rPr>
  </w:style>
  <w:style w:type="paragraph" w:customStyle="1" w:styleId="70">
    <w:name w:val="xl91"/>
    <w:basedOn w:val="1"/>
    <w:autoRedefine/>
    <w:qFormat/>
    <w:uiPriority w:val="0"/>
    <w:pPr>
      <w:widowControl/>
      <w:pBdr>
        <w:top w:val="single" w:color="auto" w:sz="8" w:space="0"/>
        <w:right w:val="single" w:color="auto" w:sz="8" w:space="0"/>
      </w:pBdr>
      <w:spacing w:before="100" w:beforeAutospacing="1" w:after="100" w:afterAutospacing="1"/>
      <w:jc w:val="center"/>
      <w:textAlignment w:val="center"/>
    </w:pPr>
    <w:rPr>
      <w:rFonts w:ascii="仿宋_GB2312" w:hAnsi="宋体" w:eastAsia="仿宋_GB2312" w:cs="宋体"/>
      <w:kern w:val="0"/>
      <w:sz w:val="24"/>
      <w:szCs w:val="24"/>
      <w14:ligatures w14:val="standardContextual"/>
    </w:rPr>
  </w:style>
  <w:style w:type="paragraph" w:customStyle="1" w:styleId="71">
    <w:name w:val="xl92"/>
    <w:basedOn w:val="1"/>
    <w:autoRedefine/>
    <w:qFormat/>
    <w:uiPriority w:val="0"/>
    <w:pPr>
      <w:widowControl/>
      <w:pBdr>
        <w:left w:val="single" w:color="auto" w:sz="8" w:space="0"/>
        <w:bottom w:val="single" w:color="auto" w:sz="8" w:space="0"/>
      </w:pBdr>
      <w:spacing w:before="100" w:beforeAutospacing="1" w:after="100" w:afterAutospacing="1"/>
      <w:jc w:val="center"/>
      <w:textAlignment w:val="center"/>
    </w:pPr>
    <w:rPr>
      <w:rFonts w:ascii="仿宋_GB2312" w:hAnsi="宋体" w:eastAsia="仿宋_GB2312" w:cs="宋体"/>
      <w:kern w:val="0"/>
      <w:sz w:val="24"/>
      <w:szCs w:val="24"/>
      <w14:ligatures w14:val="standardContextual"/>
    </w:rPr>
  </w:style>
  <w:style w:type="paragraph" w:customStyle="1" w:styleId="72">
    <w:name w:val="xl93"/>
    <w:basedOn w:val="1"/>
    <w:autoRedefine/>
    <w:qFormat/>
    <w:uiPriority w:val="0"/>
    <w:pPr>
      <w:widowControl/>
      <w:pBdr>
        <w:top w:val="single" w:color="auto" w:sz="8" w:space="0"/>
        <w:left w:val="single" w:color="auto" w:sz="8" w:space="0"/>
        <w:right w:val="single" w:color="auto" w:sz="8" w:space="0"/>
      </w:pBdr>
      <w:spacing w:before="100" w:beforeAutospacing="1" w:after="100" w:afterAutospacing="1"/>
      <w:jc w:val="center"/>
      <w:textAlignment w:val="center"/>
    </w:pPr>
    <w:rPr>
      <w:rFonts w:ascii="仿宋_GB2312" w:hAnsi="宋体" w:eastAsia="仿宋_GB2312" w:cs="宋体"/>
      <w:kern w:val="0"/>
      <w:sz w:val="24"/>
      <w:szCs w:val="24"/>
      <w14:ligatures w14:val="standardContextual"/>
    </w:rPr>
  </w:style>
  <w:style w:type="paragraph" w:customStyle="1" w:styleId="73">
    <w:name w:val="xl94"/>
    <w:basedOn w:val="1"/>
    <w:autoRedefine/>
    <w:qFormat/>
    <w:uiPriority w:val="0"/>
    <w:pPr>
      <w:widowControl/>
      <w:pBdr>
        <w:left w:val="single" w:color="auto" w:sz="8" w:space="0"/>
        <w:bottom w:val="single" w:color="auto" w:sz="8" w:space="0"/>
        <w:right w:val="single" w:color="auto" w:sz="8" w:space="0"/>
      </w:pBdr>
      <w:spacing w:before="100" w:beforeAutospacing="1" w:after="100" w:afterAutospacing="1"/>
      <w:jc w:val="center"/>
      <w:textAlignment w:val="center"/>
    </w:pPr>
    <w:rPr>
      <w:rFonts w:ascii="仿宋_GB2312" w:hAnsi="宋体" w:eastAsia="仿宋_GB2312" w:cs="宋体"/>
      <w:kern w:val="0"/>
      <w:sz w:val="24"/>
      <w:szCs w:val="24"/>
      <w14:ligatures w14:val="standardContextual"/>
    </w:rPr>
  </w:style>
  <w:style w:type="paragraph" w:customStyle="1" w:styleId="74">
    <w:name w:val="xl95"/>
    <w:basedOn w:val="1"/>
    <w:autoRedefine/>
    <w:qFormat/>
    <w:uiPriority w:val="0"/>
    <w:pPr>
      <w:widowControl/>
      <w:pBdr>
        <w:left w:val="single" w:color="auto" w:sz="8" w:space="0"/>
      </w:pBdr>
      <w:spacing w:before="100" w:beforeAutospacing="1" w:after="100" w:afterAutospacing="1"/>
      <w:jc w:val="center"/>
      <w:textAlignment w:val="center"/>
    </w:pPr>
    <w:rPr>
      <w:rFonts w:ascii="仿宋_GB2312" w:hAnsi="宋体" w:eastAsia="仿宋_GB2312" w:cs="宋体"/>
      <w:kern w:val="0"/>
      <w:sz w:val="24"/>
      <w:szCs w:val="24"/>
      <w14:ligatures w14:val="standardContextual"/>
    </w:rPr>
  </w:style>
  <w:style w:type="paragraph" w:customStyle="1" w:styleId="75">
    <w:name w:val="xl96"/>
    <w:basedOn w:val="1"/>
    <w:autoRedefine/>
    <w:qFormat/>
    <w:uiPriority w:val="0"/>
    <w:pPr>
      <w:widowControl/>
      <w:pBdr>
        <w:top w:val="single" w:color="auto" w:sz="8" w:space="0"/>
      </w:pBdr>
      <w:spacing w:before="100" w:beforeAutospacing="1" w:after="100" w:afterAutospacing="1"/>
      <w:jc w:val="center"/>
      <w:textAlignment w:val="center"/>
    </w:pPr>
    <w:rPr>
      <w:rFonts w:ascii="仿宋_GB2312" w:hAnsi="宋体" w:eastAsia="仿宋_GB2312" w:cs="宋体"/>
      <w:kern w:val="0"/>
      <w:sz w:val="24"/>
      <w:szCs w:val="24"/>
      <w14:ligatures w14:val="standardContextual"/>
    </w:rPr>
  </w:style>
  <w:style w:type="paragraph" w:customStyle="1" w:styleId="76">
    <w:name w:val="xl97"/>
    <w:basedOn w:val="1"/>
    <w:autoRedefine/>
    <w:qFormat/>
    <w:uiPriority w:val="0"/>
    <w:pPr>
      <w:widowControl/>
      <w:pBdr>
        <w:top w:val="single" w:color="auto" w:sz="8" w:space="0"/>
        <w:left w:val="single" w:color="auto" w:sz="8" w:space="0"/>
        <w:bottom w:val="single" w:color="auto" w:sz="8" w:space="0"/>
        <w:right w:val="single" w:color="auto" w:sz="8" w:space="0"/>
      </w:pBdr>
      <w:spacing w:before="100" w:beforeAutospacing="1" w:after="100" w:afterAutospacing="1"/>
      <w:jc w:val="left"/>
      <w:textAlignment w:val="center"/>
    </w:pPr>
    <w:rPr>
      <w:rFonts w:ascii="仿宋_GB2312" w:hAnsi="宋体" w:eastAsia="仿宋_GB2312" w:cs="宋体"/>
      <w:kern w:val="0"/>
      <w:sz w:val="20"/>
      <w:szCs w:val="20"/>
      <w14:ligatures w14:val="standardContextual"/>
    </w:rPr>
  </w:style>
  <w:style w:type="paragraph" w:customStyle="1" w:styleId="77">
    <w:name w:val="xl98"/>
    <w:basedOn w:val="1"/>
    <w:autoRedefine/>
    <w:qFormat/>
    <w:uiPriority w:val="0"/>
    <w:pPr>
      <w:widowControl/>
      <w:pBdr>
        <w:top w:val="single" w:color="auto" w:sz="8" w:space="0"/>
      </w:pBdr>
      <w:spacing w:before="100" w:beforeAutospacing="1" w:after="100" w:afterAutospacing="1"/>
      <w:jc w:val="center"/>
      <w:textAlignment w:val="center"/>
    </w:pPr>
    <w:rPr>
      <w:rFonts w:ascii="仿宋_GB2312" w:hAnsi="宋体" w:eastAsia="仿宋_GB2312" w:cs="宋体"/>
      <w:kern w:val="0"/>
      <w:sz w:val="24"/>
      <w:szCs w:val="24"/>
      <w14:ligatures w14:val="standardContextual"/>
    </w:rPr>
  </w:style>
  <w:style w:type="paragraph" w:customStyle="1" w:styleId="78">
    <w:name w:val="xl99"/>
    <w:basedOn w:val="1"/>
    <w:autoRedefine/>
    <w:qFormat/>
    <w:uiPriority w:val="0"/>
    <w:pPr>
      <w:widowControl/>
      <w:pBdr>
        <w:top w:val="single" w:color="auto" w:sz="8" w:space="0"/>
        <w:left w:val="single" w:color="auto" w:sz="8" w:space="0"/>
        <w:bottom w:val="single" w:color="auto" w:sz="8" w:space="0"/>
        <w:right w:val="single" w:color="auto" w:sz="8" w:space="0"/>
      </w:pBdr>
      <w:spacing w:before="100" w:beforeAutospacing="1" w:after="100" w:afterAutospacing="1"/>
      <w:jc w:val="left"/>
      <w:textAlignment w:val="center"/>
    </w:pPr>
    <w:rPr>
      <w:rFonts w:ascii="仿宋_GB2312" w:hAnsi="宋体" w:eastAsia="仿宋_GB2312" w:cs="宋体"/>
      <w:kern w:val="0"/>
      <w:sz w:val="20"/>
      <w:szCs w:val="20"/>
      <w14:ligatures w14:val="standardContextual"/>
    </w:rPr>
  </w:style>
  <w:style w:type="character" w:customStyle="1" w:styleId="79">
    <w:name w:val="批注主题 字符"/>
    <w:basedOn w:val="24"/>
    <w:link w:val="11"/>
    <w:autoRedefine/>
    <w:semiHidden/>
    <w:qFormat/>
    <w:uiPriority w:val="99"/>
    <w:rPr>
      <w:b/>
      <w:bCs/>
      <w:kern w:val="2"/>
      <w:sz w:val="21"/>
      <w:szCs w:val="22"/>
    </w:rPr>
  </w:style>
  <w:style w:type="paragraph" w:customStyle="1" w:styleId="80">
    <w:name w:val="修订1"/>
    <w:autoRedefine/>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81">
    <w:name w:val="font21"/>
    <w:basedOn w:val="15"/>
    <w:autoRedefine/>
    <w:qFormat/>
    <w:uiPriority w:val="0"/>
    <w:rPr>
      <w:rFonts w:hint="eastAsia" w:ascii="仿宋_GB2312" w:eastAsia="仿宋_GB2312" w:cs="仿宋_GB2312"/>
      <w:color w:val="000000"/>
      <w:sz w:val="20"/>
      <w:szCs w:val="2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D3A2B7-6191-4E97-A86A-369DE99D8276}">
  <ds:schemaRefs/>
</ds:datastoreItem>
</file>

<file path=docProps/app.xml><?xml version="1.0" encoding="utf-8"?>
<Properties xmlns="http://schemas.openxmlformats.org/officeDocument/2006/extended-properties" xmlns:vt="http://schemas.openxmlformats.org/officeDocument/2006/docPropsVTypes">
  <Template>Normal</Template>
  <Pages>23</Pages>
  <Words>629</Words>
  <Characters>663</Characters>
  <Lines>1833</Lines>
  <Paragraphs>688</Paragraphs>
  <TotalTime>76</TotalTime>
  <ScaleCrop>false</ScaleCrop>
  <LinksUpToDate>false</LinksUpToDate>
  <CharactersWithSpaces>669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2023-05-29T02:48:00Z</dcterms:created>
  <dc:creator>吴 忠平</dc:creator>
  <cp:lastModifiedBy>罗铭斯</cp:lastModifiedBy>
  <cp:lastPrinted>2025-10-20T03:14:00Z</cp:lastPrinted>
  <dcterms:modified xsi:type="dcterms:W3CDTF">2025-10-21T08:15:31Z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A71837BCA68A4A958FDA8BC4C7554680_13</vt:lpwstr>
  </property>
  <property fmtid="{D5CDD505-2E9C-101B-9397-08002B2CF9AE}" pid="4" name="KSOTemplateDocerSaveRecord">
    <vt:lpwstr>eyJoZGlkIjoiN2Y5YTU0YjcwZTQyNmM2NDVkOWQ2OTIwYWU1OWE4YTQiLCJ1c2VySWQiOiIxNTg0NTIwOTQ3In0=</vt:lpwstr>
  </property>
</Properties>
</file>