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67AE0D4">
      <w:pPr>
        <w:jc w:val="right"/>
        <w:rPr>
          <w:rFonts w:ascii="黑体" w:eastAsia="黑体"/>
          <w:color w:val="auto"/>
          <w:szCs w:val="21"/>
          <w:highlight w:val="none"/>
        </w:rPr>
      </w:pPr>
    </w:p>
    <w:p w14:paraId="6E065627">
      <w:pPr>
        <w:pStyle w:val="38"/>
        <w:ind w:firstLine="400"/>
        <w:rPr>
          <w:color w:val="auto"/>
          <w:highlight w:val="none"/>
        </w:rPr>
      </w:pPr>
    </w:p>
    <w:p w14:paraId="489633B7">
      <w:pPr>
        <w:rPr>
          <w:color w:val="auto"/>
          <w:highlight w:val="none"/>
        </w:rPr>
      </w:pPr>
    </w:p>
    <w:p w14:paraId="33E16746">
      <w:pPr>
        <w:rPr>
          <w:color w:val="auto"/>
          <w:highlight w:val="none"/>
        </w:rPr>
      </w:pPr>
    </w:p>
    <w:p w14:paraId="342368DC">
      <w:pPr>
        <w:rPr>
          <w:color w:val="auto"/>
          <w:highlight w:val="none"/>
        </w:rPr>
      </w:pPr>
    </w:p>
    <w:p w14:paraId="1A4891AF">
      <w:pPr>
        <w:ind w:right="-28"/>
        <w:jc w:val="center"/>
        <w:textAlignment w:val="bottom"/>
        <w:rPr>
          <w:rFonts w:ascii="黑体" w:hAnsi="黑体" w:eastAsia="黑体" w:cs="黑体"/>
          <w:bCs/>
          <w:color w:val="auto"/>
          <w:spacing w:val="57"/>
          <w:sz w:val="96"/>
          <w:szCs w:val="96"/>
          <w:highlight w:val="none"/>
        </w:rPr>
      </w:pPr>
      <w:r>
        <w:rPr>
          <w:rFonts w:hint="eastAsia" w:ascii="黑体" w:hAnsi="黑体" w:eastAsia="黑体" w:cs="黑体"/>
          <w:bCs/>
          <w:color w:val="auto"/>
          <w:spacing w:val="57"/>
          <w:sz w:val="96"/>
          <w:szCs w:val="96"/>
          <w:highlight w:val="none"/>
        </w:rPr>
        <w:t>公开采购文件</w:t>
      </w:r>
    </w:p>
    <w:p w14:paraId="7509A302">
      <w:pPr>
        <w:rPr>
          <w:color w:val="auto"/>
          <w:highlight w:val="none"/>
        </w:rPr>
      </w:pPr>
    </w:p>
    <w:p w14:paraId="23B574EA">
      <w:pPr>
        <w:pStyle w:val="10"/>
        <w:rPr>
          <w:color w:val="auto"/>
          <w:highlight w:val="none"/>
        </w:rPr>
      </w:pPr>
    </w:p>
    <w:tbl>
      <w:tblPr>
        <w:tblStyle w:val="31"/>
        <w:tblW w:w="0" w:type="auto"/>
        <w:tblInd w:w="-29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613"/>
        <w:gridCol w:w="6203"/>
      </w:tblGrid>
      <w:tr w14:paraId="3F26D7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7" w:hRule="atLeast"/>
        </w:trPr>
        <w:tc>
          <w:tcPr>
            <w:tcW w:w="2613" w:type="dxa"/>
            <w:noWrap/>
            <w:vAlign w:val="center"/>
          </w:tcPr>
          <w:p w14:paraId="11124DC8">
            <w:pPr>
              <w:spacing w:before="200"/>
              <w:jc w:val="both"/>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rPr>
              <w:t>项目名称：</w:t>
            </w:r>
          </w:p>
        </w:tc>
        <w:tc>
          <w:tcPr>
            <w:tcW w:w="6203" w:type="dxa"/>
            <w:noWrap/>
            <w:vAlign w:val="center"/>
          </w:tcPr>
          <w:p w14:paraId="4E1D4307">
            <w:pPr>
              <w:spacing w:before="200"/>
              <w:jc w:val="both"/>
              <w:rPr>
                <w:rFonts w:hint="eastAsia" w:ascii="黑体" w:hAnsi="黑体" w:eastAsia="黑体" w:cs="黑体"/>
                <w:bCs/>
                <w:color w:val="auto"/>
                <w:sz w:val="32"/>
                <w:szCs w:val="24"/>
                <w:highlight w:val="none"/>
                <w:lang w:eastAsia="zh-CN"/>
              </w:rPr>
            </w:pPr>
            <w:r>
              <w:rPr>
                <w:rFonts w:hint="eastAsia" w:ascii="黑体" w:hAnsi="黑体" w:eastAsia="黑体" w:cs="黑体"/>
                <w:bCs/>
                <w:color w:val="auto"/>
                <w:sz w:val="32"/>
                <w:szCs w:val="24"/>
                <w:highlight w:val="none"/>
                <w:u w:val="single"/>
                <w:lang w:val="en-US" w:eastAsia="zh-CN"/>
              </w:rPr>
              <w:t>东莞市新东欣环保投资有限公司</w:t>
            </w:r>
            <w:r>
              <w:rPr>
                <w:rFonts w:hint="eastAsia" w:ascii="黑体" w:hAnsi="黑体" w:eastAsia="黑体" w:cs="黑体"/>
                <w:bCs/>
                <w:color w:val="auto"/>
                <w:sz w:val="32"/>
                <w:szCs w:val="24"/>
                <w:highlight w:val="none"/>
                <w:u w:val="single"/>
                <w:lang w:eastAsia="zh-CN"/>
              </w:rPr>
              <w:t>莞惠区域危废运输服务项目</w:t>
            </w:r>
          </w:p>
        </w:tc>
      </w:tr>
      <w:tr w14:paraId="715137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35" w:hRule="atLeast"/>
        </w:trPr>
        <w:tc>
          <w:tcPr>
            <w:tcW w:w="2613" w:type="dxa"/>
            <w:noWrap/>
            <w:vAlign w:val="center"/>
          </w:tcPr>
          <w:p w14:paraId="0A7350A7">
            <w:pPr>
              <w:spacing w:before="200"/>
              <w:jc w:val="both"/>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rPr>
              <w:t>项目采购编号：</w:t>
            </w:r>
          </w:p>
        </w:tc>
        <w:tc>
          <w:tcPr>
            <w:tcW w:w="6203" w:type="dxa"/>
            <w:noWrap/>
            <w:vAlign w:val="center"/>
          </w:tcPr>
          <w:p w14:paraId="20E43E5E">
            <w:pPr>
              <w:spacing w:before="200"/>
              <w:jc w:val="both"/>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u w:val="single"/>
              </w:rPr>
              <w:t>XDX-GK-2025-001</w:t>
            </w:r>
          </w:p>
        </w:tc>
      </w:tr>
      <w:tr w14:paraId="055BB7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49" w:hRule="atLeast"/>
        </w:trPr>
        <w:tc>
          <w:tcPr>
            <w:tcW w:w="2613" w:type="dxa"/>
            <w:noWrap/>
            <w:vAlign w:val="center"/>
          </w:tcPr>
          <w:p w14:paraId="24AACE50">
            <w:pPr>
              <w:spacing w:before="200"/>
              <w:jc w:val="both"/>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rPr>
              <w:t>采购人：</w:t>
            </w:r>
          </w:p>
        </w:tc>
        <w:tc>
          <w:tcPr>
            <w:tcW w:w="6203" w:type="dxa"/>
            <w:noWrap/>
            <w:vAlign w:val="center"/>
          </w:tcPr>
          <w:p w14:paraId="55C2D081">
            <w:pPr>
              <w:spacing w:before="200"/>
              <w:jc w:val="both"/>
              <w:rPr>
                <w:rFonts w:hint="eastAsia" w:ascii="黑体" w:hAnsi="黑体" w:eastAsia="黑体" w:cs="黑体"/>
                <w:bCs/>
                <w:color w:val="auto"/>
                <w:sz w:val="32"/>
                <w:szCs w:val="24"/>
                <w:highlight w:val="none"/>
                <w:lang w:eastAsia="zh-CN"/>
              </w:rPr>
            </w:pPr>
            <w:r>
              <w:rPr>
                <w:rFonts w:hint="eastAsia" w:ascii="黑体" w:hAnsi="黑体" w:eastAsia="黑体" w:cs="黑体"/>
                <w:bCs/>
                <w:color w:val="auto"/>
                <w:sz w:val="32"/>
                <w:szCs w:val="24"/>
                <w:highlight w:val="none"/>
                <w:u w:val="single"/>
                <w:lang w:eastAsia="zh-CN"/>
              </w:rPr>
              <w:t>东莞市新东欣环保投资有限公司</w:t>
            </w:r>
          </w:p>
        </w:tc>
      </w:tr>
      <w:tr w14:paraId="647374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49" w:hRule="atLeast"/>
        </w:trPr>
        <w:tc>
          <w:tcPr>
            <w:tcW w:w="2613" w:type="dxa"/>
            <w:noWrap/>
            <w:vAlign w:val="center"/>
          </w:tcPr>
          <w:p w14:paraId="610CC3DD">
            <w:pPr>
              <w:spacing w:before="200"/>
              <w:jc w:val="both"/>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rPr>
              <w:t>采购代理：</w:t>
            </w:r>
          </w:p>
        </w:tc>
        <w:tc>
          <w:tcPr>
            <w:tcW w:w="6203" w:type="dxa"/>
            <w:noWrap/>
            <w:vAlign w:val="center"/>
          </w:tcPr>
          <w:p w14:paraId="1CB08EC1">
            <w:pPr>
              <w:spacing w:before="200"/>
              <w:jc w:val="both"/>
              <w:rPr>
                <w:rFonts w:hint="eastAsia" w:ascii="黑体" w:hAnsi="黑体" w:eastAsia="黑体" w:cs="黑体"/>
                <w:bCs/>
                <w:color w:val="auto"/>
                <w:sz w:val="32"/>
                <w:szCs w:val="24"/>
                <w:highlight w:val="none"/>
                <w:lang w:eastAsia="zh-CN"/>
              </w:rPr>
            </w:pPr>
            <w:r>
              <w:rPr>
                <w:rFonts w:hint="eastAsia" w:ascii="黑体" w:hAnsi="黑体" w:eastAsia="黑体" w:cs="黑体"/>
                <w:bCs/>
                <w:color w:val="auto"/>
                <w:sz w:val="32"/>
                <w:szCs w:val="24"/>
                <w:highlight w:val="none"/>
                <w:u w:val="single"/>
                <w:lang w:eastAsia="zh-CN"/>
              </w:rPr>
              <w:t>广东人信工程咨询有限公司</w:t>
            </w:r>
          </w:p>
        </w:tc>
      </w:tr>
    </w:tbl>
    <w:p w14:paraId="1624F492">
      <w:pPr>
        <w:jc w:val="center"/>
        <w:rPr>
          <w:rFonts w:ascii="黑体" w:eastAsia="黑体"/>
          <w:color w:val="auto"/>
          <w:szCs w:val="21"/>
          <w:highlight w:val="none"/>
        </w:rPr>
      </w:pPr>
    </w:p>
    <w:p w14:paraId="67C0F9A5">
      <w:pPr>
        <w:jc w:val="center"/>
        <w:rPr>
          <w:rFonts w:ascii="黑体" w:eastAsia="黑体"/>
          <w:color w:val="auto"/>
          <w:szCs w:val="21"/>
          <w:highlight w:val="none"/>
        </w:rPr>
      </w:pPr>
    </w:p>
    <w:p w14:paraId="27E4FE64">
      <w:pPr>
        <w:jc w:val="center"/>
        <w:rPr>
          <w:rFonts w:ascii="黑体" w:eastAsia="黑体"/>
          <w:color w:val="auto"/>
          <w:szCs w:val="21"/>
          <w:highlight w:val="none"/>
        </w:rPr>
      </w:pPr>
    </w:p>
    <w:p w14:paraId="403C9786">
      <w:pPr>
        <w:pStyle w:val="38"/>
        <w:ind w:firstLine="400"/>
        <w:rPr>
          <w:color w:val="auto"/>
          <w:highlight w:val="none"/>
        </w:rPr>
      </w:pPr>
    </w:p>
    <w:p w14:paraId="345C6B4D">
      <w:pPr>
        <w:jc w:val="center"/>
        <w:rPr>
          <w:rFonts w:ascii="黑体" w:eastAsia="黑体"/>
          <w:color w:val="auto"/>
          <w:szCs w:val="21"/>
          <w:highlight w:val="none"/>
        </w:rPr>
      </w:pPr>
    </w:p>
    <w:p w14:paraId="32559E64">
      <w:pPr>
        <w:jc w:val="center"/>
        <w:rPr>
          <w:rFonts w:ascii="黑体" w:eastAsia="黑体"/>
          <w:color w:val="auto"/>
          <w:szCs w:val="21"/>
          <w:highlight w:val="none"/>
        </w:rPr>
      </w:pPr>
    </w:p>
    <w:p w14:paraId="6D1E8FAC">
      <w:pPr>
        <w:spacing w:before="200"/>
        <w:jc w:val="center"/>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rPr>
        <w:t>20</w:t>
      </w:r>
      <w:r>
        <w:rPr>
          <w:rFonts w:hint="eastAsia" w:ascii="黑体" w:hAnsi="黑体" w:eastAsia="黑体" w:cs="黑体"/>
          <w:bCs/>
          <w:color w:val="auto"/>
          <w:sz w:val="32"/>
          <w:szCs w:val="24"/>
          <w:highlight w:val="none"/>
          <w:lang w:val="en-US" w:eastAsia="zh-CN"/>
        </w:rPr>
        <w:t>25</w:t>
      </w:r>
      <w:r>
        <w:rPr>
          <w:rFonts w:hint="eastAsia" w:ascii="黑体" w:hAnsi="黑体" w:eastAsia="黑体" w:cs="黑体"/>
          <w:bCs/>
          <w:color w:val="auto"/>
          <w:sz w:val="32"/>
          <w:szCs w:val="24"/>
          <w:highlight w:val="none"/>
        </w:rPr>
        <w:t>年</w:t>
      </w:r>
      <w:r>
        <w:rPr>
          <w:rFonts w:hint="eastAsia" w:ascii="黑体" w:hAnsi="黑体" w:eastAsia="黑体" w:cs="黑体"/>
          <w:bCs/>
          <w:color w:val="auto"/>
          <w:sz w:val="32"/>
          <w:szCs w:val="24"/>
          <w:highlight w:val="none"/>
          <w:lang w:val="en-US" w:eastAsia="zh-CN"/>
        </w:rPr>
        <w:t>10</w:t>
      </w:r>
      <w:r>
        <w:rPr>
          <w:rFonts w:hint="eastAsia" w:ascii="黑体" w:hAnsi="黑体" w:eastAsia="黑体" w:cs="黑体"/>
          <w:bCs/>
          <w:color w:val="auto"/>
          <w:sz w:val="32"/>
          <w:szCs w:val="24"/>
          <w:highlight w:val="none"/>
        </w:rPr>
        <w:t>月</w:t>
      </w:r>
    </w:p>
    <w:p w14:paraId="66B5691D">
      <w:pPr>
        <w:rPr>
          <w:color w:val="auto"/>
          <w:highlight w:val="none"/>
        </w:rPr>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708" w:footer="708" w:gutter="0"/>
          <w:pgNumType w:start="1"/>
          <w:cols w:space="708" w:num="1"/>
          <w:titlePg/>
          <w:docGrid w:type="lines" w:linePitch="360" w:charSpace="0"/>
        </w:sectPr>
      </w:pPr>
    </w:p>
    <w:p w14:paraId="16B1D490">
      <w:pPr>
        <w:pStyle w:val="23"/>
        <w:ind w:left="0" w:leftChars="0"/>
        <w:rPr>
          <w:color w:val="auto"/>
          <w:sz w:val="40"/>
          <w:szCs w:val="40"/>
          <w:highlight w:val="none"/>
        </w:rPr>
      </w:pPr>
      <w:r>
        <w:rPr>
          <w:rFonts w:hint="eastAsia"/>
          <w:color w:val="auto"/>
          <w:sz w:val="40"/>
          <w:szCs w:val="40"/>
          <w:highlight w:val="none"/>
        </w:rPr>
        <w:t>目录</w:t>
      </w:r>
    </w:p>
    <w:p w14:paraId="1838F78C">
      <w:pPr>
        <w:pStyle w:val="23"/>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 w:val="0"/>
          <w:bCs w:val="0"/>
          <w:color w:val="auto"/>
          <w:sz w:val="21"/>
          <w:szCs w:val="21"/>
          <w:highlight w:val="none"/>
        </w:rPr>
        <w:fldChar w:fldCharType="begin"/>
      </w:r>
      <w:r>
        <w:rPr>
          <w:rFonts w:hint="eastAsia" w:ascii="宋体" w:hAnsi="宋体" w:eastAsia="宋体" w:cs="宋体"/>
          <w:b w:val="0"/>
          <w:bCs w:val="0"/>
          <w:color w:val="auto"/>
          <w:sz w:val="21"/>
          <w:szCs w:val="21"/>
          <w:highlight w:val="none"/>
        </w:rPr>
        <w:instrText xml:space="preserve"> TOC \o "1-4" \h \z \u </w:instrText>
      </w:r>
      <w:r>
        <w:rPr>
          <w:rFonts w:hint="eastAsia" w:ascii="宋体" w:hAnsi="宋体" w:eastAsia="宋体" w:cs="宋体"/>
          <w:b w:val="0"/>
          <w:bCs w:val="0"/>
          <w:color w:val="auto"/>
          <w:sz w:val="21"/>
          <w:szCs w:val="21"/>
          <w:highlight w:val="none"/>
        </w:rPr>
        <w:fldChar w:fldCharType="separate"/>
      </w: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_Toc21468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第一部分投</w:t>
      </w:r>
      <w:r>
        <w:rPr>
          <w:rFonts w:hint="eastAsia" w:ascii="宋体" w:hAnsi="宋体" w:eastAsia="宋体" w:cs="宋体"/>
          <w:color w:val="auto"/>
          <w:sz w:val="21"/>
          <w:szCs w:val="21"/>
          <w:highlight w:val="none"/>
        </w:rPr>
        <w:t>标邀请</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_Toc21468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6</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1E517CBA">
      <w:pPr>
        <w:pStyle w:val="13"/>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_Toc20244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投标邀请书</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_Toc20244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6</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4D5F68C3">
      <w:pPr>
        <w:pStyle w:val="23"/>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_Toc2962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第二部分相关资料表格</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_Toc2962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9</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477BEF65">
      <w:pPr>
        <w:pStyle w:val="13"/>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_Toc20179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附表一：投标资料表</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_Toc20179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9</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5AA4B867">
      <w:pPr>
        <w:pStyle w:val="13"/>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_Toc20815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附表二：商务技术评分及价格权重表（满分100分）</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_Toc20815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12</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63680FAC">
      <w:pPr>
        <w:pStyle w:val="23"/>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_Toc462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第三部分用户需求书</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_Toc462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15</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2529AF3A">
      <w:pPr>
        <w:pStyle w:val="13"/>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_Toc23668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第一章 商务需求书</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_Toc23668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15</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5ED8F8D6">
      <w:pPr>
        <w:pStyle w:val="13"/>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_Toc25642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第二章 技术需求书</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_Toc25642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16</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03A7E6A3">
      <w:pPr>
        <w:pStyle w:val="23"/>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_Toc20293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第四部分投标人须知</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_Toc20293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32</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7C74320A">
      <w:pPr>
        <w:pStyle w:val="13"/>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_Toc3120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一、 说明</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_Toc3120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32</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73B858FD">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_Toc3054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1. 适用范围</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_Toc3054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32</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1AC86D51">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_Toc5540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2. 定义</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_Toc5540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32</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7AF5B538">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_Toc6245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3. 货物和服务</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_Toc6245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32</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1A14DA05">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_Toc16486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4. 投标费用</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_Toc16486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32</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02010862">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_Toc18369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5. 知识产权</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_Toc18369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33</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0E11355D">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_Toc17160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6. 关于联合体投标</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lang w:val="en-US" w:eastAsia="zh-CN"/>
        </w:rPr>
        <w:t>本项目不接受联合体投标</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_Toc17160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33</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40540AB5">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_Toc11994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7. 关于分支机构投标</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_Toc11994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34</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7F371CA5">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_Toc23907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8. 踏勘现场</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_Toc23907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34</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67117281">
      <w:pPr>
        <w:pStyle w:val="13"/>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_Toc6908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二、 采购文件</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_Toc6908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34</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4E855F76">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_Toc26880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9. 采购文件的组成</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_Toc26880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34</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3C8FB8AC">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_Toc824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10. 采购文件的澄清或修改</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_Toc824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34</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622D1FE7">
      <w:pPr>
        <w:pStyle w:val="13"/>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_Toc7603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三、 投标文件的编制</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_Toc7603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35</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3483A08F">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_Toc28939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11. 投标文件的语言及度量衡单位</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_Toc28939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35</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78C52229">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_Toc13332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12. 投标文件的组成</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_Toc13332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35</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5535697D">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_Toc889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13. 投标文件编制</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_Toc889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35</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7ABDD99F">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_Toc7355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14. 投标报价说明</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_Toc7355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36</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39EBDBE7">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_Toc2001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15. 投标人所提供的服务或货物的证明文件</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_Toc2001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36</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40A2DFB5">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_Toc31342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16. 投标有效期</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_Toc31342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36</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2B0D58D2">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_Toc15789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17. 投标保证金</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_Toc15789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37</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512140E6">
      <w:pPr>
        <w:pStyle w:val="13"/>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_Toc16028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 xml:space="preserve">四、 </w:t>
      </w:r>
      <w:r>
        <w:rPr>
          <w:rFonts w:hint="eastAsia" w:ascii="宋体" w:hAnsi="宋体" w:eastAsia="宋体" w:cs="宋体"/>
          <w:color w:val="auto"/>
          <w:sz w:val="21"/>
          <w:szCs w:val="21"/>
          <w:highlight w:val="none"/>
        </w:rPr>
        <w:t>投标文件的递交</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_Toc16028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38</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27F6AE4D">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_Toc18423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 xml:space="preserve">18. </w:t>
      </w:r>
      <w:r>
        <w:rPr>
          <w:rFonts w:hint="eastAsia" w:ascii="宋体" w:hAnsi="宋体" w:eastAsia="宋体" w:cs="宋体"/>
          <w:color w:val="auto"/>
          <w:sz w:val="21"/>
          <w:szCs w:val="21"/>
          <w:highlight w:val="none"/>
        </w:rPr>
        <w:t>投标文件的装订，签署，密封和标记</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_Toc18423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38</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51BCEBB1">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_Toc736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19. 迟交的投标文件</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_Toc736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39</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50069330">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_Toc6893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20. 投标样品</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lang w:val="en-US" w:eastAsia="zh-CN"/>
        </w:rPr>
        <w:t>本项目无需</w:t>
      </w:r>
      <w:r>
        <w:rPr>
          <w:rFonts w:hint="eastAsia" w:ascii="宋体" w:hAnsi="宋体" w:eastAsia="宋体" w:cs="宋体"/>
          <w:color w:val="auto"/>
          <w:sz w:val="21"/>
          <w:szCs w:val="21"/>
          <w:highlight w:val="none"/>
        </w:rPr>
        <w:t>提交）</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_Toc6893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39</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6E154C6A">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_Toc20315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21. 投标截止期</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_Toc20315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39</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14E4110D">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_Toc30595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22. 投标文件的补充、修改与撤回</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_Toc30595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39</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45A9302B">
      <w:pPr>
        <w:pStyle w:val="13"/>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_Toc15656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五、 开标与评标</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_Toc15656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40</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2A52D9DD">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_Toc18065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23. 开标</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_Toc18065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40</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6CBFC79B">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_Toc7486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24. 评标委员会及评标方法</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_Toc7486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40</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5FFAC7EB">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_Toc31404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25. 评审原则及评标过程的保密</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_Toc31404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41</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23837ED2">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_Toc20338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 xml:space="preserve">26. </w:t>
      </w:r>
      <w:r>
        <w:rPr>
          <w:rFonts w:hint="eastAsia" w:ascii="宋体" w:hAnsi="宋体" w:eastAsia="宋体" w:cs="宋体"/>
          <w:color w:val="auto"/>
          <w:sz w:val="21"/>
          <w:szCs w:val="21"/>
          <w:highlight w:val="none"/>
        </w:rPr>
        <w:t>评标程序</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_Toc20338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41</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56FD9AEE">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_Toc5539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27. 商务、技术、价格评审（具体评审项目详见投标资料表）</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_Toc5539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43</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4F9A1FC6">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_Toc4729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 xml:space="preserve">28. </w:t>
      </w:r>
      <w:r>
        <w:rPr>
          <w:rFonts w:hint="eastAsia" w:ascii="宋体" w:hAnsi="宋体" w:eastAsia="宋体" w:cs="宋体"/>
          <w:color w:val="auto"/>
          <w:sz w:val="21"/>
          <w:szCs w:val="21"/>
          <w:highlight w:val="none"/>
        </w:rPr>
        <w:t>纪律和保密事项</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_Toc4729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43</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2031E312">
      <w:pPr>
        <w:pStyle w:val="13"/>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_Toc5868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六、 授予合同</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_Toc5868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43</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41F40FF0">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_Toc7454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29. 合同授予标准</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_Toc7454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43</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4B4E0312">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_Toc659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30. 发布中标结果</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_Toc659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43</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580937FD">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_Toc4617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31. 资格后审</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_Toc4617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44</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2B8FA182">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_Toc27736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32. 合同的签订与履行</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_Toc27736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44</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686FAF52">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_Toc10948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33. 履约担保</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_Toc10948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44</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5A1F872A">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_Toc4395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34. 预付款保函（</w:t>
      </w:r>
      <w:r>
        <w:rPr>
          <w:rFonts w:hint="eastAsia" w:ascii="宋体" w:hAnsi="宋体" w:eastAsia="宋体" w:cs="宋体"/>
          <w:color w:val="auto"/>
          <w:sz w:val="21"/>
          <w:szCs w:val="21"/>
          <w:highlight w:val="none"/>
          <w:lang w:val="en-US" w:eastAsia="zh-CN"/>
        </w:rPr>
        <w:t>本项目无</w:t>
      </w:r>
      <w:r>
        <w:rPr>
          <w:rFonts w:hint="eastAsia" w:ascii="宋体" w:hAnsi="宋体" w:eastAsia="宋体" w:cs="宋体"/>
          <w:color w:val="auto"/>
          <w:sz w:val="21"/>
          <w:szCs w:val="21"/>
          <w:highlight w:val="none"/>
        </w:rPr>
        <w:t>预付款）</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_Toc4395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45</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752EE95B">
      <w:pPr>
        <w:pStyle w:val="13"/>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_Toc7137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七、 异议</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_Toc7137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46</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3088F1DA">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_Toc6445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35. 异议</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_Toc6445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46</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01EA49FB">
      <w:pPr>
        <w:pStyle w:val="13"/>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_Toc885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八、 其他</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_Toc885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46</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17E3B03E">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_Toc11974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36. 采购文件的解释权</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_Toc11974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46</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704C4316">
      <w:pPr>
        <w:pStyle w:val="23"/>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_Toc31812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第五部分  合同条款格式</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_Toc31812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47</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09722ABB">
      <w:pPr>
        <w:pStyle w:val="19"/>
        <w:tabs>
          <w:tab w:val="right" w:leader="dot" w:pos="830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_Toc15275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第一条 基本情况</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_Toc15275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69</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60508D9B">
      <w:pPr>
        <w:pStyle w:val="19"/>
        <w:tabs>
          <w:tab w:val="right" w:leader="dot" w:pos="830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_Toc836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bCs/>
          <w:color w:val="auto"/>
          <w:sz w:val="21"/>
          <w:szCs w:val="21"/>
          <w:highlight w:val="none"/>
        </w:rPr>
        <w:t>第二条 乙方资质</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_Toc836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69</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5D6516C9">
      <w:pPr>
        <w:pStyle w:val="19"/>
        <w:tabs>
          <w:tab w:val="right" w:leader="dot" w:pos="830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_Toc25277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bCs/>
          <w:color w:val="auto"/>
          <w:sz w:val="21"/>
          <w:szCs w:val="21"/>
          <w:highlight w:val="none"/>
        </w:rPr>
        <w:t>第三条 乙方承包项目负责人及安全管理人员</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_Toc25277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69</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3D0BF502">
      <w:pPr>
        <w:pStyle w:val="19"/>
        <w:tabs>
          <w:tab w:val="right" w:leader="dot" w:pos="830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_Toc2674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bCs/>
          <w:color w:val="auto"/>
          <w:sz w:val="21"/>
          <w:szCs w:val="21"/>
          <w:highlight w:val="none"/>
        </w:rPr>
        <w:t>第四条 甲方的权利和义务</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_Toc2674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69</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4B7B77F5">
      <w:pPr>
        <w:pStyle w:val="19"/>
        <w:tabs>
          <w:tab w:val="right" w:leader="dot" w:pos="830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_Toc17958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bCs/>
          <w:color w:val="auto"/>
          <w:sz w:val="21"/>
          <w:szCs w:val="21"/>
          <w:highlight w:val="none"/>
        </w:rPr>
        <w:t>第五条 乙方的权利和义务</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_Toc17958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70</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12081C8B">
      <w:pPr>
        <w:pStyle w:val="19"/>
        <w:tabs>
          <w:tab w:val="right" w:leader="dot" w:pos="830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_Toc11013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bCs/>
          <w:color w:val="auto"/>
          <w:sz w:val="21"/>
          <w:szCs w:val="21"/>
          <w:highlight w:val="none"/>
        </w:rPr>
        <w:t>第六条 违约处理</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_Toc11013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72</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3814B7DD">
      <w:pPr>
        <w:pStyle w:val="19"/>
        <w:tabs>
          <w:tab w:val="right" w:leader="dot" w:pos="830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_Toc25379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bCs/>
          <w:color w:val="auto"/>
          <w:sz w:val="21"/>
          <w:szCs w:val="21"/>
          <w:highlight w:val="none"/>
        </w:rPr>
        <w:t>第七条 协议生效与终止</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_Toc25379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73</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44A5358E">
      <w:pPr>
        <w:pStyle w:val="19"/>
        <w:tabs>
          <w:tab w:val="right" w:leader="dot" w:pos="830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_Toc14982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bCs/>
          <w:color w:val="auto"/>
          <w:sz w:val="21"/>
          <w:szCs w:val="21"/>
          <w:highlight w:val="none"/>
        </w:rPr>
        <w:t xml:space="preserve">第八条 </w:t>
      </w:r>
      <w:r>
        <w:rPr>
          <w:rFonts w:hint="eastAsia" w:ascii="宋体" w:hAnsi="宋体" w:eastAsia="宋体" w:cs="宋体"/>
          <w:bCs/>
          <w:color w:val="auto"/>
          <w:kern w:val="0"/>
          <w:sz w:val="21"/>
          <w:szCs w:val="21"/>
          <w:highlight w:val="none"/>
        </w:rPr>
        <w:t>其它要求</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_Toc14982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73</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7B98D9DF">
      <w:pPr>
        <w:pStyle w:val="19"/>
        <w:tabs>
          <w:tab w:val="right" w:leader="dot" w:pos="830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_Toc22874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bCs/>
          <w:color w:val="auto"/>
          <w:kern w:val="44"/>
          <w:sz w:val="21"/>
          <w:szCs w:val="21"/>
          <w:highlight w:val="none"/>
        </w:rPr>
        <w:t>EHS管理处罚实施细则</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_Toc22874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74</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16081BCD">
      <w:pPr>
        <w:pStyle w:val="19"/>
        <w:tabs>
          <w:tab w:val="right" w:leader="dot" w:pos="830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_Toc24917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bCs/>
          <w:color w:val="auto"/>
          <w:kern w:val="44"/>
          <w:sz w:val="21"/>
          <w:szCs w:val="21"/>
          <w:highlight w:val="none"/>
        </w:rPr>
        <w:t>事故处罚实施细则</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_Toc24917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78</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0B45240F">
      <w:pPr>
        <w:pStyle w:val="23"/>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_Toc25010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第六部分附件－投标文件格式</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_Toc25010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82</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01A3A9C5">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_Toc1695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投标文件目录</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_Toc1695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82</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58592A63">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_Toc17627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附件1.评分标准索引表</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_Toc17627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83</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179715DD">
      <w:pPr>
        <w:pStyle w:val="23"/>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_Toc9476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价格文件</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_Toc9476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84</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520894E3">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_Toc29502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附件2.开标一览表格式</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_Toc29502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85</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5FEDBE40">
      <w:pPr>
        <w:pStyle w:val="23"/>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_Toc11933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bCs/>
          <w:color w:val="auto"/>
          <w:sz w:val="21"/>
          <w:szCs w:val="21"/>
          <w:highlight w:val="none"/>
          <w:lang w:val="en-US" w:eastAsia="zh-CN" w:bidi="ar-SA"/>
        </w:rPr>
        <w:t>附件3.分项报价表</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_Toc11933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86</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34BFF275">
      <w:pPr>
        <w:pStyle w:val="23"/>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_Toc29645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商务文件</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_Toc29645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87</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62F85C25">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_Toc16903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附件4.投标书格式</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_Toc16903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88</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5251A9DD">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_Toc13039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附件5. 法定代表人证明书格式</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_Toc13039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89</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057AD624">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_Toc28322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附件6.法定代表人授权书格式</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_Toc28322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90</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4BB26124">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_Toc27829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附件7.资格申明</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_Toc27829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91</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1D439C5B">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_Toc2475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附件8.营业执照、道路运输经营许可证</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惠州市石化区通行证</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_Toc2475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92</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7553DC12">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_Toc11564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lang w:val="en-US" w:eastAsia="zh-CN"/>
        </w:rPr>
        <w:t xml:space="preserve">附件9  </w:t>
      </w:r>
      <w:r>
        <w:rPr>
          <w:rFonts w:hint="eastAsia" w:ascii="宋体" w:hAnsi="宋体" w:eastAsia="宋体" w:cs="宋体"/>
          <w:color w:val="auto"/>
          <w:sz w:val="21"/>
          <w:szCs w:val="21"/>
          <w:highlight w:val="none"/>
        </w:rPr>
        <w:t>体系认证</w:t>
      </w:r>
      <w:r>
        <w:rPr>
          <w:rFonts w:hint="eastAsia" w:ascii="宋体" w:hAnsi="宋体" w:eastAsia="宋体" w:cs="宋体"/>
          <w:color w:val="auto"/>
          <w:sz w:val="21"/>
          <w:szCs w:val="21"/>
          <w:highlight w:val="none"/>
          <w:lang w:val="en-US" w:eastAsia="zh-CN"/>
        </w:rPr>
        <w:t>证明材料</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财务报表</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_Toc11564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93</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26DC022B">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_Toc21426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附件</w:t>
      </w:r>
      <w:r>
        <w:rPr>
          <w:rFonts w:hint="eastAsia" w:ascii="宋体" w:hAnsi="宋体" w:eastAsia="宋体" w:cs="宋体"/>
          <w:color w:val="auto"/>
          <w:sz w:val="21"/>
          <w:szCs w:val="21"/>
          <w:highlight w:val="none"/>
          <w:lang w:val="en-US" w:eastAsia="zh-CN"/>
        </w:rPr>
        <w:t xml:space="preserve">10  </w:t>
      </w:r>
      <w:r>
        <w:rPr>
          <w:rFonts w:hint="eastAsia" w:ascii="宋体" w:hAnsi="宋体" w:eastAsia="宋体" w:cs="宋体"/>
          <w:color w:val="auto"/>
          <w:sz w:val="21"/>
          <w:szCs w:val="21"/>
          <w:highlight w:val="none"/>
        </w:rPr>
        <w:t>在经营活动中没有重大违法记录的书面声明格式</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_Toc21426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94</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32021A2D">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_Toc27765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lang w:val="en-US" w:eastAsia="zh-CN"/>
        </w:rPr>
        <w:t>附件11  纳税证明和无欠税证明</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_Toc27765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95</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118584A6">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_Toc32477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lang w:val="en-US" w:eastAsia="zh-CN"/>
        </w:rPr>
        <w:t xml:space="preserve">附件12  </w:t>
      </w:r>
      <w:r>
        <w:rPr>
          <w:rFonts w:hint="eastAsia" w:ascii="宋体" w:hAnsi="宋体" w:eastAsia="宋体" w:cs="宋体"/>
          <w:color w:val="auto"/>
          <w:sz w:val="21"/>
          <w:szCs w:val="21"/>
          <w:highlight w:val="none"/>
        </w:rPr>
        <w:t>固废平台运输量截图</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_Toc32477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97</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179621B5">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_Toc27774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lang w:val="en-US" w:eastAsia="zh-CN"/>
        </w:rPr>
        <w:t xml:space="preserve">附件13  </w:t>
      </w:r>
      <w:r>
        <w:rPr>
          <w:rFonts w:hint="eastAsia" w:ascii="宋体" w:hAnsi="宋体" w:eastAsia="宋体" w:cs="宋体"/>
          <w:color w:val="auto"/>
          <w:sz w:val="21"/>
          <w:szCs w:val="21"/>
          <w:highlight w:val="none"/>
        </w:rPr>
        <w:t>投标保证金汇入情况说明格式</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_Toc27774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98</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345E2E52">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_Toc28040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附件1</w:t>
      </w:r>
      <w:r>
        <w:rPr>
          <w:rFonts w:hint="eastAsia" w:ascii="宋体" w:hAnsi="宋体" w:eastAsia="宋体" w:cs="宋体"/>
          <w:color w:val="auto"/>
          <w:sz w:val="21"/>
          <w:szCs w:val="21"/>
          <w:highlight w:val="none"/>
          <w:lang w:val="en-US" w:eastAsia="zh-CN"/>
        </w:rPr>
        <w:t xml:space="preserve">4  </w:t>
      </w:r>
      <w:r>
        <w:rPr>
          <w:rFonts w:hint="eastAsia" w:ascii="宋体" w:hAnsi="宋体" w:eastAsia="宋体" w:cs="宋体"/>
          <w:color w:val="auto"/>
          <w:sz w:val="21"/>
          <w:szCs w:val="21"/>
          <w:highlight w:val="none"/>
        </w:rPr>
        <w:t>商务需求条款偏离表格式</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_Toc28040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100</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5193A20D">
      <w:pPr>
        <w:pStyle w:val="23"/>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_Toc26809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技术文件</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_Toc26809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101</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3434C043">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_Toc14309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附件1</w:t>
      </w:r>
      <w:r>
        <w:rPr>
          <w:rFonts w:hint="eastAsia" w:ascii="宋体" w:hAnsi="宋体" w:eastAsia="宋体" w:cs="宋体"/>
          <w:color w:val="auto"/>
          <w:sz w:val="21"/>
          <w:szCs w:val="21"/>
          <w:highlight w:val="none"/>
          <w:lang w:val="en-US" w:eastAsia="zh-CN"/>
        </w:rPr>
        <w:t xml:space="preserve">5 </w:t>
      </w:r>
      <w:r>
        <w:rPr>
          <w:rFonts w:hint="eastAsia" w:ascii="宋体" w:hAnsi="宋体" w:eastAsia="宋体" w:cs="宋体"/>
          <w:color w:val="auto"/>
          <w:sz w:val="21"/>
          <w:szCs w:val="21"/>
          <w:highlight w:val="none"/>
        </w:rPr>
        <w:t xml:space="preserve"> 技术规格偏离表格式</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_Toc14309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102</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517DFF65">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_Toc22104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附件1</w:t>
      </w:r>
      <w:r>
        <w:rPr>
          <w:rFonts w:hint="eastAsia" w:ascii="宋体" w:hAnsi="宋体" w:eastAsia="宋体" w:cs="宋体"/>
          <w:color w:val="auto"/>
          <w:sz w:val="21"/>
          <w:szCs w:val="21"/>
          <w:highlight w:val="none"/>
          <w:lang w:val="en-US" w:eastAsia="zh-CN"/>
        </w:rPr>
        <w:t xml:space="preserve">6  </w:t>
      </w:r>
      <w:r>
        <w:rPr>
          <w:rFonts w:hint="eastAsia" w:ascii="宋体" w:hAnsi="宋体" w:eastAsia="宋体" w:cs="宋体"/>
          <w:color w:val="auto"/>
          <w:sz w:val="21"/>
          <w:szCs w:val="21"/>
          <w:highlight w:val="none"/>
        </w:rPr>
        <w:t>★</w:t>
      </w:r>
      <w:r>
        <w:rPr>
          <w:rFonts w:hint="eastAsia" w:ascii="宋体" w:hAnsi="宋体" w:eastAsia="宋体" w:cs="宋体"/>
          <w:color w:val="auto"/>
          <w:sz w:val="21"/>
          <w:szCs w:val="21"/>
          <w:highlight w:val="none"/>
          <w:lang w:val="en-US" w:eastAsia="zh-CN"/>
        </w:rPr>
        <w:t>号条款响应表</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_Toc22104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103</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144EC6F1">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_Toc11404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附件1</w:t>
      </w:r>
      <w:r>
        <w:rPr>
          <w:rFonts w:hint="eastAsia" w:ascii="宋体" w:hAnsi="宋体" w:eastAsia="宋体" w:cs="宋体"/>
          <w:color w:val="auto"/>
          <w:sz w:val="21"/>
          <w:szCs w:val="21"/>
          <w:highlight w:val="none"/>
          <w:lang w:val="en-US" w:eastAsia="zh-CN"/>
        </w:rPr>
        <w:t>7  服务方案</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_Toc11404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104</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74C14073">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_Toc21755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附件1</w:t>
      </w:r>
      <w:r>
        <w:rPr>
          <w:rFonts w:hint="eastAsia" w:ascii="宋体" w:hAnsi="宋体" w:eastAsia="宋体" w:cs="宋体"/>
          <w:color w:val="auto"/>
          <w:sz w:val="21"/>
          <w:szCs w:val="21"/>
          <w:highlight w:val="none"/>
          <w:lang w:val="en-US" w:eastAsia="zh-CN"/>
        </w:rPr>
        <w:t xml:space="preserve">8  </w:t>
      </w:r>
      <w:r>
        <w:rPr>
          <w:rFonts w:hint="eastAsia" w:ascii="宋体" w:hAnsi="宋体" w:eastAsia="宋体" w:cs="宋体"/>
          <w:color w:val="auto"/>
          <w:sz w:val="21"/>
          <w:szCs w:val="21"/>
          <w:highlight w:val="none"/>
        </w:rPr>
        <w:t>重点难点分析及方案</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_Toc21755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105</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19E9519A">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_Toc23418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附件1</w:t>
      </w:r>
      <w:r>
        <w:rPr>
          <w:rFonts w:hint="eastAsia" w:ascii="宋体" w:hAnsi="宋体" w:eastAsia="宋体" w:cs="宋体"/>
          <w:color w:val="auto"/>
          <w:sz w:val="21"/>
          <w:szCs w:val="21"/>
          <w:highlight w:val="none"/>
          <w:lang w:val="en-US" w:eastAsia="zh-CN"/>
        </w:rPr>
        <w:t>9  响应时间承诺函</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_Toc23418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106</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4189C435">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_Toc1477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附件</w:t>
      </w:r>
      <w:r>
        <w:rPr>
          <w:rFonts w:hint="eastAsia" w:ascii="宋体" w:hAnsi="宋体" w:eastAsia="宋体" w:cs="宋体"/>
          <w:color w:val="auto"/>
          <w:sz w:val="21"/>
          <w:szCs w:val="21"/>
          <w:highlight w:val="none"/>
          <w:lang w:val="en-US" w:eastAsia="zh-CN"/>
        </w:rPr>
        <w:t xml:space="preserve">20  </w:t>
      </w:r>
      <w:r>
        <w:rPr>
          <w:rFonts w:hint="eastAsia" w:ascii="宋体" w:hAnsi="宋体" w:eastAsia="宋体" w:cs="宋体"/>
          <w:color w:val="auto"/>
          <w:sz w:val="21"/>
          <w:szCs w:val="21"/>
          <w:highlight w:val="none"/>
        </w:rPr>
        <w:t>自有跟踪或视频监控平台</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_Toc1477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107</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2EE7DC5E">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_Toc22013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附件</w:t>
      </w:r>
      <w:r>
        <w:rPr>
          <w:rFonts w:hint="eastAsia" w:ascii="宋体" w:hAnsi="宋体" w:eastAsia="宋体" w:cs="宋体"/>
          <w:color w:val="auto"/>
          <w:sz w:val="21"/>
          <w:szCs w:val="21"/>
          <w:highlight w:val="none"/>
          <w:lang w:val="en-US" w:eastAsia="zh-CN"/>
        </w:rPr>
        <w:t xml:space="preserve">21  </w:t>
      </w:r>
      <w:r>
        <w:rPr>
          <w:rFonts w:hint="eastAsia" w:ascii="宋体" w:hAnsi="宋体" w:eastAsia="宋体" w:cs="宋体"/>
          <w:color w:val="auto"/>
          <w:sz w:val="21"/>
          <w:szCs w:val="21"/>
          <w:highlight w:val="none"/>
        </w:rPr>
        <w:t>拟投入本项目的</w:t>
      </w:r>
      <w:r>
        <w:rPr>
          <w:rFonts w:hint="eastAsia" w:ascii="宋体" w:hAnsi="宋体" w:eastAsia="宋体" w:cs="宋体"/>
          <w:color w:val="auto"/>
          <w:sz w:val="21"/>
          <w:szCs w:val="21"/>
          <w:highlight w:val="none"/>
          <w:lang w:val="en-US" w:eastAsia="zh-CN"/>
        </w:rPr>
        <w:t>运输车辆及服务人员</w:t>
      </w:r>
      <w:r>
        <w:rPr>
          <w:rFonts w:hint="eastAsia" w:ascii="宋体" w:hAnsi="宋体" w:eastAsia="宋体" w:cs="宋体"/>
          <w:color w:val="auto"/>
          <w:sz w:val="21"/>
          <w:szCs w:val="21"/>
          <w:highlight w:val="none"/>
        </w:rPr>
        <w:t>情况</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_Toc22013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108</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3D0C60AB">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_Toc7863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附件</w:t>
      </w:r>
      <w:r>
        <w:rPr>
          <w:rFonts w:hint="eastAsia" w:ascii="宋体" w:hAnsi="宋体" w:eastAsia="宋体" w:cs="宋体"/>
          <w:color w:val="auto"/>
          <w:sz w:val="21"/>
          <w:szCs w:val="21"/>
          <w:highlight w:val="none"/>
          <w:lang w:val="en-US" w:eastAsia="zh-CN"/>
        </w:rPr>
        <w:t xml:space="preserve">22  </w:t>
      </w:r>
      <w:r>
        <w:rPr>
          <w:rFonts w:hint="eastAsia" w:ascii="宋体" w:hAnsi="宋体" w:eastAsia="宋体" w:cs="宋体"/>
          <w:color w:val="auto"/>
          <w:sz w:val="21"/>
          <w:szCs w:val="21"/>
          <w:highlight w:val="none"/>
        </w:rPr>
        <w:t>应急处理方案</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_Toc7863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112</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590C0767">
      <w:pPr>
        <w:pStyle w:val="23"/>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_Toc25683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唱标信封</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_Toc25683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113</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204334CD">
      <w:pPr>
        <w:pStyle w:val="20"/>
        <w:tabs>
          <w:tab w:val="right" w:leader="dot" w:pos="8306"/>
          <w:tab w:val="clear" w:pos="8296"/>
        </w:tabs>
        <w:ind w:left="0" w:leftChars="0"/>
        <w:rPr>
          <w:rFonts w:hint="eastAsia" w:ascii="宋体" w:hAnsi="宋体" w:eastAsia="宋体" w:cs="宋体"/>
          <w:color w:val="auto"/>
          <w:sz w:val="21"/>
          <w:szCs w:val="21"/>
          <w:highlight w:val="none"/>
        </w:rPr>
      </w:pPr>
      <w:r>
        <w:rPr>
          <w:rFonts w:hint="eastAsia" w:ascii="宋体" w:hAnsi="宋体" w:eastAsia="宋体" w:cs="宋体"/>
          <w:bCs w:val="0"/>
          <w:color w:val="auto"/>
          <w:sz w:val="21"/>
          <w:szCs w:val="21"/>
          <w:highlight w:val="none"/>
        </w:rPr>
        <w:fldChar w:fldCharType="begin"/>
      </w:r>
      <w:r>
        <w:rPr>
          <w:rFonts w:hint="eastAsia" w:ascii="宋体" w:hAnsi="宋体" w:eastAsia="宋体" w:cs="宋体"/>
          <w:bCs w:val="0"/>
          <w:color w:val="auto"/>
          <w:sz w:val="21"/>
          <w:szCs w:val="21"/>
          <w:highlight w:val="none"/>
        </w:rPr>
        <w:instrText xml:space="preserve"> HYPERLINK \l _Toc4180 </w:instrText>
      </w:r>
      <w:r>
        <w:rPr>
          <w:rFonts w:hint="eastAsia" w:ascii="宋体" w:hAnsi="宋体" w:eastAsia="宋体" w:cs="宋体"/>
          <w:bCs w:val="0"/>
          <w:color w:val="auto"/>
          <w:sz w:val="21"/>
          <w:szCs w:val="21"/>
          <w:highlight w:val="none"/>
        </w:rPr>
        <w:fldChar w:fldCharType="separate"/>
      </w:r>
      <w:r>
        <w:rPr>
          <w:rFonts w:hint="eastAsia" w:ascii="宋体" w:hAnsi="宋体" w:eastAsia="宋体" w:cs="宋体"/>
          <w:color w:val="auto"/>
          <w:sz w:val="21"/>
          <w:szCs w:val="21"/>
          <w:highlight w:val="none"/>
        </w:rPr>
        <w:t>附件2</w:t>
      </w:r>
      <w:r>
        <w:rPr>
          <w:rFonts w:hint="eastAsia" w:ascii="宋体" w:hAnsi="宋体" w:eastAsia="宋体" w:cs="宋体"/>
          <w:color w:val="auto"/>
          <w:sz w:val="21"/>
          <w:szCs w:val="21"/>
          <w:highlight w:val="none"/>
          <w:lang w:val="en-US" w:eastAsia="zh-CN"/>
        </w:rPr>
        <w:t xml:space="preserve">3  </w:t>
      </w:r>
      <w:r>
        <w:rPr>
          <w:rFonts w:hint="eastAsia" w:ascii="宋体" w:hAnsi="宋体" w:eastAsia="宋体" w:cs="宋体"/>
          <w:color w:val="auto"/>
          <w:sz w:val="21"/>
          <w:szCs w:val="21"/>
          <w:highlight w:val="none"/>
        </w:rPr>
        <w:t>唱标信封内装（内容务必与投标文件正本一致）</w:t>
      </w:r>
      <w:r>
        <w:rPr>
          <w:rFonts w:hint="eastAsia" w:ascii="宋体" w:hAnsi="宋体" w:eastAsia="宋体" w:cs="宋体"/>
          <w:color w:val="auto"/>
          <w:sz w:val="21"/>
          <w:szCs w:val="21"/>
          <w:highlight w:val="none"/>
        </w:rPr>
        <w:tab/>
      </w:r>
      <w:r>
        <w:rPr>
          <w:rFonts w:hint="eastAsia" w:ascii="宋体" w:hAnsi="宋体" w:eastAsia="宋体" w:cs="宋体"/>
          <w:color w:val="auto"/>
          <w:sz w:val="21"/>
          <w:szCs w:val="21"/>
          <w:highlight w:val="none"/>
        </w:rPr>
        <w:fldChar w:fldCharType="begin"/>
      </w:r>
      <w:r>
        <w:rPr>
          <w:rFonts w:hint="eastAsia" w:ascii="宋体" w:hAnsi="宋体" w:eastAsia="宋体" w:cs="宋体"/>
          <w:color w:val="auto"/>
          <w:sz w:val="21"/>
          <w:szCs w:val="21"/>
          <w:highlight w:val="none"/>
        </w:rPr>
        <w:instrText xml:space="preserve"> PAGEREF _Toc4180 \h </w:instrText>
      </w:r>
      <w:r>
        <w:rPr>
          <w:rFonts w:hint="eastAsia" w:ascii="宋体" w:hAnsi="宋体" w:eastAsia="宋体" w:cs="宋体"/>
          <w:color w:val="auto"/>
          <w:sz w:val="21"/>
          <w:szCs w:val="21"/>
          <w:highlight w:val="none"/>
        </w:rPr>
        <w:fldChar w:fldCharType="separate"/>
      </w:r>
      <w:r>
        <w:rPr>
          <w:rFonts w:hint="eastAsia" w:ascii="宋体" w:hAnsi="宋体" w:eastAsia="宋体" w:cs="宋体"/>
          <w:color w:val="auto"/>
          <w:sz w:val="21"/>
          <w:szCs w:val="21"/>
          <w:highlight w:val="none"/>
        </w:rPr>
        <w:t>114</w:t>
      </w:r>
      <w:r>
        <w:rPr>
          <w:rFonts w:hint="eastAsia" w:ascii="宋体" w:hAnsi="宋体" w:eastAsia="宋体" w:cs="宋体"/>
          <w:color w:val="auto"/>
          <w:sz w:val="21"/>
          <w:szCs w:val="21"/>
          <w:highlight w:val="none"/>
        </w:rPr>
        <w:fldChar w:fldCharType="end"/>
      </w:r>
      <w:r>
        <w:rPr>
          <w:rFonts w:hint="eastAsia" w:ascii="宋体" w:hAnsi="宋体" w:eastAsia="宋体" w:cs="宋体"/>
          <w:bCs w:val="0"/>
          <w:color w:val="auto"/>
          <w:sz w:val="21"/>
          <w:szCs w:val="21"/>
          <w:highlight w:val="none"/>
        </w:rPr>
        <w:fldChar w:fldCharType="end"/>
      </w:r>
    </w:p>
    <w:p w14:paraId="13A43C5B">
      <w:pPr>
        <w:pStyle w:val="23"/>
        <w:tabs>
          <w:tab w:val="right" w:leader="dot" w:pos="8306"/>
          <w:tab w:val="clear" w:pos="8296"/>
        </w:tabs>
        <w:ind w:left="0" w:leftChars="0"/>
        <w:jc w:val="distribute"/>
        <w:rPr>
          <w:rFonts w:cs="宋体"/>
          <w:color w:val="auto"/>
          <w:sz w:val="21"/>
          <w:szCs w:val="21"/>
          <w:highlight w:val="none"/>
        </w:rPr>
      </w:pPr>
      <w:r>
        <w:rPr>
          <w:rFonts w:hint="eastAsia" w:ascii="宋体" w:hAnsi="宋体" w:eastAsia="宋体" w:cs="宋体"/>
          <w:bCs w:val="0"/>
          <w:color w:val="auto"/>
          <w:sz w:val="21"/>
          <w:szCs w:val="21"/>
          <w:highlight w:val="none"/>
        </w:rPr>
        <w:fldChar w:fldCharType="end"/>
      </w:r>
    </w:p>
    <w:p w14:paraId="71A3E85B">
      <w:pPr>
        <w:rPr>
          <w:rFonts w:ascii="宋体" w:hAnsi="宋体" w:cs="宋体"/>
          <w:color w:val="auto"/>
          <w:szCs w:val="21"/>
          <w:highlight w:val="none"/>
        </w:rPr>
      </w:pPr>
      <w:r>
        <w:rPr>
          <w:rFonts w:hint="eastAsia" w:ascii="宋体" w:hAnsi="宋体" w:cs="宋体"/>
          <w:color w:val="auto"/>
          <w:szCs w:val="21"/>
          <w:highlight w:val="none"/>
        </w:rPr>
        <w:br w:type="page"/>
      </w:r>
    </w:p>
    <w:p w14:paraId="033DF239">
      <w:pPr>
        <w:pStyle w:val="4"/>
        <w:spacing w:before="0" w:after="0" w:line="240" w:lineRule="auto"/>
        <w:rPr>
          <w:color w:val="auto"/>
          <w:sz w:val="28"/>
          <w:szCs w:val="28"/>
          <w:highlight w:val="none"/>
        </w:rPr>
      </w:pPr>
      <w:bookmarkStart w:id="0" w:name="_Toc21468"/>
      <w:r>
        <w:rPr>
          <w:rFonts w:hint="eastAsia"/>
          <w:color w:val="auto"/>
          <w:sz w:val="28"/>
          <w:szCs w:val="28"/>
          <w:highlight w:val="none"/>
        </w:rPr>
        <w:t>第一部分投</w:t>
      </w:r>
      <w:r>
        <w:rPr>
          <w:rFonts w:hint="eastAsia"/>
          <w:color w:val="auto"/>
          <w:sz w:val="28"/>
          <w:szCs w:val="28"/>
          <w:highlight w:val="none"/>
        </w:rPr>
        <w:t>标邀请</w:t>
      </w:r>
      <w:bookmarkEnd w:id="0"/>
    </w:p>
    <w:p w14:paraId="2971BAB0">
      <w:pPr>
        <w:pStyle w:val="5"/>
        <w:spacing w:before="0" w:after="0" w:line="360" w:lineRule="auto"/>
        <w:jc w:val="center"/>
        <w:rPr>
          <w:rFonts w:ascii="宋体" w:hAnsi="宋体" w:cs="宋体"/>
          <w:color w:val="auto"/>
          <w:highlight w:val="none"/>
        </w:rPr>
      </w:pPr>
      <w:bookmarkStart w:id="1" w:name="_Toc20244"/>
      <w:r>
        <w:rPr>
          <w:rFonts w:hint="eastAsia" w:ascii="宋体" w:hAnsi="宋体" w:cs="宋体"/>
          <w:color w:val="auto"/>
          <w:highlight w:val="none"/>
        </w:rPr>
        <w:t>投标邀请书</w:t>
      </w:r>
      <w:bookmarkEnd w:id="1"/>
    </w:p>
    <w:p w14:paraId="7E1EC5BF">
      <w:pPr>
        <w:keepNext w:val="0"/>
        <w:keepLines w:val="0"/>
        <w:pageBreakBefore w:val="0"/>
        <w:widowControl/>
        <w:kinsoku/>
        <w:wordWrap/>
        <w:overflowPunct/>
        <w:topLinePunct w:val="0"/>
        <w:autoSpaceDE/>
        <w:autoSpaceDN/>
        <w:bidi w:val="0"/>
        <w:adjustRightInd/>
        <w:snapToGrid w:val="0"/>
        <w:spacing w:line="460" w:lineRule="exact"/>
        <w:ind w:left="0" w:firstLine="422" w:firstLineChars="200"/>
        <w:jc w:val="both"/>
        <w:textAlignment w:val="auto"/>
        <w:rPr>
          <w:rFonts w:ascii="宋体" w:hAnsi="宋体"/>
          <w:b/>
          <w:color w:val="auto"/>
          <w:szCs w:val="21"/>
          <w:highlight w:val="none"/>
        </w:rPr>
      </w:pPr>
      <w:r>
        <w:rPr>
          <w:rFonts w:hint="eastAsia" w:ascii="宋体" w:hAnsi="宋体"/>
          <w:b/>
          <w:bCs/>
          <w:color w:val="auto"/>
          <w:szCs w:val="21"/>
          <w:highlight w:val="none"/>
          <w:u w:val="single"/>
          <w:lang w:eastAsia="zh-CN"/>
        </w:rPr>
        <w:t>广东人信工程咨询有限公司</w:t>
      </w:r>
      <w:r>
        <w:rPr>
          <w:rFonts w:ascii="宋体" w:hAnsi="宋体"/>
          <w:color w:val="auto"/>
          <w:szCs w:val="21"/>
          <w:highlight w:val="none"/>
        </w:rPr>
        <w:t>（以下简称</w:t>
      </w:r>
      <w:r>
        <w:rPr>
          <w:rFonts w:hint="eastAsia" w:ascii="宋体" w:hAnsi="宋体"/>
          <w:color w:val="auto"/>
          <w:szCs w:val="21"/>
          <w:highlight w:val="none"/>
        </w:rPr>
        <w:t>“采购代理机构”</w:t>
      </w:r>
      <w:r>
        <w:rPr>
          <w:rFonts w:ascii="宋体" w:hAnsi="宋体"/>
          <w:color w:val="auto"/>
          <w:szCs w:val="21"/>
          <w:highlight w:val="none"/>
        </w:rPr>
        <w:t>）受</w:t>
      </w:r>
      <w:r>
        <w:rPr>
          <w:rFonts w:hint="eastAsia" w:ascii="宋体" w:hAnsi="宋体"/>
          <w:b/>
          <w:color w:val="auto"/>
          <w:szCs w:val="21"/>
          <w:highlight w:val="none"/>
          <w:u w:val="single"/>
          <w:lang w:eastAsia="zh-CN"/>
        </w:rPr>
        <w:t>东莞市新东欣环保投资有限公司</w:t>
      </w:r>
      <w:r>
        <w:rPr>
          <w:rFonts w:ascii="宋体" w:hAnsi="宋体"/>
          <w:color w:val="auto"/>
          <w:szCs w:val="21"/>
          <w:highlight w:val="none"/>
        </w:rPr>
        <w:t>（以下简称</w:t>
      </w:r>
      <w:r>
        <w:rPr>
          <w:rFonts w:hint="eastAsia" w:ascii="宋体" w:hAnsi="宋体"/>
          <w:color w:val="auto"/>
          <w:szCs w:val="21"/>
          <w:highlight w:val="none"/>
        </w:rPr>
        <w:t>“采</w:t>
      </w:r>
      <w:r>
        <w:rPr>
          <w:rFonts w:hint="eastAsia" w:ascii="宋体" w:hAnsi="宋体"/>
          <w:color w:val="auto"/>
          <w:szCs w:val="21"/>
          <w:highlight w:val="none"/>
        </w:rPr>
        <w:t>购人”</w:t>
      </w:r>
      <w:r>
        <w:rPr>
          <w:rFonts w:ascii="宋体" w:hAnsi="宋体"/>
          <w:color w:val="auto"/>
          <w:szCs w:val="21"/>
          <w:highlight w:val="none"/>
        </w:rPr>
        <w:t>）委托，</w:t>
      </w:r>
      <w:r>
        <w:rPr>
          <w:rFonts w:hint="eastAsia" w:ascii="宋体" w:hAnsi="宋体"/>
          <w:color w:val="auto"/>
          <w:szCs w:val="21"/>
          <w:highlight w:val="none"/>
        </w:rPr>
        <w:t>现</w:t>
      </w:r>
      <w:r>
        <w:rPr>
          <w:rFonts w:ascii="宋体" w:hAnsi="宋体"/>
          <w:color w:val="auto"/>
          <w:szCs w:val="21"/>
          <w:highlight w:val="none"/>
        </w:rPr>
        <w:t>就</w:t>
      </w:r>
      <w:r>
        <w:rPr>
          <w:rFonts w:hint="eastAsia" w:ascii="宋体" w:hAnsi="宋体"/>
          <w:b/>
          <w:color w:val="auto"/>
          <w:szCs w:val="21"/>
          <w:highlight w:val="none"/>
          <w:u w:val="single"/>
          <w:lang w:eastAsia="zh-CN"/>
        </w:rPr>
        <w:t>东莞市新东欣环保投资有限公司莞惠区域危废运输服务项目</w:t>
      </w:r>
      <w:r>
        <w:rPr>
          <w:rFonts w:hint="eastAsia" w:ascii="宋体" w:hAnsi="宋体"/>
          <w:color w:val="auto"/>
          <w:szCs w:val="21"/>
          <w:highlight w:val="none"/>
        </w:rPr>
        <w:t>（项目编号：</w:t>
      </w:r>
      <w:r>
        <w:rPr>
          <w:rFonts w:hint="eastAsia" w:ascii="宋体" w:hAnsi="宋体"/>
          <w:b/>
          <w:bCs/>
          <w:color w:val="auto"/>
          <w:szCs w:val="21"/>
          <w:highlight w:val="none"/>
          <w:lang w:eastAsia="zh-CN"/>
        </w:rPr>
        <w:t>XDX-GK-2025-001</w:t>
      </w:r>
      <w:r>
        <w:rPr>
          <w:rFonts w:hint="eastAsia" w:ascii="宋体" w:hAnsi="宋体"/>
          <w:color w:val="auto"/>
          <w:szCs w:val="21"/>
          <w:highlight w:val="none"/>
        </w:rPr>
        <w:t>）</w:t>
      </w:r>
      <w:r>
        <w:rPr>
          <w:rFonts w:hint="eastAsia" w:ascii="宋体" w:hAnsi="宋体" w:cs="Times New Roman"/>
          <w:color w:val="auto"/>
          <w:szCs w:val="21"/>
          <w:highlight w:val="none"/>
        </w:rPr>
        <w:t>进行国内公开采购</w:t>
      </w:r>
      <w:r>
        <w:rPr>
          <w:rFonts w:hint="eastAsia" w:ascii="宋体" w:hAnsi="宋体"/>
          <w:color w:val="auto"/>
          <w:szCs w:val="21"/>
          <w:highlight w:val="none"/>
        </w:rPr>
        <w:t>，欢迎符合采购文件要求的国内投标人参加投标</w:t>
      </w:r>
      <w:r>
        <w:rPr>
          <w:rFonts w:ascii="宋体" w:hAnsi="宋体"/>
          <w:color w:val="auto"/>
          <w:szCs w:val="21"/>
          <w:highlight w:val="none"/>
        </w:rPr>
        <w:t>。有关事项如下：</w:t>
      </w:r>
    </w:p>
    <w:p w14:paraId="1DD4A858">
      <w:pPr>
        <w:keepNext w:val="0"/>
        <w:keepLines w:val="0"/>
        <w:pageBreakBefore w:val="0"/>
        <w:widowControl/>
        <w:kinsoku/>
        <w:wordWrap/>
        <w:overflowPunct/>
        <w:topLinePunct w:val="0"/>
        <w:autoSpaceDE/>
        <w:autoSpaceDN/>
        <w:bidi w:val="0"/>
        <w:adjustRightInd/>
        <w:snapToGrid w:val="0"/>
        <w:spacing w:line="460" w:lineRule="exact"/>
        <w:ind w:left="0" w:firstLine="422" w:firstLineChars="200"/>
        <w:jc w:val="both"/>
        <w:textAlignment w:val="auto"/>
        <w:rPr>
          <w:rFonts w:ascii="宋体" w:hAnsi="宋体"/>
          <w:b/>
          <w:color w:val="auto"/>
          <w:szCs w:val="21"/>
          <w:highlight w:val="none"/>
        </w:rPr>
      </w:pPr>
      <w:r>
        <w:rPr>
          <w:rFonts w:hint="eastAsia" w:ascii="宋体" w:hAnsi="宋体"/>
          <w:b/>
          <w:color w:val="auto"/>
          <w:szCs w:val="21"/>
          <w:highlight w:val="none"/>
        </w:rPr>
        <w:t>一、采购项目概况</w:t>
      </w:r>
    </w:p>
    <w:p w14:paraId="57F9B425">
      <w:pPr>
        <w:keepNext w:val="0"/>
        <w:keepLines w:val="0"/>
        <w:pageBreakBefore w:val="0"/>
        <w:widowControl/>
        <w:kinsoku/>
        <w:wordWrap/>
        <w:overflowPunct/>
        <w:topLinePunct w:val="0"/>
        <w:autoSpaceDE/>
        <w:autoSpaceDN/>
        <w:bidi w:val="0"/>
        <w:adjustRightInd/>
        <w:snapToGrid w:val="0"/>
        <w:spacing w:line="460" w:lineRule="exact"/>
        <w:ind w:left="0" w:firstLine="420" w:firstLineChars="200"/>
        <w:jc w:val="both"/>
        <w:textAlignment w:val="auto"/>
        <w:rPr>
          <w:rFonts w:hint="eastAsia" w:ascii="宋体" w:hAnsi="宋体" w:eastAsia="宋体"/>
          <w:color w:val="auto"/>
          <w:szCs w:val="21"/>
          <w:highlight w:val="none"/>
          <w:lang w:eastAsia="zh-CN"/>
        </w:rPr>
      </w:pPr>
      <w:r>
        <w:rPr>
          <w:rFonts w:ascii="宋体" w:hAnsi="宋体"/>
          <w:color w:val="auto"/>
          <w:szCs w:val="21"/>
          <w:highlight w:val="none"/>
        </w:rPr>
        <w:t>1</w:t>
      </w:r>
      <w:r>
        <w:rPr>
          <w:rFonts w:hint="eastAsia" w:ascii="宋体" w:hAnsi="宋体"/>
          <w:color w:val="auto"/>
          <w:szCs w:val="21"/>
          <w:highlight w:val="none"/>
          <w:lang w:val="en-US" w:eastAsia="zh-CN"/>
        </w:rPr>
        <w:t>.</w:t>
      </w:r>
      <w:r>
        <w:rPr>
          <w:rFonts w:hint="eastAsia" w:ascii="宋体" w:hAnsi="宋体"/>
          <w:color w:val="auto"/>
          <w:szCs w:val="21"/>
          <w:highlight w:val="none"/>
        </w:rPr>
        <w:t>采购</w:t>
      </w:r>
      <w:r>
        <w:rPr>
          <w:rFonts w:ascii="宋体" w:hAnsi="宋体"/>
          <w:color w:val="auto"/>
          <w:szCs w:val="21"/>
          <w:highlight w:val="none"/>
        </w:rPr>
        <w:t>项目名称</w:t>
      </w:r>
      <w:r>
        <w:rPr>
          <w:rFonts w:hint="eastAsia" w:ascii="宋体" w:hAnsi="宋体"/>
          <w:color w:val="auto"/>
          <w:szCs w:val="21"/>
          <w:highlight w:val="none"/>
        </w:rPr>
        <w:t>：</w:t>
      </w:r>
      <w:r>
        <w:rPr>
          <w:rFonts w:hint="eastAsia" w:ascii="宋体" w:hAnsi="宋体"/>
          <w:b/>
          <w:color w:val="auto"/>
          <w:szCs w:val="21"/>
          <w:highlight w:val="none"/>
          <w:u w:val="single"/>
          <w:lang w:eastAsia="zh-CN"/>
        </w:rPr>
        <w:t>东莞市新东欣环保投资有限公司莞惠区域危废运输服务项目</w:t>
      </w:r>
    </w:p>
    <w:p w14:paraId="1F33B42B">
      <w:pPr>
        <w:keepNext w:val="0"/>
        <w:keepLines w:val="0"/>
        <w:pageBreakBefore w:val="0"/>
        <w:widowControl/>
        <w:numPr>
          <w:ilvl w:val="0"/>
          <w:numId w:val="0"/>
        </w:numPr>
        <w:kinsoku/>
        <w:wordWrap/>
        <w:overflowPunct/>
        <w:topLinePunct w:val="0"/>
        <w:autoSpaceDE/>
        <w:autoSpaceDN/>
        <w:bidi w:val="0"/>
        <w:adjustRightInd/>
        <w:snapToGrid w:val="0"/>
        <w:spacing w:line="460" w:lineRule="exact"/>
        <w:ind w:left="0" w:leftChars="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2</w:t>
      </w:r>
      <w:r>
        <w:rPr>
          <w:rFonts w:hint="eastAsia" w:ascii="宋体" w:hAnsi="宋体"/>
          <w:color w:val="auto"/>
          <w:szCs w:val="21"/>
          <w:highlight w:val="none"/>
          <w:lang w:val="en-US" w:eastAsia="zh-CN"/>
        </w:rPr>
        <w:t>.</w:t>
      </w:r>
      <w:r>
        <w:rPr>
          <w:rFonts w:hint="eastAsia" w:ascii="宋体" w:hAnsi="宋体"/>
          <w:color w:val="auto"/>
          <w:szCs w:val="21"/>
          <w:highlight w:val="none"/>
        </w:rPr>
        <w:t>采购范围：</w:t>
      </w:r>
      <w:r>
        <w:rPr>
          <w:rFonts w:hint="eastAsia" w:ascii="宋体" w:hAnsi="宋体"/>
          <w:color w:val="auto"/>
          <w:szCs w:val="21"/>
          <w:highlight w:val="none"/>
          <w:u w:val="single"/>
        </w:rPr>
        <w:t xml:space="preserve"> </w:t>
      </w:r>
      <w:r>
        <w:rPr>
          <w:rFonts w:hint="eastAsia" w:ascii="宋体" w:hAnsi="宋体"/>
          <w:color w:val="auto"/>
          <w:szCs w:val="21"/>
          <w:highlight w:val="none"/>
          <w:u w:val="single"/>
          <w:lang w:val="en-US" w:eastAsia="zh-CN"/>
        </w:rPr>
        <w:t>详见用户需求书</w:t>
      </w:r>
      <w:r>
        <w:rPr>
          <w:rFonts w:hint="eastAsia" w:ascii="宋体" w:hAnsi="宋体"/>
          <w:color w:val="auto"/>
          <w:szCs w:val="21"/>
          <w:highlight w:val="none"/>
        </w:rPr>
        <w:t>；</w:t>
      </w:r>
    </w:p>
    <w:p w14:paraId="6D698BB1">
      <w:pPr>
        <w:keepNext w:val="0"/>
        <w:keepLines w:val="0"/>
        <w:pageBreakBefore w:val="0"/>
        <w:widowControl/>
        <w:numPr>
          <w:ilvl w:val="0"/>
          <w:numId w:val="0"/>
        </w:numPr>
        <w:kinsoku/>
        <w:wordWrap/>
        <w:overflowPunct/>
        <w:topLinePunct w:val="0"/>
        <w:autoSpaceDE/>
        <w:autoSpaceDN/>
        <w:bidi w:val="0"/>
        <w:adjustRightInd/>
        <w:snapToGrid w:val="0"/>
        <w:spacing w:line="460" w:lineRule="exact"/>
        <w:ind w:left="0" w:leftChars="0" w:firstLine="420" w:firstLineChars="200"/>
        <w:jc w:val="both"/>
        <w:textAlignment w:val="auto"/>
        <w:rPr>
          <w:rFonts w:ascii="宋体" w:hAnsi="宋体"/>
          <w:color w:val="auto"/>
          <w:szCs w:val="21"/>
          <w:highlight w:val="none"/>
        </w:rPr>
      </w:pPr>
      <w:r>
        <w:rPr>
          <w:rFonts w:hint="eastAsia" w:ascii="宋体" w:hAnsi="宋体"/>
          <w:color w:val="auto"/>
          <w:szCs w:val="21"/>
          <w:highlight w:val="none"/>
          <w:lang w:val="en-US" w:eastAsia="zh-CN"/>
        </w:rPr>
        <w:t>3.</w:t>
      </w:r>
      <w:r>
        <w:rPr>
          <w:rFonts w:hint="eastAsia" w:ascii="宋体" w:hAnsi="宋体"/>
          <w:color w:val="auto"/>
          <w:szCs w:val="21"/>
          <w:highlight w:val="none"/>
        </w:rPr>
        <w:t>服务时间（供货时间/工期）：</w:t>
      </w:r>
      <w:r>
        <w:rPr>
          <w:rFonts w:hint="eastAsia" w:ascii="宋体" w:hAnsi="宋体"/>
          <w:color w:val="auto"/>
          <w:szCs w:val="21"/>
          <w:highlight w:val="none"/>
          <w:u w:val="single"/>
        </w:rPr>
        <w:t>合同服务期限自签订运输服务合同之日起</w:t>
      </w:r>
      <w:r>
        <w:rPr>
          <w:rFonts w:hint="eastAsia" w:ascii="宋体" w:hAnsi="宋体"/>
          <w:color w:val="auto"/>
          <w:szCs w:val="21"/>
          <w:highlight w:val="none"/>
          <w:u w:val="single"/>
          <w:lang w:val="en-US" w:eastAsia="zh-CN"/>
        </w:rPr>
        <w:t>一</w:t>
      </w:r>
      <w:r>
        <w:rPr>
          <w:rFonts w:hint="eastAsia" w:ascii="宋体" w:hAnsi="宋体"/>
          <w:color w:val="auto"/>
          <w:szCs w:val="21"/>
          <w:highlight w:val="none"/>
          <w:u w:val="single"/>
        </w:rPr>
        <w:t>年</w:t>
      </w:r>
      <w:r>
        <w:rPr>
          <w:rFonts w:hint="eastAsia" w:ascii="宋体" w:hAnsi="宋体"/>
          <w:color w:val="auto"/>
          <w:szCs w:val="21"/>
          <w:highlight w:val="none"/>
        </w:rPr>
        <w:t>；</w:t>
      </w:r>
    </w:p>
    <w:p w14:paraId="2BF9FD04">
      <w:pPr>
        <w:keepNext w:val="0"/>
        <w:keepLines w:val="0"/>
        <w:pageBreakBefore w:val="0"/>
        <w:widowControl/>
        <w:numPr>
          <w:ilvl w:val="0"/>
          <w:numId w:val="0"/>
        </w:numPr>
        <w:kinsoku/>
        <w:wordWrap/>
        <w:overflowPunct/>
        <w:topLinePunct w:val="0"/>
        <w:autoSpaceDE/>
        <w:autoSpaceDN/>
        <w:bidi w:val="0"/>
        <w:adjustRightInd w:val="0"/>
        <w:snapToGrid w:val="0"/>
        <w:spacing w:line="460" w:lineRule="exact"/>
        <w:ind w:left="0" w:leftChars="0" w:firstLine="420" w:firstLineChars="200"/>
        <w:jc w:val="both"/>
        <w:textAlignment w:val="auto"/>
        <w:rPr>
          <w:rFonts w:ascii="宋体" w:hAnsi="宋体"/>
          <w:color w:val="auto"/>
          <w:szCs w:val="21"/>
          <w:highlight w:val="none"/>
        </w:rPr>
      </w:pPr>
      <w:r>
        <w:rPr>
          <w:rFonts w:hint="eastAsia" w:ascii="宋体" w:hAnsi="宋体"/>
          <w:color w:val="auto"/>
          <w:szCs w:val="21"/>
          <w:highlight w:val="none"/>
          <w:lang w:val="en-US" w:eastAsia="zh-CN"/>
        </w:rPr>
        <w:t>4.</w:t>
      </w:r>
      <w:r>
        <w:rPr>
          <w:rFonts w:hint="eastAsia" w:ascii="宋体" w:hAnsi="宋体"/>
          <w:color w:val="auto"/>
          <w:szCs w:val="21"/>
          <w:highlight w:val="none"/>
        </w:rPr>
        <w:t>预算金额：</w:t>
      </w:r>
    </w:p>
    <w:tbl>
      <w:tblPr>
        <w:tblStyle w:val="30"/>
        <w:tblW w:w="4876" w:type="pct"/>
        <w:tblInd w:w="0" w:type="dxa"/>
        <w:tblLayout w:type="fixed"/>
        <w:tblCellMar>
          <w:top w:w="0" w:type="dxa"/>
          <w:left w:w="108" w:type="dxa"/>
          <w:bottom w:w="0" w:type="dxa"/>
          <w:right w:w="108" w:type="dxa"/>
        </w:tblCellMar>
      </w:tblPr>
      <w:tblGrid>
        <w:gridCol w:w="426"/>
        <w:gridCol w:w="1060"/>
        <w:gridCol w:w="1036"/>
        <w:gridCol w:w="1115"/>
        <w:gridCol w:w="863"/>
        <w:gridCol w:w="996"/>
        <w:gridCol w:w="2816"/>
      </w:tblGrid>
      <w:tr w14:paraId="658E25F1">
        <w:tblPrEx>
          <w:tblCellMar>
            <w:top w:w="0" w:type="dxa"/>
            <w:left w:w="108" w:type="dxa"/>
            <w:bottom w:w="0" w:type="dxa"/>
            <w:right w:w="108" w:type="dxa"/>
          </w:tblCellMar>
        </w:tblPrEx>
        <w:trPr>
          <w:trHeight w:val="972" w:hRule="atLeast"/>
          <w:tblHeader/>
        </w:trPr>
        <w:tc>
          <w:tcPr>
            <w:tcW w:w="2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50D374">
            <w:pPr>
              <w:widowControl/>
              <w:spacing w:line="240" w:lineRule="auto"/>
              <w:jc w:val="center"/>
              <w:textAlignment w:val="center"/>
              <w:rPr>
                <w:rFonts w:hint="eastAsia" w:ascii="宋体" w:hAnsi="宋体" w:eastAsia="宋体" w:cs="宋体"/>
                <w:b/>
                <w:bCs/>
                <w:color w:val="auto"/>
                <w:sz w:val="20"/>
                <w:szCs w:val="20"/>
                <w:highlight w:val="none"/>
              </w:rPr>
            </w:pPr>
            <w:r>
              <w:rPr>
                <w:rFonts w:hint="eastAsia" w:ascii="宋体" w:hAnsi="宋体" w:eastAsia="宋体" w:cs="宋体"/>
                <w:b/>
                <w:bCs/>
                <w:color w:val="auto"/>
                <w:kern w:val="0"/>
                <w:sz w:val="20"/>
                <w:szCs w:val="20"/>
                <w:highlight w:val="none"/>
                <w:lang w:bidi="ar"/>
              </w:rPr>
              <w:t>车型</w:t>
            </w:r>
          </w:p>
        </w:tc>
        <w:tc>
          <w:tcPr>
            <w:tcW w:w="6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8A35A6">
            <w:pPr>
              <w:widowControl/>
              <w:spacing w:line="240" w:lineRule="auto"/>
              <w:jc w:val="center"/>
              <w:textAlignment w:val="center"/>
              <w:rPr>
                <w:rFonts w:hint="eastAsia" w:ascii="宋体" w:hAnsi="宋体" w:eastAsia="宋体" w:cs="宋体"/>
                <w:b/>
                <w:bCs/>
                <w:color w:val="auto"/>
                <w:sz w:val="20"/>
                <w:szCs w:val="20"/>
                <w:highlight w:val="none"/>
              </w:rPr>
            </w:pPr>
            <w:r>
              <w:rPr>
                <w:rFonts w:hint="eastAsia" w:ascii="宋体" w:hAnsi="宋体" w:eastAsia="宋体" w:cs="宋体"/>
                <w:b/>
                <w:bCs/>
                <w:color w:val="auto"/>
                <w:kern w:val="0"/>
                <w:sz w:val="20"/>
                <w:szCs w:val="20"/>
                <w:highlight w:val="none"/>
                <w:lang w:bidi="ar"/>
              </w:rPr>
              <w:t>采购区域</w:t>
            </w:r>
          </w:p>
        </w:tc>
        <w:tc>
          <w:tcPr>
            <w:tcW w:w="62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FE7EAF">
            <w:pPr>
              <w:widowControl/>
              <w:spacing w:line="240" w:lineRule="auto"/>
              <w:jc w:val="center"/>
              <w:textAlignment w:val="center"/>
              <w:rPr>
                <w:rFonts w:hint="eastAsia" w:ascii="宋体" w:hAnsi="宋体" w:eastAsia="宋体" w:cs="宋体"/>
                <w:b/>
                <w:bCs/>
                <w:color w:val="auto"/>
                <w:sz w:val="20"/>
                <w:szCs w:val="20"/>
                <w:highlight w:val="none"/>
              </w:rPr>
            </w:pPr>
            <w:r>
              <w:rPr>
                <w:rFonts w:hint="eastAsia" w:ascii="宋体" w:hAnsi="宋体" w:eastAsia="宋体" w:cs="宋体"/>
                <w:b/>
                <w:bCs/>
                <w:color w:val="auto"/>
                <w:kern w:val="0"/>
                <w:sz w:val="20"/>
                <w:szCs w:val="20"/>
                <w:highlight w:val="none"/>
                <w:lang w:bidi="ar"/>
              </w:rPr>
              <w:t>详细说明</w:t>
            </w:r>
          </w:p>
        </w:tc>
        <w:tc>
          <w:tcPr>
            <w:tcW w:w="6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D95101">
            <w:pPr>
              <w:widowControl/>
              <w:spacing w:line="240" w:lineRule="auto"/>
              <w:jc w:val="center"/>
              <w:textAlignment w:val="center"/>
              <w:rPr>
                <w:rFonts w:hint="eastAsia" w:ascii="宋体" w:hAnsi="宋体" w:eastAsia="宋体" w:cs="宋体"/>
                <w:b/>
                <w:bCs/>
                <w:color w:val="auto"/>
                <w:sz w:val="20"/>
                <w:szCs w:val="20"/>
                <w:highlight w:val="none"/>
                <w:lang w:val="en-US" w:eastAsia="zh-CN" w:bidi="ar-SA"/>
              </w:rPr>
            </w:pPr>
            <w:r>
              <w:rPr>
                <w:rFonts w:hint="eastAsia" w:ascii="宋体" w:hAnsi="宋体" w:eastAsia="宋体" w:cs="宋体"/>
                <w:b/>
                <w:bCs/>
                <w:color w:val="auto"/>
                <w:sz w:val="20"/>
                <w:szCs w:val="20"/>
                <w:highlight w:val="none"/>
              </w:rPr>
              <w:t>区域预算（万元）</w:t>
            </w:r>
          </w:p>
        </w:tc>
        <w:tc>
          <w:tcPr>
            <w:tcW w:w="5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8D96E1">
            <w:pPr>
              <w:widowControl/>
              <w:spacing w:line="240" w:lineRule="auto"/>
              <w:jc w:val="center"/>
              <w:textAlignment w:val="center"/>
              <w:rPr>
                <w:rFonts w:hint="eastAsia" w:ascii="宋体" w:hAnsi="宋体" w:eastAsia="宋体" w:cs="宋体"/>
                <w:b/>
                <w:bCs/>
                <w:color w:val="auto"/>
                <w:sz w:val="20"/>
                <w:szCs w:val="20"/>
                <w:highlight w:val="none"/>
                <w:lang w:val="en-US" w:eastAsia="zh-CN" w:bidi="ar-SA"/>
              </w:rPr>
            </w:pPr>
            <w:r>
              <w:rPr>
                <w:rFonts w:hint="eastAsia" w:ascii="宋体" w:hAnsi="宋体" w:eastAsia="宋体" w:cs="宋体"/>
                <w:b/>
                <w:bCs/>
                <w:color w:val="auto"/>
                <w:sz w:val="20"/>
                <w:szCs w:val="20"/>
                <w:highlight w:val="none"/>
                <w:lang w:val="en-US" w:eastAsia="zh-CN"/>
              </w:rPr>
              <w:t>合同期（年）</w:t>
            </w:r>
          </w:p>
        </w:tc>
        <w:tc>
          <w:tcPr>
            <w:tcW w:w="59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73C93E">
            <w:pPr>
              <w:widowControl/>
              <w:spacing w:line="240" w:lineRule="auto"/>
              <w:jc w:val="center"/>
              <w:textAlignment w:val="center"/>
              <w:rPr>
                <w:rFonts w:hint="eastAsia" w:ascii="宋体" w:hAnsi="宋体" w:eastAsia="宋体" w:cs="宋体"/>
                <w:b/>
                <w:bCs/>
                <w:color w:val="auto"/>
                <w:sz w:val="20"/>
                <w:szCs w:val="20"/>
                <w:highlight w:val="none"/>
                <w:lang w:val="en-US" w:eastAsia="zh-CN" w:bidi="ar-SA"/>
              </w:rPr>
            </w:pPr>
            <w:r>
              <w:rPr>
                <w:rFonts w:hint="eastAsia" w:ascii="宋体" w:hAnsi="宋体" w:eastAsia="宋体" w:cs="宋体"/>
                <w:b/>
                <w:bCs/>
                <w:color w:val="auto"/>
                <w:sz w:val="20"/>
                <w:szCs w:val="20"/>
                <w:highlight w:val="none"/>
                <w:lang w:val="en-US" w:eastAsia="zh-CN"/>
              </w:rPr>
              <w:t>合计</w:t>
            </w:r>
            <w:r>
              <w:rPr>
                <w:rFonts w:hint="eastAsia" w:ascii="宋体" w:hAnsi="宋体" w:eastAsia="宋体" w:cs="宋体"/>
                <w:b/>
                <w:bCs/>
                <w:color w:val="auto"/>
                <w:sz w:val="20"/>
                <w:szCs w:val="20"/>
                <w:highlight w:val="none"/>
              </w:rPr>
              <w:t>（万元）</w:t>
            </w:r>
          </w:p>
        </w:tc>
        <w:tc>
          <w:tcPr>
            <w:tcW w:w="1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5AB35D">
            <w:pPr>
              <w:widowControl/>
              <w:spacing w:line="240" w:lineRule="auto"/>
              <w:jc w:val="center"/>
              <w:textAlignment w:val="center"/>
              <w:rPr>
                <w:rFonts w:hint="eastAsia" w:ascii="宋体" w:hAnsi="宋体" w:eastAsia="宋体" w:cs="宋体"/>
                <w:b/>
                <w:bCs/>
                <w:color w:val="auto"/>
                <w:sz w:val="20"/>
                <w:szCs w:val="20"/>
                <w:highlight w:val="none"/>
                <w:lang w:val="en-US" w:eastAsia="zh-CN"/>
              </w:rPr>
            </w:pPr>
            <w:r>
              <w:rPr>
                <w:rFonts w:hint="eastAsia" w:ascii="宋体" w:hAnsi="宋体"/>
                <w:b/>
                <w:color w:val="auto"/>
                <w:sz w:val="20"/>
                <w:szCs w:val="20"/>
                <w:highlight w:val="none"/>
              </w:rPr>
              <w:t>数量</w:t>
            </w:r>
          </w:p>
        </w:tc>
      </w:tr>
      <w:tr w14:paraId="4D1F412B">
        <w:tblPrEx>
          <w:tblCellMar>
            <w:top w:w="0" w:type="dxa"/>
            <w:left w:w="108" w:type="dxa"/>
            <w:bottom w:w="0" w:type="dxa"/>
            <w:right w:w="108" w:type="dxa"/>
          </w:tblCellMar>
        </w:tblPrEx>
        <w:trPr>
          <w:trHeight w:val="1463" w:hRule="atLeast"/>
        </w:trPr>
        <w:tc>
          <w:tcPr>
            <w:tcW w:w="2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766F39">
            <w:pPr>
              <w:spacing w:line="240" w:lineRule="auto"/>
              <w:jc w:val="center"/>
              <w:rPr>
                <w:rFonts w:hint="eastAsia" w:ascii="宋体" w:hAnsi="宋体" w:eastAsia="宋体" w:cs="宋体"/>
                <w:b/>
                <w:bCs/>
                <w:color w:val="auto"/>
                <w:sz w:val="20"/>
                <w:szCs w:val="20"/>
                <w:highlight w:val="none"/>
                <w:lang w:val="en-US" w:eastAsia="zh-CN"/>
              </w:rPr>
            </w:pPr>
            <w:r>
              <w:rPr>
                <w:rFonts w:hint="eastAsia" w:ascii="宋体" w:hAnsi="宋体" w:eastAsia="宋体" w:cs="宋体"/>
                <w:b/>
                <w:bCs/>
                <w:color w:val="auto"/>
                <w:sz w:val="20"/>
                <w:szCs w:val="20"/>
                <w:highlight w:val="none"/>
                <w:lang w:val="en-US" w:eastAsia="zh-CN"/>
              </w:rPr>
              <w:t>厢车</w:t>
            </w:r>
          </w:p>
        </w:tc>
        <w:tc>
          <w:tcPr>
            <w:tcW w:w="63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2D5FFA">
            <w:pPr>
              <w:widowControl/>
              <w:spacing w:line="240" w:lineRule="auto"/>
              <w:jc w:val="center"/>
              <w:textAlignment w:val="center"/>
              <w:rPr>
                <w:rFonts w:hint="eastAsia" w:ascii="宋体" w:hAnsi="宋体" w:eastAsia="宋体" w:cs="宋体"/>
                <w:color w:val="auto"/>
                <w:sz w:val="20"/>
                <w:szCs w:val="20"/>
                <w:highlight w:val="none"/>
              </w:rPr>
            </w:pPr>
            <w:r>
              <w:rPr>
                <w:rFonts w:hint="eastAsia" w:ascii="宋体" w:hAnsi="宋体" w:eastAsia="宋体" w:cs="宋体"/>
                <w:color w:val="auto"/>
                <w:kern w:val="0"/>
                <w:sz w:val="20"/>
                <w:szCs w:val="20"/>
                <w:highlight w:val="none"/>
                <w:lang w:bidi="ar"/>
              </w:rPr>
              <w:t>莞惠区域</w:t>
            </w:r>
          </w:p>
        </w:tc>
        <w:tc>
          <w:tcPr>
            <w:tcW w:w="62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812228">
            <w:pPr>
              <w:keepNext w:val="0"/>
              <w:keepLines w:val="0"/>
              <w:widowControl/>
              <w:suppressLineNumbers w:val="0"/>
              <w:spacing w:line="240" w:lineRule="auto"/>
              <w:jc w:val="center"/>
              <w:textAlignment w:val="center"/>
              <w:rPr>
                <w:rFonts w:hint="eastAsia" w:ascii="宋体" w:hAnsi="宋体" w:eastAsia="宋体" w:cs="宋体"/>
                <w:color w:val="auto"/>
                <w:sz w:val="20"/>
                <w:szCs w:val="20"/>
                <w:highlight w:val="none"/>
                <w:lang w:val="en-US"/>
              </w:rPr>
            </w:pPr>
            <w:r>
              <w:rPr>
                <w:rFonts w:hint="eastAsia" w:ascii="宋体" w:hAnsi="宋体" w:eastAsia="宋体" w:cs="宋体"/>
                <w:color w:val="auto"/>
                <w:kern w:val="0"/>
                <w:sz w:val="20"/>
                <w:szCs w:val="20"/>
                <w:highlight w:val="none"/>
                <w:lang w:bidi="ar"/>
              </w:rPr>
              <w:t>东莞、惠州（含以上城市限行区）</w:t>
            </w:r>
          </w:p>
        </w:tc>
        <w:tc>
          <w:tcPr>
            <w:tcW w:w="6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C4BF16">
            <w:pPr>
              <w:keepNext w:val="0"/>
              <w:keepLines w:val="0"/>
              <w:widowControl/>
              <w:suppressLineNumbers w:val="0"/>
              <w:spacing w:line="240" w:lineRule="auto"/>
              <w:jc w:val="center"/>
              <w:textAlignment w:val="center"/>
              <w:rPr>
                <w:rFonts w:hint="eastAsia" w:ascii="宋体" w:hAnsi="宋体" w:eastAsia="宋体" w:cs="宋体"/>
                <w:color w:val="auto"/>
                <w:sz w:val="20"/>
                <w:szCs w:val="20"/>
                <w:highlight w:val="none"/>
                <w:lang w:val="en-US" w:eastAsia="zh-CN" w:bidi="ar-SA"/>
              </w:rPr>
            </w:pPr>
            <w:r>
              <w:rPr>
                <w:rFonts w:hint="eastAsia" w:ascii="宋体" w:hAnsi="宋体" w:eastAsia="宋体" w:cs="宋体"/>
                <w:i w:val="0"/>
                <w:iCs w:val="0"/>
                <w:color w:val="auto"/>
                <w:kern w:val="0"/>
                <w:sz w:val="20"/>
                <w:szCs w:val="20"/>
                <w:highlight w:val="none"/>
                <w:u w:val="none"/>
                <w:lang w:val="en-US" w:eastAsia="zh-CN" w:bidi="ar"/>
              </w:rPr>
              <w:t>470</w:t>
            </w:r>
          </w:p>
        </w:tc>
        <w:tc>
          <w:tcPr>
            <w:tcW w:w="5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8907EF">
            <w:pPr>
              <w:keepNext w:val="0"/>
              <w:keepLines w:val="0"/>
              <w:widowControl/>
              <w:suppressLineNumbers w:val="0"/>
              <w:spacing w:line="240" w:lineRule="auto"/>
              <w:jc w:val="center"/>
              <w:textAlignment w:val="center"/>
              <w:rPr>
                <w:rFonts w:hint="eastAsia" w:ascii="宋体" w:hAnsi="宋体" w:eastAsia="宋体" w:cs="宋体"/>
                <w:i w:val="0"/>
                <w:iCs w:val="0"/>
                <w:color w:val="auto"/>
                <w:kern w:val="0"/>
                <w:sz w:val="20"/>
                <w:szCs w:val="20"/>
                <w:highlight w:val="none"/>
                <w:u w:val="none"/>
                <w:lang w:val="en-US" w:eastAsia="zh-CN" w:bidi="ar"/>
              </w:rPr>
            </w:pPr>
            <w:r>
              <w:rPr>
                <w:rFonts w:hint="eastAsia" w:ascii="宋体" w:hAnsi="宋体" w:cs="宋体"/>
                <w:i w:val="0"/>
                <w:iCs w:val="0"/>
                <w:color w:val="auto"/>
                <w:kern w:val="0"/>
                <w:sz w:val="20"/>
                <w:szCs w:val="20"/>
                <w:highlight w:val="none"/>
                <w:u w:val="none"/>
                <w:lang w:val="en-US" w:eastAsia="zh-CN" w:bidi="ar"/>
              </w:rPr>
              <w:t>1</w:t>
            </w:r>
          </w:p>
        </w:tc>
        <w:tc>
          <w:tcPr>
            <w:tcW w:w="59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E076E3">
            <w:pPr>
              <w:keepNext w:val="0"/>
              <w:keepLines w:val="0"/>
              <w:widowControl/>
              <w:suppressLineNumbers w:val="0"/>
              <w:spacing w:line="240" w:lineRule="auto"/>
              <w:jc w:val="center"/>
              <w:textAlignment w:val="center"/>
              <w:rPr>
                <w:rFonts w:hint="default" w:ascii="宋体" w:hAnsi="宋体" w:eastAsia="宋体" w:cs="宋体"/>
                <w:i w:val="0"/>
                <w:iCs w:val="0"/>
                <w:color w:val="auto"/>
                <w:kern w:val="0"/>
                <w:sz w:val="20"/>
                <w:szCs w:val="20"/>
                <w:highlight w:val="none"/>
                <w:u w:val="none"/>
                <w:lang w:val="en-US" w:eastAsia="zh-CN" w:bidi="ar"/>
              </w:rPr>
            </w:pPr>
            <w:r>
              <w:rPr>
                <w:rFonts w:hint="eastAsia" w:ascii="宋体" w:hAnsi="宋体" w:cs="宋体"/>
                <w:i w:val="0"/>
                <w:iCs w:val="0"/>
                <w:color w:val="auto"/>
                <w:kern w:val="0"/>
                <w:sz w:val="20"/>
                <w:szCs w:val="20"/>
                <w:highlight w:val="none"/>
                <w:u w:val="none"/>
                <w:lang w:val="en-US" w:eastAsia="zh-CN" w:bidi="ar"/>
              </w:rPr>
              <w:t>470</w:t>
            </w:r>
          </w:p>
        </w:tc>
        <w:tc>
          <w:tcPr>
            <w:tcW w:w="169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FADC21">
            <w:pPr>
              <w:keepNext w:val="0"/>
              <w:keepLines w:val="0"/>
              <w:widowControl/>
              <w:suppressLineNumbers w:val="0"/>
              <w:spacing w:line="240" w:lineRule="auto"/>
              <w:jc w:val="both"/>
              <w:textAlignment w:val="center"/>
              <w:rPr>
                <w:rFonts w:hint="eastAsia" w:ascii="宋体" w:hAnsi="宋体" w:cs="宋体"/>
                <w:i w:val="0"/>
                <w:iCs w:val="0"/>
                <w:color w:val="auto"/>
                <w:kern w:val="0"/>
                <w:sz w:val="20"/>
                <w:szCs w:val="20"/>
                <w:highlight w:val="none"/>
                <w:u w:val="none"/>
                <w:lang w:val="en-US" w:eastAsia="zh-CN" w:bidi="ar"/>
              </w:rPr>
            </w:pPr>
            <w:r>
              <w:rPr>
                <w:rFonts w:hint="eastAsia" w:ascii="宋体" w:hAnsi="宋体" w:cs="宋体"/>
                <w:color w:val="auto"/>
                <w:sz w:val="20"/>
                <w:szCs w:val="20"/>
                <w:highlight w:val="none"/>
                <w:lang w:val="en-US" w:eastAsia="zh-CN"/>
              </w:rPr>
              <w:t>本项目成交2家服务单位</w:t>
            </w:r>
            <w:r>
              <w:rPr>
                <w:rFonts w:hint="eastAsia" w:ascii="宋体" w:hAnsi="宋体" w:eastAsia="宋体" w:cs="宋体"/>
                <w:color w:val="auto"/>
                <w:sz w:val="20"/>
                <w:szCs w:val="20"/>
                <w:highlight w:val="none"/>
              </w:rPr>
              <w:t>，以“一用一备，优先使用最低价服务单位”的派单原则开展服务</w:t>
            </w:r>
          </w:p>
        </w:tc>
      </w:tr>
    </w:tbl>
    <w:p w14:paraId="408BDE30">
      <w:pPr>
        <w:keepNext w:val="0"/>
        <w:keepLines w:val="0"/>
        <w:pageBreakBefore w:val="0"/>
        <w:kinsoku/>
        <w:wordWrap/>
        <w:overflowPunct/>
        <w:topLinePunct w:val="0"/>
        <w:autoSpaceDE/>
        <w:autoSpaceDN/>
        <w:bidi w:val="0"/>
        <w:spacing w:line="460" w:lineRule="exact"/>
        <w:ind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5、项目需求</w:t>
      </w:r>
    </w:p>
    <w:p w14:paraId="0A0D338F">
      <w:pPr>
        <w:keepNext w:val="0"/>
        <w:keepLines w:val="0"/>
        <w:pageBreakBefore w:val="0"/>
        <w:kinsoku/>
        <w:wordWrap/>
        <w:overflowPunct/>
        <w:topLinePunct w:val="0"/>
        <w:autoSpaceDE/>
        <w:autoSpaceDN/>
        <w:bidi w:val="0"/>
        <w:spacing w:line="460" w:lineRule="exact"/>
        <w:ind w:firstLine="420" w:firstLineChars="200"/>
        <w:jc w:val="both"/>
        <w:textAlignment w:val="auto"/>
        <w:rPr>
          <w:rFonts w:ascii="宋体" w:hAnsi="宋体"/>
          <w:b/>
          <w:color w:val="auto"/>
          <w:szCs w:val="21"/>
          <w:highlight w:val="none"/>
        </w:rPr>
      </w:pPr>
      <w:r>
        <w:rPr>
          <w:rFonts w:hint="eastAsia" w:ascii="宋体" w:hAnsi="宋体"/>
          <w:color w:val="auto"/>
          <w:szCs w:val="21"/>
          <w:highlight w:val="none"/>
        </w:rPr>
        <w:t>详细内容请参阅采购文件第三部分《用户需求书》。</w:t>
      </w:r>
    </w:p>
    <w:p w14:paraId="3A865931">
      <w:pPr>
        <w:keepNext w:val="0"/>
        <w:keepLines w:val="0"/>
        <w:pageBreakBefore w:val="0"/>
        <w:kinsoku/>
        <w:wordWrap/>
        <w:overflowPunct/>
        <w:topLinePunct w:val="0"/>
        <w:autoSpaceDE/>
        <w:autoSpaceDN/>
        <w:bidi w:val="0"/>
        <w:spacing w:line="460" w:lineRule="exact"/>
        <w:ind w:firstLine="422" w:firstLineChars="200"/>
        <w:jc w:val="both"/>
        <w:textAlignment w:val="auto"/>
        <w:rPr>
          <w:rFonts w:ascii="宋体" w:hAnsi="宋体"/>
          <w:b/>
          <w:color w:val="auto"/>
          <w:szCs w:val="21"/>
          <w:highlight w:val="none"/>
        </w:rPr>
      </w:pPr>
      <w:r>
        <w:rPr>
          <w:rFonts w:hint="eastAsia" w:ascii="宋体" w:hAnsi="宋体"/>
          <w:b/>
          <w:color w:val="auto"/>
          <w:szCs w:val="21"/>
          <w:highlight w:val="none"/>
        </w:rPr>
        <w:t>二、投标人资格要求</w:t>
      </w:r>
    </w:p>
    <w:p w14:paraId="0B534BFB">
      <w:pPr>
        <w:keepNext w:val="0"/>
        <w:keepLines w:val="0"/>
        <w:pageBreakBefore w:val="0"/>
        <w:kinsoku/>
        <w:wordWrap/>
        <w:overflowPunct/>
        <w:topLinePunct w:val="0"/>
        <w:autoSpaceDE/>
        <w:autoSpaceDN/>
        <w:bidi w:val="0"/>
        <w:spacing w:line="460" w:lineRule="exact"/>
        <w:ind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1、一般要求：</w:t>
      </w:r>
    </w:p>
    <w:p w14:paraId="2D31DED2">
      <w:pPr>
        <w:keepNext w:val="0"/>
        <w:keepLines w:val="0"/>
        <w:pageBreakBefore w:val="0"/>
        <w:kinsoku/>
        <w:wordWrap/>
        <w:overflowPunct/>
        <w:topLinePunct w:val="0"/>
        <w:autoSpaceDE/>
        <w:autoSpaceDN/>
        <w:bidi w:val="0"/>
        <w:spacing w:line="460" w:lineRule="exact"/>
        <w:ind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1）投标人须为在中华人民共和国境内登记注册的具有独立承担民事责任能力的法人或其他组织【提供《营业执照》复印件（加盖公章）或《事业单位法人证书》复印件（加盖公章）或其他主体证书复印件（加盖公章）】。</w:t>
      </w:r>
    </w:p>
    <w:p w14:paraId="1751EB81">
      <w:pPr>
        <w:keepNext w:val="0"/>
        <w:keepLines w:val="0"/>
        <w:pageBreakBefore w:val="0"/>
        <w:kinsoku/>
        <w:wordWrap/>
        <w:overflowPunct/>
        <w:topLinePunct w:val="0"/>
        <w:autoSpaceDE/>
        <w:autoSpaceDN/>
        <w:bidi w:val="0"/>
        <w:spacing w:line="460" w:lineRule="exact"/>
        <w:ind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（2）参加采购活动前三年内，</w:t>
      </w:r>
      <w:r>
        <w:rPr>
          <w:rFonts w:hint="eastAsia" w:ascii="宋体" w:hAnsi="宋体"/>
          <w:color w:val="auto"/>
          <w:szCs w:val="21"/>
          <w:highlight w:val="none"/>
        </w:rPr>
        <w:t>在经营活动中没有重大违法记录（须提供书面声明</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详见附件</w:t>
      </w:r>
      <w:r>
        <w:rPr>
          <w:rFonts w:hint="eastAsia" w:ascii="宋体" w:hAnsi="宋体"/>
          <w:color w:val="auto"/>
          <w:szCs w:val="21"/>
          <w:highlight w:val="none"/>
        </w:rPr>
        <w:t>）。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如有最新发文通知，按最新文件执行）。</w:t>
      </w:r>
    </w:p>
    <w:p w14:paraId="20C7F395">
      <w:pPr>
        <w:keepNext w:val="0"/>
        <w:keepLines w:val="0"/>
        <w:pageBreakBefore w:val="0"/>
        <w:kinsoku/>
        <w:wordWrap/>
        <w:overflowPunct/>
        <w:topLinePunct w:val="0"/>
        <w:autoSpaceDE/>
        <w:autoSpaceDN/>
        <w:bidi w:val="0"/>
        <w:spacing w:line="460" w:lineRule="exact"/>
        <w:ind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（3）投标人的单位负责人为同一人或者存在直接控股、管理关系的不同投标人，不得参加同一合同项下的采购活动。</w:t>
      </w:r>
    </w:p>
    <w:p w14:paraId="3251FB17">
      <w:pPr>
        <w:keepNext w:val="0"/>
        <w:keepLines w:val="0"/>
        <w:pageBreakBefore w:val="0"/>
        <w:kinsoku/>
        <w:wordWrap/>
        <w:overflowPunct/>
        <w:topLinePunct w:val="0"/>
        <w:autoSpaceDE/>
        <w:autoSpaceDN/>
        <w:bidi w:val="0"/>
        <w:spacing w:line="460" w:lineRule="exact"/>
        <w:ind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（4）未被列入“信用中国”网站(www.creditchina.gov.cn )“记录失信被执行人或</w:t>
      </w:r>
      <w:r>
        <w:rPr>
          <w:rFonts w:hint="eastAsia"/>
          <w:color w:val="auto"/>
          <w:highlight w:val="none"/>
        </w:rPr>
        <w:t>重大税收违法失信主体</w:t>
      </w:r>
      <w:r>
        <w:rPr>
          <w:rFonts w:hint="eastAsia" w:ascii="宋体" w:hAnsi="宋体"/>
          <w:color w:val="auto"/>
          <w:szCs w:val="21"/>
          <w:highlight w:val="none"/>
        </w:rPr>
        <w:t>或政府采购严重违法失信行为”记录名单。以代理机构于投标截止日当天在“信用中国”网站查询结果为准，如相关失信记录已失效，投标人需提供相关证明资料。</w:t>
      </w:r>
    </w:p>
    <w:p w14:paraId="6C8DAA51">
      <w:pPr>
        <w:keepNext w:val="0"/>
        <w:keepLines w:val="0"/>
        <w:pageBreakBefore w:val="0"/>
        <w:widowControl/>
        <w:kinsoku/>
        <w:wordWrap/>
        <w:overflowPunct/>
        <w:topLinePunct w:val="0"/>
        <w:autoSpaceDE/>
        <w:autoSpaceDN/>
        <w:bidi w:val="0"/>
        <w:adjustRightInd w:val="0"/>
        <w:snapToGrid w:val="0"/>
        <w:spacing w:line="460" w:lineRule="exact"/>
        <w:ind w:left="0" w:firstLine="420" w:firstLineChars="200"/>
        <w:jc w:val="both"/>
        <w:textAlignment w:val="auto"/>
        <w:rPr>
          <w:rFonts w:hint="eastAsia" w:ascii="宋体" w:hAnsi="宋体"/>
          <w:color w:val="auto"/>
          <w:szCs w:val="21"/>
          <w:highlight w:val="none"/>
        </w:rPr>
      </w:pPr>
      <w:r>
        <w:rPr>
          <w:rFonts w:hint="eastAsia" w:ascii="宋体" w:hAnsi="宋体"/>
          <w:color w:val="auto"/>
          <w:szCs w:val="21"/>
          <w:highlight w:val="none"/>
        </w:rPr>
        <w:t>（5）</w:t>
      </w:r>
      <w:r>
        <w:rPr>
          <w:rFonts w:hint="eastAsia" w:ascii="宋体" w:hAnsi="宋体"/>
          <w:color w:val="auto"/>
          <w:szCs w:val="21"/>
          <w:highlight w:val="none"/>
        </w:rPr>
        <w:t>报价人须提供投标截止日前6个月内任意1个月依法缴纳税收的证明材料及无欠税的证明材料。如依法免税的，须提供相应证明材料（提供依法缴纳税收的证明材料及无欠税的证明材料，</w:t>
      </w:r>
      <w:r>
        <w:rPr>
          <w:rFonts w:hint="eastAsia" w:ascii="宋体" w:hAnsi="宋体"/>
          <w:color w:val="auto"/>
          <w:szCs w:val="21"/>
          <w:highlight w:val="none"/>
          <w:lang w:val="en-US" w:eastAsia="zh-CN"/>
        </w:rPr>
        <w:t>详见附件</w:t>
      </w:r>
      <w:r>
        <w:rPr>
          <w:rFonts w:hint="eastAsia" w:ascii="宋体" w:hAnsi="宋体"/>
          <w:color w:val="auto"/>
          <w:szCs w:val="21"/>
          <w:highlight w:val="none"/>
          <w:lang w:eastAsia="zh-CN"/>
        </w:rPr>
        <w:t>，</w:t>
      </w:r>
      <w:r>
        <w:rPr>
          <w:rFonts w:hint="eastAsia" w:ascii="宋体" w:hAnsi="宋体"/>
          <w:color w:val="auto"/>
          <w:szCs w:val="21"/>
          <w:highlight w:val="none"/>
        </w:rPr>
        <w:t>证明材料须加盖公章）。</w:t>
      </w:r>
    </w:p>
    <w:p w14:paraId="1AA2A7A2">
      <w:pPr>
        <w:keepNext w:val="0"/>
        <w:keepLines w:val="0"/>
        <w:pageBreakBefore w:val="0"/>
        <w:kinsoku/>
        <w:wordWrap/>
        <w:overflowPunct/>
        <w:topLinePunct w:val="0"/>
        <w:autoSpaceDE/>
        <w:autoSpaceDN/>
        <w:bidi w:val="0"/>
        <w:spacing w:line="460" w:lineRule="exact"/>
        <w:ind w:firstLine="420" w:firstLineChars="200"/>
        <w:jc w:val="both"/>
        <w:textAlignment w:val="auto"/>
        <w:rPr>
          <w:rFonts w:hint="eastAsia" w:ascii="宋体" w:hAnsi="宋体"/>
          <w:color w:val="auto"/>
          <w:szCs w:val="21"/>
          <w:highlight w:val="none"/>
        </w:rPr>
      </w:pP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6</w:t>
      </w:r>
      <w:r>
        <w:rPr>
          <w:rFonts w:hint="eastAsia" w:ascii="宋体" w:hAnsi="宋体"/>
          <w:color w:val="auto"/>
          <w:szCs w:val="21"/>
          <w:highlight w:val="none"/>
          <w:lang w:eastAsia="zh-CN"/>
        </w:rPr>
        <w:t>）</w:t>
      </w:r>
      <w:r>
        <w:rPr>
          <w:rFonts w:hint="eastAsia" w:ascii="宋体" w:hAnsi="宋体"/>
          <w:color w:val="auto"/>
          <w:szCs w:val="21"/>
          <w:highlight w:val="none"/>
        </w:rPr>
        <w:t>未被列入东实环境及下属企业相关领域黑名单。</w:t>
      </w:r>
    </w:p>
    <w:p w14:paraId="0936E765">
      <w:pPr>
        <w:keepNext w:val="0"/>
        <w:keepLines w:val="0"/>
        <w:pageBreakBefore w:val="0"/>
        <w:kinsoku/>
        <w:wordWrap/>
        <w:overflowPunct/>
        <w:topLinePunct w:val="0"/>
        <w:autoSpaceDE/>
        <w:autoSpaceDN/>
        <w:bidi w:val="0"/>
        <w:spacing w:line="460" w:lineRule="exact"/>
        <w:ind w:firstLine="420" w:firstLineChars="200"/>
        <w:jc w:val="both"/>
        <w:textAlignment w:val="auto"/>
        <w:rPr>
          <w:rFonts w:hint="eastAsia" w:ascii="宋体" w:hAnsi="宋体"/>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7</w:t>
      </w:r>
      <w:r>
        <w:rPr>
          <w:rFonts w:hint="eastAsia" w:ascii="宋体" w:hAnsi="宋体"/>
          <w:color w:val="auto"/>
          <w:szCs w:val="21"/>
          <w:highlight w:val="none"/>
        </w:rPr>
        <w:t>）本项目不接受联合体投标。</w:t>
      </w:r>
    </w:p>
    <w:p w14:paraId="5E4DA3BA">
      <w:pPr>
        <w:keepNext w:val="0"/>
        <w:keepLines w:val="0"/>
        <w:pageBreakBefore w:val="0"/>
        <w:kinsoku/>
        <w:wordWrap/>
        <w:overflowPunct/>
        <w:topLinePunct w:val="0"/>
        <w:autoSpaceDE/>
        <w:autoSpaceDN/>
        <w:bidi w:val="0"/>
        <w:spacing w:line="460" w:lineRule="exact"/>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Cs w:val="21"/>
          <w:highlight w:val="none"/>
        </w:rPr>
        <w:t>2、其他要求</w:t>
      </w:r>
    </w:p>
    <w:p w14:paraId="51AF2B2C">
      <w:pPr>
        <w:keepNext w:val="0"/>
        <w:keepLines w:val="0"/>
        <w:pageBreakBefore w:val="0"/>
        <w:widowControl w:val="0"/>
        <w:kinsoku/>
        <w:wordWrap/>
        <w:overflowPunct/>
        <w:topLinePunct w:val="0"/>
        <w:autoSpaceDE/>
        <w:autoSpaceDN/>
        <w:bidi w:val="0"/>
        <w:adjustRightInd/>
        <w:snapToGrid/>
        <w:spacing w:line="460" w:lineRule="exact"/>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cs="宋体"/>
          <w:color w:val="auto"/>
          <w:sz w:val="21"/>
          <w:szCs w:val="21"/>
          <w:highlight w:val="none"/>
          <w:lang w:eastAsia="zh-CN"/>
        </w:rPr>
        <w:t>投标人</w:t>
      </w:r>
      <w:r>
        <w:rPr>
          <w:rFonts w:hint="eastAsia" w:ascii="宋体" w:hAnsi="宋体" w:eastAsia="宋体" w:cs="宋体"/>
          <w:color w:val="auto"/>
          <w:sz w:val="21"/>
          <w:szCs w:val="21"/>
          <w:highlight w:val="none"/>
        </w:rPr>
        <w:t>必须持有在有效期内的</w:t>
      </w:r>
      <w:r>
        <w:rPr>
          <w:rFonts w:hint="eastAsia" w:ascii="宋体" w:hAnsi="宋体" w:cs="宋体"/>
          <w:color w:val="auto"/>
          <w:sz w:val="21"/>
          <w:szCs w:val="21"/>
          <w:highlight w:val="none"/>
          <w:lang w:eastAsia="zh-CN"/>
        </w:rPr>
        <w:t>《</w:t>
      </w:r>
      <w:r>
        <w:rPr>
          <w:rFonts w:hint="eastAsia" w:ascii="宋体" w:hAnsi="宋体" w:eastAsia="宋体" w:cs="宋体"/>
          <w:color w:val="auto"/>
          <w:sz w:val="21"/>
          <w:szCs w:val="21"/>
          <w:highlight w:val="none"/>
        </w:rPr>
        <w:t>道路运输经营许可证</w:t>
      </w:r>
      <w:r>
        <w:rPr>
          <w:rFonts w:hint="eastAsia" w:ascii="宋体" w:hAnsi="宋体" w:cs="宋体"/>
          <w:color w:val="auto"/>
          <w:sz w:val="21"/>
          <w:szCs w:val="21"/>
          <w:highlight w:val="none"/>
          <w:lang w:eastAsia="zh-CN"/>
        </w:rPr>
        <w:t>》</w:t>
      </w:r>
      <w:r>
        <w:rPr>
          <w:rFonts w:hint="eastAsia" w:ascii="宋体" w:hAnsi="宋体" w:eastAsia="宋体" w:cs="宋体"/>
          <w:color w:val="auto"/>
          <w:sz w:val="21"/>
          <w:szCs w:val="21"/>
          <w:highlight w:val="none"/>
        </w:rPr>
        <w:t>，经营范围需涵盖“危险</w:t>
      </w:r>
      <w:r>
        <w:rPr>
          <w:rFonts w:hint="eastAsia" w:ascii="宋体" w:hAnsi="宋体" w:cs="宋体"/>
          <w:color w:val="auto"/>
          <w:sz w:val="21"/>
          <w:szCs w:val="21"/>
          <w:highlight w:val="none"/>
          <w:lang w:val="en-US" w:eastAsia="zh-CN"/>
        </w:rPr>
        <w:t>货物运输”</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提供许可证复印件并加盖公章。</w:t>
      </w:r>
    </w:p>
    <w:p w14:paraId="6EB8A89C">
      <w:pPr>
        <w:keepNext w:val="0"/>
        <w:keepLines w:val="0"/>
        <w:pageBreakBefore w:val="0"/>
        <w:widowControl w:val="0"/>
        <w:kinsoku/>
        <w:wordWrap/>
        <w:overflowPunct/>
        <w:topLinePunct w:val="0"/>
        <w:autoSpaceDE/>
        <w:autoSpaceDN/>
        <w:bidi w:val="0"/>
        <w:adjustRightInd/>
        <w:snapToGrid/>
        <w:spacing w:line="460" w:lineRule="exact"/>
        <w:ind w:firstLine="422" w:firstLineChars="200"/>
        <w:textAlignment w:val="auto"/>
        <w:rPr>
          <w:rFonts w:ascii="宋体" w:hAnsi="宋体"/>
          <w:b/>
          <w:color w:val="auto"/>
          <w:szCs w:val="21"/>
          <w:highlight w:val="none"/>
        </w:rPr>
      </w:pPr>
      <w:r>
        <w:rPr>
          <w:rFonts w:hint="eastAsia" w:ascii="宋体" w:hAnsi="宋体"/>
          <w:b/>
          <w:color w:val="auto"/>
          <w:szCs w:val="21"/>
          <w:highlight w:val="none"/>
        </w:rPr>
        <w:t>三、获取采购文件方式及要求：</w:t>
      </w:r>
    </w:p>
    <w:p w14:paraId="5D31B8F1">
      <w:pPr>
        <w:keepNext w:val="0"/>
        <w:keepLines w:val="0"/>
        <w:pageBreakBefore w:val="0"/>
        <w:kinsoku/>
        <w:wordWrap w:val="0"/>
        <w:overflowPunct/>
        <w:topLinePunct w:val="0"/>
        <w:autoSpaceDE/>
        <w:autoSpaceDN/>
        <w:bidi w:val="0"/>
        <w:spacing w:line="460" w:lineRule="exact"/>
        <w:ind w:firstLine="420" w:firstLineChars="200"/>
        <w:jc w:val="both"/>
        <w:textAlignment w:val="auto"/>
        <w:rPr>
          <w:color w:val="auto"/>
          <w:highlight w:val="none"/>
        </w:rPr>
      </w:pPr>
      <w:r>
        <w:rPr>
          <w:rFonts w:hint="eastAsia" w:ascii="宋体" w:hAnsi="宋体" w:cs="宋体"/>
          <w:color w:val="auto"/>
          <w:szCs w:val="21"/>
          <w:highlight w:val="none"/>
        </w:rPr>
        <w:t>本项目不进行实名登记报名，拟参加投标的投标人可于投标截止时间前自行网上下载采购文件。</w:t>
      </w:r>
      <w:r>
        <w:rPr>
          <w:rFonts w:ascii="宋体" w:hAnsi="宋体" w:cs="宋体"/>
          <w:color w:val="auto"/>
          <w:szCs w:val="21"/>
          <w:highlight w:val="none"/>
        </w:rPr>
        <w:t>采购文件下载地址：</w:t>
      </w:r>
      <w:r>
        <w:rPr>
          <w:rFonts w:hint="eastAsia" w:ascii="宋体" w:hAnsi="宋体" w:cs="宋体"/>
          <w:color w:val="auto"/>
          <w:szCs w:val="21"/>
          <w:highlight w:val="none"/>
          <w:u w:val="single"/>
        </w:rPr>
        <w:t>中国招标投标公共服务平台（http</w:t>
      </w:r>
      <w:r>
        <w:rPr>
          <w:rFonts w:hint="eastAsia" w:ascii="宋体" w:hAnsi="宋体" w:cs="宋体"/>
          <w:color w:val="auto"/>
          <w:szCs w:val="21"/>
          <w:highlight w:val="none"/>
          <w:u w:val="single"/>
        </w:rPr>
        <w:t>://www.cebpubservice.com/）、东莞市公共资源交易网（http://www.dgzb.com.cn/）、东莞实业投资控股集团有限公司-招标采购栏目（http://www.dgsy.com.cn/）、</w:t>
      </w:r>
      <w:r>
        <w:rPr>
          <w:rFonts w:hint="eastAsia" w:ascii="宋体" w:hAnsi="宋体" w:cs="宋体"/>
          <w:b w:val="0"/>
          <w:bCs w:val="0"/>
          <w:color w:val="auto"/>
          <w:szCs w:val="21"/>
          <w:highlight w:val="none"/>
        </w:rPr>
        <w:t>广东东实环境股份有限公司招采平台(https://pur.yonyou.com/DGDSXNY)</w:t>
      </w:r>
      <w:r>
        <w:rPr>
          <w:rFonts w:hint="eastAsia" w:ascii="宋体" w:hAnsi="宋体" w:cs="宋体"/>
          <w:color w:val="auto"/>
          <w:szCs w:val="21"/>
          <w:highlight w:val="none"/>
          <w:u w:val="single"/>
        </w:rPr>
        <w:t>、</w:t>
      </w:r>
      <w:r>
        <w:rPr>
          <w:rFonts w:hint="eastAsia" w:asciiTheme="minorEastAsia" w:hAnsiTheme="minorEastAsia" w:eastAsiaTheme="minorEastAsia"/>
          <w:color w:val="auto"/>
          <w:highlight w:val="none"/>
          <w:u w:val="single"/>
          <w:lang w:eastAsia="zh-CN"/>
        </w:rPr>
        <w:t>广东人信工程咨询有限公司官网（http://www.gdrxzx.com/）</w:t>
      </w:r>
      <w:r>
        <w:rPr>
          <w:rFonts w:hint="eastAsia" w:asciiTheme="minorEastAsia" w:hAnsiTheme="minorEastAsia" w:eastAsiaTheme="minorEastAsia"/>
          <w:color w:val="auto"/>
          <w:highlight w:val="none"/>
          <w:u w:val="single"/>
        </w:rPr>
        <w:t>。</w:t>
      </w:r>
    </w:p>
    <w:p w14:paraId="2FC64211">
      <w:pPr>
        <w:keepNext w:val="0"/>
        <w:keepLines w:val="0"/>
        <w:pageBreakBefore w:val="0"/>
        <w:kinsoku/>
        <w:overflowPunct/>
        <w:topLinePunct w:val="0"/>
        <w:autoSpaceDE/>
        <w:autoSpaceDN/>
        <w:bidi w:val="0"/>
        <w:spacing w:line="460" w:lineRule="exact"/>
        <w:ind w:firstLine="422" w:firstLineChars="200"/>
        <w:jc w:val="both"/>
        <w:textAlignment w:val="auto"/>
        <w:rPr>
          <w:rFonts w:ascii="宋体" w:hAnsi="宋体"/>
          <w:b/>
          <w:color w:val="auto"/>
          <w:szCs w:val="21"/>
          <w:highlight w:val="none"/>
        </w:rPr>
      </w:pPr>
      <w:r>
        <w:rPr>
          <w:rFonts w:hint="eastAsia" w:ascii="宋体" w:hAnsi="宋体"/>
          <w:b/>
          <w:color w:val="auto"/>
          <w:szCs w:val="21"/>
          <w:highlight w:val="none"/>
        </w:rPr>
        <w:t>四、投标文件的递交</w:t>
      </w:r>
    </w:p>
    <w:p w14:paraId="00320A28">
      <w:pPr>
        <w:keepNext w:val="0"/>
        <w:keepLines w:val="0"/>
        <w:pageBreakBefore w:val="0"/>
        <w:kinsoku/>
        <w:overflowPunct/>
        <w:topLinePunct w:val="0"/>
        <w:autoSpaceDE/>
        <w:autoSpaceDN/>
        <w:bidi w:val="0"/>
        <w:spacing w:line="460" w:lineRule="exact"/>
        <w:ind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1、递交投标文件时间</w:t>
      </w:r>
      <w:r>
        <w:rPr>
          <w:rFonts w:hint="eastAsia" w:ascii="宋体" w:hAnsi="宋体"/>
          <w:color w:val="auto"/>
          <w:szCs w:val="21"/>
          <w:highlight w:val="none"/>
        </w:rPr>
        <w:t>：</w:t>
      </w:r>
      <w:r>
        <w:rPr>
          <w:rFonts w:hint="eastAsia" w:ascii="宋体" w:hAnsi="宋体" w:cs="宋体"/>
          <w:color w:val="auto"/>
          <w:szCs w:val="21"/>
          <w:highlight w:val="none"/>
        </w:rPr>
        <w:t>20</w:t>
      </w:r>
      <w:r>
        <w:rPr>
          <w:rFonts w:hint="eastAsia" w:ascii="宋体" w:hAnsi="宋体" w:cs="宋体"/>
          <w:color w:val="auto"/>
          <w:szCs w:val="21"/>
          <w:highlight w:val="none"/>
          <w:lang w:val="en-US" w:eastAsia="zh-CN"/>
        </w:rPr>
        <w:t>25</w:t>
      </w:r>
      <w:r>
        <w:rPr>
          <w:rFonts w:hint="eastAsia" w:ascii="宋体" w:hAnsi="宋体" w:cs="宋体"/>
          <w:color w:val="auto"/>
          <w:szCs w:val="21"/>
          <w:highlight w:val="none"/>
        </w:rPr>
        <w:t>年</w:t>
      </w:r>
      <w:r>
        <w:rPr>
          <w:rFonts w:hint="eastAsia" w:ascii="宋体" w:hAnsi="宋体" w:cs="宋体"/>
          <w:color w:val="auto"/>
          <w:szCs w:val="21"/>
          <w:highlight w:val="none"/>
          <w:u w:val="single"/>
          <w:lang w:val="en-US" w:eastAsia="zh-CN"/>
        </w:rPr>
        <w:t>11</w:t>
      </w:r>
      <w:r>
        <w:rPr>
          <w:rFonts w:hint="eastAsia" w:ascii="宋体" w:hAnsi="宋体" w:cs="宋体"/>
          <w:color w:val="auto"/>
          <w:szCs w:val="21"/>
          <w:highlight w:val="none"/>
        </w:rPr>
        <w:t>月</w:t>
      </w:r>
      <w:r>
        <w:rPr>
          <w:rFonts w:hint="eastAsia" w:ascii="宋体" w:hAnsi="宋体" w:cs="宋体"/>
          <w:color w:val="auto"/>
          <w:szCs w:val="21"/>
          <w:highlight w:val="none"/>
          <w:u w:val="single"/>
          <w:lang w:val="en-US" w:eastAsia="zh-CN"/>
        </w:rPr>
        <w:t>19</w:t>
      </w:r>
      <w:r>
        <w:rPr>
          <w:rFonts w:hint="eastAsia" w:ascii="宋体" w:hAnsi="宋体" w:cs="宋体"/>
          <w:color w:val="auto"/>
          <w:szCs w:val="21"/>
          <w:highlight w:val="none"/>
        </w:rPr>
        <w:t>日（</w:t>
      </w:r>
      <w:r>
        <w:rPr>
          <w:rFonts w:hint="eastAsia" w:ascii="宋体" w:hAnsi="宋体"/>
          <w:color w:val="auto"/>
          <w:szCs w:val="21"/>
          <w:highlight w:val="none"/>
        </w:rPr>
        <w:t>北京时间）</w:t>
      </w:r>
      <w:r>
        <w:rPr>
          <w:rFonts w:hint="eastAsia" w:ascii="宋体" w:hAnsi="宋体"/>
          <w:color w:val="auto"/>
          <w:szCs w:val="21"/>
          <w:highlight w:val="none"/>
          <w:u w:val="single"/>
          <w:lang w:val="en-US" w:eastAsia="zh-CN"/>
        </w:rPr>
        <w:t>09</w:t>
      </w:r>
      <w:r>
        <w:rPr>
          <w:rFonts w:hint="eastAsia" w:ascii="宋体" w:hAnsi="宋体"/>
          <w:color w:val="auto"/>
          <w:szCs w:val="21"/>
          <w:highlight w:val="none"/>
        </w:rPr>
        <w:t>:</w:t>
      </w:r>
      <w:r>
        <w:rPr>
          <w:rFonts w:hint="eastAsia" w:ascii="宋体" w:hAnsi="宋体"/>
          <w:color w:val="auto"/>
          <w:szCs w:val="21"/>
          <w:highlight w:val="none"/>
          <w:u w:val="single"/>
          <w:lang w:val="en-US" w:eastAsia="zh-CN"/>
        </w:rPr>
        <w:t>00</w:t>
      </w:r>
      <w:r>
        <w:rPr>
          <w:rFonts w:ascii="宋体" w:hAnsi="宋体"/>
          <w:color w:val="auto"/>
          <w:szCs w:val="21"/>
          <w:highlight w:val="none"/>
        </w:rPr>
        <w:t>-</w:t>
      </w:r>
      <w:r>
        <w:rPr>
          <w:rFonts w:hint="eastAsia" w:ascii="宋体" w:hAnsi="宋体"/>
          <w:color w:val="auto"/>
          <w:szCs w:val="21"/>
          <w:highlight w:val="none"/>
          <w:u w:val="single"/>
          <w:lang w:val="en-US" w:eastAsia="zh-CN"/>
        </w:rPr>
        <w:t>09</w:t>
      </w:r>
      <w:r>
        <w:rPr>
          <w:rFonts w:hint="eastAsia" w:ascii="宋体" w:hAnsi="宋体"/>
          <w:color w:val="auto"/>
          <w:szCs w:val="21"/>
          <w:highlight w:val="none"/>
        </w:rPr>
        <w:t>:</w:t>
      </w:r>
      <w:r>
        <w:rPr>
          <w:rFonts w:hint="eastAsia" w:ascii="宋体" w:hAnsi="宋体"/>
          <w:color w:val="auto"/>
          <w:szCs w:val="21"/>
          <w:highlight w:val="none"/>
          <w:u w:val="single"/>
          <w:lang w:val="en-US" w:eastAsia="zh-CN"/>
        </w:rPr>
        <w:t>30</w:t>
      </w:r>
      <w:r>
        <w:rPr>
          <w:rFonts w:hint="eastAsia" w:ascii="宋体" w:hAnsi="宋体"/>
          <w:color w:val="auto"/>
          <w:szCs w:val="21"/>
          <w:highlight w:val="none"/>
        </w:rPr>
        <w:t>。</w:t>
      </w:r>
    </w:p>
    <w:p w14:paraId="478DEB2C">
      <w:pPr>
        <w:keepNext w:val="0"/>
        <w:keepLines w:val="0"/>
        <w:pageBreakBefore w:val="0"/>
        <w:kinsoku/>
        <w:overflowPunct/>
        <w:topLinePunct w:val="0"/>
        <w:autoSpaceDE/>
        <w:autoSpaceDN/>
        <w:bidi w:val="0"/>
        <w:spacing w:line="460" w:lineRule="exact"/>
        <w:ind w:firstLine="420" w:firstLineChars="200"/>
        <w:jc w:val="both"/>
        <w:textAlignment w:val="auto"/>
        <w:rPr>
          <w:rFonts w:ascii="宋体" w:hAnsi="宋体"/>
          <w:b/>
          <w:color w:val="auto"/>
          <w:szCs w:val="21"/>
          <w:highlight w:val="none"/>
        </w:rPr>
      </w:pPr>
      <w:r>
        <w:rPr>
          <w:rFonts w:hint="eastAsia" w:ascii="宋体" w:hAnsi="宋体"/>
          <w:color w:val="auto"/>
          <w:szCs w:val="21"/>
          <w:highlight w:val="none"/>
        </w:rPr>
        <w:t>2、递交投标文件</w:t>
      </w:r>
      <w:r>
        <w:rPr>
          <w:rFonts w:ascii="宋体" w:hAnsi="宋体"/>
          <w:color w:val="auto"/>
          <w:szCs w:val="21"/>
          <w:highlight w:val="none"/>
        </w:rPr>
        <w:t>截止</w:t>
      </w:r>
      <w:r>
        <w:rPr>
          <w:rFonts w:hint="eastAsia" w:ascii="宋体" w:hAnsi="宋体"/>
          <w:color w:val="auto"/>
          <w:szCs w:val="21"/>
          <w:highlight w:val="none"/>
        </w:rPr>
        <w:t>及开标时间：</w:t>
      </w:r>
      <w:r>
        <w:rPr>
          <w:rFonts w:hint="eastAsia" w:ascii="宋体" w:hAnsi="宋体" w:cs="宋体"/>
          <w:color w:val="auto"/>
          <w:szCs w:val="21"/>
          <w:highlight w:val="none"/>
        </w:rPr>
        <w:t>20</w:t>
      </w:r>
      <w:r>
        <w:rPr>
          <w:rFonts w:hint="eastAsia" w:ascii="宋体" w:hAnsi="宋体" w:cs="宋体"/>
          <w:color w:val="auto"/>
          <w:szCs w:val="21"/>
          <w:highlight w:val="none"/>
          <w:lang w:val="en-US" w:eastAsia="zh-CN"/>
        </w:rPr>
        <w:t>25</w:t>
      </w:r>
      <w:r>
        <w:rPr>
          <w:rFonts w:hint="eastAsia" w:ascii="宋体" w:hAnsi="宋体" w:cs="宋体"/>
          <w:color w:val="auto"/>
          <w:szCs w:val="21"/>
          <w:highlight w:val="none"/>
        </w:rPr>
        <w:t>年</w:t>
      </w:r>
      <w:r>
        <w:rPr>
          <w:rFonts w:hint="eastAsia" w:ascii="宋体" w:hAnsi="宋体" w:cs="宋体"/>
          <w:color w:val="auto"/>
          <w:szCs w:val="21"/>
          <w:highlight w:val="none"/>
          <w:u w:val="single"/>
          <w:lang w:val="en-US" w:eastAsia="zh-CN"/>
        </w:rPr>
        <w:t>11</w:t>
      </w:r>
      <w:r>
        <w:rPr>
          <w:rFonts w:hint="eastAsia" w:ascii="宋体" w:hAnsi="宋体" w:cs="宋体"/>
          <w:color w:val="auto"/>
          <w:szCs w:val="21"/>
          <w:highlight w:val="none"/>
        </w:rPr>
        <w:t>月</w:t>
      </w:r>
      <w:r>
        <w:rPr>
          <w:rFonts w:hint="eastAsia" w:ascii="宋体" w:hAnsi="宋体" w:cs="宋体"/>
          <w:color w:val="auto"/>
          <w:szCs w:val="21"/>
          <w:highlight w:val="none"/>
          <w:u w:val="single"/>
          <w:lang w:val="en-US" w:eastAsia="zh-CN"/>
        </w:rPr>
        <w:t>19</w:t>
      </w:r>
      <w:r>
        <w:rPr>
          <w:rFonts w:hint="eastAsia" w:ascii="宋体" w:hAnsi="宋体" w:cs="宋体"/>
          <w:color w:val="auto"/>
          <w:szCs w:val="21"/>
          <w:highlight w:val="none"/>
        </w:rPr>
        <w:t>日</w:t>
      </w:r>
      <w:r>
        <w:rPr>
          <w:rFonts w:hint="eastAsia" w:ascii="宋体" w:hAnsi="宋体"/>
          <w:color w:val="auto"/>
          <w:szCs w:val="21"/>
          <w:highlight w:val="none"/>
          <w:u w:val="single"/>
          <w:lang w:val="en-US" w:eastAsia="zh-CN"/>
        </w:rPr>
        <w:t>09</w:t>
      </w:r>
      <w:r>
        <w:rPr>
          <w:rFonts w:hint="eastAsia" w:ascii="宋体" w:hAnsi="宋体"/>
          <w:color w:val="auto"/>
          <w:szCs w:val="21"/>
          <w:highlight w:val="none"/>
        </w:rPr>
        <w:t>:</w:t>
      </w:r>
      <w:r>
        <w:rPr>
          <w:rFonts w:hint="eastAsia" w:ascii="宋体" w:hAnsi="宋体"/>
          <w:color w:val="auto"/>
          <w:szCs w:val="21"/>
          <w:highlight w:val="none"/>
          <w:u w:val="single"/>
          <w:lang w:val="en-US" w:eastAsia="zh-CN"/>
        </w:rPr>
        <w:t>30</w:t>
      </w:r>
      <w:r>
        <w:rPr>
          <w:rFonts w:hint="eastAsia" w:ascii="宋体" w:hAnsi="宋体"/>
          <w:color w:val="auto"/>
          <w:szCs w:val="21"/>
          <w:highlight w:val="none"/>
        </w:rPr>
        <w:t>（北京时间），所有投标文件应于截止时间之前递交，迟交或以电报、传真形式的投标文件将拒绝接收。</w:t>
      </w:r>
    </w:p>
    <w:p w14:paraId="2218F700">
      <w:pPr>
        <w:keepNext w:val="0"/>
        <w:keepLines w:val="0"/>
        <w:pageBreakBefore w:val="0"/>
        <w:kinsoku/>
        <w:overflowPunct/>
        <w:topLinePunct w:val="0"/>
        <w:autoSpaceDE/>
        <w:autoSpaceDN/>
        <w:bidi w:val="0"/>
        <w:spacing w:line="460" w:lineRule="exact"/>
        <w:ind w:firstLine="420" w:firstLineChars="200"/>
        <w:jc w:val="both"/>
        <w:textAlignment w:val="auto"/>
        <w:rPr>
          <w:rFonts w:hint="eastAsia" w:ascii="宋体" w:hAnsi="宋体" w:eastAsia="宋体"/>
          <w:color w:val="auto"/>
          <w:szCs w:val="21"/>
          <w:highlight w:val="none"/>
          <w:lang w:val="en-US" w:eastAsia="zh-CN"/>
        </w:rPr>
      </w:pPr>
      <w:r>
        <w:rPr>
          <w:rFonts w:hint="eastAsia" w:ascii="宋体" w:hAnsi="宋体"/>
          <w:color w:val="auto"/>
          <w:szCs w:val="21"/>
          <w:highlight w:val="none"/>
        </w:rPr>
        <w:t>3、</w:t>
      </w:r>
      <w:r>
        <w:rPr>
          <w:rFonts w:ascii="宋体" w:hAnsi="宋体"/>
          <w:color w:val="auto"/>
          <w:szCs w:val="21"/>
          <w:highlight w:val="none"/>
        </w:rPr>
        <w:t>开标地点</w:t>
      </w:r>
      <w:r>
        <w:rPr>
          <w:rFonts w:hint="eastAsia" w:ascii="宋体" w:hAnsi="宋体"/>
          <w:color w:val="auto"/>
          <w:szCs w:val="21"/>
          <w:highlight w:val="none"/>
        </w:rPr>
        <w:t>：</w:t>
      </w:r>
      <w:r>
        <w:rPr>
          <w:rFonts w:hint="eastAsia" w:ascii="宋体" w:hAnsi="宋体"/>
          <w:color w:val="auto"/>
          <w:szCs w:val="21"/>
          <w:highlight w:val="none"/>
        </w:rPr>
        <w:t>东莞市东城街道洋杞坑东路18号302室</w:t>
      </w:r>
      <w:r>
        <w:rPr>
          <w:rFonts w:hint="eastAsia" w:ascii="宋体" w:hAnsi="宋体"/>
          <w:color w:val="auto"/>
          <w:szCs w:val="21"/>
          <w:highlight w:val="none"/>
          <w:u w:val="none"/>
        </w:rPr>
        <w:t>。</w:t>
      </w:r>
    </w:p>
    <w:p w14:paraId="0318909D">
      <w:pPr>
        <w:keepNext w:val="0"/>
        <w:keepLines w:val="0"/>
        <w:pageBreakBefore w:val="0"/>
        <w:kinsoku/>
        <w:overflowPunct/>
        <w:topLinePunct w:val="0"/>
        <w:autoSpaceDE/>
        <w:autoSpaceDN/>
        <w:bidi w:val="0"/>
        <w:spacing w:line="460" w:lineRule="exact"/>
        <w:ind w:firstLine="420" w:firstLineChars="200"/>
        <w:jc w:val="both"/>
        <w:textAlignment w:val="auto"/>
        <w:rPr>
          <w:rFonts w:ascii="宋体" w:hAnsi="宋体"/>
          <w:bCs/>
          <w:color w:val="auto"/>
          <w:szCs w:val="21"/>
          <w:highlight w:val="none"/>
        </w:rPr>
      </w:pPr>
      <w:r>
        <w:rPr>
          <w:rFonts w:hint="eastAsia" w:ascii="宋体" w:hAnsi="宋体"/>
          <w:bCs/>
          <w:color w:val="auto"/>
          <w:szCs w:val="21"/>
          <w:highlight w:val="none"/>
        </w:rPr>
        <w:t>4、开标事宜：</w:t>
      </w:r>
      <w:r>
        <w:rPr>
          <w:rFonts w:hint="eastAsia" w:ascii="宋体" w:hAnsi="宋体"/>
          <w:b/>
          <w:bCs/>
          <w:color w:val="auto"/>
          <w:szCs w:val="21"/>
          <w:highlight w:val="none"/>
        </w:rPr>
        <w:t>届时请投标人的法定代表人或其授权代表务必携带有效身份证明出席开标会</w:t>
      </w:r>
      <w:r>
        <w:rPr>
          <w:rFonts w:hint="eastAsia" w:ascii="宋体" w:hAnsi="宋体"/>
          <w:bCs/>
          <w:color w:val="auto"/>
          <w:szCs w:val="21"/>
          <w:highlight w:val="none"/>
        </w:rPr>
        <w:t>。</w:t>
      </w:r>
    </w:p>
    <w:p w14:paraId="3733F8C9">
      <w:pPr>
        <w:pStyle w:val="38"/>
        <w:keepNext w:val="0"/>
        <w:keepLines w:val="0"/>
        <w:pageBreakBefore w:val="0"/>
        <w:kinsoku/>
        <w:overflowPunct/>
        <w:topLinePunct w:val="0"/>
        <w:autoSpaceDE/>
        <w:autoSpaceDN/>
        <w:bidi w:val="0"/>
        <w:spacing w:line="460" w:lineRule="exact"/>
        <w:ind w:firstLine="420" w:firstLineChars="200"/>
        <w:jc w:val="both"/>
        <w:textAlignment w:val="auto"/>
        <w:rPr>
          <w:color w:val="auto"/>
          <w:sz w:val="21"/>
          <w:szCs w:val="21"/>
          <w:highlight w:val="none"/>
        </w:rPr>
      </w:pPr>
      <w:r>
        <w:rPr>
          <w:rFonts w:hint="eastAsia"/>
          <w:color w:val="auto"/>
          <w:sz w:val="21"/>
          <w:szCs w:val="21"/>
          <w:highlight w:val="none"/>
        </w:rPr>
        <w:t>5、出现以下情形时，采购代理机构不予接收投标（响应）文件：</w:t>
      </w:r>
    </w:p>
    <w:p w14:paraId="252C0CA3">
      <w:pPr>
        <w:pStyle w:val="38"/>
        <w:keepNext w:val="0"/>
        <w:keepLines w:val="0"/>
        <w:pageBreakBefore w:val="0"/>
        <w:kinsoku/>
        <w:overflowPunct/>
        <w:topLinePunct w:val="0"/>
        <w:autoSpaceDE/>
        <w:autoSpaceDN/>
        <w:bidi w:val="0"/>
        <w:spacing w:line="460" w:lineRule="exact"/>
        <w:ind w:firstLine="420" w:firstLineChars="200"/>
        <w:jc w:val="both"/>
        <w:textAlignment w:val="auto"/>
        <w:rPr>
          <w:color w:val="auto"/>
          <w:sz w:val="21"/>
          <w:szCs w:val="21"/>
          <w:highlight w:val="none"/>
        </w:rPr>
      </w:pPr>
      <w:r>
        <w:rPr>
          <w:rFonts w:hint="eastAsia"/>
          <w:color w:val="auto"/>
          <w:sz w:val="21"/>
          <w:szCs w:val="21"/>
          <w:highlight w:val="none"/>
        </w:rPr>
        <w:t>（1）逾期送达或者未送达指定地点的；</w:t>
      </w:r>
    </w:p>
    <w:p w14:paraId="59373F48">
      <w:pPr>
        <w:pStyle w:val="38"/>
        <w:keepNext w:val="0"/>
        <w:keepLines w:val="0"/>
        <w:pageBreakBefore w:val="0"/>
        <w:kinsoku/>
        <w:overflowPunct/>
        <w:topLinePunct w:val="0"/>
        <w:autoSpaceDE/>
        <w:autoSpaceDN/>
        <w:bidi w:val="0"/>
        <w:spacing w:line="460" w:lineRule="exact"/>
        <w:ind w:firstLine="420" w:firstLineChars="200"/>
        <w:jc w:val="both"/>
        <w:textAlignment w:val="auto"/>
        <w:rPr>
          <w:color w:val="auto"/>
          <w:highlight w:val="none"/>
        </w:rPr>
      </w:pPr>
      <w:r>
        <w:rPr>
          <w:rFonts w:hint="eastAsia"/>
          <w:color w:val="auto"/>
          <w:sz w:val="21"/>
          <w:szCs w:val="21"/>
          <w:highlight w:val="none"/>
        </w:rPr>
        <w:t>（2）未按采购文件要求密封的。</w:t>
      </w:r>
    </w:p>
    <w:p w14:paraId="0956E74E">
      <w:pPr>
        <w:pStyle w:val="38"/>
        <w:keepNext w:val="0"/>
        <w:keepLines w:val="0"/>
        <w:pageBreakBefore w:val="0"/>
        <w:kinsoku/>
        <w:overflowPunct/>
        <w:topLinePunct w:val="0"/>
        <w:autoSpaceDE/>
        <w:autoSpaceDN/>
        <w:bidi w:val="0"/>
        <w:spacing w:line="460" w:lineRule="exact"/>
        <w:ind w:firstLine="422" w:firstLineChars="200"/>
        <w:jc w:val="both"/>
        <w:textAlignment w:val="auto"/>
        <w:rPr>
          <w:rFonts w:ascii="宋体" w:hAnsi="宋体" w:eastAsia="宋体" w:cstheme="minorBidi"/>
          <w:b/>
          <w:color w:val="auto"/>
          <w:sz w:val="21"/>
          <w:szCs w:val="21"/>
          <w:highlight w:val="none"/>
        </w:rPr>
      </w:pPr>
      <w:r>
        <w:rPr>
          <w:rFonts w:hint="eastAsia" w:ascii="宋体" w:hAnsi="宋体" w:eastAsia="宋体" w:cstheme="minorBidi"/>
          <w:b/>
          <w:color w:val="auto"/>
          <w:sz w:val="21"/>
          <w:szCs w:val="21"/>
          <w:highlight w:val="none"/>
        </w:rPr>
        <w:t>五</w:t>
      </w:r>
      <w:r>
        <w:rPr>
          <w:rFonts w:ascii="宋体" w:hAnsi="宋体" w:eastAsia="宋体" w:cstheme="minorBidi"/>
          <w:b/>
          <w:color w:val="auto"/>
          <w:sz w:val="21"/>
          <w:szCs w:val="21"/>
          <w:highlight w:val="none"/>
        </w:rPr>
        <w:t>、发布公告的媒介</w:t>
      </w:r>
    </w:p>
    <w:p w14:paraId="05433348">
      <w:pPr>
        <w:pStyle w:val="38"/>
        <w:keepNext w:val="0"/>
        <w:keepLines w:val="0"/>
        <w:pageBreakBefore w:val="0"/>
        <w:kinsoku/>
        <w:overflowPunct/>
        <w:topLinePunct w:val="0"/>
        <w:autoSpaceDE/>
        <w:autoSpaceDN/>
        <w:bidi w:val="0"/>
        <w:spacing w:line="460" w:lineRule="exact"/>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1、采购公告发布媒介：</w:t>
      </w:r>
    </w:p>
    <w:p w14:paraId="2D508678">
      <w:pPr>
        <w:pStyle w:val="38"/>
        <w:keepNext w:val="0"/>
        <w:keepLines w:val="0"/>
        <w:pageBreakBefore w:val="0"/>
        <w:kinsoku/>
        <w:overflowPunct/>
        <w:topLinePunct w:val="0"/>
        <w:autoSpaceDE/>
        <w:autoSpaceDN/>
        <w:bidi w:val="0"/>
        <w:spacing w:line="460" w:lineRule="exact"/>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u w:val="single"/>
        </w:rPr>
        <w:t>中国招标投</w:t>
      </w:r>
      <w:bookmarkStart w:id="523" w:name="_GoBack"/>
      <w:bookmarkEnd w:id="523"/>
      <w:r>
        <w:rPr>
          <w:rFonts w:hint="eastAsia" w:ascii="宋体" w:hAnsi="宋体" w:eastAsia="宋体" w:cs="宋体"/>
          <w:color w:val="auto"/>
          <w:sz w:val="21"/>
          <w:szCs w:val="21"/>
          <w:highlight w:val="none"/>
          <w:u w:val="single"/>
        </w:rPr>
        <w:t>标公共服务平台（http</w:t>
      </w:r>
      <w:r>
        <w:rPr>
          <w:rFonts w:hint="eastAsia" w:ascii="宋体" w:hAnsi="宋体" w:eastAsia="宋体" w:cs="宋体"/>
          <w:color w:val="auto"/>
          <w:sz w:val="21"/>
          <w:szCs w:val="21"/>
          <w:highlight w:val="none"/>
          <w:u w:val="single"/>
        </w:rPr>
        <w:t>://www.cebpubservice.com/）、东莞市公共资源交易网（http://www.dgzb.com.cn/）、东莞实业投资控股集团有限公司-招标采购栏目（http://www.dgsy.com.cn/）、</w:t>
      </w:r>
      <w:r>
        <w:rPr>
          <w:rFonts w:hint="eastAsia" w:ascii="宋体" w:hAnsi="宋体" w:eastAsia="宋体" w:cs="宋体"/>
          <w:b w:val="0"/>
          <w:bCs w:val="0"/>
          <w:color w:val="auto"/>
          <w:sz w:val="21"/>
          <w:szCs w:val="21"/>
          <w:highlight w:val="none"/>
        </w:rPr>
        <w:t>广东东实环境股份有限公司招采平台(https://pur.yonyou.com/DGDSXNY)</w:t>
      </w:r>
      <w:r>
        <w:rPr>
          <w:rFonts w:hint="eastAsia" w:ascii="宋体" w:hAnsi="宋体" w:eastAsia="宋体" w:cs="宋体"/>
          <w:color w:val="auto"/>
          <w:sz w:val="21"/>
          <w:szCs w:val="21"/>
          <w:highlight w:val="none"/>
          <w:u w:val="single"/>
        </w:rPr>
        <w:t>、</w:t>
      </w:r>
      <w:r>
        <w:rPr>
          <w:rFonts w:hint="eastAsia" w:ascii="宋体" w:hAnsi="宋体" w:eastAsia="宋体" w:cs="宋体"/>
          <w:color w:val="auto"/>
          <w:sz w:val="21"/>
          <w:szCs w:val="21"/>
          <w:highlight w:val="none"/>
          <w:u w:val="single"/>
          <w:lang w:eastAsia="zh-CN"/>
        </w:rPr>
        <w:t>广东人信工程咨询有限公司官网（http://www.gdrxzx.com/）</w:t>
      </w:r>
      <w:r>
        <w:rPr>
          <w:rFonts w:hint="eastAsia" w:ascii="宋体" w:hAnsi="宋体" w:eastAsia="宋体" w:cs="宋体"/>
          <w:color w:val="auto"/>
          <w:sz w:val="21"/>
          <w:szCs w:val="21"/>
          <w:highlight w:val="none"/>
          <w:u w:val="single"/>
        </w:rPr>
        <w:t>。</w:t>
      </w:r>
    </w:p>
    <w:p w14:paraId="52798817">
      <w:pPr>
        <w:pStyle w:val="38"/>
        <w:keepNext w:val="0"/>
        <w:keepLines w:val="0"/>
        <w:pageBreakBefore w:val="0"/>
        <w:kinsoku/>
        <w:overflowPunct/>
        <w:topLinePunct w:val="0"/>
        <w:autoSpaceDE/>
        <w:autoSpaceDN/>
        <w:bidi w:val="0"/>
        <w:spacing w:line="460" w:lineRule="exact"/>
        <w:ind w:firstLine="420" w:firstLineChars="200"/>
        <w:jc w:val="both"/>
        <w:textAlignment w:val="auto"/>
        <w:rPr>
          <w:rFonts w:hint="eastAsia" w:ascii="宋体" w:hAnsi="宋体" w:eastAsia="宋体" w:cs="宋体"/>
          <w:bCs/>
          <w:color w:val="auto"/>
          <w:sz w:val="21"/>
          <w:szCs w:val="21"/>
          <w:highlight w:val="none"/>
        </w:rPr>
      </w:pPr>
      <w:r>
        <w:rPr>
          <w:rFonts w:hint="eastAsia" w:ascii="宋体" w:hAnsi="宋体" w:eastAsia="宋体" w:cs="宋体"/>
          <w:bCs/>
          <w:color w:val="auto"/>
          <w:sz w:val="21"/>
          <w:szCs w:val="21"/>
          <w:highlight w:val="none"/>
        </w:rPr>
        <w:t>2、结果公告发布媒介：</w:t>
      </w:r>
    </w:p>
    <w:p w14:paraId="28F3A323">
      <w:pPr>
        <w:keepNext w:val="0"/>
        <w:keepLines w:val="0"/>
        <w:pageBreakBefore w:val="0"/>
        <w:kinsoku/>
        <w:overflowPunct/>
        <w:topLinePunct w:val="0"/>
        <w:autoSpaceDE/>
        <w:autoSpaceDN/>
        <w:bidi w:val="0"/>
        <w:spacing w:line="460" w:lineRule="exact"/>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东莞实业投资控股集团有限公司-招标采购栏目（http://www.dgsy.com.cn/），广东东实环境股份有限公司招采平台(https://pur.yonyou.com/DGDSXNY)。</w:t>
      </w:r>
    </w:p>
    <w:p w14:paraId="4CB750F4">
      <w:pPr>
        <w:keepNext w:val="0"/>
        <w:keepLines w:val="0"/>
        <w:pageBreakBefore w:val="0"/>
        <w:kinsoku/>
        <w:overflowPunct/>
        <w:topLinePunct w:val="0"/>
        <w:autoSpaceDE/>
        <w:autoSpaceDN/>
        <w:bidi w:val="0"/>
        <w:spacing w:line="460" w:lineRule="exact"/>
        <w:ind w:firstLine="422" w:firstLineChars="200"/>
        <w:jc w:val="both"/>
        <w:textAlignment w:val="auto"/>
        <w:rPr>
          <w:rFonts w:ascii="宋体" w:hAnsi="宋体"/>
          <w:bCs/>
          <w:color w:val="auto"/>
          <w:szCs w:val="21"/>
          <w:highlight w:val="none"/>
        </w:rPr>
      </w:pPr>
      <w:r>
        <w:rPr>
          <w:rFonts w:hint="eastAsia" w:ascii="宋体" w:hAnsi="宋体"/>
          <w:b/>
          <w:color w:val="auto"/>
          <w:szCs w:val="21"/>
          <w:highlight w:val="none"/>
        </w:rPr>
        <w:t>六、采购人及采购代理机构的名称、地址和联系方法：</w:t>
      </w:r>
    </w:p>
    <w:p w14:paraId="6EE5C446">
      <w:pPr>
        <w:keepNext w:val="0"/>
        <w:keepLines w:val="0"/>
        <w:pageBreakBefore w:val="0"/>
        <w:widowControl w:val="0"/>
        <w:kinsoku/>
        <w:wordWrap/>
        <w:overflowPunct/>
        <w:topLinePunct w:val="0"/>
        <w:autoSpaceDE/>
        <w:autoSpaceDN/>
        <w:bidi w:val="0"/>
        <w:adjustRightInd/>
        <w:snapToGrid/>
        <w:spacing w:line="460" w:lineRule="exact"/>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采购人</w:t>
      </w:r>
      <w:r>
        <w:rPr>
          <w:rFonts w:ascii="宋体" w:hAnsi="宋体"/>
          <w:color w:val="auto"/>
          <w:szCs w:val="21"/>
          <w:highlight w:val="none"/>
        </w:rPr>
        <w:t>名称</w:t>
      </w:r>
      <w:r>
        <w:rPr>
          <w:rFonts w:hint="eastAsia" w:ascii="宋体" w:hAnsi="宋体"/>
          <w:color w:val="auto"/>
          <w:szCs w:val="21"/>
          <w:highlight w:val="none"/>
        </w:rPr>
        <w:t>：东莞市新东欣环保投资有限公司</w:t>
      </w:r>
    </w:p>
    <w:p w14:paraId="526A3972">
      <w:pPr>
        <w:keepNext w:val="0"/>
        <w:keepLines w:val="0"/>
        <w:pageBreakBefore w:val="0"/>
        <w:widowControl w:val="0"/>
        <w:kinsoku/>
        <w:wordWrap/>
        <w:overflowPunct/>
        <w:topLinePunct w:val="0"/>
        <w:autoSpaceDE/>
        <w:autoSpaceDN/>
        <w:bidi w:val="0"/>
        <w:adjustRightInd/>
        <w:snapToGrid/>
        <w:spacing w:line="460" w:lineRule="exact"/>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采购人联系人：杜先生</w:t>
      </w:r>
    </w:p>
    <w:p w14:paraId="3BF10A11">
      <w:pPr>
        <w:keepNext w:val="0"/>
        <w:keepLines w:val="0"/>
        <w:pageBreakBefore w:val="0"/>
        <w:widowControl w:val="0"/>
        <w:kinsoku/>
        <w:wordWrap/>
        <w:overflowPunct/>
        <w:topLinePunct w:val="0"/>
        <w:autoSpaceDE/>
        <w:autoSpaceDN/>
        <w:bidi w:val="0"/>
        <w:adjustRightInd/>
        <w:snapToGrid/>
        <w:spacing w:line="460" w:lineRule="exact"/>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采购人地址：广东省东莞市麻涌镇海心沙路1号</w:t>
      </w:r>
    </w:p>
    <w:p w14:paraId="0AB94D62">
      <w:pPr>
        <w:keepNext w:val="0"/>
        <w:keepLines w:val="0"/>
        <w:pageBreakBefore w:val="0"/>
        <w:widowControl w:val="0"/>
        <w:kinsoku/>
        <w:wordWrap/>
        <w:overflowPunct/>
        <w:topLinePunct w:val="0"/>
        <w:autoSpaceDE/>
        <w:autoSpaceDN/>
        <w:bidi w:val="0"/>
        <w:adjustRightInd/>
        <w:snapToGrid/>
        <w:spacing w:line="460" w:lineRule="exact"/>
        <w:ind w:left="0" w:firstLine="420" w:firstLineChars="200"/>
        <w:jc w:val="both"/>
        <w:textAlignment w:val="auto"/>
        <w:rPr>
          <w:rFonts w:ascii="宋体" w:hAnsi="宋体" w:cs="宋体"/>
          <w:bCs/>
          <w:color w:val="auto"/>
          <w:szCs w:val="21"/>
          <w:highlight w:val="none"/>
        </w:rPr>
      </w:pPr>
      <w:r>
        <w:rPr>
          <w:rFonts w:hint="eastAsia" w:ascii="宋体" w:hAnsi="宋体"/>
          <w:color w:val="auto"/>
          <w:szCs w:val="21"/>
          <w:highlight w:val="none"/>
        </w:rPr>
        <w:t>采购人联系电话：0769-39028733</w:t>
      </w:r>
    </w:p>
    <w:p w14:paraId="69F473AC">
      <w:pPr>
        <w:keepNext w:val="0"/>
        <w:keepLines w:val="0"/>
        <w:pageBreakBefore w:val="0"/>
        <w:widowControl w:val="0"/>
        <w:kinsoku/>
        <w:wordWrap/>
        <w:overflowPunct/>
        <w:topLinePunct w:val="0"/>
        <w:autoSpaceDE/>
        <w:autoSpaceDN/>
        <w:bidi w:val="0"/>
        <w:adjustRightInd/>
        <w:snapToGrid/>
        <w:spacing w:line="460" w:lineRule="exact"/>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采购代理机构名称：广东人信工程咨询有限公司</w:t>
      </w:r>
    </w:p>
    <w:p w14:paraId="1D4BE9CE">
      <w:pPr>
        <w:keepNext w:val="0"/>
        <w:keepLines w:val="0"/>
        <w:pageBreakBefore w:val="0"/>
        <w:widowControl w:val="0"/>
        <w:kinsoku/>
        <w:wordWrap/>
        <w:overflowPunct/>
        <w:topLinePunct w:val="0"/>
        <w:autoSpaceDE/>
        <w:autoSpaceDN/>
        <w:bidi w:val="0"/>
        <w:adjustRightInd/>
        <w:snapToGrid/>
        <w:spacing w:line="460" w:lineRule="exact"/>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详细地址：东莞市东城街道洋杞坑东路18号302室</w:t>
      </w:r>
    </w:p>
    <w:p w14:paraId="3E5C3203">
      <w:pPr>
        <w:keepNext w:val="0"/>
        <w:keepLines w:val="0"/>
        <w:pageBreakBefore w:val="0"/>
        <w:widowControl w:val="0"/>
        <w:kinsoku/>
        <w:wordWrap/>
        <w:overflowPunct/>
        <w:topLinePunct w:val="0"/>
        <w:autoSpaceDE/>
        <w:autoSpaceDN/>
        <w:bidi w:val="0"/>
        <w:adjustRightInd/>
        <w:snapToGrid/>
        <w:spacing w:line="460" w:lineRule="exact"/>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采购代理机构联系人：陈靓</w:t>
      </w:r>
    </w:p>
    <w:p w14:paraId="36E26CEB">
      <w:pPr>
        <w:keepNext w:val="0"/>
        <w:keepLines w:val="0"/>
        <w:pageBreakBefore w:val="0"/>
        <w:widowControl w:val="0"/>
        <w:kinsoku/>
        <w:wordWrap/>
        <w:overflowPunct/>
        <w:topLinePunct w:val="0"/>
        <w:autoSpaceDE/>
        <w:autoSpaceDN/>
        <w:bidi w:val="0"/>
        <w:adjustRightInd/>
        <w:snapToGrid/>
        <w:spacing w:line="460" w:lineRule="exact"/>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采购代理机构联系电话：0769-28680091</w:t>
      </w:r>
    </w:p>
    <w:p w14:paraId="43631C62">
      <w:pPr>
        <w:keepNext w:val="0"/>
        <w:keepLines w:val="0"/>
        <w:pageBreakBefore w:val="0"/>
        <w:kinsoku/>
        <w:overflowPunct/>
        <w:topLinePunct w:val="0"/>
        <w:autoSpaceDE/>
        <w:autoSpaceDN/>
        <w:bidi w:val="0"/>
        <w:spacing w:line="460" w:lineRule="exact"/>
        <w:ind w:firstLine="420" w:firstLineChars="200"/>
        <w:jc w:val="both"/>
        <w:textAlignment w:val="auto"/>
        <w:rPr>
          <w:color w:val="auto"/>
          <w:highlight w:val="none"/>
        </w:rPr>
      </w:pPr>
      <w:r>
        <w:rPr>
          <w:rFonts w:hint="eastAsia" w:ascii="宋体" w:hAnsi="宋体"/>
          <w:color w:val="auto"/>
          <w:szCs w:val="21"/>
          <w:highlight w:val="none"/>
        </w:rPr>
        <w:t>采购代理机构邮箱：gdrxdg@163.com</w:t>
      </w:r>
      <w:r>
        <w:rPr>
          <w:rFonts w:hint="eastAsia" w:ascii="宋体" w:hAnsi="宋体"/>
          <w:color w:val="auto"/>
          <w:szCs w:val="21"/>
          <w:highlight w:val="none"/>
        </w:rPr>
        <w:t xml:space="preserve"> </w:t>
      </w:r>
    </w:p>
    <w:p w14:paraId="36A4FE11">
      <w:pPr>
        <w:ind w:firstLine="420" w:firstLineChars="200"/>
        <w:rPr>
          <w:color w:val="auto"/>
          <w:highlight w:val="none"/>
        </w:rPr>
      </w:pPr>
    </w:p>
    <w:p w14:paraId="105B1011">
      <w:pPr>
        <w:keepNext w:val="0"/>
        <w:keepLines w:val="0"/>
        <w:pageBreakBefore w:val="0"/>
        <w:kinsoku/>
        <w:wordWrap/>
        <w:overflowPunct/>
        <w:topLinePunct w:val="0"/>
        <w:autoSpaceDE/>
        <w:autoSpaceDN/>
        <w:bidi w:val="0"/>
        <w:snapToGrid w:val="0"/>
        <w:spacing w:line="460" w:lineRule="exact"/>
        <w:ind w:right="0" w:rightChars="0" w:firstLine="420" w:firstLineChars="200"/>
        <w:jc w:val="right"/>
        <w:textAlignment w:val="auto"/>
        <w:rPr>
          <w:color w:val="auto"/>
          <w:highlight w:val="none"/>
        </w:rPr>
      </w:pPr>
    </w:p>
    <w:p w14:paraId="1D87F180">
      <w:pPr>
        <w:keepNext w:val="0"/>
        <w:keepLines w:val="0"/>
        <w:pageBreakBefore w:val="0"/>
        <w:widowControl w:val="0"/>
        <w:tabs>
          <w:tab w:val="left" w:pos="480"/>
        </w:tabs>
        <w:kinsoku/>
        <w:wordWrap/>
        <w:overflowPunct/>
        <w:topLinePunct w:val="0"/>
        <w:autoSpaceDE/>
        <w:autoSpaceDN/>
        <w:bidi w:val="0"/>
        <w:adjustRightInd/>
        <w:snapToGrid w:val="0"/>
        <w:spacing w:line="460" w:lineRule="exact"/>
        <w:ind w:right="0" w:rightChars="0" w:firstLine="420" w:firstLineChars="200"/>
        <w:jc w:val="right"/>
        <w:textAlignment w:val="auto"/>
        <w:rPr>
          <w:rFonts w:ascii="宋体" w:hAnsi="宋体" w:cs="宋体"/>
          <w:bCs/>
          <w:color w:val="auto"/>
          <w:szCs w:val="21"/>
          <w:highlight w:val="none"/>
        </w:rPr>
      </w:pPr>
      <w:r>
        <w:rPr>
          <w:rFonts w:hint="eastAsia" w:ascii="宋体" w:hAnsi="宋体" w:cs="宋体"/>
          <w:bCs/>
          <w:color w:val="auto"/>
          <w:szCs w:val="21"/>
          <w:highlight w:val="none"/>
        </w:rPr>
        <w:t>东莞市新东欣环保投资有限公司</w:t>
      </w:r>
    </w:p>
    <w:p w14:paraId="46C18FBF">
      <w:pPr>
        <w:keepNext w:val="0"/>
        <w:keepLines w:val="0"/>
        <w:pageBreakBefore w:val="0"/>
        <w:kinsoku/>
        <w:wordWrap/>
        <w:overflowPunct/>
        <w:topLinePunct w:val="0"/>
        <w:autoSpaceDE/>
        <w:autoSpaceDN/>
        <w:bidi w:val="0"/>
        <w:snapToGrid w:val="0"/>
        <w:spacing w:line="460" w:lineRule="exact"/>
        <w:ind w:right="0" w:rightChars="0" w:firstLine="420" w:firstLineChars="200"/>
        <w:jc w:val="right"/>
        <w:textAlignment w:val="auto"/>
        <w:rPr>
          <w:rFonts w:ascii="宋体" w:hAnsi="宋体" w:cs="宋体"/>
          <w:color w:val="auto"/>
          <w:szCs w:val="21"/>
          <w:highlight w:val="none"/>
        </w:rPr>
      </w:pPr>
      <w:r>
        <w:rPr>
          <w:rFonts w:hint="eastAsia" w:ascii="宋体" w:hAnsi="宋体" w:cs="宋体"/>
          <w:bCs/>
          <w:color w:val="auto"/>
          <w:szCs w:val="21"/>
          <w:highlight w:val="none"/>
        </w:rPr>
        <w:t>广东人信工程咨询有限公司</w:t>
      </w:r>
    </w:p>
    <w:p w14:paraId="6CBFF01F">
      <w:pPr>
        <w:keepNext w:val="0"/>
        <w:keepLines w:val="0"/>
        <w:pageBreakBefore w:val="0"/>
        <w:kinsoku/>
        <w:wordWrap/>
        <w:overflowPunct/>
        <w:topLinePunct w:val="0"/>
        <w:autoSpaceDE/>
        <w:autoSpaceDN/>
        <w:bidi w:val="0"/>
        <w:snapToGrid w:val="0"/>
        <w:spacing w:line="460" w:lineRule="exact"/>
        <w:ind w:right="0" w:rightChars="0" w:firstLine="420" w:firstLineChars="200"/>
        <w:jc w:val="right"/>
        <w:textAlignment w:val="auto"/>
        <w:rPr>
          <w:rFonts w:hint="eastAsia" w:ascii="宋体" w:hAnsi="宋体" w:eastAsia="宋体" w:cs="宋体"/>
          <w:color w:val="auto"/>
          <w:szCs w:val="21"/>
          <w:highlight w:val="none"/>
          <w:lang w:val="en-US" w:eastAsia="zh-CN"/>
        </w:rPr>
      </w:pPr>
      <w:r>
        <w:rPr>
          <w:rFonts w:hint="eastAsia" w:ascii="宋体" w:hAnsi="宋体" w:cs="宋体"/>
          <w:color w:val="auto"/>
          <w:szCs w:val="21"/>
          <w:highlight w:val="none"/>
        </w:rPr>
        <w:t>20</w:t>
      </w:r>
      <w:r>
        <w:rPr>
          <w:rFonts w:hint="eastAsia" w:ascii="宋体" w:hAnsi="宋体" w:cs="宋体"/>
          <w:color w:val="auto"/>
          <w:szCs w:val="21"/>
          <w:highlight w:val="none"/>
          <w:lang w:val="en-US" w:eastAsia="zh-CN"/>
        </w:rPr>
        <w:t>25</w:t>
      </w:r>
      <w:r>
        <w:rPr>
          <w:rFonts w:hint="eastAsia" w:ascii="宋体" w:hAnsi="宋体" w:cs="宋体"/>
          <w:color w:val="auto"/>
          <w:szCs w:val="21"/>
          <w:highlight w:val="none"/>
        </w:rPr>
        <w:t>年</w:t>
      </w:r>
      <w:r>
        <w:rPr>
          <w:rFonts w:hint="eastAsia" w:ascii="宋体" w:hAnsi="宋体" w:cs="宋体"/>
          <w:color w:val="auto"/>
          <w:szCs w:val="21"/>
          <w:highlight w:val="none"/>
          <w:lang w:val="en-US" w:eastAsia="zh-CN"/>
        </w:rPr>
        <w:t>10</w:t>
      </w:r>
      <w:r>
        <w:rPr>
          <w:rFonts w:hint="eastAsia" w:ascii="宋体" w:hAnsi="宋体" w:cs="宋体"/>
          <w:color w:val="auto"/>
          <w:szCs w:val="21"/>
          <w:highlight w:val="none"/>
        </w:rPr>
        <w:t>月</w:t>
      </w:r>
      <w:r>
        <w:rPr>
          <w:rFonts w:hint="eastAsia" w:ascii="宋体" w:hAnsi="宋体" w:cs="宋体"/>
          <w:color w:val="auto"/>
          <w:szCs w:val="21"/>
          <w:highlight w:val="none"/>
          <w:lang w:val="en-US" w:eastAsia="zh-CN"/>
        </w:rPr>
        <w:t>30日</w:t>
      </w:r>
    </w:p>
    <w:p w14:paraId="00A1EF6F">
      <w:pPr>
        <w:ind w:left="6205" w:leftChars="2755" w:hanging="420" w:hangingChars="200"/>
        <w:rPr>
          <w:rFonts w:ascii="黑体" w:hAnsi="宋体" w:eastAsia="黑体"/>
          <w:color w:val="auto"/>
          <w:highlight w:val="none"/>
        </w:rPr>
      </w:pPr>
      <w:r>
        <w:rPr>
          <w:rFonts w:hint="eastAsia" w:ascii="宋体" w:hAnsi="宋体" w:cs="宋体"/>
          <w:color w:val="auto"/>
          <w:szCs w:val="21"/>
          <w:highlight w:val="none"/>
        </w:rPr>
        <w:br w:type="page"/>
      </w:r>
    </w:p>
    <w:p w14:paraId="44161F91">
      <w:pPr>
        <w:pStyle w:val="4"/>
        <w:spacing w:before="0" w:after="0" w:line="240" w:lineRule="auto"/>
        <w:rPr>
          <w:color w:val="auto"/>
          <w:sz w:val="28"/>
          <w:szCs w:val="28"/>
          <w:highlight w:val="none"/>
        </w:rPr>
      </w:pPr>
      <w:bookmarkStart w:id="2" w:name="_Toc2962"/>
      <w:r>
        <w:rPr>
          <w:rFonts w:hint="eastAsia"/>
          <w:color w:val="auto"/>
          <w:sz w:val="28"/>
          <w:szCs w:val="28"/>
          <w:highlight w:val="none"/>
        </w:rPr>
        <w:t>第二部分相关资料表格</w:t>
      </w:r>
      <w:bookmarkEnd w:id="2"/>
    </w:p>
    <w:p w14:paraId="068F070C">
      <w:pPr>
        <w:pStyle w:val="5"/>
        <w:spacing w:before="0" w:after="0" w:line="240" w:lineRule="auto"/>
        <w:jc w:val="center"/>
        <w:rPr>
          <w:rFonts w:ascii="宋体" w:hAnsi="宋体" w:cs="宋体"/>
          <w:color w:val="auto"/>
          <w:sz w:val="24"/>
          <w:szCs w:val="24"/>
          <w:highlight w:val="none"/>
        </w:rPr>
      </w:pPr>
      <w:bookmarkStart w:id="3" w:name="_Toc20179"/>
      <w:r>
        <w:rPr>
          <w:rFonts w:hint="eastAsia" w:ascii="宋体" w:hAnsi="宋体" w:cs="宋体"/>
          <w:color w:val="auto"/>
          <w:sz w:val="24"/>
          <w:szCs w:val="24"/>
          <w:highlight w:val="none"/>
        </w:rPr>
        <w:t>附表一：投标资料表</w:t>
      </w:r>
      <w:bookmarkEnd w:id="3"/>
    </w:p>
    <w:tbl>
      <w:tblPr>
        <w:tblStyle w:val="30"/>
        <w:tblW w:w="4999" w:type="pct"/>
        <w:tblInd w:w="0" w:type="dxa"/>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871"/>
        <w:gridCol w:w="2592"/>
        <w:gridCol w:w="4897"/>
      </w:tblGrid>
      <w:tr w14:paraId="03CC767D">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PrEx>
        <w:trPr>
          <w:trHeight w:val="600" w:hRule="atLeast"/>
        </w:trPr>
        <w:tc>
          <w:tcPr>
            <w:tcW w:w="521" w:type="pct"/>
            <w:tcBorders>
              <w:tl2br w:val="nil"/>
              <w:tr2bl w:val="nil"/>
            </w:tcBorders>
            <w:vAlign w:val="center"/>
          </w:tcPr>
          <w:p w14:paraId="346A4711">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r>
              <w:rPr>
                <w:rFonts w:hint="eastAsia" w:ascii="宋体" w:hAnsi="宋体"/>
                <w:color w:val="auto"/>
                <w:szCs w:val="21"/>
                <w:highlight w:val="none"/>
              </w:rPr>
              <w:t>序号</w:t>
            </w:r>
          </w:p>
        </w:tc>
        <w:tc>
          <w:tcPr>
            <w:tcW w:w="4478" w:type="pct"/>
            <w:gridSpan w:val="2"/>
            <w:tcBorders>
              <w:tl2br w:val="nil"/>
              <w:tr2bl w:val="nil"/>
            </w:tcBorders>
            <w:vAlign w:val="center"/>
          </w:tcPr>
          <w:p w14:paraId="29703B31">
            <w:pPr>
              <w:keepNext w:val="0"/>
              <w:keepLines w:val="0"/>
              <w:pageBreakBefore w:val="0"/>
              <w:kinsoku/>
              <w:wordWrap/>
              <w:overflowPunct/>
              <w:topLinePunct w:val="0"/>
              <w:autoSpaceDE/>
              <w:autoSpaceDN/>
              <w:bidi w:val="0"/>
              <w:spacing w:line="240" w:lineRule="auto"/>
              <w:ind w:left="0"/>
              <w:jc w:val="center"/>
              <w:textAlignment w:val="auto"/>
              <w:rPr>
                <w:rFonts w:ascii="宋体" w:hAnsi="宋体"/>
                <w:b/>
                <w:color w:val="auto"/>
                <w:szCs w:val="21"/>
                <w:highlight w:val="none"/>
              </w:rPr>
            </w:pPr>
            <w:r>
              <w:rPr>
                <w:rFonts w:hint="eastAsia" w:ascii="宋体" w:hAnsi="宋体"/>
                <w:b/>
                <w:color w:val="auto"/>
                <w:szCs w:val="21"/>
                <w:highlight w:val="none"/>
              </w:rPr>
              <w:t>内容</w:t>
            </w:r>
          </w:p>
        </w:tc>
      </w:tr>
      <w:tr w14:paraId="40C59E8F">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cantSplit/>
          <w:trHeight w:val="551" w:hRule="atLeast"/>
        </w:trPr>
        <w:tc>
          <w:tcPr>
            <w:tcW w:w="5000" w:type="pct"/>
            <w:gridSpan w:val="3"/>
            <w:tcBorders>
              <w:tl2br w:val="nil"/>
              <w:tr2bl w:val="nil"/>
            </w:tcBorders>
            <w:vAlign w:val="center"/>
          </w:tcPr>
          <w:p w14:paraId="7FABE774">
            <w:pPr>
              <w:keepNext w:val="0"/>
              <w:keepLines w:val="0"/>
              <w:pageBreakBefore w:val="0"/>
              <w:kinsoku/>
              <w:wordWrap/>
              <w:overflowPunct/>
              <w:topLinePunct w:val="0"/>
              <w:autoSpaceDE/>
              <w:autoSpaceDN/>
              <w:bidi w:val="0"/>
              <w:spacing w:line="240" w:lineRule="auto"/>
              <w:ind w:left="0"/>
              <w:jc w:val="center"/>
              <w:textAlignment w:val="auto"/>
              <w:rPr>
                <w:rFonts w:ascii="宋体" w:hAnsi="宋体"/>
                <w:b/>
                <w:color w:val="auto"/>
                <w:szCs w:val="21"/>
                <w:highlight w:val="none"/>
              </w:rPr>
            </w:pPr>
            <w:r>
              <w:rPr>
                <w:rFonts w:hint="eastAsia" w:ascii="宋体" w:hAnsi="宋体"/>
                <w:b/>
                <w:color w:val="auto"/>
                <w:szCs w:val="21"/>
                <w:highlight w:val="none"/>
              </w:rPr>
              <w:t>一、说明</w:t>
            </w:r>
          </w:p>
        </w:tc>
      </w:tr>
      <w:tr w14:paraId="5AB9290A">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521" w:type="pct"/>
            <w:vMerge w:val="restart"/>
            <w:tcBorders>
              <w:tl2br w:val="nil"/>
              <w:tr2bl w:val="nil"/>
            </w:tcBorders>
            <w:vAlign w:val="center"/>
          </w:tcPr>
          <w:p w14:paraId="4955E6D6">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r>
              <w:rPr>
                <w:rFonts w:hint="eastAsia" w:ascii="宋体" w:hAnsi="宋体"/>
                <w:color w:val="auto"/>
                <w:szCs w:val="21"/>
                <w:highlight w:val="none"/>
              </w:rPr>
              <w:t>1</w:t>
            </w:r>
          </w:p>
        </w:tc>
        <w:tc>
          <w:tcPr>
            <w:tcW w:w="4478" w:type="pct"/>
            <w:gridSpan w:val="2"/>
            <w:tcBorders>
              <w:tl2br w:val="nil"/>
              <w:tr2bl w:val="nil"/>
            </w:tcBorders>
            <w:vAlign w:val="center"/>
          </w:tcPr>
          <w:p w14:paraId="3381237D">
            <w:pPr>
              <w:keepNext w:val="0"/>
              <w:keepLines w:val="0"/>
              <w:pageBreakBefore w:val="0"/>
              <w:kinsoku/>
              <w:wordWrap/>
              <w:overflowPunct/>
              <w:topLinePunct w:val="0"/>
              <w:autoSpaceDE/>
              <w:autoSpaceDN/>
              <w:bidi w:val="0"/>
              <w:spacing w:line="240" w:lineRule="auto"/>
              <w:ind w:left="0"/>
              <w:textAlignment w:val="auto"/>
              <w:rPr>
                <w:rFonts w:hint="default" w:ascii="宋体" w:hAnsi="宋体" w:eastAsia="宋体"/>
                <w:b/>
                <w:bCs/>
                <w:color w:val="auto"/>
                <w:szCs w:val="21"/>
                <w:highlight w:val="none"/>
                <w:lang w:val="en-US" w:eastAsia="zh-CN"/>
              </w:rPr>
            </w:pPr>
            <w:r>
              <w:rPr>
                <w:rFonts w:hint="eastAsia" w:ascii="宋体" w:hAnsi="宋体"/>
                <w:b/>
                <w:bCs/>
                <w:color w:val="auto"/>
                <w:szCs w:val="21"/>
                <w:highlight w:val="none"/>
                <w:lang w:val="en-US" w:eastAsia="zh-CN"/>
              </w:rPr>
              <w:t>本</w:t>
            </w:r>
            <w:r>
              <w:rPr>
                <w:rFonts w:hint="eastAsia" w:ascii="宋体" w:hAnsi="宋体"/>
                <w:b/>
                <w:bCs/>
                <w:color w:val="auto"/>
                <w:szCs w:val="21"/>
                <w:highlight w:val="none"/>
              </w:rPr>
              <w:t>项目</w:t>
            </w:r>
            <w:r>
              <w:rPr>
                <w:rFonts w:hint="eastAsia" w:ascii="宋体" w:hAnsi="宋体"/>
                <w:b/>
                <w:bCs/>
                <w:color w:val="auto"/>
                <w:szCs w:val="21"/>
                <w:highlight w:val="none"/>
                <w:lang w:val="en-US" w:eastAsia="zh-CN"/>
              </w:rPr>
              <w:t>单价限价详见</w:t>
            </w:r>
            <w:r>
              <w:rPr>
                <w:rFonts w:hint="eastAsia" w:ascii="宋体" w:hAnsi="宋体"/>
                <w:b/>
                <w:bCs/>
                <w:color w:val="auto"/>
                <w:szCs w:val="21"/>
                <w:highlight w:val="none"/>
              </w:rPr>
              <w:t>附件《危险废物运输费单价表》</w:t>
            </w:r>
          </w:p>
        </w:tc>
      </w:tr>
      <w:tr w14:paraId="0E462806">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521" w:type="pct"/>
            <w:vMerge w:val="restart"/>
            <w:tcBorders>
              <w:tl2br w:val="nil"/>
              <w:tr2bl w:val="nil"/>
            </w:tcBorders>
            <w:vAlign w:val="center"/>
          </w:tcPr>
          <w:p w14:paraId="5618D917">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r>
              <w:rPr>
                <w:rFonts w:hint="eastAsia" w:ascii="宋体" w:hAnsi="宋体"/>
                <w:color w:val="auto"/>
                <w:szCs w:val="21"/>
                <w:highlight w:val="none"/>
              </w:rPr>
              <w:t>2</w:t>
            </w:r>
          </w:p>
        </w:tc>
        <w:tc>
          <w:tcPr>
            <w:tcW w:w="4478" w:type="pct"/>
            <w:gridSpan w:val="2"/>
            <w:tcBorders>
              <w:tl2br w:val="nil"/>
              <w:tr2bl w:val="nil"/>
            </w:tcBorders>
            <w:vAlign w:val="center"/>
          </w:tcPr>
          <w:p w14:paraId="5B65FCDC">
            <w:pPr>
              <w:keepNext w:val="0"/>
              <w:keepLines w:val="0"/>
              <w:pageBreakBefore w:val="0"/>
              <w:kinsoku/>
              <w:wordWrap/>
              <w:overflowPunct/>
              <w:topLinePunct w:val="0"/>
              <w:autoSpaceDE/>
              <w:autoSpaceDN/>
              <w:bidi w:val="0"/>
              <w:spacing w:line="240" w:lineRule="auto"/>
              <w:ind w:left="0"/>
              <w:textAlignment w:val="auto"/>
              <w:rPr>
                <w:rFonts w:ascii="宋体" w:hAnsi="宋体"/>
                <w:b/>
                <w:bCs/>
                <w:color w:val="auto"/>
                <w:szCs w:val="21"/>
                <w:highlight w:val="none"/>
              </w:rPr>
            </w:pPr>
            <w:r>
              <w:rPr>
                <w:rFonts w:hint="eastAsia" w:ascii="宋体" w:hAnsi="宋体"/>
                <w:b/>
                <w:bCs/>
                <w:color w:val="auto"/>
                <w:szCs w:val="21"/>
                <w:highlight w:val="none"/>
              </w:rPr>
              <w:t>发包方式</w:t>
            </w:r>
          </w:p>
        </w:tc>
      </w:tr>
      <w:tr w14:paraId="6CD49686">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521" w:type="pct"/>
            <w:vMerge w:val="continue"/>
            <w:tcBorders>
              <w:tl2br w:val="nil"/>
              <w:tr2bl w:val="nil"/>
            </w:tcBorders>
            <w:vAlign w:val="center"/>
          </w:tcPr>
          <w:p w14:paraId="442326C7">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p>
        </w:tc>
        <w:tc>
          <w:tcPr>
            <w:tcW w:w="4478" w:type="pct"/>
            <w:gridSpan w:val="2"/>
            <w:tcBorders>
              <w:tl2br w:val="nil"/>
              <w:tr2bl w:val="nil"/>
            </w:tcBorders>
            <w:vAlign w:val="center"/>
          </w:tcPr>
          <w:p w14:paraId="5EFF4021">
            <w:pPr>
              <w:keepNext w:val="0"/>
              <w:keepLines w:val="0"/>
              <w:pageBreakBefore w:val="0"/>
              <w:kinsoku/>
              <w:wordWrap/>
              <w:overflowPunct/>
              <w:topLinePunct w:val="0"/>
              <w:autoSpaceDE/>
              <w:autoSpaceDN/>
              <w:bidi w:val="0"/>
              <w:spacing w:line="240" w:lineRule="auto"/>
              <w:ind w:left="0"/>
              <w:textAlignment w:val="auto"/>
              <w:rPr>
                <w:rFonts w:ascii="宋体" w:hAnsi="宋体"/>
                <w:b/>
                <w:bCs/>
                <w:color w:val="auto"/>
                <w:szCs w:val="21"/>
                <w:highlight w:val="none"/>
              </w:rPr>
            </w:pPr>
            <w:r>
              <w:rPr>
                <w:rFonts w:hint="eastAsia" w:ascii="宋体" w:hAnsi="宋体"/>
                <w:color w:val="auto"/>
                <w:szCs w:val="21"/>
                <w:highlight w:val="none"/>
              </w:rPr>
              <w:sym w:font="Wingdings 2" w:char="00A3"/>
            </w:r>
            <w:r>
              <w:rPr>
                <w:rFonts w:hint="eastAsia" w:ascii="宋体" w:hAnsi="宋体"/>
                <w:b/>
                <w:bCs/>
                <w:color w:val="auto"/>
                <w:szCs w:val="21"/>
                <w:highlight w:val="none"/>
              </w:rPr>
              <w:t>固定总价包干；</w:t>
            </w:r>
          </w:p>
          <w:p w14:paraId="375BF8D2">
            <w:pPr>
              <w:keepNext w:val="0"/>
              <w:keepLines w:val="0"/>
              <w:pageBreakBefore w:val="0"/>
              <w:kinsoku/>
              <w:wordWrap/>
              <w:overflowPunct/>
              <w:topLinePunct w:val="0"/>
              <w:autoSpaceDE/>
              <w:autoSpaceDN/>
              <w:bidi w:val="0"/>
              <w:spacing w:line="240" w:lineRule="auto"/>
              <w:ind w:left="0"/>
              <w:textAlignment w:val="auto"/>
              <w:rPr>
                <w:rFonts w:ascii="宋体" w:hAnsi="宋体"/>
                <w:b/>
                <w:bCs/>
                <w:color w:val="auto"/>
                <w:szCs w:val="21"/>
                <w:highlight w:val="none"/>
              </w:rPr>
            </w:pPr>
            <w:r>
              <w:rPr>
                <w:rFonts w:hint="eastAsia" w:ascii="宋体" w:hAnsi="宋体"/>
                <w:color w:val="auto"/>
                <w:szCs w:val="21"/>
                <w:highlight w:val="none"/>
              </w:rPr>
              <w:sym w:font="Wingdings 2" w:char="0052"/>
            </w:r>
            <w:r>
              <w:rPr>
                <w:rFonts w:hint="eastAsia" w:ascii="宋体" w:hAnsi="宋体"/>
                <w:b/>
                <w:bCs/>
                <w:color w:val="auto"/>
                <w:szCs w:val="21"/>
                <w:highlight w:val="none"/>
              </w:rPr>
              <w:t>固定单价暂定总价包干；</w:t>
            </w:r>
          </w:p>
          <w:p w14:paraId="48FF8C0F">
            <w:pPr>
              <w:keepNext w:val="0"/>
              <w:keepLines w:val="0"/>
              <w:pageBreakBefore w:val="0"/>
              <w:kinsoku/>
              <w:wordWrap/>
              <w:overflowPunct/>
              <w:topLinePunct w:val="0"/>
              <w:autoSpaceDE/>
              <w:autoSpaceDN/>
              <w:bidi w:val="0"/>
              <w:spacing w:line="240" w:lineRule="auto"/>
              <w:ind w:left="0"/>
              <w:textAlignment w:val="auto"/>
              <w:rPr>
                <w:rFonts w:ascii="宋体" w:hAnsi="宋体"/>
                <w:b/>
                <w:bCs/>
                <w:color w:val="auto"/>
                <w:szCs w:val="21"/>
                <w:highlight w:val="none"/>
                <w:u w:val="single"/>
              </w:rPr>
            </w:pPr>
            <w:r>
              <w:rPr>
                <w:rFonts w:hint="eastAsia" w:ascii="宋体" w:hAnsi="宋体"/>
                <w:color w:val="auto"/>
                <w:szCs w:val="21"/>
                <w:highlight w:val="none"/>
              </w:rPr>
              <w:sym w:font="Wingdings 2" w:char="00A3"/>
            </w:r>
            <w:r>
              <w:rPr>
                <w:rFonts w:hint="eastAsia" w:ascii="宋体" w:hAnsi="宋体"/>
                <w:b/>
                <w:bCs/>
                <w:color w:val="auto"/>
                <w:szCs w:val="21"/>
                <w:highlight w:val="none"/>
              </w:rPr>
              <w:t>费率</w:t>
            </w:r>
            <w:r>
              <w:rPr>
                <w:rFonts w:hint="eastAsia" w:ascii="宋体" w:hAnsi="宋体"/>
                <w:b/>
                <w:bCs/>
                <w:color w:val="auto"/>
                <w:szCs w:val="21"/>
                <w:highlight w:val="none"/>
                <w:u w:val="single"/>
              </w:rPr>
              <w:t xml:space="preserve">         ；</w:t>
            </w:r>
          </w:p>
          <w:p w14:paraId="4D1DA981">
            <w:pPr>
              <w:keepNext w:val="0"/>
              <w:keepLines w:val="0"/>
              <w:pageBreakBefore w:val="0"/>
              <w:kinsoku/>
              <w:wordWrap/>
              <w:overflowPunct/>
              <w:topLinePunct w:val="0"/>
              <w:autoSpaceDE/>
              <w:autoSpaceDN/>
              <w:bidi w:val="0"/>
              <w:spacing w:line="240" w:lineRule="auto"/>
              <w:ind w:left="0"/>
              <w:textAlignment w:val="auto"/>
              <w:rPr>
                <w:rFonts w:ascii="宋体" w:hAnsi="宋体"/>
                <w:b/>
                <w:bCs/>
                <w:color w:val="auto"/>
                <w:szCs w:val="21"/>
                <w:highlight w:val="none"/>
              </w:rPr>
            </w:pPr>
            <w:r>
              <w:rPr>
                <w:rFonts w:hint="eastAsia" w:ascii="宋体" w:hAnsi="宋体"/>
                <w:color w:val="auto"/>
                <w:szCs w:val="21"/>
                <w:highlight w:val="none"/>
              </w:rPr>
              <w:sym w:font="Wingdings 2" w:char="00A3"/>
            </w:r>
            <w:r>
              <w:rPr>
                <w:rFonts w:hint="eastAsia" w:ascii="宋体" w:hAnsi="宋体"/>
                <w:b/>
                <w:bCs/>
                <w:color w:val="auto"/>
                <w:szCs w:val="21"/>
                <w:highlight w:val="none"/>
              </w:rPr>
              <w:t>其他</w:t>
            </w:r>
            <w:r>
              <w:rPr>
                <w:rFonts w:hint="eastAsia" w:ascii="宋体" w:hAnsi="宋体"/>
                <w:b/>
                <w:bCs/>
                <w:color w:val="auto"/>
                <w:szCs w:val="21"/>
                <w:highlight w:val="none"/>
                <w:u w:val="single"/>
              </w:rPr>
              <w:t xml:space="preserve">           </w:t>
            </w:r>
            <w:r>
              <w:rPr>
                <w:rFonts w:hint="eastAsia" w:ascii="宋体" w:hAnsi="宋体"/>
                <w:b/>
                <w:bCs/>
                <w:color w:val="auto"/>
                <w:szCs w:val="21"/>
                <w:highlight w:val="none"/>
              </w:rPr>
              <w:t>；</w:t>
            </w:r>
          </w:p>
        </w:tc>
      </w:tr>
      <w:tr w14:paraId="0C6B9A85">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521" w:type="pct"/>
            <w:vMerge w:val="restart"/>
            <w:tcBorders>
              <w:tl2br w:val="nil"/>
              <w:tr2bl w:val="nil"/>
            </w:tcBorders>
            <w:vAlign w:val="center"/>
          </w:tcPr>
          <w:p w14:paraId="3A1E9640">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r>
              <w:rPr>
                <w:rFonts w:hint="eastAsia" w:ascii="宋体" w:hAnsi="宋体"/>
                <w:color w:val="auto"/>
                <w:szCs w:val="21"/>
                <w:highlight w:val="none"/>
              </w:rPr>
              <w:t>3</w:t>
            </w:r>
          </w:p>
        </w:tc>
        <w:tc>
          <w:tcPr>
            <w:tcW w:w="4478" w:type="pct"/>
            <w:gridSpan w:val="2"/>
            <w:tcBorders>
              <w:tl2br w:val="nil"/>
              <w:tr2bl w:val="nil"/>
            </w:tcBorders>
            <w:vAlign w:val="center"/>
          </w:tcPr>
          <w:p w14:paraId="3A3E1ED7">
            <w:pPr>
              <w:keepNext w:val="0"/>
              <w:keepLines w:val="0"/>
              <w:pageBreakBefore w:val="0"/>
              <w:kinsoku/>
              <w:wordWrap/>
              <w:overflowPunct/>
              <w:topLinePunct w:val="0"/>
              <w:autoSpaceDE/>
              <w:autoSpaceDN/>
              <w:bidi w:val="0"/>
              <w:spacing w:line="240" w:lineRule="auto"/>
              <w:ind w:left="0"/>
              <w:textAlignment w:val="auto"/>
              <w:rPr>
                <w:rFonts w:ascii="宋体" w:hAnsi="宋体"/>
                <w:b/>
                <w:bCs/>
                <w:color w:val="auto"/>
                <w:szCs w:val="21"/>
                <w:highlight w:val="none"/>
              </w:rPr>
            </w:pPr>
            <w:r>
              <w:rPr>
                <w:rFonts w:hint="eastAsia" w:ascii="宋体" w:hAnsi="宋体"/>
                <w:b/>
                <w:bCs/>
                <w:color w:val="auto"/>
                <w:szCs w:val="21"/>
                <w:highlight w:val="none"/>
              </w:rPr>
              <w:t>是否接受联合体投标</w:t>
            </w:r>
          </w:p>
        </w:tc>
      </w:tr>
      <w:tr w14:paraId="06DE5B14">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521" w:type="pct"/>
            <w:vMerge w:val="continue"/>
            <w:tcBorders>
              <w:tl2br w:val="nil"/>
              <w:tr2bl w:val="nil"/>
            </w:tcBorders>
            <w:vAlign w:val="center"/>
          </w:tcPr>
          <w:p w14:paraId="72DA4284">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p>
        </w:tc>
        <w:tc>
          <w:tcPr>
            <w:tcW w:w="4478" w:type="pct"/>
            <w:gridSpan w:val="2"/>
            <w:tcBorders>
              <w:tl2br w:val="nil"/>
              <w:tr2bl w:val="nil"/>
            </w:tcBorders>
            <w:vAlign w:val="center"/>
          </w:tcPr>
          <w:p w14:paraId="7B7EDF39">
            <w:pPr>
              <w:pStyle w:val="41"/>
              <w:keepNext w:val="0"/>
              <w:keepLines w:val="0"/>
              <w:pageBreakBefore w:val="0"/>
              <w:kinsoku/>
              <w:wordWrap/>
              <w:overflowPunct/>
              <w:topLinePunct w:val="0"/>
              <w:autoSpaceDE/>
              <w:autoSpaceDN/>
              <w:bidi w:val="0"/>
              <w:spacing w:line="240" w:lineRule="auto"/>
              <w:ind w:left="0" w:firstLine="0" w:firstLineChars="0"/>
              <w:textAlignment w:val="auto"/>
              <w:rPr>
                <w:rFonts w:ascii="宋体" w:hAnsi="宋体" w:cs="宋体"/>
                <w:color w:val="auto"/>
                <w:szCs w:val="21"/>
                <w:highlight w:val="none"/>
              </w:rPr>
            </w:pPr>
            <w:r>
              <w:rPr>
                <w:rFonts w:hint="eastAsia" w:ascii="宋体" w:hAnsi="宋体"/>
                <w:color w:val="auto"/>
                <w:szCs w:val="21"/>
                <w:highlight w:val="none"/>
              </w:rPr>
              <w:sym w:font="Wingdings 2" w:char="00A3"/>
            </w:r>
            <w:r>
              <w:rPr>
                <w:rFonts w:hint="eastAsia" w:ascii="宋体" w:hAnsi="宋体" w:cs="宋体"/>
                <w:color w:val="auto"/>
                <w:szCs w:val="21"/>
                <w:highlight w:val="none"/>
              </w:rPr>
              <w:t>是，</w:t>
            </w:r>
            <w:r>
              <w:rPr>
                <w:rFonts w:hint="eastAsia" w:ascii="宋体" w:hAnsi="宋体"/>
                <w:color w:val="auto"/>
                <w:szCs w:val="21"/>
                <w:highlight w:val="none"/>
              </w:rPr>
              <w:t>联合体投标的，应满足下列要求：</w:t>
            </w:r>
            <w:r>
              <w:rPr>
                <w:rFonts w:ascii="宋体" w:hAnsi="宋体"/>
                <w:color w:val="auto"/>
                <w:szCs w:val="21"/>
                <w:highlight w:val="none"/>
                <w:u w:val="single"/>
              </w:rPr>
              <w:t xml:space="preserve">         </w:t>
            </w:r>
            <w:r>
              <w:rPr>
                <w:rFonts w:hint="eastAsia" w:ascii="宋体" w:hAnsi="宋体" w:cs="宋体"/>
                <w:color w:val="auto"/>
                <w:szCs w:val="21"/>
                <w:highlight w:val="none"/>
              </w:rPr>
              <w:t>；</w:t>
            </w:r>
          </w:p>
          <w:p w14:paraId="231192EF">
            <w:pPr>
              <w:keepNext w:val="0"/>
              <w:keepLines w:val="0"/>
              <w:pageBreakBefore w:val="0"/>
              <w:kinsoku/>
              <w:wordWrap/>
              <w:overflowPunct/>
              <w:topLinePunct w:val="0"/>
              <w:autoSpaceDE/>
              <w:autoSpaceDN/>
              <w:bidi w:val="0"/>
              <w:spacing w:line="240" w:lineRule="auto"/>
              <w:ind w:left="0"/>
              <w:textAlignment w:val="auto"/>
              <w:rPr>
                <w:rFonts w:ascii="宋体" w:hAnsi="宋体"/>
                <w:b/>
                <w:bCs/>
                <w:color w:val="auto"/>
                <w:szCs w:val="21"/>
                <w:highlight w:val="none"/>
              </w:rPr>
            </w:pPr>
            <w:r>
              <w:rPr>
                <w:rFonts w:hint="eastAsia" w:ascii="宋体" w:hAnsi="宋体"/>
                <w:color w:val="auto"/>
                <w:szCs w:val="21"/>
                <w:highlight w:val="none"/>
              </w:rPr>
              <w:sym w:font="Wingdings 2" w:char="0052"/>
            </w:r>
            <w:r>
              <w:rPr>
                <w:rFonts w:hint="eastAsia" w:ascii="宋体" w:hAnsi="宋体" w:cs="宋体"/>
                <w:color w:val="auto"/>
                <w:szCs w:val="21"/>
                <w:highlight w:val="none"/>
              </w:rPr>
              <w:t>否；</w:t>
            </w:r>
          </w:p>
        </w:tc>
      </w:tr>
      <w:tr w14:paraId="430C7754">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521" w:type="pct"/>
            <w:vMerge w:val="restart"/>
            <w:tcBorders>
              <w:tl2br w:val="nil"/>
              <w:tr2bl w:val="nil"/>
            </w:tcBorders>
            <w:vAlign w:val="center"/>
          </w:tcPr>
          <w:p w14:paraId="5EA25160">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r>
              <w:rPr>
                <w:rFonts w:hint="eastAsia" w:ascii="宋体" w:hAnsi="宋体"/>
                <w:color w:val="auto"/>
                <w:szCs w:val="21"/>
                <w:highlight w:val="none"/>
              </w:rPr>
              <w:t>4</w:t>
            </w:r>
          </w:p>
        </w:tc>
        <w:tc>
          <w:tcPr>
            <w:tcW w:w="4478" w:type="pct"/>
            <w:gridSpan w:val="2"/>
            <w:tcBorders>
              <w:tl2br w:val="nil"/>
              <w:tr2bl w:val="nil"/>
            </w:tcBorders>
            <w:vAlign w:val="center"/>
          </w:tcPr>
          <w:p w14:paraId="5BB0C752">
            <w:pPr>
              <w:keepNext w:val="0"/>
              <w:keepLines w:val="0"/>
              <w:pageBreakBefore w:val="0"/>
              <w:kinsoku/>
              <w:wordWrap/>
              <w:overflowPunct/>
              <w:topLinePunct w:val="0"/>
              <w:autoSpaceDE/>
              <w:autoSpaceDN/>
              <w:bidi w:val="0"/>
              <w:spacing w:line="240" w:lineRule="auto"/>
              <w:ind w:left="0"/>
              <w:textAlignment w:val="auto"/>
              <w:rPr>
                <w:rFonts w:ascii="宋体" w:hAnsi="宋体"/>
                <w:b/>
                <w:bCs/>
                <w:color w:val="auto"/>
                <w:szCs w:val="21"/>
                <w:highlight w:val="none"/>
              </w:rPr>
            </w:pPr>
            <w:r>
              <w:rPr>
                <w:rFonts w:hint="eastAsia" w:ascii="宋体" w:hAnsi="宋体"/>
                <w:b/>
                <w:bCs/>
                <w:color w:val="auto"/>
                <w:szCs w:val="21"/>
                <w:highlight w:val="none"/>
              </w:rPr>
              <w:t>资金来源</w:t>
            </w:r>
          </w:p>
        </w:tc>
      </w:tr>
      <w:tr w14:paraId="7EF7E9CC">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521" w:type="pct"/>
            <w:vMerge w:val="continue"/>
            <w:tcBorders>
              <w:tl2br w:val="nil"/>
              <w:tr2bl w:val="nil"/>
            </w:tcBorders>
            <w:vAlign w:val="center"/>
          </w:tcPr>
          <w:p w14:paraId="7142EF3D">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p>
        </w:tc>
        <w:tc>
          <w:tcPr>
            <w:tcW w:w="4478" w:type="pct"/>
            <w:gridSpan w:val="2"/>
            <w:tcBorders>
              <w:tl2br w:val="nil"/>
              <w:tr2bl w:val="nil"/>
            </w:tcBorders>
            <w:vAlign w:val="center"/>
          </w:tcPr>
          <w:p w14:paraId="7C202AEE">
            <w:pPr>
              <w:keepNext w:val="0"/>
              <w:keepLines w:val="0"/>
              <w:pageBreakBefore w:val="0"/>
              <w:kinsoku/>
              <w:wordWrap/>
              <w:overflowPunct/>
              <w:topLinePunct w:val="0"/>
              <w:autoSpaceDE/>
              <w:autoSpaceDN/>
              <w:bidi w:val="0"/>
              <w:spacing w:line="240" w:lineRule="auto"/>
              <w:ind w:left="0"/>
              <w:textAlignment w:val="auto"/>
              <w:rPr>
                <w:rFonts w:ascii="宋体" w:hAnsi="宋体"/>
                <w:b/>
                <w:bCs/>
                <w:color w:val="auto"/>
                <w:szCs w:val="21"/>
                <w:highlight w:val="none"/>
              </w:rPr>
            </w:pPr>
            <w:r>
              <w:rPr>
                <w:rFonts w:hint="eastAsia" w:ascii="宋体" w:hAnsi="宋体"/>
                <w:color w:val="auto"/>
                <w:szCs w:val="21"/>
                <w:highlight w:val="none"/>
                <w:u w:val="single"/>
              </w:rPr>
              <w:t>自筹资金。</w:t>
            </w:r>
          </w:p>
        </w:tc>
      </w:tr>
      <w:tr w14:paraId="13F910DC">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521" w:type="pct"/>
            <w:vMerge w:val="restart"/>
            <w:tcBorders>
              <w:tl2br w:val="nil"/>
              <w:tr2bl w:val="nil"/>
            </w:tcBorders>
            <w:vAlign w:val="center"/>
          </w:tcPr>
          <w:p w14:paraId="478B1569">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r>
              <w:rPr>
                <w:rFonts w:hint="eastAsia" w:ascii="宋体" w:hAnsi="宋体"/>
                <w:color w:val="auto"/>
                <w:szCs w:val="21"/>
                <w:highlight w:val="none"/>
              </w:rPr>
              <w:t>5</w:t>
            </w:r>
          </w:p>
        </w:tc>
        <w:tc>
          <w:tcPr>
            <w:tcW w:w="4478" w:type="pct"/>
            <w:gridSpan w:val="2"/>
            <w:tcBorders>
              <w:tl2br w:val="nil"/>
              <w:tr2bl w:val="nil"/>
            </w:tcBorders>
            <w:vAlign w:val="center"/>
          </w:tcPr>
          <w:p w14:paraId="704677E6">
            <w:pPr>
              <w:keepNext w:val="0"/>
              <w:keepLines w:val="0"/>
              <w:pageBreakBefore w:val="0"/>
              <w:kinsoku/>
              <w:wordWrap/>
              <w:overflowPunct/>
              <w:topLinePunct w:val="0"/>
              <w:autoSpaceDE/>
              <w:autoSpaceDN/>
              <w:bidi w:val="0"/>
              <w:spacing w:line="240" w:lineRule="auto"/>
              <w:ind w:left="0"/>
              <w:textAlignment w:val="auto"/>
              <w:rPr>
                <w:rFonts w:ascii="宋体" w:hAnsi="宋体"/>
                <w:b/>
                <w:color w:val="auto"/>
                <w:szCs w:val="21"/>
                <w:highlight w:val="none"/>
              </w:rPr>
            </w:pPr>
            <w:r>
              <w:rPr>
                <w:rFonts w:hint="eastAsia" w:ascii="宋体" w:hAnsi="宋体"/>
                <w:b/>
                <w:color w:val="auto"/>
                <w:szCs w:val="21"/>
                <w:highlight w:val="none"/>
              </w:rPr>
              <w:t>踏勘现场</w:t>
            </w:r>
          </w:p>
        </w:tc>
      </w:tr>
      <w:tr w14:paraId="59203105">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521" w:type="pct"/>
            <w:vMerge w:val="continue"/>
            <w:tcBorders>
              <w:tl2br w:val="nil"/>
              <w:tr2bl w:val="nil"/>
            </w:tcBorders>
            <w:vAlign w:val="center"/>
          </w:tcPr>
          <w:p w14:paraId="79494E65">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p>
        </w:tc>
        <w:tc>
          <w:tcPr>
            <w:tcW w:w="4478" w:type="pct"/>
            <w:gridSpan w:val="2"/>
            <w:tcBorders>
              <w:tl2br w:val="nil"/>
              <w:tr2bl w:val="nil"/>
            </w:tcBorders>
            <w:vAlign w:val="center"/>
          </w:tcPr>
          <w:p w14:paraId="0C0EBCD9">
            <w:pPr>
              <w:keepNext w:val="0"/>
              <w:keepLines w:val="0"/>
              <w:pageBreakBefore w:val="0"/>
              <w:kinsoku/>
              <w:wordWrap/>
              <w:overflowPunct/>
              <w:topLinePunct w:val="0"/>
              <w:autoSpaceDE/>
              <w:autoSpaceDN/>
              <w:bidi w:val="0"/>
              <w:spacing w:line="240" w:lineRule="auto"/>
              <w:ind w:left="0"/>
              <w:textAlignment w:val="auto"/>
              <w:rPr>
                <w:rFonts w:ascii="宋体" w:hAnsi="宋体"/>
                <w:bCs/>
                <w:color w:val="auto"/>
                <w:szCs w:val="21"/>
                <w:highlight w:val="none"/>
              </w:rPr>
            </w:pPr>
            <w:r>
              <w:rPr>
                <w:rFonts w:hint="eastAsia" w:ascii="宋体" w:hAnsi="宋体"/>
                <w:bCs/>
                <w:color w:val="auto"/>
                <w:szCs w:val="21"/>
                <w:highlight w:val="none"/>
                <w:lang w:eastAsia="zh-CN"/>
              </w:rPr>
              <w:t>☑</w:t>
            </w:r>
            <w:r>
              <w:rPr>
                <w:rFonts w:hint="eastAsia" w:ascii="宋体" w:hAnsi="宋体"/>
                <w:bCs/>
                <w:color w:val="auto"/>
                <w:szCs w:val="21"/>
                <w:highlight w:val="none"/>
              </w:rPr>
              <w:t>不组织 。</w:t>
            </w:r>
          </w:p>
          <w:p w14:paraId="06DFD5AD">
            <w:pPr>
              <w:keepNext w:val="0"/>
              <w:keepLines w:val="0"/>
              <w:pageBreakBefore w:val="0"/>
              <w:kinsoku/>
              <w:wordWrap/>
              <w:overflowPunct/>
              <w:topLinePunct w:val="0"/>
              <w:autoSpaceDE/>
              <w:autoSpaceDN/>
              <w:bidi w:val="0"/>
              <w:spacing w:line="240" w:lineRule="auto"/>
              <w:ind w:left="0"/>
              <w:textAlignment w:val="auto"/>
              <w:rPr>
                <w:rFonts w:ascii="宋体" w:hAnsi="宋体"/>
                <w:bCs/>
                <w:color w:val="auto"/>
                <w:szCs w:val="21"/>
                <w:highlight w:val="none"/>
              </w:rPr>
            </w:pPr>
            <w:r>
              <w:rPr>
                <w:rFonts w:hint="eastAsia" w:ascii="宋体" w:hAnsi="宋体"/>
                <w:bCs/>
                <w:color w:val="auto"/>
                <w:szCs w:val="21"/>
                <w:highlight w:val="none"/>
              </w:rPr>
              <w:t>□组织，踏勘现场时间、地点：</w:t>
            </w:r>
            <w:r>
              <w:rPr>
                <w:rFonts w:hint="eastAsia" w:ascii="宋体" w:hAnsi="宋体"/>
                <w:bCs/>
                <w:color w:val="auto"/>
                <w:szCs w:val="21"/>
                <w:highlight w:val="none"/>
                <w:u w:val="single"/>
              </w:rPr>
              <w:t xml:space="preserve">         </w:t>
            </w:r>
            <w:r>
              <w:rPr>
                <w:rFonts w:hint="eastAsia" w:ascii="宋体" w:hAnsi="宋体"/>
                <w:bCs/>
                <w:color w:val="auto"/>
                <w:szCs w:val="21"/>
                <w:highlight w:val="none"/>
              </w:rPr>
              <w:t xml:space="preserve">。 </w:t>
            </w:r>
          </w:p>
        </w:tc>
      </w:tr>
      <w:tr w14:paraId="159E6316">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cantSplit/>
          <w:trHeight w:val="629" w:hRule="atLeast"/>
        </w:trPr>
        <w:tc>
          <w:tcPr>
            <w:tcW w:w="5000" w:type="pct"/>
            <w:gridSpan w:val="3"/>
            <w:tcBorders>
              <w:tl2br w:val="nil"/>
              <w:tr2bl w:val="nil"/>
            </w:tcBorders>
            <w:vAlign w:val="center"/>
          </w:tcPr>
          <w:p w14:paraId="33B01853">
            <w:pPr>
              <w:keepNext w:val="0"/>
              <w:keepLines w:val="0"/>
              <w:pageBreakBefore w:val="0"/>
              <w:kinsoku/>
              <w:wordWrap/>
              <w:overflowPunct/>
              <w:topLinePunct w:val="0"/>
              <w:autoSpaceDE/>
              <w:autoSpaceDN/>
              <w:bidi w:val="0"/>
              <w:spacing w:line="240" w:lineRule="auto"/>
              <w:ind w:left="0"/>
              <w:jc w:val="center"/>
              <w:textAlignment w:val="auto"/>
              <w:rPr>
                <w:rFonts w:ascii="宋体" w:hAnsi="宋体"/>
                <w:b/>
                <w:color w:val="auto"/>
                <w:szCs w:val="21"/>
                <w:highlight w:val="none"/>
              </w:rPr>
            </w:pPr>
            <w:r>
              <w:rPr>
                <w:rFonts w:hint="eastAsia" w:ascii="宋体" w:hAnsi="宋体"/>
                <w:b/>
                <w:color w:val="auto"/>
                <w:szCs w:val="21"/>
                <w:highlight w:val="none"/>
              </w:rPr>
              <w:t>二、投标文件的编制</w:t>
            </w:r>
          </w:p>
        </w:tc>
      </w:tr>
      <w:tr w14:paraId="1610F7BB">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521" w:type="pct"/>
            <w:vMerge w:val="restart"/>
            <w:tcBorders>
              <w:tl2br w:val="nil"/>
              <w:tr2bl w:val="nil"/>
            </w:tcBorders>
            <w:vAlign w:val="center"/>
          </w:tcPr>
          <w:p w14:paraId="6D12746E">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r>
              <w:rPr>
                <w:rFonts w:hint="eastAsia" w:ascii="宋体" w:hAnsi="宋体"/>
                <w:color w:val="auto"/>
                <w:szCs w:val="21"/>
                <w:highlight w:val="none"/>
              </w:rPr>
              <w:t>6</w:t>
            </w:r>
          </w:p>
        </w:tc>
        <w:tc>
          <w:tcPr>
            <w:tcW w:w="4478" w:type="pct"/>
            <w:gridSpan w:val="2"/>
            <w:tcBorders>
              <w:tl2br w:val="nil"/>
              <w:tr2bl w:val="nil"/>
            </w:tcBorders>
            <w:vAlign w:val="center"/>
          </w:tcPr>
          <w:p w14:paraId="1E13D1FA">
            <w:pPr>
              <w:keepNext w:val="0"/>
              <w:keepLines w:val="0"/>
              <w:pageBreakBefore w:val="0"/>
              <w:kinsoku/>
              <w:wordWrap/>
              <w:overflowPunct/>
              <w:topLinePunct w:val="0"/>
              <w:autoSpaceDE/>
              <w:autoSpaceDN/>
              <w:bidi w:val="0"/>
              <w:spacing w:line="240" w:lineRule="auto"/>
              <w:ind w:left="0"/>
              <w:textAlignment w:val="auto"/>
              <w:rPr>
                <w:rFonts w:ascii="宋体" w:hAnsi="宋体"/>
                <w:b/>
                <w:color w:val="auto"/>
                <w:szCs w:val="21"/>
                <w:highlight w:val="none"/>
              </w:rPr>
            </w:pPr>
            <w:r>
              <w:rPr>
                <w:rFonts w:hint="eastAsia" w:ascii="宋体" w:hAnsi="宋体"/>
                <w:b/>
                <w:color w:val="auto"/>
                <w:szCs w:val="21"/>
                <w:highlight w:val="none"/>
              </w:rPr>
              <w:t>投标语言</w:t>
            </w:r>
          </w:p>
        </w:tc>
      </w:tr>
      <w:tr w14:paraId="5A7F9D34">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521" w:type="pct"/>
            <w:vMerge w:val="continue"/>
            <w:tcBorders>
              <w:tl2br w:val="nil"/>
              <w:tr2bl w:val="nil"/>
            </w:tcBorders>
            <w:vAlign w:val="center"/>
          </w:tcPr>
          <w:p w14:paraId="0ACF67B1">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p>
        </w:tc>
        <w:tc>
          <w:tcPr>
            <w:tcW w:w="4478" w:type="pct"/>
            <w:gridSpan w:val="2"/>
            <w:tcBorders>
              <w:tl2br w:val="nil"/>
              <w:tr2bl w:val="nil"/>
            </w:tcBorders>
            <w:vAlign w:val="center"/>
          </w:tcPr>
          <w:p w14:paraId="71342757">
            <w:pPr>
              <w:keepNext w:val="0"/>
              <w:keepLines w:val="0"/>
              <w:pageBreakBefore w:val="0"/>
              <w:kinsoku/>
              <w:wordWrap/>
              <w:overflowPunct/>
              <w:topLinePunct w:val="0"/>
              <w:autoSpaceDE/>
              <w:autoSpaceDN/>
              <w:bidi w:val="0"/>
              <w:spacing w:line="240" w:lineRule="auto"/>
              <w:ind w:left="0"/>
              <w:textAlignment w:val="auto"/>
              <w:rPr>
                <w:rFonts w:ascii="宋体" w:hAnsi="宋体"/>
                <w:b/>
                <w:color w:val="auto"/>
                <w:szCs w:val="21"/>
                <w:highlight w:val="none"/>
              </w:rPr>
            </w:pPr>
            <w:r>
              <w:rPr>
                <w:rFonts w:hint="eastAsia" w:ascii="宋体" w:hAnsi="宋体"/>
                <w:color w:val="auto"/>
                <w:szCs w:val="21"/>
                <w:highlight w:val="none"/>
              </w:rPr>
              <w:t>中文。</w:t>
            </w:r>
          </w:p>
        </w:tc>
      </w:tr>
      <w:tr w14:paraId="20CDE78C">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521" w:type="pct"/>
            <w:vMerge w:val="restart"/>
            <w:tcBorders>
              <w:tl2br w:val="nil"/>
              <w:tr2bl w:val="nil"/>
            </w:tcBorders>
            <w:vAlign w:val="center"/>
          </w:tcPr>
          <w:p w14:paraId="2A9C4A19">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r>
              <w:rPr>
                <w:rFonts w:hint="eastAsia" w:ascii="宋体" w:hAnsi="宋体"/>
                <w:color w:val="auto"/>
                <w:szCs w:val="21"/>
                <w:highlight w:val="none"/>
              </w:rPr>
              <w:t>7</w:t>
            </w:r>
          </w:p>
        </w:tc>
        <w:tc>
          <w:tcPr>
            <w:tcW w:w="4478" w:type="pct"/>
            <w:gridSpan w:val="2"/>
            <w:tcBorders>
              <w:tl2br w:val="nil"/>
              <w:tr2bl w:val="nil"/>
            </w:tcBorders>
            <w:vAlign w:val="center"/>
          </w:tcPr>
          <w:p w14:paraId="4F4B6163">
            <w:pPr>
              <w:keepNext w:val="0"/>
              <w:keepLines w:val="0"/>
              <w:pageBreakBefore w:val="0"/>
              <w:kinsoku/>
              <w:wordWrap/>
              <w:overflowPunct/>
              <w:topLinePunct w:val="0"/>
              <w:autoSpaceDE/>
              <w:autoSpaceDN/>
              <w:bidi w:val="0"/>
              <w:spacing w:line="240" w:lineRule="auto"/>
              <w:ind w:left="0"/>
              <w:jc w:val="both"/>
              <w:textAlignment w:val="auto"/>
              <w:rPr>
                <w:rFonts w:ascii="宋体" w:hAnsi="宋体"/>
                <w:b/>
                <w:color w:val="auto"/>
                <w:szCs w:val="21"/>
                <w:highlight w:val="none"/>
              </w:rPr>
            </w:pPr>
            <w:r>
              <w:rPr>
                <w:rFonts w:hint="eastAsia" w:ascii="宋体" w:hAnsi="宋体"/>
                <w:b/>
                <w:color w:val="auto"/>
                <w:szCs w:val="21"/>
                <w:highlight w:val="none"/>
              </w:rPr>
              <w:t>投标报价</w:t>
            </w:r>
          </w:p>
        </w:tc>
      </w:tr>
      <w:tr w14:paraId="7037A57B">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521" w:type="pct"/>
            <w:vMerge w:val="continue"/>
            <w:tcBorders>
              <w:tl2br w:val="nil"/>
              <w:tr2bl w:val="nil"/>
            </w:tcBorders>
            <w:vAlign w:val="center"/>
          </w:tcPr>
          <w:p w14:paraId="7E3EB30D">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p>
        </w:tc>
        <w:tc>
          <w:tcPr>
            <w:tcW w:w="4478" w:type="pct"/>
            <w:gridSpan w:val="2"/>
            <w:tcBorders>
              <w:tl2br w:val="nil"/>
              <w:tr2bl w:val="nil"/>
            </w:tcBorders>
            <w:vAlign w:val="center"/>
          </w:tcPr>
          <w:p w14:paraId="14F35AF2">
            <w:pPr>
              <w:keepNext w:val="0"/>
              <w:keepLines w:val="0"/>
              <w:pageBreakBefore w:val="0"/>
              <w:kinsoku/>
              <w:wordWrap/>
              <w:overflowPunct/>
              <w:topLinePunct w:val="0"/>
              <w:autoSpaceDE/>
              <w:autoSpaceDN/>
              <w:bidi w:val="0"/>
              <w:spacing w:line="240" w:lineRule="auto"/>
              <w:ind w:left="0"/>
              <w:jc w:val="both"/>
              <w:textAlignment w:val="auto"/>
              <w:rPr>
                <w:rFonts w:ascii="宋体" w:hAnsi="宋体"/>
                <w:color w:val="auto"/>
                <w:szCs w:val="21"/>
                <w:highlight w:val="none"/>
              </w:rPr>
            </w:pPr>
            <w:r>
              <w:rPr>
                <w:rFonts w:hint="eastAsia" w:ascii="宋体" w:hAnsi="宋体"/>
                <w:color w:val="auto"/>
                <w:szCs w:val="21"/>
                <w:highlight w:val="none"/>
              </w:rPr>
              <w:t>详见投标人须知。</w:t>
            </w:r>
          </w:p>
        </w:tc>
      </w:tr>
      <w:tr w14:paraId="5C50E368">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0" w:hRule="atLeast"/>
        </w:trPr>
        <w:tc>
          <w:tcPr>
            <w:tcW w:w="521" w:type="pct"/>
            <w:vMerge w:val="restart"/>
            <w:tcBorders>
              <w:tl2br w:val="nil"/>
              <w:tr2bl w:val="nil"/>
            </w:tcBorders>
            <w:vAlign w:val="center"/>
          </w:tcPr>
          <w:p w14:paraId="0AA2ADA7">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r>
              <w:rPr>
                <w:rFonts w:hint="eastAsia" w:ascii="宋体" w:hAnsi="宋体"/>
                <w:color w:val="auto"/>
                <w:szCs w:val="21"/>
                <w:highlight w:val="none"/>
              </w:rPr>
              <w:t>8</w:t>
            </w:r>
          </w:p>
        </w:tc>
        <w:tc>
          <w:tcPr>
            <w:tcW w:w="4478" w:type="pct"/>
            <w:gridSpan w:val="2"/>
            <w:tcBorders>
              <w:tl2br w:val="nil"/>
              <w:tr2bl w:val="nil"/>
            </w:tcBorders>
            <w:vAlign w:val="center"/>
          </w:tcPr>
          <w:p w14:paraId="0FF07B00">
            <w:pPr>
              <w:keepNext w:val="0"/>
              <w:keepLines w:val="0"/>
              <w:pageBreakBefore w:val="0"/>
              <w:kinsoku/>
              <w:wordWrap/>
              <w:overflowPunct/>
              <w:topLinePunct w:val="0"/>
              <w:autoSpaceDE/>
              <w:autoSpaceDN/>
              <w:bidi w:val="0"/>
              <w:spacing w:line="240" w:lineRule="auto"/>
              <w:ind w:left="0"/>
              <w:jc w:val="both"/>
              <w:textAlignment w:val="auto"/>
              <w:rPr>
                <w:rFonts w:ascii="宋体" w:hAnsi="宋体"/>
                <w:b/>
                <w:color w:val="auto"/>
                <w:szCs w:val="21"/>
                <w:highlight w:val="none"/>
              </w:rPr>
            </w:pPr>
            <w:r>
              <w:rPr>
                <w:rFonts w:hint="eastAsia" w:ascii="宋体" w:hAnsi="宋体"/>
                <w:b/>
                <w:color w:val="auto"/>
                <w:szCs w:val="21"/>
                <w:highlight w:val="none"/>
              </w:rPr>
              <w:t>投标保证金</w:t>
            </w:r>
          </w:p>
        </w:tc>
      </w:tr>
      <w:tr w14:paraId="0E54BC24">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0" w:hRule="atLeast"/>
        </w:trPr>
        <w:tc>
          <w:tcPr>
            <w:tcW w:w="521" w:type="pct"/>
            <w:vMerge w:val="continue"/>
            <w:tcBorders>
              <w:tl2br w:val="nil"/>
              <w:tr2bl w:val="nil"/>
            </w:tcBorders>
            <w:vAlign w:val="center"/>
          </w:tcPr>
          <w:p w14:paraId="31B78974">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p>
        </w:tc>
        <w:tc>
          <w:tcPr>
            <w:tcW w:w="4478" w:type="pct"/>
            <w:gridSpan w:val="2"/>
            <w:tcBorders>
              <w:tl2br w:val="nil"/>
              <w:tr2bl w:val="nil"/>
            </w:tcBorders>
            <w:vAlign w:val="center"/>
          </w:tcPr>
          <w:p w14:paraId="04A86B15">
            <w:pPr>
              <w:keepNext w:val="0"/>
              <w:keepLines w:val="0"/>
              <w:pageBreakBefore w:val="0"/>
              <w:kinsoku/>
              <w:wordWrap/>
              <w:overflowPunct/>
              <w:topLinePunct w:val="0"/>
              <w:autoSpaceDE/>
              <w:autoSpaceDN/>
              <w:bidi w:val="0"/>
              <w:spacing w:line="240" w:lineRule="auto"/>
              <w:ind w:left="0"/>
              <w:jc w:val="both"/>
              <w:textAlignment w:val="auto"/>
              <w:rPr>
                <w:rFonts w:ascii="宋体" w:hAnsi="宋体"/>
                <w:color w:val="auto"/>
                <w:szCs w:val="21"/>
                <w:highlight w:val="none"/>
              </w:rPr>
            </w:pPr>
            <w:r>
              <w:rPr>
                <w:rFonts w:hint="eastAsia" w:ascii="宋体" w:hAnsi="宋体"/>
                <w:color w:val="auto"/>
                <w:szCs w:val="21"/>
                <w:highlight w:val="none"/>
              </w:rPr>
              <w:t>（1）投标保证金金额：人民币</w:t>
            </w:r>
            <w:r>
              <w:rPr>
                <w:rFonts w:hint="eastAsia" w:ascii="宋体" w:hAnsi="宋体"/>
                <w:b/>
                <w:color w:val="auto"/>
                <w:szCs w:val="21"/>
                <w:highlight w:val="none"/>
              </w:rPr>
              <w:t>（大写）</w:t>
            </w:r>
            <w:r>
              <w:rPr>
                <w:rFonts w:hint="eastAsia" w:ascii="宋体" w:hAnsi="宋体"/>
                <w:b/>
                <w:color w:val="auto"/>
                <w:szCs w:val="21"/>
                <w:highlight w:val="none"/>
                <w:u w:val="single"/>
                <w:lang w:val="en-US" w:eastAsia="zh-CN"/>
              </w:rPr>
              <w:t>玖万肆仟元整</w:t>
            </w:r>
            <w:r>
              <w:rPr>
                <w:rFonts w:hint="eastAsia" w:ascii="宋体" w:hAnsi="宋体"/>
                <w:color w:val="auto"/>
                <w:szCs w:val="21"/>
                <w:highlight w:val="none"/>
              </w:rPr>
              <w:t>（</w:t>
            </w:r>
            <w:r>
              <w:rPr>
                <w:rFonts w:hint="eastAsia" w:ascii="宋体" w:hAnsi="宋体"/>
                <w:b/>
                <w:bCs/>
                <w:color w:val="auto"/>
                <w:szCs w:val="21"/>
                <w:highlight w:val="none"/>
              </w:rPr>
              <w:t>￥</w:t>
            </w:r>
            <w:r>
              <w:rPr>
                <w:rFonts w:hint="eastAsia" w:ascii="宋体" w:hAnsi="宋体"/>
                <w:b/>
                <w:color w:val="auto"/>
                <w:szCs w:val="21"/>
                <w:highlight w:val="none"/>
                <w:u w:val="single"/>
                <w:lang w:val="en-US" w:eastAsia="zh-CN"/>
              </w:rPr>
              <w:t>94,000.00</w:t>
            </w:r>
            <w:r>
              <w:rPr>
                <w:rFonts w:hint="eastAsia" w:ascii="宋体" w:hAnsi="宋体"/>
                <w:b/>
                <w:color w:val="auto"/>
                <w:szCs w:val="21"/>
                <w:highlight w:val="none"/>
                <w:u w:val="single"/>
              </w:rPr>
              <w:t>元</w:t>
            </w:r>
            <w:r>
              <w:rPr>
                <w:rFonts w:hint="eastAsia" w:ascii="宋体" w:hAnsi="宋体"/>
                <w:color w:val="auto"/>
                <w:szCs w:val="21"/>
                <w:highlight w:val="none"/>
              </w:rPr>
              <w:t>）。</w:t>
            </w:r>
          </w:p>
        </w:tc>
      </w:tr>
      <w:tr w14:paraId="29BB354B">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273" w:hRule="atLeast"/>
        </w:trPr>
        <w:tc>
          <w:tcPr>
            <w:tcW w:w="521" w:type="pct"/>
            <w:vMerge w:val="continue"/>
            <w:tcBorders>
              <w:tl2br w:val="nil"/>
              <w:tr2bl w:val="nil"/>
            </w:tcBorders>
            <w:vAlign w:val="center"/>
          </w:tcPr>
          <w:p w14:paraId="576F5875">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p>
        </w:tc>
        <w:tc>
          <w:tcPr>
            <w:tcW w:w="4478" w:type="pct"/>
            <w:gridSpan w:val="2"/>
            <w:tcBorders>
              <w:tl2br w:val="nil"/>
              <w:tr2bl w:val="nil"/>
            </w:tcBorders>
            <w:vAlign w:val="center"/>
          </w:tcPr>
          <w:p w14:paraId="721C3AE1">
            <w:pPr>
              <w:keepNext w:val="0"/>
              <w:keepLines w:val="0"/>
              <w:pageBreakBefore w:val="0"/>
              <w:tabs>
                <w:tab w:val="left" w:pos="567"/>
              </w:tabs>
              <w:kinsoku/>
              <w:wordWrap/>
              <w:overflowPunct/>
              <w:topLinePunct w:val="0"/>
              <w:autoSpaceDE/>
              <w:autoSpaceDN/>
              <w:bidi w:val="0"/>
              <w:spacing w:line="240" w:lineRule="auto"/>
              <w:ind w:left="0"/>
              <w:jc w:val="both"/>
              <w:textAlignment w:val="auto"/>
              <w:rPr>
                <w:rFonts w:hint="eastAsia" w:hAnsi="宋体"/>
                <w:color w:val="auto"/>
                <w:kern w:val="2"/>
                <w:szCs w:val="21"/>
                <w:highlight w:val="none"/>
                <w:lang w:val="zh-CN"/>
              </w:rPr>
            </w:pPr>
            <w:r>
              <w:rPr>
                <w:rFonts w:hint="eastAsia" w:ascii="宋体" w:hAnsi="宋体"/>
                <w:color w:val="auto"/>
                <w:szCs w:val="21"/>
                <w:highlight w:val="none"/>
              </w:rPr>
              <w:t>（2）</w:t>
            </w:r>
            <w:r>
              <w:rPr>
                <w:rFonts w:hint="eastAsia" w:hAnsi="宋体"/>
                <w:color w:val="auto"/>
                <w:kern w:val="2"/>
                <w:szCs w:val="21"/>
                <w:highlight w:val="none"/>
                <w:lang w:val="zh-CN"/>
              </w:rPr>
              <w:t>投标保证金采用转账、电汇方式提交，应符合以下要求：采用银行转账、电汇方式提交的，保证金汇入以下投标保证金专用账户，不接收由以投标人分支机构、私人账户和其他单位转入的保证金。投标保证金必须在投标文件递交截止前到账，投标保证金未按规定时间到达指定账户或提交金额不足的，将被视为无效投标。且在备注或用途中注明本项目的项目编号。</w:t>
            </w:r>
          </w:p>
          <w:p w14:paraId="6F176AC5">
            <w:pPr>
              <w:keepNext w:val="0"/>
              <w:keepLines w:val="0"/>
              <w:pageBreakBefore w:val="0"/>
              <w:tabs>
                <w:tab w:val="left" w:pos="567"/>
              </w:tabs>
              <w:kinsoku/>
              <w:wordWrap/>
              <w:overflowPunct/>
              <w:topLinePunct w:val="0"/>
              <w:autoSpaceDE/>
              <w:autoSpaceDN/>
              <w:bidi w:val="0"/>
              <w:spacing w:line="240" w:lineRule="auto"/>
              <w:ind w:left="0"/>
              <w:jc w:val="both"/>
              <w:textAlignment w:val="auto"/>
              <w:rPr>
                <w:rFonts w:hint="eastAsia" w:hAnsi="宋体"/>
                <w:b/>
                <w:bCs/>
                <w:color w:val="auto"/>
                <w:kern w:val="2"/>
                <w:szCs w:val="21"/>
                <w:highlight w:val="none"/>
                <w:lang w:val="zh-CN"/>
              </w:rPr>
            </w:pPr>
            <w:r>
              <w:rPr>
                <w:rFonts w:hint="eastAsia" w:hAnsi="宋体"/>
                <w:color w:val="auto"/>
                <w:kern w:val="2"/>
                <w:szCs w:val="21"/>
                <w:highlight w:val="none"/>
                <w:lang w:val="zh-CN"/>
              </w:rPr>
              <w:t>投标保证金专用账户如下：</w:t>
            </w:r>
          </w:p>
          <w:p w14:paraId="7543E7FF">
            <w:pPr>
              <w:keepNext w:val="0"/>
              <w:keepLines w:val="0"/>
              <w:pageBreakBefore w:val="0"/>
              <w:tabs>
                <w:tab w:val="left" w:pos="567"/>
              </w:tabs>
              <w:kinsoku/>
              <w:wordWrap/>
              <w:overflowPunct/>
              <w:topLinePunct w:val="0"/>
              <w:autoSpaceDE/>
              <w:autoSpaceDN/>
              <w:bidi w:val="0"/>
              <w:spacing w:line="240" w:lineRule="auto"/>
              <w:ind w:left="0"/>
              <w:jc w:val="both"/>
              <w:textAlignment w:val="auto"/>
              <w:rPr>
                <w:rFonts w:hint="eastAsia" w:hAnsi="宋体"/>
                <w:b/>
                <w:bCs/>
                <w:color w:val="auto"/>
                <w:kern w:val="2"/>
                <w:szCs w:val="21"/>
                <w:highlight w:val="none"/>
                <w:lang w:val="zh-CN"/>
              </w:rPr>
            </w:pPr>
            <w:r>
              <w:rPr>
                <w:rFonts w:hint="eastAsia" w:hAnsi="宋体"/>
                <w:b/>
                <w:bCs/>
                <w:color w:val="auto"/>
                <w:kern w:val="2"/>
                <w:szCs w:val="21"/>
                <w:highlight w:val="none"/>
                <w:lang w:val="zh-CN"/>
              </w:rPr>
              <w:t>账户名称：东莞市新东欣环保投资有限公司</w:t>
            </w:r>
          </w:p>
          <w:p w14:paraId="1A8FD72C">
            <w:pPr>
              <w:keepNext w:val="0"/>
              <w:keepLines w:val="0"/>
              <w:pageBreakBefore w:val="0"/>
              <w:tabs>
                <w:tab w:val="left" w:pos="567"/>
              </w:tabs>
              <w:kinsoku/>
              <w:wordWrap/>
              <w:overflowPunct/>
              <w:topLinePunct w:val="0"/>
              <w:autoSpaceDE/>
              <w:autoSpaceDN/>
              <w:bidi w:val="0"/>
              <w:spacing w:line="240" w:lineRule="auto"/>
              <w:ind w:left="0"/>
              <w:jc w:val="both"/>
              <w:textAlignment w:val="auto"/>
              <w:rPr>
                <w:rFonts w:hint="eastAsia" w:hAnsi="宋体"/>
                <w:b/>
                <w:bCs/>
                <w:color w:val="auto"/>
                <w:kern w:val="2"/>
                <w:szCs w:val="21"/>
                <w:highlight w:val="none"/>
                <w:lang w:val="zh-CN"/>
              </w:rPr>
            </w:pPr>
            <w:r>
              <w:rPr>
                <w:rFonts w:hint="eastAsia" w:hAnsi="宋体"/>
                <w:b/>
                <w:bCs/>
                <w:color w:val="auto"/>
                <w:kern w:val="2"/>
                <w:szCs w:val="21"/>
                <w:highlight w:val="none"/>
                <w:lang w:val="zh-CN"/>
              </w:rPr>
              <w:t>开户银行：中信银行股份有限公司东莞麻涌支行</w:t>
            </w:r>
          </w:p>
          <w:p w14:paraId="55C782B3">
            <w:pPr>
              <w:keepNext w:val="0"/>
              <w:keepLines w:val="0"/>
              <w:pageBreakBefore w:val="0"/>
              <w:tabs>
                <w:tab w:val="left" w:pos="567"/>
              </w:tabs>
              <w:kinsoku/>
              <w:wordWrap/>
              <w:overflowPunct/>
              <w:topLinePunct w:val="0"/>
              <w:autoSpaceDE/>
              <w:autoSpaceDN/>
              <w:bidi w:val="0"/>
              <w:spacing w:line="240" w:lineRule="auto"/>
              <w:ind w:left="0"/>
              <w:jc w:val="both"/>
              <w:textAlignment w:val="auto"/>
              <w:rPr>
                <w:rFonts w:hint="eastAsia" w:hAnsi="宋体"/>
                <w:b/>
                <w:bCs/>
                <w:color w:val="auto"/>
                <w:kern w:val="2"/>
                <w:szCs w:val="21"/>
                <w:highlight w:val="none"/>
                <w:lang w:val="zh-CN"/>
              </w:rPr>
            </w:pPr>
            <w:r>
              <w:rPr>
                <w:rFonts w:hint="eastAsia" w:hAnsi="宋体"/>
                <w:b/>
                <w:bCs/>
                <w:color w:val="auto"/>
                <w:kern w:val="2"/>
                <w:szCs w:val="21"/>
                <w:highlight w:val="none"/>
                <w:lang w:val="zh-CN"/>
              </w:rPr>
              <w:t>银行账号：8114801014200219007</w:t>
            </w:r>
          </w:p>
          <w:p w14:paraId="01FE07E3">
            <w:pPr>
              <w:keepNext w:val="0"/>
              <w:keepLines w:val="0"/>
              <w:pageBreakBefore w:val="0"/>
              <w:tabs>
                <w:tab w:val="left" w:pos="567"/>
              </w:tabs>
              <w:kinsoku/>
              <w:wordWrap/>
              <w:overflowPunct/>
              <w:topLinePunct w:val="0"/>
              <w:autoSpaceDE/>
              <w:autoSpaceDN/>
              <w:bidi w:val="0"/>
              <w:spacing w:line="240" w:lineRule="auto"/>
              <w:ind w:left="0"/>
              <w:jc w:val="both"/>
              <w:textAlignment w:val="auto"/>
              <w:rPr>
                <w:rFonts w:ascii="宋体" w:hAnsi="宋体"/>
                <w:b/>
                <w:color w:val="auto"/>
                <w:szCs w:val="21"/>
                <w:highlight w:val="none"/>
              </w:rPr>
            </w:pPr>
            <w:r>
              <w:rPr>
                <w:rFonts w:hint="eastAsia" w:hAnsi="宋体"/>
                <w:color w:val="auto"/>
                <w:kern w:val="2"/>
                <w:szCs w:val="21"/>
                <w:highlight w:val="none"/>
                <w:lang w:val="zh-CN"/>
              </w:rPr>
              <w:t>（注：各投标人在转账或电汇时须在用途栏上备注项目编号，及项目名称，如有字数限制项目名称可简写。）</w:t>
            </w:r>
          </w:p>
        </w:tc>
      </w:tr>
      <w:tr w14:paraId="505D5A00">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520" w:hRule="atLeast"/>
        </w:trPr>
        <w:tc>
          <w:tcPr>
            <w:tcW w:w="521" w:type="pct"/>
            <w:vMerge w:val="restart"/>
            <w:tcBorders>
              <w:tl2br w:val="nil"/>
              <w:tr2bl w:val="nil"/>
            </w:tcBorders>
            <w:vAlign w:val="center"/>
          </w:tcPr>
          <w:p w14:paraId="14D955C7">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r>
              <w:rPr>
                <w:rFonts w:hint="eastAsia" w:ascii="宋体" w:hAnsi="宋体"/>
                <w:color w:val="auto"/>
                <w:szCs w:val="21"/>
                <w:highlight w:val="none"/>
              </w:rPr>
              <w:t>9</w:t>
            </w:r>
          </w:p>
        </w:tc>
        <w:tc>
          <w:tcPr>
            <w:tcW w:w="4478" w:type="pct"/>
            <w:gridSpan w:val="2"/>
            <w:tcBorders>
              <w:tl2br w:val="nil"/>
              <w:tr2bl w:val="nil"/>
            </w:tcBorders>
            <w:vAlign w:val="center"/>
          </w:tcPr>
          <w:p w14:paraId="269CB00A">
            <w:pPr>
              <w:keepNext w:val="0"/>
              <w:keepLines w:val="0"/>
              <w:pageBreakBefore w:val="0"/>
              <w:kinsoku/>
              <w:wordWrap/>
              <w:overflowPunct/>
              <w:topLinePunct w:val="0"/>
              <w:autoSpaceDE/>
              <w:autoSpaceDN/>
              <w:bidi w:val="0"/>
              <w:spacing w:line="240" w:lineRule="auto"/>
              <w:ind w:left="0"/>
              <w:jc w:val="both"/>
              <w:textAlignment w:val="auto"/>
              <w:rPr>
                <w:rFonts w:ascii="宋体" w:hAnsi="宋体"/>
                <w:b/>
                <w:bCs/>
                <w:color w:val="auto"/>
                <w:szCs w:val="21"/>
                <w:highlight w:val="none"/>
                <w:lang w:val="zh-CN"/>
              </w:rPr>
            </w:pPr>
            <w:r>
              <w:rPr>
                <w:rFonts w:hint="eastAsia" w:ascii="宋体" w:hAnsi="宋体"/>
                <w:b/>
                <w:bCs/>
                <w:color w:val="auto"/>
                <w:szCs w:val="21"/>
                <w:highlight w:val="none"/>
                <w:lang w:val="zh-CN"/>
              </w:rPr>
              <w:t>投标保证金退还</w:t>
            </w:r>
          </w:p>
        </w:tc>
      </w:tr>
      <w:tr w14:paraId="30E31E1D">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1135" w:hRule="atLeast"/>
        </w:trPr>
        <w:tc>
          <w:tcPr>
            <w:tcW w:w="521" w:type="pct"/>
            <w:vMerge w:val="continue"/>
            <w:tcBorders>
              <w:tl2br w:val="nil"/>
              <w:tr2bl w:val="nil"/>
            </w:tcBorders>
            <w:vAlign w:val="center"/>
          </w:tcPr>
          <w:p w14:paraId="4B7029DD">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p>
        </w:tc>
        <w:tc>
          <w:tcPr>
            <w:tcW w:w="4478" w:type="pct"/>
            <w:gridSpan w:val="2"/>
            <w:tcBorders>
              <w:tl2br w:val="nil"/>
              <w:tr2bl w:val="nil"/>
            </w:tcBorders>
            <w:vAlign w:val="center"/>
          </w:tcPr>
          <w:p w14:paraId="7AB5C848">
            <w:pPr>
              <w:keepNext w:val="0"/>
              <w:keepLines w:val="0"/>
              <w:pageBreakBefore w:val="0"/>
              <w:kinsoku/>
              <w:wordWrap/>
              <w:overflowPunct/>
              <w:topLinePunct w:val="0"/>
              <w:autoSpaceDE/>
              <w:autoSpaceDN/>
              <w:bidi w:val="0"/>
              <w:spacing w:line="240" w:lineRule="auto"/>
              <w:ind w:left="0"/>
              <w:jc w:val="both"/>
              <w:textAlignment w:val="auto"/>
              <w:rPr>
                <w:rFonts w:hint="default" w:ascii="宋体" w:hAnsi="宋体" w:eastAsia="宋体"/>
                <w:color w:val="auto"/>
                <w:szCs w:val="21"/>
                <w:highlight w:val="none"/>
                <w:lang w:val="en-US" w:eastAsia="zh-CN"/>
              </w:rPr>
            </w:pPr>
            <w:r>
              <w:rPr>
                <w:rFonts w:hint="eastAsia" w:ascii="宋体" w:hAnsi="宋体"/>
                <w:color w:val="auto"/>
                <w:szCs w:val="21"/>
                <w:highlight w:val="none"/>
                <w:lang w:val="zh-CN"/>
              </w:rPr>
              <w:t>（</w:t>
            </w:r>
            <w:r>
              <w:rPr>
                <w:rFonts w:hint="eastAsia" w:ascii="宋体" w:hAnsi="宋体"/>
                <w:color w:val="auto"/>
                <w:szCs w:val="21"/>
                <w:highlight w:val="none"/>
              </w:rPr>
              <w:t>1</w:t>
            </w:r>
            <w:r>
              <w:rPr>
                <w:rFonts w:hint="eastAsia" w:ascii="宋体" w:hAnsi="宋体"/>
                <w:color w:val="auto"/>
                <w:szCs w:val="21"/>
                <w:highlight w:val="none"/>
                <w:lang w:val="zh-CN"/>
              </w:rPr>
              <w:t>）未中标的投标人的保证金应当在中标通知书发出后退还，中标</w:t>
            </w:r>
            <w:r>
              <w:rPr>
                <w:rFonts w:hint="eastAsia" w:ascii="宋体" w:hAnsi="宋体"/>
                <w:color w:val="auto"/>
                <w:szCs w:val="21"/>
                <w:highlight w:val="none"/>
              </w:rPr>
              <w:t>的</w:t>
            </w:r>
            <w:r>
              <w:rPr>
                <w:rFonts w:hint="eastAsia" w:ascii="宋体" w:hAnsi="宋体"/>
                <w:color w:val="auto"/>
                <w:szCs w:val="21"/>
                <w:highlight w:val="none"/>
                <w:lang w:val="zh-CN"/>
              </w:rPr>
              <w:t>投标人的保证金在采购合同签订</w:t>
            </w:r>
            <w:r>
              <w:rPr>
                <w:rFonts w:hint="eastAsia" w:ascii="宋体" w:hAnsi="宋体"/>
                <w:color w:val="auto"/>
                <w:szCs w:val="21"/>
                <w:highlight w:val="none"/>
                <w:lang w:val="en-US" w:eastAsia="zh-CN"/>
              </w:rPr>
              <w:t>后转为履约保证金。</w:t>
            </w:r>
          </w:p>
          <w:p w14:paraId="256D1FA5">
            <w:pPr>
              <w:keepNext w:val="0"/>
              <w:keepLines w:val="0"/>
              <w:pageBreakBefore w:val="0"/>
              <w:kinsoku/>
              <w:wordWrap/>
              <w:overflowPunct/>
              <w:topLinePunct w:val="0"/>
              <w:autoSpaceDE/>
              <w:autoSpaceDN/>
              <w:bidi w:val="0"/>
              <w:spacing w:line="240" w:lineRule="auto"/>
              <w:ind w:left="0"/>
              <w:jc w:val="both"/>
              <w:textAlignment w:val="auto"/>
              <w:rPr>
                <w:color w:val="auto"/>
                <w:highlight w:val="none"/>
              </w:rPr>
            </w:pPr>
            <w:r>
              <w:rPr>
                <w:rFonts w:hint="eastAsia" w:ascii="宋体" w:hAnsi="宋体"/>
                <w:color w:val="auto"/>
                <w:szCs w:val="21"/>
                <w:highlight w:val="none"/>
                <w:lang w:val="zh-CN"/>
              </w:rPr>
              <w:t>（</w:t>
            </w:r>
            <w:r>
              <w:rPr>
                <w:rFonts w:hint="eastAsia" w:ascii="宋体" w:hAnsi="宋体"/>
                <w:color w:val="auto"/>
                <w:szCs w:val="21"/>
                <w:highlight w:val="none"/>
              </w:rPr>
              <w:t>2</w:t>
            </w:r>
            <w:r>
              <w:rPr>
                <w:rFonts w:hint="eastAsia" w:ascii="宋体" w:hAnsi="宋体"/>
                <w:color w:val="auto"/>
                <w:szCs w:val="21"/>
                <w:highlight w:val="none"/>
                <w:lang w:val="zh-CN"/>
              </w:rPr>
              <w:t>）为方便退还未中标的投标人的保证金，投标人应制作《投标保证金汇入情况说明》随唱标信封一并递交。</w:t>
            </w:r>
          </w:p>
        </w:tc>
      </w:tr>
      <w:tr w14:paraId="273A8DB5">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521" w:type="pct"/>
            <w:vMerge w:val="restart"/>
            <w:tcBorders>
              <w:tl2br w:val="nil"/>
              <w:tr2bl w:val="nil"/>
            </w:tcBorders>
            <w:vAlign w:val="center"/>
          </w:tcPr>
          <w:p w14:paraId="22832E65">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r>
              <w:rPr>
                <w:rFonts w:hint="eastAsia" w:ascii="宋体" w:hAnsi="宋体"/>
                <w:color w:val="auto"/>
                <w:szCs w:val="21"/>
                <w:highlight w:val="none"/>
              </w:rPr>
              <w:t>10</w:t>
            </w:r>
          </w:p>
        </w:tc>
        <w:tc>
          <w:tcPr>
            <w:tcW w:w="4478" w:type="pct"/>
            <w:gridSpan w:val="2"/>
            <w:tcBorders>
              <w:tl2br w:val="nil"/>
              <w:tr2bl w:val="nil"/>
            </w:tcBorders>
            <w:vAlign w:val="center"/>
          </w:tcPr>
          <w:p w14:paraId="58643D41">
            <w:pPr>
              <w:keepNext w:val="0"/>
              <w:keepLines w:val="0"/>
              <w:pageBreakBefore w:val="0"/>
              <w:kinsoku/>
              <w:wordWrap/>
              <w:overflowPunct/>
              <w:topLinePunct w:val="0"/>
              <w:autoSpaceDE/>
              <w:autoSpaceDN/>
              <w:bidi w:val="0"/>
              <w:spacing w:line="240" w:lineRule="auto"/>
              <w:ind w:left="0"/>
              <w:jc w:val="both"/>
              <w:textAlignment w:val="auto"/>
              <w:rPr>
                <w:rFonts w:ascii="宋体" w:hAnsi="宋体"/>
                <w:b/>
                <w:color w:val="auto"/>
                <w:szCs w:val="21"/>
                <w:highlight w:val="none"/>
              </w:rPr>
            </w:pPr>
            <w:r>
              <w:rPr>
                <w:rFonts w:hint="eastAsia" w:ascii="宋体" w:hAnsi="宋体"/>
                <w:b/>
                <w:bCs/>
                <w:color w:val="auto"/>
                <w:szCs w:val="21"/>
                <w:highlight w:val="none"/>
              </w:rPr>
              <w:t>报价方式</w:t>
            </w:r>
          </w:p>
        </w:tc>
      </w:tr>
      <w:tr w14:paraId="641E6249">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521" w:type="pct"/>
            <w:vMerge w:val="continue"/>
            <w:tcBorders>
              <w:tl2br w:val="nil"/>
              <w:tr2bl w:val="nil"/>
            </w:tcBorders>
            <w:vAlign w:val="center"/>
          </w:tcPr>
          <w:p w14:paraId="45220460">
            <w:pPr>
              <w:keepNext w:val="0"/>
              <w:keepLines w:val="0"/>
              <w:pageBreakBefore w:val="0"/>
              <w:kinsoku/>
              <w:wordWrap/>
              <w:overflowPunct/>
              <w:topLinePunct w:val="0"/>
              <w:autoSpaceDE/>
              <w:autoSpaceDN/>
              <w:bidi w:val="0"/>
              <w:spacing w:line="240" w:lineRule="auto"/>
              <w:ind w:left="0"/>
              <w:jc w:val="center"/>
              <w:textAlignment w:val="auto"/>
              <w:rPr>
                <w:rFonts w:hint="eastAsia" w:ascii="宋体" w:hAnsi="宋体"/>
                <w:color w:val="auto"/>
                <w:szCs w:val="21"/>
                <w:highlight w:val="none"/>
              </w:rPr>
            </w:pPr>
          </w:p>
        </w:tc>
        <w:tc>
          <w:tcPr>
            <w:tcW w:w="4478" w:type="pct"/>
            <w:gridSpan w:val="2"/>
            <w:tcBorders>
              <w:tl2br w:val="nil"/>
              <w:tr2bl w:val="nil"/>
            </w:tcBorders>
            <w:vAlign w:val="center"/>
          </w:tcPr>
          <w:p w14:paraId="3955D242">
            <w:pPr>
              <w:keepNext w:val="0"/>
              <w:keepLines w:val="0"/>
              <w:pageBreakBefore w:val="0"/>
              <w:kinsoku/>
              <w:wordWrap/>
              <w:overflowPunct/>
              <w:topLinePunct w:val="0"/>
              <w:autoSpaceDE/>
              <w:autoSpaceDN/>
              <w:bidi w:val="0"/>
              <w:spacing w:line="240" w:lineRule="auto"/>
              <w:ind w:left="0"/>
              <w:jc w:val="both"/>
              <w:textAlignment w:val="auto"/>
              <w:rPr>
                <w:rFonts w:hint="eastAsia" w:ascii="宋体" w:hAnsi="宋体"/>
                <w:b/>
                <w:color w:val="auto"/>
                <w:szCs w:val="21"/>
                <w:highlight w:val="none"/>
              </w:rPr>
            </w:pPr>
            <w:r>
              <w:rPr>
                <w:rFonts w:hint="eastAsia" w:ascii="宋体" w:hAnsi="宋体"/>
                <w:b/>
                <w:color w:val="auto"/>
                <w:szCs w:val="21"/>
                <w:highlight w:val="none"/>
              </w:rPr>
              <w:t>本项目采用固定单价暂定总价方式报价，投标人必须根据附件《危险废物运输费单价表》规定的各标段、各区域、各车型的单价限价（元/车次）范围内进行报价（报价为含税价且保留至个位数），并结合相应的预计车次计算出暂定总价（含税价），即某标段所有区域各车型供应商所投运输单价报价与对应预计次数的乘积之和；投标人必须严格按照附件《危险废物运输费单价表》进行填写，漏写、错写或报价超过单价限价的，将被视为非实质性响应而予以投标无效处理。</w:t>
            </w:r>
          </w:p>
        </w:tc>
      </w:tr>
      <w:tr w14:paraId="226A3F19">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94" w:hRule="atLeast"/>
        </w:trPr>
        <w:tc>
          <w:tcPr>
            <w:tcW w:w="521" w:type="pct"/>
            <w:vMerge w:val="restart"/>
            <w:tcBorders>
              <w:tl2br w:val="nil"/>
              <w:tr2bl w:val="nil"/>
            </w:tcBorders>
            <w:vAlign w:val="center"/>
          </w:tcPr>
          <w:p w14:paraId="716F12D0">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r>
              <w:rPr>
                <w:rFonts w:hint="eastAsia" w:ascii="宋体" w:hAnsi="宋体"/>
                <w:color w:val="auto"/>
                <w:szCs w:val="21"/>
                <w:highlight w:val="none"/>
              </w:rPr>
              <w:t>11</w:t>
            </w:r>
          </w:p>
        </w:tc>
        <w:tc>
          <w:tcPr>
            <w:tcW w:w="4478" w:type="pct"/>
            <w:gridSpan w:val="2"/>
            <w:tcBorders>
              <w:tl2br w:val="nil"/>
              <w:tr2bl w:val="nil"/>
            </w:tcBorders>
            <w:vAlign w:val="center"/>
          </w:tcPr>
          <w:p w14:paraId="68272B07">
            <w:pPr>
              <w:keepNext w:val="0"/>
              <w:keepLines w:val="0"/>
              <w:pageBreakBefore w:val="0"/>
              <w:kinsoku/>
              <w:wordWrap/>
              <w:overflowPunct/>
              <w:topLinePunct w:val="0"/>
              <w:autoSpaceDE/>
              <w:autoSpaceDN/>
              <w:bidi w:val="0"/>
              <w:spacing w:line="240" w:lineRule="auto"/>
              <w:ind w:left="0"/>
              <w:jc w:val="both"/>
              <w:textAlignment w:val="auto"/>
              <w:rPr>
                <w:rFonts w:ascii="宋体" w:hAnsi="宋体"/>
                <w:b/>
                <w:color w:val="auto"/>
                <w:szCs w:val="21"/>
                <w:highlight w:val="none"/>
              </w:rPr>
            </w:pPr>
            <w:r>
              <w:rPr>
                <w:rFonts w:hint="eastAsia" w:ascii="宋体" w:hAnsi="宋体"/>
                <w:b/>
                <w:color w:val="auto"/>
                <w:szCs w:val="21"/>
                <w:highlight w:val="none"/>
              </w:rPr>
              <w:t>投标人应提交以下投标文件（投标文件由唱标信封、价格文件、商务文件、技术文件、电子文档五部分组成；价格文件、商务文件、技术文件分别单独装订成册，电子文档装入唱标信封一同封装；具体编制和封装要求详见第四部分投标人须知）</w:t>
            </w:r>
          </w:p>
        </w:tc>
      </w:tr>
      <w:tr w14:paraId="76A15355">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94" w:hRule="atLeast"/>
        </w:trPr>
        <w:tc>
          <w:tcPr>
            <w:tcW w:w="521" w:type="pct"/>
            <w:vMerge w:val="continue"/>
            <w:tcBorders>
              <w:tl2br w:val="nil"/>
              <w:tr2bl w:val="nil"/>
            </w:tcBorders>
            <w:vAlign w:val="center"/>
          </w:tcPr>
          <w:p w14:paraId="5446EEF9">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p>
        </w:tc>
        <w:tc>
          <w:tcPr>
            <w:tcW w:w="1550" w:type="pct"/>
            <w:tcBorders>
              <w:tl2br w:val="nil"/>
              <w:tr2bl w:val="nil"/>
            </w:tcBorders>
            <w:vAlign w:val="center"/>
          </w:tcPr>
          <w:p w14:paraId="271DBB55">
            <w:pPr>
              <w:keepNext w:val="0"/>
              <w:keepLines w:val="0"/>
              <w:pageBreakBefore w:val="0"/>
              <w:kinsoku/>
              <w:wordWrap/>
              <w:overflowPunct/>
              <w:topLinePunct w:val="0"/>
              <w:autoSpaceDE/>
              <w:autoSpaceDN/>
              <w:bidi w:val="0"/>
              <w:spacing w:line="240" w:lineRule="auto"/>
              <w:ind w:left="0"/>
              <w:jc w:val="center"/>
              <w:textAlignment w:val="auto"/>
              <w:rPr>
                <w:rFonts w:ascii="宋体" w:hAnsi="宋体"/>
                <w:b/>
                <w:color w:val="auto"/>
                <w:szCs w:val="21"/>
                <w:highlight w:val="none"/>
              </w:rPr>
            </w:pPr>
            <w:r>
              <w:rPr>
                <w:rFonts w:hint="eastAsia" w:ascii="宋体" w:hAnsi="宋体"/>
                <w:b/>
                <w:color w:val="auto"/>
                <w:szCs w:val="21"/>
                <w:highlight w:val="none"/>
              </w:rPr>
              <w:t>投标文件类型</w:t>
            </w:r>
          </w:p>
        </w:tc>
        <w:tc>
          <w:tcPr>
            <w:tcW w:w="2927" w:type="pct"/>
            <w:tcBorders>
              <w:tl2br w:val="nil"/>
              <w:tr2bl w:val="nil"/>
            </w:tcBorders>
            <w:vAlign w:val="center"/>
          </w:tcPr>
          <w:p w14:paraId="1F027120">
            <w:pPr>
              <w:keepNext w:val="0"/>
              <w:keepLines w:val="0"/>
              <w:pageBreakBefore w:val="0"/>
              <w:kinsoku/>
              <w:wordWrap/>
              <w:overflowPunct/>
              <w:topLinePunct w:val="0"/>
              <w:autoSpaceDE/>
              <w:autoSpaceDN/>
              <w:bidi w:val="0"/>
              <w:spacing w:line="240" w:lineRule="auto"/>
              <w:ind w:left="0"/>
              <w:jc w:val="center"/>
              <w:textAlignment w:val="auto"/>
              <w:rPr>
                <w:rFonts w:ascii="宋体" w:hAnsi="宋体"/>
                <w:b/>
                <w:color w:val="auto"/>
                <w:szCs w:val="21"/>
                <w:highlight w:val="none"/>
              </w:rPr>
            </w:pPr>
            <w:r>
              <w:rPr>
                <w:rFonts w:hint="eastAsia" w:ascii="宋体" w:hAnsi="宋体"/>
                <w:b/>
                <w:color w:val="auto"/>
                <w:szCs w:val="21"/>
                <w:highlight w:val="none"/>
              </w:rPr>
              <w:t>份数</w:t>
            </w:r>
          </w:p>
        </w:tc>
      </w:tr>
      <w:tr w14:paraId="6331E836">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94" w:hRule="atLeast"/>
        </w:trPr>
        <w:tc>
          <w:tcPr>
            <w:tcW w:w="521" w:type="pct"/>
            <w:vMerge w:val="continue"/>
            <w:tcBorders>
              <w:tl2br w:val="nil"/>
              <w:tr2bl w:val="nil"/>
            </w:tcBorders>
            <w:vAlign w:val="center"/>
          </w:tcPr>
          <w:p w14:paraId="5331506D">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p>
        </w:tc>
        <w:tc>
          <w:tcPr>
            <w:tcW w:w="1550" w:type="pct"/>
            <w:tcBorders>
              <w:tl2br w:val="nil"/>
              <w:tr2bl w:val="nil"/>
            </w:tcBorders>
            <w:vAlign w:val="center"/>
          </w:tcPr>
          <w:p w14:paraId="082CC89F">
            <w:pPr>
              <w:keepNext w:val="0"/>
              <w:keepLines w:val="0"/>
              <w:pageBreakBefore w:val="0"/>
              <w:kinsoku/>
              <w:wordWrap/>
              <w:overflowPunct/>
              <w:topLinePunct w:val="0"/>
              <w:autoSpaceDE/>
              <w:autoSpaceDN/>
              <w:bidi w:val="0"/>
              <w:spacing w:line="240" w:lineRule="auto"/>
              <w:ind w:left="0"/>
              <w:jc w:val="center"/>
              <w:textAlignment w:val="auto"/>
              <w:rPr>
                <w:rFonts w:ascii="宋体" w:hAnsi="宋体"/>
                <w:b/>
                <w:color w:val="auto"/>
                <w:szCs w:val="21"/>
                <w:highlight w:val="none"/>
              </w:rPr>
            </w:pPr>
            <w:r>
              <w:rPr>
                <w:rFonts w:hint="eastAsia" w:ascii="宋体" w:hAnsi="宋体"/>
                <w:b/>
                <w:color w:val="auto"/>
                <w:szCs w:val="21"/>
                <w:highlight w:val="none"/>
              </w:rPr>
              <w:t>唱标信封</w:t>
            </w:r>
          </w:p>
        </w:tc>
        <w:tc>
          <w:tcPr>
            <w:tcW w:w="2927" w:type="pct"/>
            <w:tcBorders>
              <w:tl2br w:val="nil"/>
              <w:tr2bl w:val="nil"/>
            </w:tcBorders>
            <w:vAlign w:val="center"/>
          </w:tcPr>
          <w:p w14:paraId="229001A3">
            <w:pPr>
              <w:keepNext w:val="0"/>
              <w:keepLines w:val="0"/>
              <w:pageBreakBefore w:val="0"/>
              <w:kinsoku/>
              <w:wordWrap/>
              <w:overflowPunct/>
              <w:topLinePunct w:val="0"/>
              <w:autoSpaceDE/>
              <w:autoSpaceDN/>
              <w:bidi w:val="0"/>
              <w:spacing w:line="240" w:lineRule="auto"/>
              <w:ind w:left="0"/>
              <w:jc w:val="center"/>
              <w:textAlignment w:val="auto"/>
              <w:rPr>
                <w:rFonts w:ascii="宋体" w:hAnsi="宋体"/>
                <w:b/>
                <w:color w:val="auto"/>
                <w:szCs w:val="21"/>
                <w:highlight w:val="none"/>
              </w:rPr>
            </w:pPr>
            <w:r>
              <w:rPr>
                <w:rFonts w:hint="eastAsia" w:ascii="宋体" w:hAnsi="宋体"/>
                <w:b/>
                <w:color w:val="auto"/>
                <w:szCs w:val="21"/>
                <w:highlight w:val="none"/>
              </w:rPr>
              <w:t>1</w:t>
            </w:r>
          </w:p>
        </w:tc>
      </w:tr>
      <w:tr w14:paraId="7768438F">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94" w:hRule="atLeast"/>
        </w:trPr>
        <w:tc>
          <w:tcPr>
            <w:tcW w:w="521" w:type="pct"/>
            <w:vMerge w:val="continue"/>
            <w:tcBorders>
              <w:tl2br w:val="nil"/>
              <w:tr2bl w:val="nil"/>
            </w:tcBorders>
            <w:vAlign w:val="center"/>
          </w:tcPr>
          <w:p w14:paraId="7AE45F89">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p>
        </w:tc>
        <w:tc>
          <w:tcPr>
            <w:tcW w:w="1550" w:type="pct"/>
            <w:tcBorders>
              <w:tl2br w:val="nil"/>
              <w:tr2bl w:val="nil"/>
            </w:tcBorders>
            <w:vAlign w:val="center"/>
          </w:tcPr>
          <w:p w14:paraId="3332F1F2">
            <w:pPr>
              <w:keepNext w:val="0"/>
              <w:keepLines w:val="0"/>
              <w:pageBreakBefore w:val="0"/>
              <w:kinsoku/>
              <w:wordWrap/>
              <w:overflowPunct/>
              <w:topLinePunct w:val="0"/>
              <w:autoSpaceDE/>
              <w:autoSpaceDN/>
              <w:bidi w:val="0"/>
              <w:spacing w:line="240" w:lineRule="auto"/>
              <w:ind w:left="0"/>
              <w:jc w:val="center"/>
              <w:textAlignment w:val="auto"/>
              <w:rPr>
                <w:rFonts w:ascii="宋体" w:hAnsi="宋体"/>
                <w:b/>
                <w:color w:val="auto"/>
                <w:szCs w:val="21"/>
                <w:highlight w:val="none"/>
              </w:rPr>
            </w:pPr>
            <w:r>
              <w:rPr>
                <w:rFonts w:hint="eastAsia" w:ascii="宋体" w:hAnsi="宋体"/>
                <w:b/>
                <w:color w:val="auto"/>
                <w:szCs w:val="21"/>
                <w:highlight w:val="none"/>
              </w:rPr>
              <w:t>投标文件正本</w:t>
            </w:r>
          </w:p>
        </w:tc>
        <w:tc>
          <w:tcPr>
            <w:tcW w:w="2927" w:type="pct"/>
            <w:tcBorders>
              <w:tl2br w:val="nil"/>
              <w:tr2bl w:val="nil"/>
            </w:tcBorders>
            <w:vAlign w:val="center"/>
          </w:tcPr>
          <w:p w14:paraId="63EB05D3">
            <w:pPr>
              <w:keepNext w:val="0"/>
              <w:keepLines w:val="0"/>
              <w:pageBreakBefore w:val="0"/>
              <w:kinsoku/>
              <w:wordWrap/>
              <w:overflowPunct/>
              <w:topLinePunct w:val="0"/>
              <w:autoSpaceDE/>
              <w:autoSpaceDN/>
              <w:bidi w:val="0"/>
              <w:spacing w:line="240" w:lineRule="auto"/>
              <w:ind w:left="0"/>
              <w:jc w:val="center"/>
              <w:textAlignment w:val="auto"/>
              <w:rPr>
                <w:rFonts w:ascii="宋体" w:hAnsi="宋体"/>
                <w:b/>
                <w:color w:val="auto"/>
                <w:szCs w:val="21"/>
                <w:highlight w:val="none"/>
              </w:rPr>
            </w:pPr>
            <w:r>
              <w:rPr>
                <w:rFonts w:hint="eastAsia" w:ascii="宋体" w:hAnsi="宋体"/>
                <w:b/>
                <w:color w:val="auto"/>
                <w:szCs w:val="21"/>
                <w:highlight w:val="none"/>
              </w:rPr>
              <w:t>1</w:t>
            </w:r>
          </w:p>
        </w:tc>
      </w:tr>
      <w:tr w14:paraId="1D82183A">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537" w:hRule="atLeast"/>
        </w:trPr>
        <w:tc>
          <w:tcPr>
            <w:tcW w:w="521" w:type="pct"/>
            <w:vMerge w:val="continue"/>
            <w:tcBorders>
              <w:tl2br w:val="nil"/>
              <w:tr2bl w:val="nil"/>
            </w:tcBorders>
            <w:vAlign w:val="center"/>
          </w:tcPr>
          <w:p w14:paraId="4426DED7">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p>
        </w:tc>
        <w:tc>
          <w:tcPr>
            <w:tcW w:w="1550" w:type="pct"/>
            <w:tcBorders>
              <w:tl2br w:val="nil"/>
              <w:tr2bl w:val="nil"/>
            </w:tcBorders>
            <w:vAlign w:val="center"/>
          </w:tcPr>
          <w:p w14:paraId="15F357F9">
            <w:pPr>
              <w:keepNext w:val="0"/>
              <w:keepLines w:val="0"/>
              <w:pageBreakBefore w:val="0"/>
              <w:kinsoku/>
              <w:wordWrap/>
              <w:overflowPunct/>
              <w:topLinePunct w:val="0"/>
              <w:autoSpaceDE/>
              <w:autoSpaceDN/>
              <w:bidi w:val="0"/>
              <w:spacing w:line="240" w:lineRule="auto"/>
              <w:ind w:left="0"/>
              <w:jc w:val="center"/>
              <w:textAlignment w:val="auto"/>
              <w:rPr>
                <w:rFonts w:ascii="宋体" w:hAnsi="宋体"/>
                <w:b/>
                <w:color w:val="auto"/>
                <w:szCs w:val="21"/>
                <w:highlight w:val="none"/>
              </w:rPr>
            </w:pPr>
            <w:r>
              <w:rPr>
                <w:rFonts w:hint="eastAsia" w:ascii="宋体" w:hAnsi="宋体"/>
                <w:b/>
                <w:color w:val="auto"/>
                <w:szCs w:val="21"/>
                <w:highlight w:val="none"/>
              </w:rPr>
              <w:t>投标文件副本</w:t>
            </w:r>
          </w:p>
        </w:tc>
        <w:tc>
          <w:tcPr>
            <w:tcW w:w="2927" w:type="pct"/>
            <w:tcBorders>
              <w:tl2br w:val="nil"/>
              <w:tr2bl w:val="nil"/>
            </w:tcBorders>
            <w:vAlign w:val="center"/>
          </w:tcPr>
          <w:p w14:paraId="36FC2E01">
            <w:pPr>
              <w:keepNext w:val="0"/>
              <w:keepLines w:val="0"/>
              <w:pageBreakBefore w:val="0"/>
              <w:kinsoku/>
              <w:wordWrap/>
              <w:overflowPunct/>
              <w:topLinePunct w:val="0"/>
              <w:autoSpaceDE/>
              <w:autoSpaceDN/>
              <w:bidi w:val="0"/>
              <w:spacing w:line="240" w:lineRule="auto"/>
              <w:ind w:left="0"/>
              <w:jc w:val="center"/>
              <w:textAlignment w:val="auto"/>
              <w:rPr>
                <w:rFonts w:ascii="宋体" w:hAnsi="宋体"/>
                <w:b/>
                <w:color w:val="auto"/>
                <w:szCs w:val="21"/>
                <w:highlight w:val="none"/>
              </w:rPr>
            </w:pPr>
            <w:r>
              <w:rPr>
                <w:rFonts w:hint="eastAsia" w:ascii="宋体" w:hAnsi="宋体"/>
                <w:b/>
                <w:color w:val="auto"/>
                <w:szCs w:val="21"/>
                <w:highlight w:val="none"/>
              </w:rPr>
              <w:sym w:font="Wingdings 2" w:char="0052"/>
            </w:r>
            <w:r>
              <w:rPr>
                <w:rFonts w:hint="eastAsia" w:ascii="宋体" w:hAnsi="宋体"/>
                <w:b/>
                <w:color w:val="auto"/>
                <w:szCs w:val="21"/>
                <w:highlight w:val="none"/>
              </w:rPr>
              <w:t xml:space="preserve">5  </w:t>
            </w:r>
            <w:r>
              <w:rPr>
                <w:rFonts w:hint="eastAsia" w:ascii="宋体" w:hAnsi="宋体"/>
                <w:b/>
                <w:color w:val="auto"/>
                <w:szCs w:val="21"/>
                <w:highlight w:val="none"/>
              </w:rPr>
              <w:sym w:font="Wingdings 2" w:char="00A3"/>
            </w:r>
            <w:r>
              <w:rPr>
                <w:rFonts w:hint="eastAsia" w:ascii="宋体" w:hAnsi="宋体"/>
                <w:b/>
                <w:color w:val="auto"/>
                <w:szCs w:val="21"/>
                <w:highlight w:val="none"/>
              </w:rPr>
              <w:t>7</w:t>
            </w:r>
          </w:p>
        </w:tc>
      </w:tr>
      <w:tr w14:paraId="22682B10">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94" w:hRule="atLeast"/>
        </w:trPr>
        <w:tc>
          <w:tcPr>
            <w:tcW w:w="521" w:type="pct"/>
            <w:vMerge w:val="continue"/>
            <w:tcBorders>
              <w:tl2br w:val="nil"/>
              <w:tr2bl w:val="nil"/>
            </w:tcBorders>
            <w:vAlign w:val="center"/>
          </w:tcPr>
          <w:p w14:paraId="176B08CD">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p>
        </w:tc>
        <w:tc>
          <w:tcPr>
            <w:tcW w:w="1550" w:type="pct"/>
            <w:vMerge w:val="restart"/>
            <w:tcBorders>
              <w:tl2br w:val="nil"/>
              <w:tr2bl w:val="nil"/>
            </w:tcBorders>
            <w:vAlign w:val="center"/>
          </w:tcPr>
          <w:p w14:paraId="4E96A1AC">
            <w:pPr>
              <w:keepNext w:val="0"/>
              <w:keepLines w:val="0"/>
              <w:pageBreakBefore w:val="0"/>
              <w:kinsoku/>
              <w:wordWrap/>
              <w:overflowPunct/>
              <w:topLinePunct w:val="0"/>
              <w:autoSpaceDE/>
              <w:autoSpaceDN/>
              <w:bidi w:val="0"/>
              <w:spacing w:line="240" w:lineRule="auto"/>
              <w:ind w:left="0"/>
              <w:jc w:val="center"/>
              <w:textAlignment w:val="auto"/>
              <w:rPr>
                <w:rFonts w:ascii="宋体" w:hAnsi="宋体"/>
                <w:b/>
                <w:color w:val="auto"/>
                <w:szCs w:val="21"/>
                <w:highlight w:val="none"/>
              </w:rPr>
            </w:pPr>
            <w:r>
              <w:rPr>
                <w:rFonts w:hint="eastAsia" w:ascii="宋体" w:hAnsi="宋体"/>
                <w:b/>
                <w:color w:val="auto"/>
                <w:szCs w:val="21"/>
                <w:highlight w:val="none"/>
              </w:rPr>
              <w:t>电子文档</w:t>
            </w:r>
          </w:p>
        </w:tc>
        <w:tc>
          <w:tcPr>
            <w:tcW w:w="2927" w:type="pct"/>
            <w:tcBorders>
              <w:tl2br w:val="nil"/>
              <w:tr2bl w:val="nil"/>
            </w:tcBorders>
            <w:vAlign w:val="center"/>
          </w:tcPr>
          <w:p w14:paraId="07F33266">
            <w:pPr>
              <w:keepNext w:val="0"/>
              <w:keepLines w:val="0"/>
              <w:pageBreakBefore w:val="0"/>
              <w:kinsoku/>
              <w:wordWrap/>
              <w:overflowPunct/>
              <w:topLinePunct w:val="0"/>
              <w:autoSpaceDE/>
              <w:autoSpaceDN/>
              <w:bidi w:val="0"/>
              <w:spacing w:line="240" w:lineRule="auto"/>
              <w:ind w:left="0"/>
              <w:jc w:val="center"/>
              <w:textAlignment w:val="auto"/>
              <w:rPr>
                <w:rFonts w:ascii="宋体" w:hAnsi="宋体"/>
                <w:b/>
                <w:color w:val="auto"/>
                <w:szCs w:val="21"/>
                <w:highlight w:val="none"/>
              </w:rPr>
            </w:pPr>
            <w:r>
              <w:rPr>
                <w:rFonts w:hint="eastAsia" w:ascii="宋体" w:hAnsi="宋体"/>
                <w:b/>
                <w:color w:val="auto"/>
                <w:szCs w:val="21"/>
                <w:highlight w:val="none"/>
              </w:rPr>
              <w:t>1</w:t>
            </w:r>
          </w:p>
        </w:tc>
      </w:tr>
      <w:tr w14:paraId="61841984">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94" w:hRule="atLeast"/>
        </w:trPr>
        <w:tc>
          <w:tcPr>
            <w:tcW w:w="521" w:type="pct"/>
            <w:vMerge w:val="continue"/>
            <w:tcBorders>
              <w:tl2br w:val="nil"/>
              <w:tr2bl w:val="nil"/>
            </w:tcBorders>
            <w:vAlign w:val="center"/>
          </w:tcPr>
          <w:p w14:paraId="6365C1C5">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p>
        </w:tc>
        <w:tc>
          <w:tcPr>
            <w:tcW w:w="1550" w:type="pct"/>
            <w:vMerge w:val="continue"/>
            <w:tcBorders>
              <w:tl2br w:val="nil"/>
              <w:tr2bl w:val="nil"/>
            </w:tcBorders>
            <w:vAlign w:val="center"/>
          </w:tcPr>
          <w:p w14:paraId="4D2E82BF">
            <w:pPr>
              <w:keepNext w:val="0"/>
              <w:keepLines w:val="0"/>
              <w:pageBreakBefore w:val="0"/>
              <w:kinsoku/>
              <w:wordWrap/>
              <w:overflowPunct/>
              <w:topLinePunct w:val="0"/>
              <w:autoSpaceDE/>
              <w:autoSpaceDN/>
              <w:bidi w:val="0"/>
              <w:spacing w:line="240" w:lineRule="auto"/>
              <w:ind w:left="0"/>
              <w:jc w:val="center"/>
              <w:textAlignment w:val="auto"/>
              <w:rPr>
                <w:rFonts w:ascii="宋体" w:hAnsi="宋体"/>
                <w:b/>
                <w:color w:val="auto"/>
                <w:szCs w:val="21"/>
                <w:highlight w:val="none"/>
              </w:rPr>
            </w:pPr>
          </w:p>
        </w:tc>
        <w:tc>
          <w:tcPr>
            <w:tcW w:w="2927" w:type="pct"/>
            <w:tcBorders>
              <w:tl2br w:val="nil"/>
              <w:tr2bl w:val="nil"/>
            </w:tcBorders>
            <w:vAlign w:val="center"/>
          </w:tcPr>
          <w:p w14:paraId="39713408">
            <w:pPr>
              <w:keepNext w:val="0"/>
              <w:keepLines w:val="0"/>
              <w:pageBreakBefore w:val="0"/>
              <w:kinsoku/>
              <w:wordWrap/>
              <w:overflowPunct/>
              <w:topLinePunct w:val="0"/>
              <w:autoSpaceDE/>
              <w:autoSpaceDN/>
              <w:bidi w:val="0"/>
              <w:spacing w:line="240" w:lineRule="auto"/>
              <w:ind w:left="0"/>
              <w:jc w:val="center"/>
              <w:textAlignment w:val="auto"/>
              <w:rPr>
                <w:rFonts w:ascii="宋体" w:hAnsi="宋体"/>
                <w:b/>
                <w:color w:val="auto"/>
                <w:szCs w:val="21"/>
                <w:highlight w:val="none"/>
              </w:rPr>
            </w:pPr>
            <w:r>
              <w:rPr>
                <w:rFonts w:hint="eastAsia" w:ascii="宋体" w:hAnsi="宋体" w:cs="Times New Roman"/>
                <w:b/>
                <w:color w:val="auto"/>
                <w:szCs w:val="21"/>
                <w:highlight w:val="none"/>
              </w:rPr>
              <w:t>U盘，须含盖章版PDF投标文件和WORD版投标文件各一版，文字采用WORD文档，计算表格采用 EXCEL文档。</w:t>
            </w:r>
          </w:p>
        </w:tc>
      </w:tr>
      <w:tr w14:paraId="7F46DA53">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857" w:hRule="atLeast"/>
        </w:trPr>
        <w:tc>
          <w:tcPr>
            <w:tcW w:w="5000" w:type="pct"/>
            <w:gridSpan w:val="3"/>
            <w:tcBorders>
              <w:tl2br w:val="nil"/>
              <w:tr2bl w:val="nil"/>
            </w:tcBorders>
            <w:vAlign w:val="center"/>
          </w:tcPr>
          <w:p w14:paraId="7FF5568B">
            <w:pPr>
              <w:keepNext w:val="0"/>
              <w:keepLines w:val="0"/>
              <w:pageBreakBefore w:val="0"/>
              <w:kinsoku/>
              <w:wordWrap/>
              <w:overflowPunct/>
              <w:topLinePunct w:val="0"/>
              <w:autoSpaceDE/>
              <w:autoSpaceDN/>
              <w:bidi w:val="0"/>
              <w:spacing w:line="240" w:lineRule="auto"/>
              <w:ind w:left="0"/>
              <w:jc w:val="center"/>
              <w:textAlignment w:val="auto"/>
              <w:rPr>
                <w:rFonts w:ascii="宋体" w:hAnsi="宋体"/>
                <w:b/>
                <w:color w:val="auto"/>
                <w:szCs w:val="21"/>
                <w:highlight w:val="none"/>
              </w:rPr>
            </w:pPr>
            <w:r>
              <w:rPr>
                <w:rFonts w:hint="eastAsia" w:ascii="宋体" w:hAnsi="宋体"/>
                <w:b/>
                <w:color w:val="auto"/>
                <w:szCs w:val="21"/>
                <w:highlight w:val="none"/>
              </w:rPr>
              <w:t>三、开标与评标</w:t>
            </w:r>
          </w:p>
        </w:tc>
      </w:tr>
      <w:tr w14:paraId="1D1FCD13">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521" w:type="pct"/>
            <w:vMerge w:val="restart"/>
            <w:tcBorders>
              <w:tl2br w:val="nil"/>
              <w:tr2bl w:val="nil"/>
            </w:tcBorders>
            <w:vAlign w:val="center"/>
          </w:tcPr>
          <w:p w14:paraId="50B00E02">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r>
              <w:rPr>
                <w:rFonts w:hint="eastAsia" w:ascii="宋体" w:hAnsi="宋体"/>
                <w:color w:val="auto"/>
                <w:szCs w:val="21"/>
                <w:highlight w:val="none"/>
              </w:rPr>
              <w:t>12</w:t>
            </w:r>
          </w:p>
        </w:tc>
        <w:tc>
          <w:tcPr>
            <w:tcW w:w="4478" w:type="pct"/>
            <w:gridSpan w:val="2"/>
            <w:tcBorders>
              <w:tl2br w:val="nil"/>
              <w:tr2bl w:val="nil"/>
            </w:tcBorders>
            <w:vAlign w:val="center"/>
          </w:tcPr>
          <w:p w14:paraId="4D867C18">
            <w:pPr>
              <w:keepNext w:val="0"/>
              <w:keepLines w:val="0"/>
              <w:pageBreakBefore w:val="0"/>
              <w:kinsoku/>
              <w:wordWrap/>
              <w:overflowPunct/>
              <w:topLinePunct w:val="0"/>
              <w:autoSpaceDE/>
              <w:autoSpaceDN/>
              <w:bidi w:val="0"/>
              <w:spacing w:line="240" w:lineRule="auto"/>
              <w:ind w:left="0"/>
              <w:jc w:val="both"/>
              <w:textAlignment w:val="auto"/>
              <w:rPr>
                <w:rFonts w:ascii="宋体" w:hAnsi="宋体"/>
                <w:color w:val="auto"/>
                <w:szCs w:val="21"/>
                <w:highlight w:val="none"/>
              </w:rPr>
            </w:pPr>
            <w:r>
              <w:rPr>
                <w:rFonts w:hint="eastAsia" w:ascii="宋体" w:hAnsi="宋体"/>
                <w:b/>
                <w:color w:val="auto"/>
                <w:szCs w:val="21"/>
                <w:highlight w:val="none"/>
              </w:rPr>
              <w:t>本项目评标方法</w:t>
            </w:r>
          </w:p>
        </w:tc>
      </w:tr>
      <w:tr w14:paraId="26691462">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521" w:type="pct"/>
            <w:vMerge w:val="continue"/>
            <w:tcBorders>
              <w:tl2br w:val="nil"/>
              <w:tr2bl w:val="nil"/>
            </w:tcBorders>
            <w:vAlign w:val="center"/>
          </w:tcPr>
          <w:p w14:paraId="7289158B">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p>
        </w:tc>
        <w:tc>
          <w:tcPr>
            <w:tcW w:w="4478" w:type="pct"/>
            <w:gridSpan w:val="2"/>
            <w:tcBorders>
              <w:tl2br w:val="nil"/>
              <w:tr2bl w:val="nil"/>
            </w:tcBorders>
            <w:vAlign w:val="center"/>
          </w:tcPr>
          <w:p w14:paraId="57D2DEBC">
            <w:pPr>
              <w:keepNext w:val="0"/>
              <w:keepLines w:val="0"/>
              <w:pageBreakBefore w:val="0"/>
              <w:kinsoku/>
              <w:wordWrap/>
              <w:overflowPunct/>
              <w:topLinePunct w:val="0"/>
              <w:autoSpaceDE/>
              <w:autoSpaceDN/>
              <w:bidi w:val="0"/>
              <w:spacing w:line="240" w:lineRule="auto"/>
              <w:ind w:left="0"/>
              <w:jc w:val="both"/>
              <w:textAlignment w:val="auto"/>
              <w:rPr>
                <w:rFonts w:ascii="宋体" w:hAnsi="宋体"/>
                <w:b/>
                <w:color w:val="auto"/>
                <w:szCs w:val="21"/>
                <w:highlight w:val="none"/>
              </w:rPr>
            </w:pPr>
            <w:r>
              <w:rPr>
                <w:rFonts w:hint="eastAsia" w:ascii="宋体" w:hAnsi="宋体"/>
                <w:color w:val="auto"/>
                <w:szCs w:val="21"/>
                <w:highlight w:val="none"/>
              </w:rPr>
              <w:t>综合评分法。</w:t>
            </w:r>
          </w:p>
        </w:tc>
      </w:tr>
      <w:tr w14:paraId="0C1E88B8">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521" w:type="pct"/>
            <w:vMerge w:val="restart"/>
            <w:tcBorders>
              <w:tl2br w:val="nil"/>
              <w:tr2bl w:val="nil"/>
            </w:tcBorders>
            <w:vAlign w:val="center"/>
          </w:tcPr>
          <w:p w14:paraId="3E819B44">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r>
              <w:rPr>
                <w:rFonts w:hint="eastAsia" w:ascii="宋体" w:hAnsi="宋体"/>
                <w:color w:val="auto"/>
                <w:szCs w:val="21"/>
                <w:highlight w:val="none"/>
              </w:rPr>
              <w:t>13</w:t>
            </w:r>
          </w:p>
        </w:tc>
        <w:tc>
          <w:tcPr>
            <w:tcW w:w="4478" w:type="pct"/>
            <w:gridSpan w:val="2"/>
            <w:tcBorders>
              <w:tl2br w:val="nil"/>
              <w:tr2bl w:val="nil"/>
            </w:tcBorders>
            <w:vAlign w:val="center"/>
          </w:tcPr>
          <w:p w14:paraId="403F3EF7">
            <w:pPr>
              <w:keepNext w:val="0"/>
              <w:keepLines w:val="0"/>
              <w:pageBreakBefore w:val="0"/>
              <w:kinsoku/>
              <w:wordWrap/>
              <w:overflowPunct/>
              <w:topLinePunct w:val="0"/>
              <w:autoSpaceDE/>
              <w:autoSpaceDN/>
              <w:bidi w:val="0"/>
              <w:spacing w:line="240" w:lineRule="auto"/>
              <w:ind w:left="0"/>
              <w:jc w:val="both"/>
              <w:textAlignment w:val="auto"/>
              <w:rPr>
                <w:rFonts w:ascii="宋体" w:hAnsi="宋体"/>
                <w:b/>
                <w:color w:val="auto"/>
                <w:szCs w:val="21"/>
                <w:highlight w:val="none"/>
              </w:rPr>
            </w:pPr>
            <w:r>
              <w:rPr>
                <w:rFonts w:hint="eastAsia" w:ascii="宋体" w:hAnsi="宋体"/>
                <w:b/>
                <w:color w:val="auto"/>
                <w:szCs w:val="21"/>
                <w:highlight w:val="none"/>
              </w:rPr>
              <w:t>综合评分法评分因素和权重分值</w:t>
            </w:r>
          </w:p>
        </w:tc>
      </w:tr>
      <w:tr w14:paraId="66050FC3">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521" w:type="pct"/>
            <w:vMerge w:val="continue"/>
            <w:tcBorders>
              <w:tl2br w:val="nil"/>
              <w:tr2bl w:val="nil"/>
            </w:tcBorders>
            <w:vAlign w:val="center"/>
          </w:tcPr>
          <w:p w14:paraId="3D8412CB">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p>
        </w:tc>
        <w:tc>
          <w:tcPr>
            <w:tcW w:w="4478" w:type="pct"/>
            <w:gridSpan w:val="2"/>
            <w:tcBorders>
              <w:tl2br w:val="nil"/>
              <w:tr2bl w:val="nil"/>
            </w:tcBorders>
            <w:vAlign w:val="center"/>
          </w:tcPr>
          <w:p w14:paraId="4AC9D533">
            <w:pPr>
              <w:keepNext w:val="0"/>
              <w:keepLines w:val="0"/>
              <w:pageBreakBefore w:val="0"/>
              <w:kinsoku/>
              <w:wordWrap/>
              <w:overflowPunct/>
              <w:topLinePunct w:val="0"/>
              <w:autoSpaceDE/>
              <w:autoSpaceDN/>
              <w:bidi w:val="0"/>
              <w:spacing w:line="240" w:lineRule="auto"/>
              <w:ind w:left="0"/>
              <w:jc w:val="both"/>
              <w:textAlignment w:val="auto"/>
              <w:rPr>
                <w:rFonts w:ascii="宋体" w:hAnsi="宋体"/>
                <w:b/>
                <w:color w:val="auto"/>
                <w:szCs w:val="21"/>
                <w:highlight w:val="none"/>
              </w:rPr>
            </w:pPr>
            <w:r>
              <w:rPr>
                <w:rFonts w:hint="eastAsia" w:ascii="宋体" w:hAnsi="宋体"/>
                <w:color w:val="auto"/>
                <w:szCs w:val="21"/>
                <w:highlight w:val="none"/>
              </w:rPr>
              <w:t>见附表二。</w:t>
            </w:r>
          </w:p>
        </w:tc>
      </w:tr>
      <w:tr w14:paraId="7F4EEA89">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521" w:type="pct"/>
            <w:vMerge w:val="restart"/>
            <w:tcBorders>
              <w:tl2br w:val="nil"/>
              <w:tr2bl w:val="nil"/>
            </w:tcBorders>
            <w:vAlign w:val="center"/>
          </w:tcPr>
          <w:p w14:paraId="73DFF54C">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r>
              <w:rPr>
                <w:rFonts w:hint="eastAsia" w:ascii="宋体" w:hAnsi="宋体"/>
                <w:color w:val="auto"/>
                <w:szCs w:val="21"/>
                <w:highlight w:val="none"/>
              </w:rPr>
              <w:t>14</w:t>
            </w:r>
          </w:p>
        </w:tc>
        <w:tc>
          <w:tcPr>
            <w:tcW w:w="4478" w:type="pct"/>
            <w:gridSpan w:val="2"/>
            <w:tcBorders>
              <w:tl2br w:val="nil"/>
              <w:tr2bl w:val="nil"/>
            </w:tcBorders>
            <w:vAlign w:val="center"/>
          </w:tcPr>
          <w:p w14:paraId="5D3AD62F">
            <w:pPr>
              <w:keepNext w:val="0"/>
              <w:keepLines w:val="0"/>
              <w:pageBreakBefore w:val="0"/>
              <w:kinsoku/>
              <w:wordWrap/>
              <w:overflowPunct/>
              <w:topLinePunct w:val="0"/>
              <w:autoSpaceDE/>
              <w:autoSpaceDN/>
              <w:bidi w:val="0"/>
              <w:spacing w:line="240" w:lineRule="auto"/>
              <w:ind w:left="0"/>
              <w:jc w:val="both"/>
              <w:textAlignment w:val="auto"/>
              <w:rPr>
                <w:rFonts w:ascii="宋体" w:hAnsi="宋体"/>
                <w:color w:val="auto"/>
                <w:szCs w:val="21"/>
                <w:highlight w:val="none"/>
              </w:rPr>
            </w:pPr>
            <w:r>
              <w:rPr>
                <w:rFonts w:hint="eastAsia" w:ascii="宋体" w:hAnsi="宋体"/>
                <w:b/>
                <w:color w:val="auto"/>
                <w:szCs w:val="21"/>
                <w:highlight w:val="none"/>
              </w:rPr>
              <w:t>评标委员会</w:t>
            </w:r>
          </w:p>
        </w:tc>
      </w:tr>
      <w:tr w14:paraId="666B7CB2">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521" w:type="pct"/>
            <w:vMerge w:val="continue"/>
            <w:tcBorders>
              <w:tl2br w:val="nil"/>
              <w:tr2bl w:val="nil"/>
            </w:tcBorders>
            <w:vAlign w:val="center"/>
          </w:tcPr>
          <w:p w14:paraId="78243A45">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p>
        </w:tc>
        <w:tc>
          <w:tcPr>
            <w:tcW w:w="4478" w:type="pct"/>
            <w:gridSpan w:val="2"/>
            <w:tcBorders>
              <w:tl2br w:val="nil"/>
              <w:tr2bl w:val="nil"/>
            </w:tcBorders>
            <w:vAlign w:val="center"/>
          </w:tcPr>
          <w:p w14:paraId="38DD310E">
            <w:pPr>
              <w:keepNext w:val="0"/>
              <w:keepLines w:val="0"/>
              <w:pageBreakBefore w:val="0"/>
              <w:kinsoku/>
              <w:wordWrap/>
              <w:overflowPunct/>
              <w:topLinePunct w:val="0"/>
              <w:autoSpaceDE/>
              <w:autoSpaceDN/>
              <w:bidi w:val="0"/>
              <w:spacing w:line="240" w:lineRule="auto"/>
              <w:ind w:left="0"/>
              <w:jc w:val="both"/>
              <w:textAlignment w:val="auto"/>
              <w:rPr>
                <w:rFonts w:ascii="宋体" w:hAnsi="宋体"/>
                <w:color w:val="auto"/>
                <w:szCs w:val="21"/>
                <w:highlight w:val="none"/>
              </w:rPr>
            </w:pPr>
            <w:r>
              <w:rPr>
                <w:rFonts w:hint="eastAsia" w:ascii="宋体" w:hAnsi="宋体"/>
                <w:color w:val="auto"/>
                <w:szCs w:val="21"/>
                <w:highlight w:val="none"/>
              </w:rPr>
              <w:t>评标委员会成员共</w:t>
            </w:r>
            <w:r>
              <w:rPr>
                <w:rFonts w:hint="eastAsia" w:ascii="宋体" w:hAnsi="宋体"/>
                <w:color w:val="auto"/>
                <w:szCs w:val="21"/>
                <w:highlight w:val="none"/>
                <w:u w:val="single"/>
                <w:lang w:val="en-US" w:eastAsia="zh-CN"/>
              </w:rPr>
              <w:t>5</w:t>
            </w:r>
            <w:r>
              <w:rPr>
                <w:rFonts w:hint="eastAsia" w:ascii="宋体" w:hAnsi="宋体"/>
                <w:color w:val="auto"/>
                <w:szCs w:val="21"/>
                <w:highlight w:val="none"/>
              </w:rPr>
              <w:t>人：</w:t>
            </w:r>
            <w:r>
              <w:rPr>
                <w:rFonts w:hint="eastAsia" w:ascii="宋体" w:hAnsi="宋体"/>
                <w:color w:val="auto"/>
                <w:szCs w:val="21"/>
                <w:highlight w:val="none"/>
                <w:lang w:val="zh-CN"/>
              </w:rPr>
              <w:t>评标委员会由采购人</w:t>
            </w:r>
            <w:r>
              <w:rPr>
                <w:rFonts w:hint="eastAsia" w:ascii="宋体" w:hAnsi="宋体"/>
                <w:color w:val="auto"/>
                <w:szCs w:val="21"/>
                <w:highlight w:val="none"/>
              </w:rPr>
              <w:t>的</w:t>
            </w:r>
            <w:r>
              <w:rPr>
                <w:rFonts w:hint="eastAsia" w:ascii="宋体" w:hAnsi="宋体"/>
                <w:color w:val="auto"/>
                <w:szCs w:val="21"/>
                <w:highlight w:val="none"/>
                <w:lang w:val="zh-CN"/>
              </w:rPr>
              <w:t>代表和</w:t>
            </w:r>
            <w:r>
              <w:rPr>
                <w:rFonts w:hint="eastAsia" w:ascii="宋体" w:hAnsi="宋体"/>
                <w:color w:val="auto"/>
                <w:szCs w:val="21"/>
                <w:highlight w:val="none"/>
              </w:rPr>
              <w:t>有关方面的</w:t>
            </w:r>
            <w:r>
              <w:rPr>
                <w:rFonts w:hint="eastAsia" w:ascii="宋体" w:hAnsi="宋体"/>
                <w:color w:val="auto"/>
                <w:szCs w:val="21"/>
                <w:highlight w:val="none"/>
                <w:lang w:val="zh-CN"/>
              </w:rPr>
              <w:t>专家组成，</w:t>
            </w:r>
            <w:r>
              <w:rPr>
                <w:rFonts w:hint="eastAsia" w:ascii="宋体" w:hAnsi="宋体"/>
                <w:color w:val="auto"/>
                <w:szCs w:val="21"/>
                <w:highlight w:val="none"/>
              </w:rPr>
              <w:t>成员人数为五人或五人以上单数</w:t>
            </w:r>
            <w:r>
              <w:rPr>
                <w:rFonts w:hint="eastAsia" w:ascii="宋体" w:hAnsi="宋体"/>
                <w:color w:val="auto"/>
                <w:szCs w:val="21"/>
                <w:highlight w:val="none"/>
                <w:lang w:val="zh-CN"/>
              </w:rPr>
              <w:t>，其中专家不得少于成员总数的三分之二。</w:t>
            </w:r>
          </w:p>
        </w:tc>
      </w:tr>
      <w:tr w14:paraId="7E3960A4">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521" w:type="pct"/>
            <w:vMerge w:val="restart"/>
            <w:tcBorders>
              <w:tl2br w:val="nil"/>
              <w:tr2bl w:val="nil"/>
            </w:tcBorders>
            <w:vAlign w:val="center"/>
          </w:tcPr>
          <w:p w14:paraId="2D3A0829">
            <w:pPr>
              <w:keepNext w:val="0"/>
              <w:keepLines w:val="0"/>
              <w:pageBreakBefore w:val="0"/>
              <w:kinsoku/>
              <w:wordWrap/>
              <w:overflowPunct/>
              <w:topLinePunct w:val="0"/>
              <w:autoSpaceDE/>
              <w:autoSpaceDN/>
              <w:bidi w:val="0"/>
              <w:spacing w:line="240" w:lineRule="auto"/>
              <w:ind w:left="0"/>
              <w:jc w:val="center"/>
              <w:textAlignment w:val="auto"/>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15</w:t>
            </w:r>
          </w:p>
        </w:tc>
        <w:tc>
          <w:tcPr>
            <w:tcW w:w="4478" w:type="pct"/>
            <w:gridSpan w:val="2"/>
            <w:tcBorders>
              <w:tl2br w:val="nil"/>
              <w:tr2bl w:val="nil"/>
            </w:tcBorders>
            <w:vAlign w:val="center"/>
          </w:tcPr>
          <w:p w14:paraId="21DFEEED">
            <w:pPr>
              <w:keepNext w:val="0"/>
              <w:keepLines w:val="0"/>
              <w:pageBreakBefore w:val="0"/>
              <w:kinsoku/>
              <w:wordWrap/>
              <w:overflowPunct/>
              <w:topLinePunct w:val="0"/>
              <w:autoSpaceDE/>
              <w:autoSpaceDN/>
              <w:bidi w:val="0"/>
              <w:spacing w:line="240" w:lineRule="auto"/>
              <w:ind w:left="0"/>
              <w:jc w:val="both"/>
              <w:textAlignment w:val="auto"/>
              <w:rPr>
                <w:rFonts w:hint="default" w:ascii="宋体" w:hAnsi="宋体" w:eastAsia="宋体"/>
                <w:color w:val="auto"/>
                <w:szCs w:val="21"/>
                <w:highlight w:val="none"/>
                <w:lang w:val="en-US" w:eastAsia="zh-CN"/>
              </w:rPr>
            </w:pPr>
            <w:r>
              <w:rPr>
                <w:rFonts w:hint="eastAsia" w:ascii="宋体" w:hAnsi="宋体"/>
                <w:b/>
                <w:bCs/>
                <w:color w:val="auto"/>
                <w:szCs w:val="21"/>
                <w:highlight w:val="none"/>
                <w:lang w:val="en-US" w:eastAsia="zh-CN"/>
              </w:rPr>
              <w:t>推荐成交候选人</w:t>
            </w:r>
          </w:p>
        </w:tc>
      </w:tr>
      <w:tr w14:paraId="4D288A7F">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521" w:type="pct"/>
            <w:vMerge w:val="continue"/>
            <w:tcBorders>
              <w:tl2br w:val="nil"/>
              <w:tr2bl w:val="nil"/>
            </w:tcBorders>
            <w:vAlign w:val="center"/>
          </w:tcPr>
          <w:p w14:paraId="225642A3">
            <w:pPr>
              <w:keepNext w:val="0"/>
              <w:keepLines w:val="0"/>
              <w:pageBreakBefore w:val="0"/>
              <w:kinsoku/>
              <w:wordWrap/>
              <w:overflowPunct/>
              <w:topLinePunct w:val="0"/>
              <w:autoSpaceDE/>
              <w:autoSpaceDN/>
              <w:bidi w:val="0"/>
              <w:spacing w:line="240" w:lineRule="auto"/>
              <w:ind w:left="0"/>
              <w:jc w:val="center"/>
              <w:textAlignment w:val="auto"/>
              <w:rPr>
                <w:rFonts w:hint="eastAsia" w:ascii="宋体" w:hAnsi="宋体"/>
                <w:color w:val="auto"/>
                <w:szCs w:val="21"/>
                <w:highlight w:val="none"/>
                <w:lang w:val="en-US" w:eastAsia="zh-CN"/>
              </w:rPr>
            </w:pPr>
          </w:p>
        </w:tc>
        <w:tc>
          <w:tcPr>
            <w:tcW w:w="4478" w:type="pct"/>
            <w:gridSpan w:val="2"/>
            <w:tcBorders>
              <w:tl2br w:val="nil"/>
              <w:tr2bl w:val="nil"/>
            </w:tcBorders>
            <w:vAlign w:val="center"/>
          </w:tcPr>
          <w:p w14:paraId="03C06B70">
            <w:pPr>
              <w:keepNext w:val="0"/>
              <w:keepLines w:val="0"/>
              <w:pageBreakBefore w:val="0"/>
              <w:kinsoku/>
              <w:wordWrap/>
              <w:overflowPunct/>
              <w:topLinePunct w:val="0"/>
              <w:autoSpaceDE/>
              <w:autoSpaceDN/>
              <w:bidi w:val="0"/>
              <w:spacing w:line="240" w:lineRule="auto"/>
              <w:ind w:left="0"/>
              <w:jc w:val="both"/>
              <w:textAlignment w:val="auto"/>
              <w:rPr>
                <w:rFonts w:hint="eastAsia" w:ascii="宋体" w:hAnsi="宋体"/>
                <w:color w:val="auto"/>
                <w:szCs w:val="21"/>
                <w:highlight w:val="none"/>
                <w:lang w:val="en-US" w:eastAsia="zh-CN"/>
              </w:rPr>
            </w:pPr>
            <w:r>
              <w:rPr>
                <w:rFonts w:hint="eastAsia" w:ascii="宋体" w:hAnsi="宋体"/>
                <w:color w:val="auto"/>
                <w:szCs w:val="21"/>
                <w:highlight w:val="none"/>
                <w:lang w:val="en-US" w:eastAsia="zh-CN"/>
              </w:rPr>
              <w:t>本项目成交2名供应商。</w:t>
            </w:r>
          </w:p>
          <w:p w14:paraId="388C9B3D">
            <w:pPr>
              <w:keepNext w:val="0"/>
              <w:keepLines w:val="0"/>
              <w:pageBreakBefore w:val="0"/>
              <w:kinsoku/>
              <w:wordWrap/>
              <w:overflowPunct/>
              <w:topLinePunct w:val="0"/>
              <w:autoSpaceDE/>
              <w:autoSpaceDN/>
              <w:bidi w:val="0"/>
              <w:spacing w:line="240" w:lineRule="auto"/>
              <w:ind w:left="0"/>
              <w:jc w:val="both"/>
              <w:textAlignment w:val="auto"/>
              <w:rPr>
                <w:rFonts w:hint="eastAsia" w:ascii="宋体" w:hAnsi="宋体"/>
                <w:color w:val="auto"/>
                <w:szCs w:val="21"/>
                <w:highlight w:val="none"/>
                <w:lang w:val="en-US" w:eastAsia="zh-CN"/>
              </w:rPr>
            </w:pPr>
            <w:r>
              <w:rPr>
                <w:rFonts w:hint="eastAsia" w:ascii="宋体" w:hAnsi="宋体"/>
                <w:color w:val="auto"/>
                <w:szCs w:val="21"/>
                <w:highlight w:val="none"/>
                <w:lang w:val="en-US" w:eastAsia="zh-CN"/>
              </w:rPr>
              <w:t>根据评标委员会</w:t>
            </w:r>
            <w:r>
              <w:rPr>
                <w:rFonts w:hint="eastAsia" w:ascii="宋体" w:hAnsi="宋体"/>
                <w:color w:val="auto"/>
                <w:szCs w:val="21"/>
                <w:highlight w:val="none"/>
              </w:rPr>
              <w:t>评审后的综合得分由高到低顺序排列，并向采购人推荐综合得分排名第一</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第二</w:t>
            </w:r>
            <w:r>
              <w:rPr>
                <w:rFonts w:hint="eastAsia" w:ascii="宋体" w:hAnsi="宋体"/>
                <w:color w:val="auto"/>
                <w:szCs w:val="21"/>
                <w:highlight w:val="none"/>
              </w:rPr>
              <w:t>的供应商为成交候选人，</w:t>
            </w:r>
            <w:r>
              <w:rPr>
                <w:rFonts w:hint="eastAsia" w:ascii="宋体" w:hAnsi="宋体" w:eastAsia="宋体" w:cs="宋体"/>
                <w:color w:val="auto"/>
                <w:sz w:val="21"/>
                <w:szCs w:val="21"/>
                <w:highlight w:val="none"/>
              </w:rPr>
              <w:t>以“一用一备，优先使用最低价服务单位”的派单原则开展服务，</w:t>
            </w:r>
            <w:r>
              <w:rPr>
                <w:rFonts w:hint="eastAsia" w:ascii="宋体" w:hAnsi="宋体" w:eastAsia="宋体" w:cs="宋体"/>
                <w:b/>
                <w:bCs/>
                <w:color w:val="auto"/>
                <w:sz w:val="21"/>
                <w:szCs w:val="21"/>
                <w:highlight w:val="none"/>
              </w:rPr>
              <w:t>若成交人产生跳单</w:t>
            </w:r>
            <w:r>
              <w:rPr>
                <w:rFonts w:hint="eastAsia" w:ascii="宋体" w:hAnsi="宋体" w:eastAsia="宋体" w:cs="宋体"/>
                <w:b/>
                <w:bCs/>
                <w:color w:val="auto"/>
                <w:sz w:val="21"/>
                <w:szCs w:val="21"/>
                <w:highlight w:val="none"/>
                <w:lang w:val="en-US" w:eastAsia="zh-CN"/>
              </w:rPr>
              <w:t>或被投诉</w:t>
            </w:r>
            <w:r>
              <w:rPr>
                <w:rFonts w:hint="eastAsia" w:ascii="宋体" w:hAnsi="宋体" w:eastAsia="宋体" w:cs="宋体"/>
                <w:b/>
                <w:bCs/>
                <w:color w:val="auto"/>
                <w:sz w:val="21"/>
                <w:szCs w:val="21"/>
                <w:highlight w:val="none"/>
              </w:rPr>
              <w:t>情况，采购人有权降低给其的派单数量</w:t>
            </w:r>
            <w:r>
              <w:rPr>
                <w:rFonts w:hint="eastAsia" w:ascii="宋体" w:hAnsi="宋体" w:eastAsia="宋体" w:cs="宋体"/>
                <w:b/>
                <w:bCs/>
                <w:color w:val="auto"/>
                <w:sz w:val="21"/>
                <w:szCs w:val="21"/>
                <w:highlight w:val="none"/>
                <w:lang w:eastAsia="zh-CN"/>
              </w:rPr>
              <w:t>，</w:t>
            </w:r>
            <w:r>
              <w:rPr>
                <w:rFonts w:hint="eastAsia" w:ascii="宋体" w:hAnsi="宋体" w:eastAsia="宋体" w:cs="宋体"/>
                <w:b/>
                <w:bCs/>
                <w:color w:val="auto"/>
                <w:sz w:val="21"/>
                <w:szCs w:val="21"/>
                <w:highlight w:val="none"/>
                <w:lang w:val="en-US" w:eastAsia="zh-CN"/>
              </w:rPr>
              <w:t>情节严重者，将停止派单处理</w:t>
            </w:r>
            <w:r>
              <w:rPr>
                <w:rFonts w:hint="eastAsia" w:ascii="宋体" w:hAnsi="宋体" w:eastAsia="宋体" w:cs="宋体"/>
                <w:b/>
                <w:bCs/>
                <w:color w:val="auto"/>
                <w:sz w:val="21"/>
                <w:szCs w:val="21"/>
                <w:highlight w:val="none"/>
              </w:rPr>
              <w:t>。</w:t>
            </w:r>
          </w:p>
        </w:tc>
      </w:tr>
      <w:tr w14:paraId="56C8FAF1">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cantSplit/>
          <w:trHeight w:val="748" w:hRule="atLeast"/>
        </w:trPr>
        <w:tc>
          <w:tcPr>
            <w:tcW w:w="5000" w:type="pct"/>
            <w:gridSpan w:val="3"/>
            <w:tcBorders>
              <w:tl2br w:val="nil"/>
              <w:tr2bl w:val="nil"/>
            </w:tcBorders>
            <w:vAlign w:val="center"/>
          </w:tcPr>
          <w:p w14:paraId="3818EB62">
            <w:pPr>
              <w:keepNext w:val="0"/>
              <w:keepLines w:val="0"/>
              <w:pageBreakBefore w:val="0"/>
              <w:kinsoku/>
              <w:wordWrap/>
              <w:overflowPunct/>
              <w:topLinePunct w:val="0"/>
              <w:autoSpaceDE/>
              <w:autoSpaceDN/>
              <w:bidi w:val="0"/>
              <w:spacing w:line="240" w:lineRule="auto"/>
              <w:ind w:left="0"/>
              <w:jc w:val="center"/>
              <w:textAlignment w:val="auto"/>
              <w:rPr>
                <w:rFonts w:ascii="宋体" w:hAnsi="宋体"/>
                <w:b/>
                <w:color w:val="auto"/>
                <w:szCs w:val="21"/>
                <w:highlight w:val="none"/>
              </w:rPr>
            </w:pPr>
            <w:r>
              <w:rPr>
                <w:rFonts w:hint="eastAsia" w:ascii="宋体" w:hAnsi="宋体"/>
                <w:b/>
                <w:color w:val="auto"/>
                <w:szCs w:val="21"/>
                <w:highlight w:val="none"/>
              </w:rPr>
              <w:t>四、授予合同</w:t>
            </w:r>
          </w:p>
        </w:tc>
      </w:tr>
      <w:tr w14:paraId="5C22359C">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539" w:hRule="atLeast"/>
        </w:trPr>
        <w:tc>
          <w:tcPr>
            <w:tcW w:w="521" w:type="pct"/>
            <w:vMerge w:val="restart"/>
            <w:tcBorders>
              <w:tl2br w:val="nil"/>
              <w:tr2bl w:val="nil"/>
            </w:tcBorders>
            <w:vAlign w:val="center"/>
          </w:tcPr>
          <w:p w14:paraId="6C082C48">
            <w:pPr>
              <w:keepNext w:val="0"/>
              <w:keepLines w:val="0"/>
              <w:pageBreakBefore w:val="0"/>
              <w:kinsoku/>
              <w:wordWrap/>
              <w:overflowPunct/>
              <w:topLinePunct w:val="0"/>
              <w:autoSpaceDE/>
              <w:autoSpaceDN/>
              <w:bidi w:val="0"/>
              <w:spacing w:line="240" w:lineRule="auto"/>
              <w:ind w:left="0"/>
              <w:jc w:val="center"/>
              <w:textAlignment w:val="auto"/>
              <w:rPr>
                <w:rFonts w:hint="eastAsia" w:ascii="宋体" w:hAnsi="宋体" w:eastAsia="宋体"/>
                <w:color w:val="auto"/>
                <w:szCs w:val="21"/>
                <w:highlight w:val="none"/>
                <w:lang w:eastAsia="zh-CN"/>
              </w:rPr>
            </w:pPr>
            <w:r>
              <w:rPr>
                <w:rFonts w:hint="eastAsia" w:ascii="宋体" w:hAnsi="宋体"/>
                <w:color w:val="auto"/>
                <w:szCs w:val="21"/>
                <w:highlight w:val="none"/>
              </w:rPr>
              <w:t>1</w:t>
            </w:r>
            <w:r>
              <w:rPr>
                <w:rFonts w:hint="eastAsia" w:ascii="宋体" w:hAnsi="宋体"/>
                <w:color w:val="auto"/>
                <w:szCs w:val="21"/>
                <w:highlight w:val="none"/>
                <w:lang w:val="en-US" w:eastAsia="zh-CN"/>
              </w:rPr>
              <w:t>6</w:t>
            </w:r>
          </w:p>
        </w:tc>
        <w:tc>
          <w:tcPr>
            <w:tcW w:w="4478" w:type="pct"/>
            <w:gridSpan w:val="2"/>
            <w:tcBorders>
              <w:tl2br w:val="nil"/>
              <w:tr2bl w:val="nil"/>
            </w:tcBorders>
            <w:shd w:val="clear" w:color="auto" w:fill="auto"/>
            <w:vAlign w:val="center"/>
          </w:tcPr>
          <w:p w14:paraId="16B7600D">
            <w:pPr>
              <w:keepNext w:val="0"/>
              <w:keepLines w:val="0"/>
              <w:pageBreakBefore w:val="0"/>
              <w:kinsoku/>
              <w:wordWrap/>
              <w:overflowPunct/>
              <w:topLinePunct w:val="0"/>
              <w:autoSpaceDE/>
              <w:autoSpaceDN/>
              <w:bidi w:val="0"/>
              <w:spacing w:line="240" w:lineRule="auto"/>
              <w:ind w:left="0"/>
              <w:jc w:val="both"/>
              <w:textAlignment w:val="auto"/>
              <w:rPr>
                <w:rFonts w:hint="eastAsia" w:ascii="宋体" w:hAnsi="宋体" w:eastAsia="宋体"/>
                <w:b/>
                <w:color w:val="auto"/>
                <w:szCs w:val="21"/>
                <w:highlight w:val="none"/>
                <w:lang w:val="en-US" w:eastAsia="zh-CN"/>
              </w:rPr>
            </w:pPr>
            <w:r>
              <w:rPr>
                <w:rFonts w:hint="eastAsia" w:ascii="宋体" w:hAnsi="宋体"/>
                <w:b/>
                <w:color w:val="auto"/>
                <w:szCs w:val="21"/>
                <w:highlight w:val="none"/>
              </w:rPr>
              <w:t>履约</w:t>
            </w:r>
            <w:r>
              <w:rPr>
                <w:rFonts w:hint="eastAsia" w:ascii="宋体" w:hAnsi="宋体"/>
                <w:b/>
                <w:color w:val="auto"/>
                <w:szCs w:val="21"/>
                <w:highlight w:val="none"/>
                <w:lang w:val="en-US" w:eastAsia="zh-CN"/>
              </w:rPr>
              <w:t>保证金</w:t>
            </w:r>
          </w:p>
        </w:tc>
      </w:tr>
      <w:tr w14:paraId="5382796B">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540" w:hRule="atLeast"/>
        </w:trPr>
        <w:tc>
          <w:tcPr>
            <w:tcW w:w="521" w:type="pct"/>
            <w:vMerge w:val="continue"/>
            <w:tcBorders>
              <w:tl2br w:val="nil"/>
              <w:tr2bl w:val="nil"/>
            </w:tcBorders>
            <w:vAlign w:val="center"/>
          </w:tcPr>
          <w:p w14:paraId="2AF08AC2">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p>
        </w:tc>
        <w:tc>
          <w:tcPr>
            <w:tcW w:w="4478" w:type="pct"/>
            <w:gridSpan w:val="2"/>
            <w:tcBorders>
              <w:tl2br w:val="nil"/>
              <w:tr2bl w:val="nil"/>
            </w:tcBorders>
            <w:shd w:val="clear" w:color="auto" w:fill="auto"/>
            <w:vAlign w:val="center"/>
          </w:tcPr>
          <w:p w14:paraId="2289EC04">
            <w:pPr>
              <w:keepNext w:val="0"/>
              <w:keepLines w:val="0"/>
              <w:pageBreakBefore w:val="0"/>
              <w:kinsoku/>
              <w:wordWrap/>
              <w:overflowPunct/>
              <w:topLinePunct w:val="0"/>
              <w:autoSpaceDE/>
              <w:autoSpaceDN/>
              <w:bidi w:val="0"/>
              <w:spacing w:line="240" w:lineRule="auto"/>
              <w:ind w:left="0"/>
              <w:jc w:val="both"/>
              <w:textAlignment w:val="auto"/>
              <w:rPr>
                <w:rFonts w:hint="eastAsia" w:ascii="宋体" w:hAnsi="宋体"/>
                <w:color w:val="auto"/>
                <w:szCs w:val="21"/>
                <w:highlight w:val="none"/>
                <w:lang w:val="en-US" w:eastAsia="zh-CN"/>
              </w:rPr>
            </w:pPr>
            <w:r>
              <w:rPr>
                <w:rFonts w:hint="eastAsia" w:ascii="宋体" w:hAnsi="宋体"/>
                <w:color w:val="auto"/>
                <w:szCs w:val="21"/>
                <w:highlight w:val="none"/>
                <w:lang w:val="en-US" w:eastAsia="zh-CN"/>
              </w:rPr>
              <w:t>成交人的投标保证金¥94,000.00元（玖万肆仟元整）在合同签订后自动转为履约保证金，履约保证金作为成交人在履约过程中违约金或罚款的扣罚来源之一，履约保证金返还申请时间为合同期满之日，成交人在没有任何违约的情况下提交退款申请，收到成交人申请后30个日历日内，采购人一次性无息退回。</w:t>
            </w:r>
          </w:p>
          <w:p w14:paraId="137CBFC0">
            <w:pPr>
              <w:keepNext w:val="0"/>
              <w:keepLines w:val="0"/>
              <w:pageBreakBefore w:val="0"/>
              <w:kinsoku/>
              <w:wordWrap/>
              <w:overflowPunct/>
              <w:topLinePunct w:val="0"/>
              <w:autoSpaceDE/>
              <w:autoSpaceDN/>
              <w:bidi w:val="0"/>
              <w:spacing w:line="240" w:lineRule="auto"/>
              <w:ind w:left="0"/>
              <w:jc w:val="both"/>
              <w:textAlignment w:val="auto"/>
              <w:rPr>
                <w:rFonts w:hint="eastAsia" w:ascii="宋体" w:hAnsi="宋体"/>
                <w:color w:val="auto"/>
                <w:szCs w:val="21"/>
                <w:highlight w:val="none"/>
              </w:rPr>
            </w:pP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1</w:t>
            </w:r>
            <w:r>
              <w:rPr>
                <w:rFonts w:hint="eastAsia" w:ascii="宋体" w:hAnsi="宋体"/>
                <w:color w:val="auto"/>
                <w:szCs w:val="21"/>
                <w:highlight w:val="none"/>
                <w:lang w:eastAsia="zh-CN"/>
              </w:rPr>
              <w:t>）</w:t>
            </w:r>
            <w:r>
              <w:rPr>
                <w:rFonts w:hint="eastAsia" w:ascii="宋体" w:hAnsi="宋体"/>
                <w:color w:val="auto"/>
                <w:szCs w:val="21"/>
                <w:highlight w:val="none"/>
              </w:rPr>
              <w:t>下列任何情况发生时，采购人有权</w:t>
            </w:r>
            <w:r>
              <w:rPr>
                <w:rFonts w:hint="eastAsia" w:ascii="宋体" w:hAnsi="宋体"/>
                <w:color w:val="auto"/>
                <w:szCs w:val="21"/>
                <w:highlight w:val="none"/>
                <w:lang w:val="en-US" w:eastAsia="zh-CN"/>
              </w:rPr>
              <w:t>没收履约保证金</w:t>
            </w:r>
            <w:r>
              <w:rPr>
                <w:rFonts w:hint="eastAsia" w:ascii="宋体" w:hAnsi="宋体"/>
                <w:color w:val="auto"/>
                <w:szCs w:val="21"/>
                <w:highlight w:val="none"/>
              </w:rPr>
              <w:t>：</w:t>
            </w:r>
          </w:p>
          <w:p w14:paraId="6EF0BE9C">
            <w:pPr>
              <w:keepNext w:val="0"/>
              <w:keepLines w:val="0"/>
              <w:pageBreakBefore w:val="0"/>
              <w:kinsoku/>
              <w:wordWrap/>
              <w:overflowPunct/>
              <w:topLinePunct w:val="0"/>
              <w:autoSpaceDE/>
              <w:autoSpaceDN/>
              <w:bidi w:val="0"/>
              <w:spacing w:line="240" w:lineRule="auto"/>
              <w:ind w:left="0"/>
              <w:jc w:val="both"/>
              <w:textAlignment w:val="auto"/>
              <w:rPr>
                <w:rFonts w:hint="eastAsia" w:ascii="宋体" w:hAnsi="宋体"/>
                <w:color w:val="auto"/>
                <w:szCs w:val="21"/>
                <w:highlight w:val="none"/>
              </w:rPr>
            </w:pPr>
            <w:r>
              <w:rPr>
                <w:rFonts w:hint="eastAsia" w:ascii="宋体" w:hAnsi="宋体"/>
                <w:color w:val="auto"/>
                <w:szCs w:val="21"/>
                <w:highlight w:val="none"/>
                <w:lang w:val="en-US" w:eastAsia="zh-CN"/>
              </w:rPr>
              <w:t>①</w:t>
            </w:r>
            <w:r>
              <w:rPr>
                <w:rFonts w:hint="eastAsia" w:ascii="宋体" w:hAnsi="宋体"/>
                <w:color w:val="auto"/>
                <w:szCs w:val="21"/>
                <w:highlight w:val="none"/>
              </w:rPr>
              <w:t>成交人在合同履行过程中出现项目质量事故、工期拖延、欠付工人工资、欠付材料款等情况，</w:t>
            </w:r>
            <w:r>
              <w:rPr>
                <w:rFonts w:hint="eastAsia" w:ascii="宋体" w:eastAsia="宋体" w:cs="宋体"/>
                <w:color w:val="auto"/>
                <w:sz w:val="21"/>
                <w:szCs w:val="21"/>
                <w:highlight w:val="none"/>
                <w:lang w:val="en-US" w:eastAsia="zh-CN"/>
              </w:rPr>
              <w:t>且经</w:t>
            </w:r>
            <w:r>
              <w:rPr>
                <w:rFonts w:hint="eastAsia" w:ascii="宋体" w:cs="宋体"/>
                <w:color w:val="auto"/>
                <w:sz w:val="21"/>
                <w:szCs w:val="21"/>
                <w:highlight w:val="none"/>
                <w:lang w:val="en-US" w:eastAsia="zh-CN"/>
              </w:rPr>
              <w:t>采购人</w:t>
            </w:r>
            <w:r>
              <w:rPr>
                <w:rFonts w:hint="eastAsia" w:ascii="宋体" w:eastAsia="宋体" w:cs="宋体"/>
                <w:color w:val="auto"/>
                <w:sz w:val="21"/>
                <w:szCs w:val="21"/>
                <w:highlight w:val="none"/>
                <w:lang w:val="en-US" w:eastAsia="zh-CN"/>
              </w:rPr>
              <w:t>责令要求整改仍未改正的</w:t>
            </w:r>
            <w:r>
              <w:rPr>
                <w:rFonts w:hint="eastAsia" w:ascii="宋体" w:hAnsi="宋体"/>
                <w:color w:val="auto"/>
                <w:szCs w:val="21"/>
                <w:highlight w:val="none"/>
              </w:rPr>
              <w:t>，成交人造成采购人损失的，采购人有权立即没收其履约</w:t>
            </w:r>
            <w:r>
              <w:rPr>
                <w:rFonts w:hint="eastAsia" w:ascii="宋体" w:hAnsi="宋体"/>
                <w:color w:val="auto"/>
                <w:szCs w:val="21"/>
                <w:highlight w:val="none"/>
                <w:lang w:val="en-US" w:eastAsia="zh-CN"/>
              </w:rPr>
              <w:t>保证金</w:t>
            </w:r>
            <w:r>
              <w:rPr>
                <w:rFonts w:hint="eastAsia" w:ascii="宋体" w:hAnsi="宋体"/>
                <w:color w:val="auto"/>
                <w:szCs w:val="21"/>
                <w:highlight w:val="none"/>
              </w:rPr>
              <w:t>，若造成损失超过履约担保的，还应当对超过部分予以赔偿。</w:t>
            </w:r>
          </w:p>
          <w:p w14:paraId="5B68873A">
            <w:pPr>
              <w:keepNext w:val="0"/>
              <w:keepLines w:val="0"/>
              <w:pageBreakBefore w:val="0"/>
              <w:kinsoku/>
              <w:wordWrap/>
              <w:overflowPunct/>
              <w:topLinePunct w:val="0"/>
              <w:autoSpaceDE/>
              <w:autoSpaceDN/>
              <w:bidi w:val="0"/>
              <w:spacing w:line="240" w:lineRule="auto"/>
              <w:ind w:left="0"/>
              <w:jc w:val="both"/>
              <w:textAlignment w:val="auto"/>
              <w:rPr>
                <w:rFonts w:hint="eastAsia" w:ascii="宋体" w:hAnsi="宋体"/>
                <w:color w:val="auto"/>
                <w:szCs w:val="21"/>
                <w:highlight w:val="none"/>
              </w:rPr>
            </w:pPr>
            <w:r>
              <w:rPr>
                <w:rFonts w:hint="eastAsia" w:ascii="宋体" w:hAnsi="宋体"/>
                <w:color w:val="auto"/>
                <w:szCs w:val="21"/>
                <w:highlight w:val="none"/>
                <w:lang w:val="en-US" w:eastAsia="zh-CN"/>
              </w:rPr>
              <w:t>②</w:t>
            </w:r>
            <w:r>
              <w:rPr>
                <w:rFonts w:hint="eastAsia" w:ascii="宋体" w:hAnsi="宋体"/>
                <w:color w:val="auto"/>
                <w:szCs w:val="21"/>
                <w:highlight w:val="none"/>
              </w:rPr>
              <w:t>成交人将本项目转让给他人，或者在投标文件中未说明，且未经采购人同意，将中标项目分包给他人的；</w:t>
            </w:r>
          </w:p>
          <w:p w14:paraId="72A00642">
            <w:pPr>
              <w:keepNext w:val="0"/>
              <w:keepLines w:val="0"/>
              <w:pageBreakBefore w:val="0"/>
              <w:kinsoku/>
              <w:wordWrap/>
              <w:overflowPunct/>
              <w:topLinePunct w:val="0"/>
              <w:autoSpaceDE/>
              <w:autoSpaceDN/>
              <w:bidi w:val="0"/>
              <w:spacing w:line="240" w:lineRule="auto"/>
              <w:ind w:left="0"/>
              <w:jc w:val="both"/>
              <w:textAlignment w:val="auto"/>
              <w:rPr>
                <w:rFonts w:hint="eastAsia" w:ascii="宋体" w:hAnsi="宋体"/>
                <w:color w:val="auto"/>
                <w:szCs w:val="21"/>
                <w:highlight w:val="none"/>
              </w:rPr>
            </w:pPr>
            <w:r>
              <w:rPr>
                <w:rFonts w:hint="eastAsia" w:ascii="宋体" w:hAnsi="宋体"/>
                <w:color w:val="auto"/>
                <w:szCs w:val="21"/>
                <w:highlight w:val="none"/>
                <w:lang w:val="en-US" w:eastAsia="zh-CN"/>
              </w:rPr>
              <w:t>③</w:t>
            </w:r>
            <w:r>
              <w:rPr>
                <w:rFonts w:hint="eastAsia" w:ascii="宋体" w:hAnsi="宋体"/>
                <w:color w:val="auto"/>
                <w:szCs w:val="21"/>
                <w:highlight w:val="none"/>
              </w:rPr>
              <w:t>成交人在履行采购合同期间，违反有关法律法规的规定及合同约定的条款，损害了采购人的利益。</w:t>
            </w:r>
          </w:p>
          <w:p w14:paraId="2EC08EE6">
            <w:pPr>
              <w:keepNext w:val="0"/>
              <w:keepLines w:val="0"/>
              <w:pageBreakBefore w:val="0"/>
              <w:kinsoku/>
              <w:wordWrap/>
              <w:overflowPunct/>
              <w:topLinePunct w:val="0"/>
              <w:autoSpaceDE/>
              <w:autoSpaceDN/>
              <w:bidi w:val="0"/>
              <w:spacing w:line="240" w:lineRule="auto"/>
              <w:ind w:left="0"/>
              <w:jc w:val="both"/>
              <w:textAlignment w:val="auto"/>
              <w:rPr>
                <w:rFonts w:ascii="宋体" w:hAnsi="宋体"/>
                <w:b/>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2</w:t>
            </w:r>
            <w:r>
              <w:rPr>
                <w:rFonts w:hint="eastAsia" w:ascii="宋体" w:hAnsi="宋体"/>
                <w:color w:val="auto"/>
                <w:szCs w:val="21"/>
                <w:highlight w:val="none"/>
              </w:rPr>
              <w:t>）在合同期满后，成交人向采购人提交退回履约保证金的申请，采购人在</w:t>
            </w:r>
            <w:r>
              <w:rPr>
                <w:rFonts w:hint="eastAsia" w:ascii="宋体" w:hAnsi="宋体"/>
                <w:color w:val="auto"/>
                <w:szCs w:val="21"/>
                <w:highlight w:val="none"/>
                <w:lang w:val="en-US" w:eastAsia="zh-CN"/>
              </w:rPr>
              <w:t>成交人</w:t>
            </w:r>
            <w:r>
              <w:rPr>
                <w:rFonts w:hint="eastAsia" w:ascii="宋体" w:hAnsi="宋体"/>
                <w:color w:val="auto"/>
                <w:szCs w:val="21"/>
                <w:highlight w:val="none"/>
              </w:rPr>
              <w:t>将所有未决索赔、争议或违约责任解决完毕后并经</w:t>
            </w:r>
            <w:r>
              <w:rPr>
                <w:rFonts w:hint="eastAsia" w:ascii="宋体" w:hAnsi="宋体"/>
                <w:color w:val="auto"/>
                <w:szCs w:val="21"/>
                <w:highlight w:val="none"/>
                <w:lang w:val="en-US" w:eastAsia="zh-CN"/>
              </w:rPr>
              <w:t>采购人</w:t>
            </w:r>
            <w:r>
              <w:rPr>
                <w:rFonts w:hint="eastAsia" w:ascii="宋体" w:hAnsi="宋体"/>
                <w:color w:val="auto"/>
                <w:szCs w:val="21"/>
                <w:highlight w:val="none"/>
              </w:rPr>
              <w:t>确认后30个日历日内办理履约担保退还手续。</w:t>
            </w:r>
          </w:p>
        </w:tc>
      </w:tr>
      <w:tr w14:paraId="328A6148">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52" w:hRule="atLeast"/>
        </w:trPr>
        <w:tc>
          <w:tcPr>
            <w:tcW w:w="521" w:type="pct"/>
            <w:vMerge w:val="restart"/>
            <w:tcBorders>
              <w:tl2br w:val="nil"/>
              <w:tr2bl w:val="nil"/>
            </w:tcBorders>
            <w:vAlign w:val="center"/>
          </w:tcPr>
          <w:p w14:paraId="22BD6D92">
            <w:pPr>
              <w:keepNext w:val="0"/>
              <w:keepLines w:val="0"/>
              <w:pageBreakBefore w:val="0"/>
              <w:kinsoku/>
              <w:wordWrap/>
              <w:overflowPunct/>
              <w:topLinePunct w:val="0"/>
              <w:autoSpaceDE/>
              <w:autoSpaceDN/>
              <w:bidi w:val="0"/>
              <w:spacing w:line="240" w:lineRule="auto"/>
              <w:ind w:left="0"/>
              <w:jc w:val="center"/>
              <w:textAlignment w:val="auto"/>
              <w:rPr>
                <w:rFonts w:hint="eastAsia" w:ascii="宋体" w:hAnsi="宋体" w:eastAsia="宋体"/>
                <w:color w:val="auto"/>
                <w:szCs w:val="21"/>
                <w:highlight w:val="none"/>
                <w:lang w:val="en-US" w:eastAsia="zh-CN"/>
              </w:rPr>
            </w:pPr>
            <w:r>
              <w:rPr>
                <w:rFonts w:hint="eastAsia" w:ascii="宋体" w:hAnsi="宋体"/>
                <w:color w:val="auto"/>
                <w:szCs w:val="21"/>
                <w:highlight w:val="none"/>
              </w:rPr>
              <w:t>1</w:t>
            </w:r>
            <w:r>
              <w:rPr>
                <w:rFonts w:hint="eastAsia" w:ascii="宋体" w:hAnsi="宋体"/>
                <w:color w:val="auto"/>
                <w:szCs w:val="21"/>
                <w:highlight w:val="none"/>
                <w:lang w:val="en-US" w:eastAsia="zh-CN"/>
              </w:rPr>
              <w:t>7</w:t>
            </w:r>
          </w:p>
        </w:tc>
        <w:tc>
          <w:tcPr>
            <w:tcW w:w="4478" w:type="pct"/>
            <w:gridSpan w:val="2"/>
            <w:tcBorders>
              <w:tl2br w:val="nil"/>
              <w:tr2bl w:val="nil"/>
            </w:tcBorders>
            <w:vAlign w:val="center"/>
          </w:tcPr>
          <w:p w14:paraId="29960B00">
            <w:pPr>
              <w:keepNext w:val="0"/>
              <w:keepLines w:val="0"/>
              <w:pageBreakBefore w:val="0"/>
              <w:kinsoku/>
              <w:wordWrap/>
              <w:overflowPunct/>
              <w:topLinePunct w:val="0"/>
              <w:autoSpaceDE/>
              <w:autoSpaceDN/>
              <w:bidi w:val="0"/>
              <w:spacing w:line="240" w:lineRule="auto"/>
              <w:ind w:left="0"/>
              <w:jc w:val="both"/>
              <w:textAlignment w:val="auto"/>
              <w:rPr>
                <w:rFonts w:ascii="宋体" w:hAnsi="宋体"/>
                <w:b/>
                <w:color w:val="auto"/>
                <w:szCs w:val="21"/>
                <w:highlight w:val="none"/>
              </w:rPr>
            </w:pPr>
            <w:r>
              <w:rPr>
                <w:rFonts w:hint="eastAsia" w:ascii="宋体" w:hAnsi="宋体"/>
                <w:b/>
                <w:color w:val="auto"/>
                <w:szCs w:val="21"/>
                <w:highlight w:val="none"/>
              </w:rPr>
              <w:t>中标服务费</w:t>
            </w:r>
          </w:p>
        </w:tc>
      </w:tr>
      <w:tr w14:paraId="6A325C1D">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52" w:hRule="atLeast"/>
        </w:trPr>
        <w:tc>
          <w:tcPr>
            <w:tcW w:w="521" w:type="pct"/>
            <w:vMerge w:val="continue"/>
            <w:tcBorders>
              <w:tl2br w:val="nil"/>
              <w:tr2bl w:val="nil"/>
            </w:tcBorders>
            <w:vAlign w:val="center"/>
          </w:tcPr>
          <w:p w14:paraId="5399EB75">
            <w:pPr>
              <w:keepNext w:val="0"/>
              <w:keepLines w:val="0"/>
              <w:pageBreakBefore w:val="0"/>
              <w:kinsoku/>
              <w:wordWrap/>
              <w:overflowPunct/>
              <w:topLinePunct w:val="0"/>
              <w:autoSpaceDE/>
              <w:autoSpaceDN/>
              <w:bidi w:val="0"/>
              <w:spacing w:line="240" w:lineRule="auto"/>
              <w:ind w:left="0"/>
              <w:jc w:val="center"/>
              <w:textAlignment w:val="auto"/>
              <w:rPr>
                <w:rFonts w:ascii="宋体" w:hAnsi="宋体"/>
                <w:color w:val="auto"/>
                <w:szCs w:val="21"/>
                <w:highlight w:val="none"/>
              </w:rPr>
            </w:pPr>
          </w:p>
        </w:tc>
        <w:tc>
          <w:tcPr>
            <w:tcW w:w="4478" w:type="pct"/>
            <w:gridSpan w:val="2"/>
            <w:tcBorders>
              <w:tl2br w:val="nil"/>
              <w:tr2bl w:val="nil"/>
            </w:tcBorders>
            <w:vAlign w:val="center"/>
          </w:tcPr>
          <w:p w14:paraId="2832B842">
            <w:pPr>
              <w:keepNext w:val="0"/>
              <w:keepLines w:val="0"/>
              <w:pageBreakBefore w:val="0"/>
              <w:widowControl w:val="0"/>
              <w:tabs>
                <w:tab w:val="left" w:pos="907"/>
              </w:tabs>
              <w:kinsoku/>
              <w:wordWrap/>
              <w:overflowPunct/>
              <w:topLinePunct w:val="0"/>
              <w:autoSpaceDE/>
              <w:autoSpaceDN/>
              <w:bidi w:val="0"/>
              <w:adjustRightInd/>
              <w:snapToGrid/>
              <w:spacing w:line="240" w:lineRule="auto"/>
              <w:ind w:left="0"/>
              <w:jc w:val="both"/>
              <w:textAlignment w:val="auto"/>
              <w:rPr>
                <w:rFonts w:ascii="宋体" w:hAnsi="宋体"/>
                <w:color w:val="auto"/>
                <w:szCs w:val="21"/>
                <w:highlight w:val="none"/>
              </w:rPr>
            </w:pPr>
            <w:r>
              <w:rPr>
                <w:rFonts w:hint="eastAsia" w:ascii="宋体" w:hAnsi="宋体"/>
                <w:color w:val="auto"/>
                <w:szCs w:val="21"/>
                <w:highlight w:val="none"/>
              </w:rPr>
              <w:t>本项目中标服务费由采购人支付。</w:t>
            </w:r>
          </w:p>
        </w:tc>
      </w:tr>
      <w:tr w14:paraId="4F717BC4">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820" w:hRule="atLeast"/>
        </w:trPr>
        <w:tc>
          <w:tcPr>
            <w:tcW w:w="5000" w:type="pct"/>
            <w:gridSpan w:val="3"/>
            <w:tcBorders>
              <w:tl2br w:val="nil"/>
              <w:tr2bl w:val="nil"/>
            </w:tcBorders>
            <w:vAlign w:val="center"/>
          </w:tcPr>
          <w:p w14:paraId="08608DD8">
            <w:pPr>
              <w:keepNext w:val="0"/>
              <w:keepLines w:val="0"/>
              <w:pageBreakBefore w:val="0"/>
              <w:widowControl w:val="0"/>
              <w:tabs>
                <w:tab w:val="left" w:pos="907"/>
              </w:tabs>
              <w:kinsoku/>
              <w:wordWrap/>
              <w:overflowPunct/>
              <w:topLinePunct w:val="0"/>
              <w:autoSpaceDE/>
              <w:autoSpaceDN/>
              <w:bidi w:val="0"/>
              <w:adjustRightInd/>
              <w:snapToGrid/>
              <w:spacing w:line="240" w:lineRule="auto"/>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注：本表关于采购项目的具体资料，是对投标人须知的具体补充和修改，如有矛盾，应以本资料表为准。不满足采购文件中 “★”条款的投标文件将作无效投标处理。</w:t>
            </w:r>
          </w:p>
        </w:tc>
      </w:tr>
    </w:tbl>
    <w:p w14:paraId="2D019939">
      <w:pPr>
        <w:jc w:val="center"/>
        <w:rPr>
          <w:color w:val="auto"/>
          <w:highlight w:val="none"/>
        </w:rPr>
      </w:pPr>
      <w:r>
        <w:rPr>
          <w:rFonts w:hint="eastAsia"/>
          <w:color w:val="auto"/>
          <w:highlight w:val="none"/>
        </w:rPr>
        <w:br w:type="page"/>
      </w:r>
    </w:p>
    <w:p w14:paraId="62CCB22F">
      <w:pPr>
        <w:pStyle w:val="5"/>
        <w:spacing w:before="0" w:after="0" w:line="240" w:lineRule="auto"/>
        <w:jc w:val="center"/>
        <w:rPr>
          <w:rFonts w:hAnsi="宋体" w:cs="宋体"/>
          <w:color w:val="auto"/>
          <w:sz w:val="21"/>
          <w:szCs w:val="21"/>
          <w:highlight w:val="none"/>
        </w:rPr>
      </w:pPr>
      <w:bookmarkStart w:id="4" w:name="_Toc20815"/>
      <w:r>
        <w:rPr>
          <w:rFonts w:hint="eastAsia" w:ascii="宋体" w:hAnsi="宋体" w:cs="宋体"/>
          <w:color w:val="auto"/>
          <w:sz w:val="24"/>
          <w:szCs w:val="24"/>
          <w:highlight w:val="none"/>
        </w:rPr>
        <w:t>附表二：商务技术评分及价格权重表（满分100分）</w:t>
      </w:r>
      <w:bookmarkEnd w:id="4"/>
    </w:p>
    <w:p w14:paraId="4572F5A4">
      <w:pPr>
        <w:rPr>
          <w:rFonts w:hint="eastAsia"/>
          <w:color w:val="auto"/>
          <w:highlight w:val="none"/>
        </w:rPr>
      </w:pPr>
    </w:p>
    <w:tbl>
      <w:tblPr>
        <w:tblStyle w:val="30"/>
        <w:tblW w:w="0" w:type="auto"/>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457"/>
        <w:gridCol w:w="1087"/>
        <w:gridCol w:w="457"/>
        <w:gridCol w:w="6521"/>
      </w:tblGrid>
      <w:tr w14:paraId="24CDF75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33787D5">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序号</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3DB9EE4">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评审项目</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34DA2CDD">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分值</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0490DF3B">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评审细则</w:t>
            </w:r>
          </w:p>
        </w:tc>
      </w:tr>
      <w:tr w14:paraId="327A6E5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jc w:val="center"/>
        </w:trPr>
        <w:tc>
          <w:tcPr>
            <w:tcW w:w="0" w:type="auto"/>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720CF809">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商务技术评审（60分）</w:t>
            </w:r>
          </w:p>
        </w:tc>
      </w:tr>
      <w:tr w14:paraId="4CDD9AA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30"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727D6612">
            <w:pPr>
              <w:keepNext w:val="0"/>
              <w:keepLines w:val="0"/>
              <w:widowControl/>
              <w:suppressLineNumbers w:val="0"/>
              <w:spacing w:line="240" w:lineRule="auto"/>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961D6B1">
            <w:pPr>
              <w:keepNext w:val="0"/>
              <w:keepLines w:val="0"/>
              <w:widowControl/>
              <w:suppressLineNumbers w:val="0"/>
              <w:spacing w:line="240" w:lineRule="auto"/>
              <w:jc w:val="both"/>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体系认证</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1DDDE53">
            <w:pPr>
              <w:keepNext w:val="0"/>
              <w:keepLines w:val="0"/>
              <w:widowControl/>
              <w:suppressLineNumbers w:val="0"/>
              <w:spacing w:line="240" w:lineRule="auto"/>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6</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39080AC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投标人具有由国家认监委批准设立的认证机构颁发并在有效期内的质量管理体系认证、环境管理体系认证、职业健康安全管理体系认证的，每个得2分，本项最高得6分。</w:t>
            </w:r>
          </w:p>
          <w:p w14:paraId="4BD6495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p>
          <w:p w14:paraId="17E3088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备注：须提供有效证书复印件并加盖投标人公章，不符合以上要求的不得分。</w:t>
            </w:r>
          </w:p>
        </w:tc>
      </w:tr>
      <w:tr w14:paraId="0BA6A9E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75"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E99A39E">
            <w:pPr>
              <w:keepNext w:val="0"/>
              <w:keepLines w:val="0"/>
              <w:widowControl/>
              <w:suppressLineNumbers w:val="0"/>
              <w:spacing w:line="240" w:lineRule="auto"/>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2</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8957478">
            <w:pPr>
              <w:keepNext w:val="0"/>
              <w:keepLines w:val="0"/>
              <w:widowControl/>
              <w:suppressLineNumbers w:val="0"/>
              <w:spacing w:line="240" w:lineRule="auto"/>
              <w:jc w:val="both"/>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财务状况</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73181A9F">
            <w:pPr>
              <w:keepNext w:val="0"/>
              <w:keepLines w:val="0"/>
              <w:widowControl/>
              <w:suppressLineNumbers w:val="0"/>
              <w:spacing w:line="240" w:lineRule="auto"/>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5</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77438FE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根据投标人2019年1月1日至今的财务状况进行评价，每一年盈利得1分，本项最高得5分</w:t>
            </w:r>
            <w:r>
              <w:rPr>
                <w:rFonts w:hint="eastAsia" w:ascii="宋体" w:hAnsi="宋体" w:cs="宋体"/>
                <w:i w:val="0"/>
                <w:iCs w:val="0"/>
                <w:color w:val="auto"/>
                <w:kern w:val="0"/>
                <w:sz w:val="21"/>
                <w:szCs w:val="21"/>
                <w:highlight w:val="none"/>
                <w:u w:val="none"/>
                <w:lang w:val="en-US" w:eastAsia="zh-CN" w:bidi="ar"/>
              </w:rPr>
              <w:t>。</w:t>
            </w:r>
          </w:p>
          <w:p w14:paraId="29FA42E3">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p>
          <w:p w14:paraId="7AB327F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备注：须提供会计师事务所审计的完整的财务报表复印件，加盖公章。</w:t>
            </w:r>
          </w:p>
        </w:tc>
      </w:tr>
      <w:tr w14:paraId="3AD0E9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5"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7E4FE60E">
            <w:pPr>
              <w:keepNext w:val="0"/>
              <w:keepLines w:val="0"/>
              <w:widowControl/>
              <w:suppressLineNumbers w:val="0"/>
              <w:spacing w:line="240" w:lineRule="auto"/>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6BB0D1C2">
            <w:pPr>
              <w:keepNext w:val="0"/>
              <w:keepLines w:val="0"/>
              <w:widowControl/>
              <w:suppressLineNumbers w:val="0"/>
              <w:spacing w:line="240" w:lineRule="auto"/>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焚烧危废运输量</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41FD3B8">
            <w:pPr>
              <w:keepNext w:val="0"/>
              <w:keepLines w:val="0"/>
              <w:widowControl/>
              <w:suppressLineNumbers w:val="0"/>
              <w:spacing w:line="240" w:lineRule="auto"/>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5</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4797F29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根据投标人2022年8月-2025年8月期间“广东省固体废物环境监管信息平台”（https://www-app.gdeei.cn/gfjgqy-rz/login）处置方式为D10-焚烧危废运输量截图进行评分，其中：</w:t>
            </w:r>
          </w:p>
          <w:p w14:paraId="2E47FB9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4万吨以下，不得分；每多1万吨可得1分，本项最高5分，例如：</w:t>
            </w:r>
          </w:p>
          <w:p w14:paraId="28746EB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4.00万吨-4.99万吨，得1分</w:t>
            </w:r>
          </w:p>
          <w:p w14:paraId="2F68908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5.00万吨-5.99万吨，得2分</w:t>
            </w:r>
          </w:p>
          <w:p w14:paraId="33D09C6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6.00万吨-6.99万吨，得3分，如此类推</w:t>
            </w:r>
          </w:p>
          <w:p w14:paraId="2E7946C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p>
          <w:p w14:paraId="2F3282FD">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备注：投标人需提供“广东省固体废物环境监管信息平台”（https://www-app.gdeei.cn/gfjgqy-rz/login）处置方式为D10-焚烧危废运输量截图（见附件），加盖公章。</w:t>
            </w:r>
          </w:p>
        </w:tc>
      </w:tr>
      <w:tr w14:paraId="41E7E2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335"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72B7779C">
            <w:pPr>
              <w:keepNext w:val="0"/>
              <w:keepLines w:val="0"/>
              <w:widowControl/>
              <w:suppressLineNumbers w:val="0"/>
              <w:spacing w:line="240" w:lineRule="auto"/>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4</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E3A25AB">
            <w:pPr>
              <w:keepNext w:val="0"/>
              <w:keepLines w:val="0"/>
              <w:widowControl/>
              <w:suppressLineNumbers w:val="0"/>
              <w:spacing w:line="240" w:lineRule="auto"/>
              <w:jc w:val="both"/>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拟投入车辆（需配套驾驶员及押运员）</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EA2EAD4">
            <w:pPr>
              <w:keepNext w:val="0"/>
              <w:keepLines w:val="0"/>
              <w:widowControl/>
              <w:suppressLineNumbers w:val="0"/>
              <w:spacing w:line="240" w:lineRule="auto"/>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20</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3A13A45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根据投标人拟投入本项目提供服务的车辆数量进行评分，其中：</w:t>
            </w:r>
          </w:p>
          <w:p w14:paraId="2CA105B2">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lang w:val="en-US" w:eastAsia="zh-CN" w:bidi="ar"/>
              </w:rPr>
              <w:t>（1）</w:t>
            </w:r>
            <w:r>
              <w:rPr>
                <w:rFonts w:hint="eastAsia" w:ascii="宋体" w:hAnsi="宋体" w:eastAsia="宋体" w:cs="宋体"/>
                <w:i w:val="0"/>
                <w:iCs w:val="0"/>
                <w:color w:val="auto"/>
                <w:kern w:val="0"/>
                <w:sz w:val="21"/>
                <w:szCs w:val="21"/>
                <w:highlight w:val="none"/>
                <w:u w:val="none"/>
                <w:lang w:val="en-US" w:eastAsia="zh-CN" w:bidi="ar"/>
              </w:rPr>
              <w:t>当投入服务的车辆总数量少于5台的，本项不得分；</w:t>
            </w:r>
          </w:p>
          <w:p w14:paraId="5E060489">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sz w:val="21"/>
                <w:szCs w:val="21"/>
                <w:highlight w:val="none"/>
                <w:lang w:val="en-US" w:eastAsia="zh-CN" w:bidi="ar-SA"/>
              </w:rPr>
              <w:t>（2）</w:t>
            </w:r>
            <w:r>
              <w:rPr>
                <w:rFonts w:hint="eastAsia" w:ascii="宋体" w:hAnsi="宋体" w:eastAsia="宋体" w:cs="宋体"/>
                <w:i w:val="0"/>
                <w:iCs w:val="0"/>
                <w:color w:val="auto"/>
                <w:kern w:val="0"/>
                <w:sz w:val="21"/>
                <w:szCs w:val="21"/>
                <w:highlight w:val="none"/>
                <w:u w:val="none"/>
                <w:lang w:val="en-US" w:eastAsia="zh-CN" w:bidi="ar"/>
              </w:rPr>
              <w:t>当投入服务的5.2米厢车少于1辆，或7.6米厢车少于1辆，或9.6米厢车少于2辆，或12.5米厢车少于1辆情况的，本项不得分；</w:t>
            </w:r>
          </w:p>
          <w:p w14:paraId="5AC5BD8B">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非上述（1）及（2）情况时按以下情况评分：</w:t>
            </w:r>
          </w:p>
          <w:p w14:paraId="1AF85C09">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①5.2米厢车，每台得0.5分，最多可得2分</w:t>
            </w:r>
          </w:p>
          <w:p w14:paraId="3E1F79B2">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②7.6米厢车，每台得1分，最多可得8分</w:t>
            </w:r>
          </w:p>
          <w:p w14:paraId="57E1DCA5">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③9.6米厢车，每台得1分，最多可得12分</w:t>
            </w:r>
          </w:p>
          <w:p w14:paraId="1512BD16">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④12.5米挂车，每台得0.5分，最多可得2分</w:t>
            </w:r>
          </w:p>
          <w:p w14:paraId="071781E3">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本项最高得分20分</w:t>
            </w:r>
          </w:p>
          <w:p w14:paraId="0736C3A8">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p>
          <w:p w14:paraId="78421158">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备注：投标人需在附件《运输车辆名册》上列示并提供对应《道路运输证》复印件（经营范围</w:t>
            </w:r>
            <w:r>
              <w:rPr>
                <w:rFonts w:hint="eastAsia" w:ascii="宋体" w:hAnsi="宋体" w:cs="宋体"/>
                <w:i w:val="0"/>
                <w:iCs w:val="0"/>
                <w:color w:val="auto"/>
                <w:kern w:val="0"/>
                <w:sz w:val="21"/>
                <w:szCs w:val="21"/>
                <w:highlight w:val="none"/>
                <w:u w:val="none"/>
                <w:lang w:val="en-US" w:eastAsia="zh-CN" w:bidi="ar"/>
              </w:rPr>
              <w:t>包括</w:t>
            </w:r>
            <w:r>
              <w:rPr>
                <w:rFonts w:hint="eastAsia" w:ascii="宋体" w:hAnsi="宋体" w:eastAsia="宋体" w:cs="宋体"/>
                <w:i w:val="0"/>
                <w:iCs w:val="0"/>
                <w:color w:val="auto"/>
                <w:kern w:val="0"/>
                <w:sz w:val="21"/>
                <w:szCs w:val="21"/>
                <w:highlight w:val="none"/>
                <w:u w:val="none"/>
                <w:lang w:val="en-US" w:eastAsia="zh-CN" w:bidi="ar"/>
              </w:rPr>
              <w:t>危险货物运输），非投标人自有车辆的，需提供投标人与承租人的租赁合同或合作协议，均加盖公章；中标后如需更换同等规格载重车辆需经采购人同意，服务过程中未按承诺提供配套车辆的，每少一辆处</w:t>
            </w:r>
            <w:r>
              <w:rPr>
                <w:rFonts w:hint="eastAsia" w:ascii="宋体" w:hAnsi="宋体" w:cs="宋体"/>
                <w:i w:val="0"/>
                <w:iCs w:val="0"/>
                <w:color w:val="auto"/>
                <w:kern w:val="0"/>
                <w:sz w:val="21"/>
                <w:szCs w:val="21"/>
                <w:highlight w:val="none"/>
                <w:u w:val="none"/>
                <w:lang w:val="en-US" w:eastAsia="zh-CN" w:bidi="ar"/>
              </w:rPr>
              <w:t>以</w:t>
            </w:r>
            <w:r>
              <w:rPr>
                <w:rFonts w:hint="eastAsia" w:ascii="宋体" w:hAnsi="宋体" w:eastAsia="宋体" w:cs="宋体"/>
                <w:i w:val="0"/>
                <w:iCs w:val="0"/>
                <w:color w:val="auto"/>
                <w:kern w:val="0"/>
                <w:sz w:val="21"/>
                <w:szCs w:val="21"/>
                <w:highlight w:val="none"/>
                <w:u w:val="none"/>
                <w:lang w:val="en-US" w:eastAsia="zh-CN" w:bidi="ar"/>
              </w:rPr>
              <w:t>10000元处罚，超过3辆的采购人有权无责解除合同并没收履约保证金。</w:t>
            </w:r>
          </w:p>
        </w:tc>
      </w:tr>
      <w:tr w14:paraId="1514E6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825"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065BE08">
            <w:pPr>
              <w:keepNext w:val="0"/>
              <w:keepLines w:val="0"/>
              <w:widowControl/>
              <w:suppressLineNumbers w:val="0"/>
              <w:spacing w:line="240" w:lineRule="auto"/>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5</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C8A400C">
            <w:pPr>
              <w:keepNext w:val="0"/>
              <w:keepLines w:val="0"/>
              <w:widowControl/>
              <w:suppressLineNumbers w:val="0"/>
              <w:spacing w:line="240" w:lineRule="auto"/>
              <w:jc w:val="both"/>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拟投入服务的后备人员情况</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6B6B79F3">
            <w:pPr>
              <w:keepNext w:val="0"/>
              <w:keepLines w:val="0"/>
              <w:widowControl/>
              <w:suppressLineNumbers w:val="0"/>
              <w:spacing w:line="240" w:lineRule="auto"/>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6</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3AE1835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根据法规要求危险废物运输需配备1名驾驶员和1名押运员，除上述第4点“拟投入车辆（需配套驾驶员及押运员）”中所含驾驶员和押运员外，本项根据额外的后备驾驶员及押运员情况进行评分，其中每多1名驾驶员及1名押运员可得1分，最高可得6分，举例如下：</w:t>
            </w:r>
          </w:p>
          <w:p w14:paraId="32F3F81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假设上述第4点“拟投入车辆（需配套驾驶员及押运员）”为10辆并配套10名驾驶员和10名押运员，当投标人拟投入本项目人员为11名驾驶员和11名押运员时，可得1分，但仅为11名驾驶员和10名押运员时不得分，仅为10名驾驶员和11名押运员时不得分，如此类推。</w:t>
            </w:r>
          </w:p>
          <w:p w14:paraId="32ACF6C8">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p>
          <w:p w14:paraId="43D186BC">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备注：投标人需在附件《运输人员花名册》上列示并提供驾驶员的《道路运输从业人员从业资格证》且从业资格类别包括“道路危险货物运输驾驶员”及押运员的《道路运输从业人员从业资格证》且从业资格类别包括“道路危险货物运输押运人员”，加盖公章；如驾驶员和押运员非投标人自有员工的，需提供投标人与承租人的租赁合同或合作协议，均加盖公章。</w:t>
            </w:r>
          </w:p>
        </w:tc>
      </w:tr>
      <w:tr w14:paraId="7C8AF9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15"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FFB1255">
            <w:pPr>
              <w:keepNext w:val="0"/>
              <w:keepLines w:val="0"/>
              <w:widowControl/>
              <w:suppressLineNumbers w:val="0"/>
              <w:spacing w:line="240" w:lineRule="auto"/>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6</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691D2FD4">
            <w:pPr>
              <w:keepNext w:val="0"/>
              <w:keepLines w:val="0"/>
              <w:widowControl/>
              <w:suppressLineNumbers w:val="0"/>
              <w:spacing w:line="240" w:lineRule="auto"/>
              <w:jc w:val="both"/>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服务方案</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6ED7D8B">
            <w:pPr>
              <w:keepNext w:val="0"/>
              <w:keepLines w:val="0"/>
              <w:widowControl/>
              <w:suppressLineNumbers w:val="0"/>
              <w:spacing w:line="240" w:lineRule="auto"/>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6</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4735E6C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根据投标人制定的本项目服务方案进行总体评分，内容应包括但不限于：异常情况处理、车辆故障处理、沟通技巧、打包装卸服务规范等，要求：</w:t>
            </w:r>
          </w:p>
          <w:p w14:paraId="08FEB46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（1）实施方案内容非常全面、思路清晰，对本项目工作的重点难点分析准确、透彻，对应措施可操作性强，服务计划完善、资源支持系统可靠的，得6分；</w:t>
            </w:r>
          </w:p>
          <w:p w14:paraId="34176226">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（2）实施方案内容比较全面，对本项目工作的重点分析基本准确、透彻，对应措施可操作性较强，服务计划、资源支持系统可靠的，得4分；</w:t>
            </w:r>
          </w:p>
          <w:p w14:paraId="6497959B">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（3）实施方案内容较一般，思路清晰度一般，对本项目工作的重点、难点分析准确性、透彻性一般，对应措施可操作性一般，服务计划完善性一般、资源支持系统可靠性一般的，得2分；</w:t>
            </w:r>
          </w:p>
          <w:p w14:paraId="51C6CFC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（4）实施方案内容较差、思路清晰度较差，对本项目工作的重点、难点分析准确性、透彻性较差的，内容不完整的，或未提供服务方案的，不得分。</w:t>
            </w:r>
          </w:p>
        </w:tc>
      </w:tr>
      <w:tr w14:paraId="757B8CA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85"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4EEBE2CF">
            <w:pPr>
              <w:keepNext w:val="0"/>
              <w:keepLines w:val="0"/>
              <w:widowControl/>
              <w:suppressLineNumbers w:val="0"/>
              <w:spacing w:line="240" w:lineRule="auto"/>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7</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D730C4F">
            <w:pPr>
              <w:keepNext w:val="0"/>
              <w:keepLines w:val="0"/>
              <w:widowControl/>
              <w:suppressLineNumbers w:val="0"/>
              <w:spacing w:line="240" w:lineRule="auto"/>
              <w:jc w:val="both"/>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重点难点分析及方案</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A33E80C">
            <w:pPr>
              <w:keepNext w:val="0"/>
              <w:keepLines w:val="0"/>
              <w:widowControl/>
              <w:suppressLineNumbers w:val="0"/>
              <w:spacing w:line="240" w:lineRule="auto"/>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7BB4670A">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投标人根据项目情况结合经验，自行编制重点难点分析及方案：</w:t>
            </w:r>
          </w:p>
          <w:p w14:paraId="2C63504C">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lang w:val="en-US" w:eastAsia="zh-CN" w:bidi="ar"/>
              </w:rPr>
              <w:t>（1）</w:t>
            </w:r>
            <w:r>
              <w:rPr>
                <w:rFonts w:hint="eastAsia" w:ascii="宋体" w:hAnsi="宋体" w:eastAsia="宋体" w:cs="宋体"/>
                <w:i w:val="0"/>
                <w:iCs w:val="0"/>
                <w:color w:val="auto"/>
                <w:kern w:val="0"/>
                <w:sz w:val="21"/>
                <w:szCs w:val="21"/>
                <w:highlight w:val="none"/>
                <w:u w:val="none"/>
                <w:lang w:val="en-US" w:eastAsia="zh-CN" w:bidi="ar"/>
              </w:rPr>
              <w:t>重点难点分析准确，重点和难点分析非常具体的，方案可行的，得3分；</w:t>
            </w:r>
          </w:p>
          <w:p w14:paraId="21F9E9B7">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sz w:val="21"/>
                <w:szCs w:val="21"/>
                <w:highlight w:val="none"/>
                <w:lang w:val="en-US" w:eastAsia="zh-CN" w:bidi="ar-SA"/>
              </w:rPr>
              <w:t>（2）</w:t>
            </w:r>
            <w:r>
              <w:rPr>
                <w:rFonts w:hint="eastAsia" w:ascii="宋体" w:hAnsi="宋体" w:eastAsia="宋体" w:cs="宋体"/>
                <w:i w:val="0"/>
                <w:iCs w:val="0"/>
                <w:color w:val="auto"/>
                <w:kern w:val="0"/>
                <w:sz w:val="21"/>
                <w:szCs w:val="21"/>
                <w:highlight w:val="none"/>
                <w:u w:val="none"/>
                <w:lang w:val="en-US" w:eastAsia="zh-CN" w:bidi="ar"/>
              </w:rPr>
              <w:t>重点和难点分析比较具体的，方案可行性较强的，得2分；</w:t>
            </w:r>
          </w:p>
          <w:p w14:paraId="0B04DC21">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（3）重点和难点分析基本合理，方案基本可行的，得1分；</w:t>
            </w:r>
          </w:p>
          <w:p w14:paraId="68A0F230">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（4）重点和难点分析不合理，方案不可行，或未提供重点难点分析及方案的，不得分。</w:t>
            </w:r>
          </w:p>
        </w:tc>
      </w:tr>
      <w:tr w14:paraId="223E41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45"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0A802DEF">
            <w:pPr>
              <w:keepNext w:val="0"/>
              <w:keepLines w:val="0"/>
              <w:widowControl/>
              <w:suppressLineNumbers w:val="0"/>
              <w:spacing w:line="240" w:lineRule="auto"/>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8</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3F6AEC43">
            <w:pPr>
              <w:keepNext w:val="0"/>
              <w:keepLines w:val="0"/>
              <w:widowControl/>
              <w:suppressLineNumbers w:val="0"/>
              <w:spacing w:line="240" w:lineRule="auto"/>
              <w:jc w:val="both"/>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响应时间</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126A119">
            <w:pPr>
              <w:keepNext w:val="0"/>
              <w:keepLines w:val="0"/>
              <w:widowControl/>
              <w:suppressLineNumbers w:val="0"/>
              <w:spacing w:line="240" w:lineRule="auto"/>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3A954EF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投标人承诺接到采购人收运指令并确认响应承运后，按以下时间内完成人员和车辆派单安排，可得对应分值如下：</w:t>
            </w:r>
          </w:p>
          <w:p w14:paraId="3BBC6599">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承诺1小时内完成派单，可得3分；</w:t>
            </w:r>
          </w:p>
          <w:p w14:paraId="36BA023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承诺1小时以上至2小时内完成派单，可得2分；</w:t>
            </w:r>
          </w:p>
          <w:p w14:paraId="41EF937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承诺2小时以上至3小时内完成派单，可得1分；</w:t>
            </w:r>
          </w:p>
          <w:p w14:paraId="34548111">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承诺3小时以上完成派单的，不得分</w:t>
            </w:r>
          </w:p>
          <w:p w14:paraId="3FBD5F74">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p>
          <w:p w14:paraId="2259697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备注：投标人提供响应时间承诺，如履约过程中未能按承诺时间内派车，采购人有权处</w:t>
            </w:r>
            <w:r>
              <w:rPr>
                <w:rFonts w:hint="eastAsia" w:ascii="宋体" w:hAnsi="宋体" w:cs="宋体"/>
                <w:i w:val="0"/>
                <w:iCs w:val="0"/>
                <w:color w:val="auto"/>
                <w:kern w:val="0"/>
                <w:sz w:val="21"/>
                <w:szCs w:val="21"/>
                <w:highlight w:val="none"/>
                <w:u w:val="none"/>
                <w:lang w:val="en-US" w:eastAsia="zh-CN" w:bidi="ar"/>
              </w:rPr>
              <w:t>以</w:t>
            </w:r>
            <w:r>
              <w:rPr>
                <w:rFonts w:hint="eastAsia" w:ascii="宋体" w:hAnsi="宋体" w:eastAsia="宋体" w:cs="宋体"/>
                <w:i w:val="0"/>
                <w:iCs w:val="0"/>
                <w:color w:val="auto"/>
                <w:kern w:val="0"/>
                <w:sz w:val="21"/>
                <w:szCs w:val="21"/>
                <w:highlight w:val="none"/>
                <w:u w:val="none"/>
                <w:lang w:val="en-US" w:eastAsia="zh-CN" w:bidi="ar"/>
              </w:rPr>
              <w:t>500元/次的处罚，如一个月内出现5次未能按承诺时间内派车且派车时间超过3小时的，采购人有权无责解除合同并保留追责权利。</w:t>
            </w:r>
          </w:p>
        </w:tc>
      </w:tr>
      <w:tr w14:paraId="32FF91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30"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319333BB">
            <w:pPr>
              <w:keepNext w:val="0"/>
              <w:keepLines w:val="0"/>
              <w:widowControl/>
              <w:suppressLineNumbers w:val="0"/>
              <w:spacing w:line="240" w:lineRule="auto"/>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9</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073D8E0B">
            <w:pPr>
              <w:keepNext w:val="0"/>
              <w:keepLines w:val="0"/>
              <w:widowControl/>
              <w:suppressLineNumbers w:val="0"/>
              <w:spacing w:line="240" w:lineRule="auto"/>
              <w:jc w:val="both"/>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自有跟踪或视频监控平台</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590E6795">
            <w:pPr>
              <w:keepNext w:val="0"/>
              <w:keepLines w:val="0"/>
              <w:widowControl/>
              <w:suppressLineNumbers w:val="0"/>
              <w:spacing w:line="240" w:lineRule="auto"/>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17208927">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投标人除广东省固废平台外，还另行自有或享有使用权的独立软件或平台，要求软件或平台具备包括但不限于实时车辆位置跟踪和视频监控等功能。每有1个满足上述功能的软件或平台可得1分，本项满分3分。</w:t>
            </w:r>
          </w:p>
          <w:p w14:paraId="6DC7200E">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p>
          <w:p w14:paraId="3EB42B62">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备注：投标人需提供软件或平台截图，要求展示软件或平台对车辆位置跟踪和视频监控截图</w:t>
            </w:r>
          </w:p>
        </w:tc>
      </w:tr>
      <w:tr w14:paraId="040D756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60"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0B6D1683">
            <w:pPr>
              <w:keepNext w:val="0"/>
              <w:keepLines w:val="0"/>
              <w:widowControl/>
              <w:suppressLineNumbers w:val="0"/>
              <w:spacing w:line="240" w:lineRule="auto"/>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10</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65D80731">
            <w:pPr>
              <w:keepNext w:val="0"/>
              <w:keepLines w:val="0"/>
              <w:widowControl/>
              <w:suppressLineNumbers w:val="0"/>
              <w:spacing w:line="240" w:lineRule="auto"/>
              <w:jc w:val="both"/>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应急处理方案</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7C7FA6F1">
            <w:pPr>
              <w:keepNext w:val="0"/>
              <w:keepLines w:val="0"/>
              <w:widowControl/>
              <w:suppressLineNumbers w:val="0"/>
              <w:spacing w:line="240" w:lineRule="auto"/>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3</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05AD2E50">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根据投标人制定的应急处理方案进行总体评分，内容应包括但不限于废物</w:t>
            </w:r>
            <w:r>
              <w:rPr>
                <w:rFonts w:hint="eastAsia" w:ascii="宋体" w:hAnsi="宋体" w:cs="宋体"/>
                <w:i w:val="0"/>
                <w:iCs w:val="0"/>
                <w:color w:val="auto"/>
                <w:kern w:val="0"/>
                <w:sz w:val="21"/>
                <w:szCs w:val="21"/>
                <w:highlight w:val="none"/>
                <w:u w:val="none"/>
                <w:lang w:val="en-US" w:eastAsia="zh-CN" w:bidi="ar"/>
              </w:rPr>
              <w:t>泄漏</w:t>
            </w:r>
            <w:r>
              <w:rPr>
                <w:rFonts w:hint="eastAsia" w:ascii="宋体" w:hAnsi="宋体" w:eastAsia="宋体" w:cs="宋体"/>
                <w:i w:val="0"/>
                <w:iCs w:val="0"/>
                <w:color w:val="auto"/>
                <w:kern w:val="0"/>
                <w:sz w:val="21"/>
                <w:szCs w:val="21"/>
                <w:highlight w:val="none"/>
                <w:u w:val="none"/>
                <w:lang w:val="en-US" w:eastAsia="zh-CN" w:bidi="ar"/>
              </w:rPr>
              <w:t>、冒烟反应、着火、恶劣天气、交通事故、车辆故障和防疫等，要求：</w:t>
            </w:r>
          </w:p>
          <w:p w14:paraId="6FDB4C40">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lang w:val="en-US" w:eastAsia="zh-CN" w:bidi="ar"/>
              </w:rPr>
              <w:t>（1）</w:t>
            </w:r>
            <w:r>
              <w:rPr>
                <w:rFonts w:hint="eastAsia" w:ascii="宋体" w:hAnsi="宋体" w:eastAsia="宋体" w:cs="宋体"/>
                <w:i w:val="0"/>
                <w:iCs w:val="0"/>
                <w:color w:val="auto"/>
                <w:kern w:val="0"/>
                <w:sz w:val="21"/>
                <w:szCs w:val="21"/>
                <w:highlight w:val="none"/>
                <w:u w:val="none"/>
                <w:lang w:val="en-US" w:eastAsia="zh-CN" w:bidi="ar"/>
              </w:rPr>
              <w:t>制定的各项安全保障措施合理，针对设备设施故障抢修、意外情况处置能力，制定应急处理方案和具体实施方案可行的，得3分；</w:t>
            </w:r>
          </w:p>
          <w:p w14:paraId="1E40D3CB">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sz w:val="21"/>
                <w:szCs w:val="21"/>
                <w:highlight w:val="none"/>
                <w:lang w:val="en-US" w:eastAsia="zh-CN" w:bidi="ar-SA"/>
              </w:rPr>
              <w:t>（2）</w:t>
            </w:r>
            <w:r>
              <w:rPr>
                <w:rFonts w:hint="eastAsia" w:ascii="宋体" w:hAnsi="宋体" w:eastAsia="宋体" w:cs="宋体"/>
                <w:i w:val="0"/>
                <w:iCs w:val="0"/>
                <w:color w:val="auto"/>
                <w:kern w:val="0"/>
                <w:sz w:val="21"/>
                <w:szCs w:val="21"/>
                <w:highlight w:val="none"/>
                <w:u w:val="none"/>
                <w:lang w:val="en-US" w:eastAsia="zh-CN" w:bidi="ar"/>
              </w:rPr>
              <w:t>制定的各项安全保障措施较合理，针对设备设施故障抢修、意外情况处置能力，制定应急处理方案和具体实施方案较可行的，得2分；</w:t>
            </w:r>
          </w:p>
          <w:p w14:paraId="66FD85FD">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（3）制定的各项安全保障措施基本合理，针对设备设施故障抢修、意外情况处置能力，制定应急处理方案和具体实施方案基本可行的，得1分；</w:t>
            </w:r>
          </w:p>
          <w:p w14:paraId="0F71E3D8">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（4）制定的各项安全保障措施合理性较差，针对设备设施故障抢修、意外情况处置能力，制定应急处理方案和具体实施方案可行性较差的，或未提供的，不得分。</w:t>
            </w:r>
          </w:p>
        </w:tc>
      </w:tr>
      <w:tr w14:paraId="567540D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00" w:hRule="atLeast"/>
          <w:jc w:val="center"/>
        </w:trPr>
        <w:tc>
          <w:tcPr>
            <w:tcW w:w="0" w:type="auto"/>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6195E146">
            <w:pPr>
              <w:keepNext w:val="0"/>
              <w:keepLines w:val="0"/>
              <w:widowControl/>
              <w:suppressLineNumbers w:val="0"/>
              <w:spacing w:line="240" w:lineRule="auto"/>
              <w:jc w:val="both"/>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备注：</w:t>
            </w:r>
            <w:r>
              <w:rPr>
                <w:rFonts w:hint="eastAsia" w:ascii="宋体" w:hAnsi="宋体" w:eastAsia="宋体" w:cs="宋体"/>
                <w:b/>
                <w:bCs/>
                <w:i w:val="0"/>
                <w:iCs w:val="0"/>
                <w:color w:val="auto"/>
                <w:kern w:val="0"/>
                <w:sz w:val="21"/>
                <w:szCs w:val="21"/>
                <w:highlight w:val="none"/>
                <w:u w:val="none"/>
                <w:lang w:val="en-US" w:eastAsia="zh-CN" w:bidi="ar"/>
              </w:rPr>
              <w:br w:type="textWrapping"/>
            </w:r>
            <w:r>
              <w:rPr>
                <w:rFonts w:hint="eastAsia" w:ascii="宋体" w:hAnsi="宋体" w:eastAsia="宋体" w:cs="宋体"/>
                <w:b/>
                <w:bCs/>
                <w:i w:val="0"/>
                <w:iCs w:val="0"/>
                <w:color w:val="auto"/>
                <w:kern w:val="0"/>
                <w:sz w:val="21"/>
                <w:szCs w:val="21"/>
                <w:highlight w:val="none"/>
                <w:u w:val="none"/>
                <w:lang w:val="en-US" w:eastAsia="zh-CN" w:bidi="ar"/>
              </w:rPr>
              <w:t>（1）无特殊说明外，以上评审项，同一证明文件不重复计分。</w:t>
            </w:r>
            <w:r>
              <w:rPr>
                <w:rFonts w:hint="eastAsia" w:ascii="宋体" w:hAnsi="宋体" w:eastAsia="宋体" w:cs="宋体"/>
                <w:b/>
                <w:bCs/>
                <w:i w:val="0"/>
                <w:iCs w:val="0"/>
                <w:color w:val="auto"/>
                <w:kern w:val="0"/>
                <w:sz w:val="21"/>
                <w:szCs w:val="21"/>
                <w:highlight w:val="none"/>
                <w:u w:val="none"/>
                <w:lang w:val="en-US" w:eastAsia="zh-CN" w:bidi="ar"/>
              </w:rPr>
              <w:br w:type="textWrapping"/>
            </w:r>
            <w:r>
              <w:rPr>
                <w:rFonts w:hint="eastAsia" w:ascii="宋体" w:hAnsi="宋体" w:eastAsia="宋体" w:cs="宋体"/>
                <w:b/>
                <w:bCs/>
                <w:i w:val="0"/>
                <w:iCs w:val="0"/>
                <w:color w:val="auto"/>
                <w:kern w:val="0"/>
                <w:sz w:val="21"/>
                <w:szCs w:val="21"/>
                <w:highlight w:val="none"/>
                <w:u w:val="none"/>
                <w:lang w:val="en-US" w:eastAsia="zh-CN" w:bidi="ar"/>
              </w:rPr>
              <w:t>（2）投标人根据以上评分要求提供的投标材料因模糊不清导致评标委员会无法清晰辨认进行评审的，视为无效材料。</w:t>
            </w:r>
          </w:p>
        </w:tc>
      </w:tr>
      <w:tr w14:paraId="0785C6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jc w:val="center"/>
        </w:trPr>
        <w:tc>
          <w:tcPr>
            <w:tcW w:w="0" w:type="auto"/>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0B8A77DA">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价格评审（40分）</w:t>
            </w:r>
          </w:p>
        </w:tc>
      </w:tr>
      <w:tr w14:paraId="17BABA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300"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04BDD6A0">
            <w:pPr>
              <w:keepNext w:val="0"/>
              <w:keepLines w:val="0"/>
              <w:widowControl/>
              <w:suppressLineNumbers w:val="0"/>
              <w:spacing w:line="240" w:lineRule="auto"/>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4D6001A4">
            <w:pPr>
              <w:keepNext w:val="0"/>
              <w:keepLines w:val="0"/>
              <w:widowControl/>
              <w:suppressLineNumbers w:val="0"/>
              <w:spacing w:line="240" w:lineRule="auto"/>
              <w:jc w:val="both"/>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投标总价</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4DAF2A30">
            <w:pPr>
              <w:keepNext w:val="0"/>
              <w:keepLines w:val="0"/>
              <w:widowControl/>
              <w:suppressLineNumbers w:val="0"/>
              <w:spacing w:line="240" w:lineRule="auto"/>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40</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14:paraId="29788A0F">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1"/>
                <w:szCs w:val="21"/>
                <w:highlight w:val="none"/>
                <w:u w:val="none"/>
                <w:lang w:val="en-US" w:eastAsia="zh-CN" w:bidi="ar"/>
              </w:rPr>
              <w:t>价格分计算方法：满足采购文件要求且含税暂定总价最低的投标报价为评标基准价，其价格分为满分。其他投标人的价格分统一按照下列公式计算：</w:t>
            </w:r>
          </w:p>
          <w:p w14:paraId="0B61B725">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420" w:firstLineChars="200"/>
              <w:jc w:val="both"/>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投标报价得分=(评标基准价／投标报价)×价格权重</w:t>
            </w:r>
          </w:p>
        </w:tc>
      </w:tr>
    </w:tbl>
    <w:p w14:paraId="27171D2C">
      <w:pPr>
        <w:rPr>
          <w:rFonts w:hint="eastAsia"/>
          <w:color w:val="auto"/>
          <w:highlight w:val="none"/>
        </w:rPr>
      </w:pPr>
    </w:p>
    <w:p w14:paraId="5322B11B">
      <w:pPr>
        <w:ind w:firstLine="420" w:firstLineChars="200"/>
        <w:rPr>
          <w:color w:val="auto"/>
          <w:highlight w:val="none"/>
        </w:rPr>
      </w:pPr>
      <w:r>
        <w:rPr>
          <w:rFonts w:hint="eastAsia"/>
          <w:color w:val="auto"/>
          <w:highlight w:val="none"/>
        </w:rPr>
        <w:br w:type="page"/>
      </w:r>
    </w:p>
    <w:p w14:paraId="5C01A0F2">
      <w:pPr>
        <w:pStyle w:val="4"/>
        <w:spacing w:before="0" w:after="0" w:line="240" w:lineRule="auto"/>
        <w:rPr>
          <w:color w:val="auto"/>
          <w:sz w:val="36"/>
          <w:szCs w:val="36"/>
          <w:highlight w:val="none"/>
        </w:rPr>
      </w:pPr>
      <w:bookmarkStart w:id="5" w:name="_Toc462"/>
      <w:r>
        <w:rPr>
          <w:rFonts w:hint="eastAsia"/>
          <w:color w:val="auto"/>
          <w:sz w:val="28"/>
          <w:szCs w:val="28"/>
          <w:highlight w:val="none"/>
        </w:rPr>
        <w:t>第三部分用户需求书</w:t>
      </w:r>
      <w:bookmarkEnd w:id="5"/>
    </w:p>
    <w:p w14:paraId="3728B8CF">
      <w:pPr>
        <w:pStyle w:val="5"/>
        <w:spacing w:before="0" w:after="0" w:line="360" w:lineRule="auto"/>
        <w:jc w:val="center"/>
        <w:rPr>
          <w:rFonts w:ascii="宋体" w:hAnsi="宋体"/>
          <w:color w:val="auto"/>
          <w:highlight w:val="none"/>
        </w:rPr>
      </w:pPr>
      <w:bookmarkStart w:id="6" w:name="_Toc1593"/>
      <w:bookmarkStart w:id="7" w:name="_Toc23668"/>
      <w:bookmarkStart w:id="8" w:name="_Toc308786492"/>
      <w:bookmarkStart w:id="9" w:name="_Toc13112"/>
      <w:bookmarkStart w:id="10" w:name="_Toc14462"/>
      <w:bookmarkStart w:id="11" w:name="_Toc31278"/>
      <w:bookmarkStart w:id="12" w:name="_Toc24679"/>
      <w:r>
        <w:rPr>
          <w:rFonts w:hint="eastAsia" w:ascii="宋体" w:hAnsi="宋体"/>
          <w:color w:val="auto"/>
          <w:highlight w:val="none"/>
        </w:rPr>
        <w:t>第一章 商务需求书</w:t>
      </w:r>
      <w:bookmarkEnd w:id="6"/>
      <w:bookmarkEnd w:id="7"/>
    </w:p>
    <w:tbl>
      <w:tblPr>
        <w:tblStyle w:val="30"/>
        <w:tblW w:w="8685"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718"/>
        <w:gridCol w:w="1501"/>
        <w:gridCol w:w="6466"/>
      </w:tblGrid>
      <w:tr w14:paraId="188CB8E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718" w:type="dxa"/>
            <w:vAlign w:val="center"/>
          </w:tcPr>
          <w:p w14:paraId="664B8A0E">
            <w:pPr>
              <w:keepNext w:val="0"/>
              <w:keepLines w:val="0"/>
              <w:pageBreakBefore w:val="0"/>
              <w:kinsoku/>
              <w:wordWrap/>
              <w:overflowPunct/>
              <w:topLinePunct w:val="0"/>
              <w:autoSpaceDE/>
              <w:autoSpaceDN/>
              <w:bidi w:val="0"/>
              <w:spacing w:line="240" w:lineRule="auto"/>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序号</w:t>
            </w:r>
          </w:p>
        </w:tc>
        <w:tc>
          <w:tcPr>
            <w:tcW w:w="1501" w:type="dxa"/>
            <w:vAlign w:val="center"/>
          </w:tcPr>
          <w:p w14:paraId="712A1294">
            <w:pPr>
              <w:keepNext w:val="0"/>
              <w:keepLines w:val="0"/>
              <w:pageBreakBefore w:val="0"/>
              <w:kinsoku/>
              <w:wordWrap/>
              <w:overflowPunct/>
              <w:topLinePunct w:val="0"/>
              <w:autoSpaceDE/>
              <w:autoSpaceDN/>
              <w:bidi w:val="0"/>
              <w:spacing w:line="240" w:lineRule="auto"/>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条款名称</w:t>
            </w:r>
          </w:p>
        </w:tc>
        <w:tc>
          <w:tcPr>
            <w:tcW w:w="6466" w:type="dxa"/>
            <w:vAlign w:val="center"/>
          </w:tcPr>
          <w:p w14:paraId="01F0923E">
            <w:pPr>
              <w:keepNext w:val="0"/>
              <w:keepLines w:val="0"/>
              <w:pageBreakBefore w:val="0"/>
              <w:kinsoku/>
              <w:wordWrap/>
              <w:overflowPunct/>
              <w:topLinePunct w:val="0"/>
              <w:autoSpaceDE/>
              <w:autoSpaceDN/>
              <w:bidi w:val="0"/>
              <w:spacing w:line="240" w:lineRule="auto"/>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说  明</w:t>
            </w:r>
          </w:p>
        </w:tc>
      </w:tr>
      <w:tr w14:paraId="2520E96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41" w:hRule="atLeast"/>
        </w:trPr>
        <w:tc>
          <w:tcPr>
            <w:tcW w:w="718" w:type="dxa"/>
            <w:vAlign w:val="center"/>
          </w:tcPr>
          <w:p w14:paraId="4FA76388">
            <w:pPr>
              <w:keepNext w:val="0"/>
              <w:keepLines w:val="0"/>
              <w:pageBreakBefore w:val="0"/>
              <w:kinsoku/>
              <w:wordWrap/>
              <w:overflowPunct/>
              <w:topLinePunct w:val="0"/>
              <w:autoSpaceDE/>
              <w:autoSpaceDN/>
              <w:bidi w:val="0"/>
              <w:spacing w:line="240" w:lineRule="auto"/>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w:t>
            </w:r>
          </w:p>
        </w:tc>
        <w:tc>
          <w:tcPr>
            <w:tcW w:w="1501" w:type="dxa"/>
            <w:vAlign w:val="center"/>
          </w:tcPr>
          <w:p w14:paraId="1CA7035E">
            <w:pPr>
              <w:keepNext w:val="0"/>
              <w:keepLines w:val="0"/>
              <w:pageBreakBefore w:val="0"/>
              <w:kinsoku/>
              <w:wordWrap/>
              <w:overflowPunct/>
              <w:topLinePunct w:val="0"/>
              <w:autoSpaceDE/>
              <w:autoSpaceDN/>
              <w:bidi w:val="0"/>
              <w:spacing w:line="240" w:lineRule="auto"/>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合格投标人</w:t>
            </w:r>
          </w:p>
        </w:tc>
        <w:tc>
          <w:tcPr>
            <w:tcW w:w="6466" w:type="dxa"/>
            <w:vAlign w:val="center"/>
          </w:tcPr>
          <w:p w14:paraId="4D4F3341">
            <w:pPr>
              <w:pStyle w:val="41"/>
              <w:keepNext w:val="0"/>
              <w:keepLines w:val="0"/>
              <w:pageBreakBefore w:val="0"/>
              <w:kinsoku/>
              <w:wordWrap/>
              <w:overflowPunct/>
              <w:topLinePunct w:val="0"/>
              <w:autoSpaceDE/>
              <w:autoSpaceDN/>
              <w:bidi w:val="0"/>
              <w:spacing w:line="240" w:lineRule="auto"/>
              <w:textAlignment w:val="auto"/>
              <w:rPr>
                <w:rFonts w:hint="eastAsia" w:ascii="宋体" w:hAnsi="宋体" w:eastAsia="宋体" w:cs="宋体"/>
                <w:bCs/>
                <w:color w:val="auto"/>
                <w:kern w:val="44"/>
                <w:sz w:val="21"/>
                <w:szCs w:val="21"/>
                <w:highlight w:val="none"/>
              </w:rPr>
            </w:pPr>
            <w:r>
              <w:rPr>
                <w:rFonts w:hint="eastAsia" w:ascii="宋体" w:hAnsi="宋体" w:eastAsia="宋体" w:cs="宋体"/>
                <w:color w:val="auto"/>
                <w:sz w:val="21"/>
                <w:szCs w:val="21"/>
                <w:highlight w:val="none"/>
              </w:rPr>
              <w:t>详见“第一部分 投标邀请”中“二、投标人资格要求”</w:t>
            </w:r>
          </w:p>
        </w:tc>
      </w:tr>
      <w:tr w14:paraId="3808E15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41" w:hRule="atLeast"/>
        </w:trPr>
        <w:tc>
          <w:tcPr>
            <w:tcW w:w="718" w:type="dxa"/>
            <w:vAlign w:val="center"/>
          </w:tcPr>
          <w:p w14:paraId="6FC31E6B">
            <w:pPr>
              <w:keepNext w:val="0"/>
              <w:keepLines w:val="0"/>
              <w:pageBreakBefore w:val="0"/>
              <w:kinsoku/>
              <w:wordWrap/>
              <w:overflowPunct/>
              <w:topLinePunct w:val="0"/>
              <w:autoSpaceDE/>
              <w:autoSpaceDN/>
              <w:bidi w:val="0"/>
              <w:spacing w:line="240" w:lineRule="auto"/>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w:t>
            </w:r>
          </w:p>
        </w:tc>
        <w:tc>
          <w:tcPr>
            <w:tcW w:w="1501" w:type="dxa"/>
            <w:vAlign w:val="center"/>
          </w:tcPr>
          <w:p w14:paraId="247AD07B">
            <w:pPr>
              <w:keepNext w:val="0"/>
              <w:keepLines w:val="0"/>
              <w:pageBreakBefore w:val="0"/>
              <w:kinsoku/>
              <w:wordWrap/>
              <w:overflowPunct/>
              <w:topLinePunct w:val="0"/>
              <w:autoSpaceDE/>
              <w:autoSpaceDN/>
              <w:bidi w:val="0"/>
              <w:spacing w:line="240" w:lineRule="auto"/>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服务期</w:t>
            </w:r>
          </w:p>
        </w:tc>
        <w:tc>
          <w:tcPr>
            <w:tcW w:w="6466" w:type="dxa"/>
            <w:vAlign w:val="center"/>
          </w:tcPr>
          <w:p w14:paraId="4BEBFACD">
            <w:pPr>
              <w:pStyle w:val="38"/>
              <w:keepNext w:val="0"/>
              <w:keepLines w:val="0"/>
              <w:pageBreakBefore w:val="0"/>
              <w:kinsoku/>
              <w:wordWrap/>
              <w:overflowPunct/>
              <w:topLinePunct w:val="0"/>
              <w:autoSpaceDE/>
              <w:autoSpaceDN/>
              <w:bidi w:val="0"/>
              <w:spacing w:line="240" w:lineRule="auto"/>
              <w:ind w:firstLine="400"/>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合同服务期限自签订运输服务合同之日起一年。</w:t>
            </w:r>
          </w:p>
        </w:tc>
      </w:tr>
      <w:tr w14:paraId="4A36986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41" w:hRule="atLeast"/>
        </w:trPr>
        <w:tc>
          <w:tcPr>
            <w:tcW w:w="718" w:type="dxa"/>
            <w:vAlign w:val="center"/>
          </w:tcPr>
          <w:p w14:paraId="06423F50">
            <w:pPr>
              <w:keepNext w:val="0"/>
              <w:keepLines w:val="0"/>
              <w:pageBreakBefore w:val="0"/>
              <w:kinsoku/>
              <w:wordWrap/>
              <w:overflowPunct/>
              <w:topLinePunct w:val="0"/>
              <w:autoSpaceDE/>
              <w:autoSpaceDN/>
              <w:bidi w:val="0"/>
              <w:spacing w:line="240" w:lineRule="auto"/>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3</w:t>
            </w:r>
          </w:p>
        </w:tc>
        <w:tc>
          <w:tcPr>
            <w:tcW w:w="1501" w:type="dxa"/>
            <w:vAlign w:val="center"/>
          </w:tcPr>
          <w:p w14:paraId="2E6C08E6">
            <w:pPr>
              <w:keepNext w:val="0"/>
              <w:keepLines w:val="0"/>
              <w:pageBreakBefore w:val="0"/>
              <w:kinsoku/>
              <w:wordWrap/>
              <w:overflowPunct/>
              <w:topLinePunct w:val="0"/>
              <w:autoSpaceDE/>
              <w:autoSpaceDN/>
              <w:bidi w:val="0"/>
              <w:spacing w:line="240" w:lineRule="auto"/>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结算方式</w:t>
            </w:r>
          </w:p>
        </w:tc>
        <w:tc>
          <w:tcPr>
            <w:tcW w:w="6466" w:type="dxa"/>
            <w:vAlign w:val="center"/>
          </w:tcPr>
          <w:p w14:paraId="7BB39A04">
            <w:pPr>
              <w:pStyle w:val="38"/>
              <w:keepNext w:val="0"/>
              <w:keepLines w:val="0"/>
              <w:pageBreakBefore w:val="0"/>
              <w:kinsoku/>
              <w:wordWrap/>
              <w:overflowPunct/>
              <w:topLinePunct w:val="0"/>
              <w:autoSpaceDE/>
              <w:autoSpaceDN/>
              <w:bidi w:val="0"/>
              <w:spacing w:line="240" w:lineRule="auto"/>
              <w:ind w:firstLine="400"/>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按周提交电子版对账数据，按月结算运输费，以《危险废物运输费单价表》为计费基准，结合当月实际各区域、车型、派出车次的情况，根据《运输杂费及计费规则》《运输单位搬运费分级标准》据实核算相应的运输杂费等，并扣除《东莞市新东欣环保投资有限公司承运单位违规行为处罚条款》处罚款项，经甲方和乙方核实无误后，计算出当月实际结算费用，即当月实际结算费用=当月实际产生运输费用+运输杂费-处罚款项。</w:t>
            </w:r>
          </w:p>
        </w:tc>
      </w:tr>
      <w:tr w14:paraId="414EAE4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18" w:hRule="atLeast"/>
        </w:trPr>
        <w:tc>
          <w:tcPr>
            <w:tcW w:w="718" w:type="dxa"/>
            <w:vAlign w:val="center"/>
          </w:tcPr>
          <w:p w14:paraId="1B7A96FD">
            <w:pPr>
              <w:keepNext w:val="0"/>
              <w:keepLines w:val="0"/>
              <w:pageBreakBefore w:val="0"/>
              <w:kinsoku/>
              <w:wordWrap/>
              <w:overflowPunct/>
              <w:topLinePunct w:val="0"/>
              <w:autoSpaceDE/>
              <w:autoSpaceDN/>
              <w:bidi w:val="0"/>
              <w:spacing w:line="240" w:lineRule="auto"/>
              <w:jc w:val="center"/>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val="en-US" w:eastAsia="zh-CN"/>
              </w:rPr>
              <w:t>4</w:t>
            </w:r>
          </w:p>
        </w:tc>
        <w:tc>
          <w:tcPr>
            <w:tcW w:w="1501" w:type="dxa"/>
            <w:vAlign w:val="center"/>
          </w:tcPr>
          <w:p w14:paraId="137DBA98">
            <w:pPr>
              <w:keepNext w:val="0"/>
              <w:keepLines w:val="0"/>
              <w:pageBreakBefore w:val="0"/>
              <w:kinsoku/>
              <w:wordWrap/>
              <w:overflowPunct/>
              <w:topLinePunct w:val="0"/>
              <w:autoSpaceDE/>
              <w:autoSpaceDN/>
              <w:bidi w:val="0"/>
              <w:spacing w:line="240" w:lineRule="auto"/>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付款方式</w:t>
            </w:r>
          </w:p>
        </w:tc>
        <w:tc>
          <w:tcPr>
            <w:tcW w:w="6466" w:type="dxa"/>
            <w:vAlign w:val="center"/>
          </w:tcPr>
          <w:p w14:paraId="6AF5BF3E">
            <w:pPr>
              <w:keepNext w:val="0"/>
              <w:keepLines w:val="0"/>
              <w:pageBreakBefore w:val="0"/>
              <w:kinsoku/>
              <w:wordWrap/>
              <w:overflowPunct/>
              <w:topLinePunct w:val="0"/>
              <w:autoSpaceDE/>
              <w:autoSpaceDN/>
              <w:bidi w:val="0"/>
              <w:spacing w:line="24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1.成交人25日前提交本月运费盖章版对账单及对应承运单、装卸水印照片等凭证并发出请款需求，采购人收到请款资料并核实无误后，成交人在5个工作日内开出9%增值税专用服务发票。</w:t>
            </w:r>
          </w:p>
          <w:p w14:paraId="071F0C78">
            <w:pPr>
              <w:keepNext w:val="0"/>
              <w:keepLines w:val="0"/>
              <w:pageBreakBefore w:val="0"/>
              <w:kinsoku/>
              <w:wordWrap/>
              <w:overflowPunct/>
              <w:topLinePunct w:val="0"/>
              <w:autoSpaceDE/>
              <w:autoSpaceDN/>
              <w:bidi w:val="0"/>
              <w:spacing w:line="24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2.采购人在收到成交人发票后十五个工作内将运输服务费支付给成交人。支付方式仅限于双方签约运输服务合同所列公司银行账号进行公对公银行转账。</w:t>
            </w:r>
          </w:p>
          <w:p w14:paraId="713CF56D">
            <w:pPr>
              <w:keepNext w:val="0"/>
              <w:keepLines w:val="0"/>
              <w:pageBreakBefore w:val="0"/>
              <w:kinsoku/>
              <w:wordWrap/>
              <w:overflowPunct/>
              <w:topLinePunct w:val="0"/>
              <w:autoSpaceDE/>
              <w:autoSpaceDN/>
              <w:bidi w:val="0"/>
              <w:spacing w:line="24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3.成交人延迟提交对账资料的，招采购人按应付期限延期一个月支付运输费用。</w:t>
            </w:r>
          </w:p>
        </w:tc>
      </w:tr>
      <w:tr w14:paraId="02C4A02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41" w:hRule="atLeast"/>
        </w:trPr>
        <w:tc>
          <w:tcPr>
            <w:tcW w:w="718" w:type="dxa"/>
            <w:vAlign w:val="center"/>
          </w:tcPr>
          <w:p w14:paraId="2E8ED9DF">
            <w:pPr>
              <w:keepNext w:val="0"/>
              <w:keepLines w:val="0"/>
              <w:pageBreakBefore w:val="0"/>
              <w:kinsoku/>
              <w:wordWrap/>
              <w:overflowPunct/>
              <w:topLinePunct w:val="0"/>
              <w:autoSpaceDE/>
              <w:autoSpaceDN/>
              <w:bidi w:val="0"/>
              <w:spacing w:line="240" w:lineRule="auto"/>
              <w:jc w:val="center"/>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val="en-US" w:eastAsia="zh-CN"/>
              </w:rPr>
              <w:t>5</w:t>
            </w:r>
          </w:p>
        </w:tc>
        <w:tc>
          <w:tcPr>
            <w:tcW w:w="1501" w:type="dxa"/>
            <w:vAlign w:val="center"/>
          </w:tcPr>
          <w:p w14:paraId="646FABAC">
            <w:pPr>
              <w:keepNext w:val="0"/>
              <w:keepLines w:val="0"/>
              <w:pageBreakBefore w:val="0"/>
              <w:kinsoku/>
              <w:wordWrap/>
              <w:overflowPunct/>
              <w:topLinePunct w:val="0"/>
              <w:autoSpaceDE/>
              <w:autoSpaceDN/>
              <w:bidi w:val="0"/>
              <w:spacing w:line="240" w:lineRule="auto"/>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项目地点</w:t>
            </w:r>
          </w:p>
        </w:tc>
        <w:tc>
          <w:tcPr>
            <w:tcW w:w="6466" w:type="dxa"/>
            <w:vAlign w:val="center"/>
          </w:tcPr>
          <w:p w14:paraId="0FEFDA1A">
            <w:pPr>
              <w:keepNext w:val="0"/>
              <w:keepLines w:val="0"/>
              <w:pageBreakBefore w:val="0"/>
              <w:kinsoku/>
              <w:wordWrap/>
              <w:overflowPunct/>
              <w:topLinePunct w:val="0"/>
              <w:autoSpaceDE/>
              <w:autoSpaceDN/>
              <w:bidi w:val="0"/>
              <w:spacing w:line="24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采购人指定地点。</w:t>
            </w:r>
          </w:p>
        </w:tc>
      </w:tr>
      <w:tr w14:paraId="60D9D18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276" w:hRule="atLeast"/>
        </w:trPr>
        <w:tc>
          <w:tcPr>
            <w:tcW w:w="718" w:type="dxa"/>
            <w:vAlign w:val="center"/>
          </w:tcPr>
          <w:p w14:paraId="65049147">
            <w:pPr>
              <w:keepNext w:val="0"/>
              <w:keepLines w:val="0"/>
              <w:pageBreakBefore w:val="0"/>
              <w:kinsoku/>
              <w:wordWrap/>
              <w:overflowPunct/>
              <w:topLinePunct w:val="0"/>
              <w:autoSpaceDE/>
              <w:autoSpaceDN/>
              <w:bidi w:val="0"/>
              <w:spacing w:line="240" w:lineRule="auto"/>
              <w:jc w:val="center"/>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val="en-US" w:eastAsia="zh-CN"/>
              </w:rPr>
              <w:t>6</w:t>
            </w:r>
          </w:p>
        </w:tc>
        <w:tc>
          <w:tcPr>
            <w:tcW w:w="1501" w:type="dxa"/>
            <w:vAlign w:val="center"/>
          </w:tcPr>
          <w:p w14:paraId="2469E232">
            <w:pPr>
              <w:keepNext w:val="0"/>
              <w:keepLines w:val="0"/>
              <w:pageBreakBefore w:val="0"/>
              <w:kinsoku/>
              <w:wordWrap/>
              <w:overflowPunct/>
              <w:topLinePunct w:val="0"/>
              <w:autoSpaceDE/>
              <w:autoSpaceDN/>
              <w:bidi w:val="0"/>
              <w:spacing w:line="240" w:lineRule="auto"/>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报价要求</w:t>
            </w:r>
          </w:p>
        </w:tc>
        <w:tc>
          <w:tcPr>
            <w:tcW w:w="6466" w:type="dxa"/>
            <w:vAlign w:val="center"/>
          </w:tcPr>
          <w:p w14:paraId="688021CA">
            <w:pPr>
              <w:keepNext w:val="0"/>
              <w:keepLines w:val="0"/>
              <w:pageBreakBefore w:val="0"/>
              <w:widowControl w:val="0"/>
              <w:kinsoku/>
              <w:wordWrap/>
              <w:overflowPunct/>
              <w:topLinePunct w:val="0"/>
              <w:autoSpaceDE/>
              <w:autoSpaceDN/>
              <w:bidi w:val="0"/>
              <w:adjustRightInd/>
              <w:snapToGrid/>
              <w:spacing w:line="240" w:lineRule="auto"/>
              <w:ind w:firstLineChars="200"/>
              <w:jc w:val="both"/>
              <w:textAlignment w:val="auto"/>
              <w:outlineLvl w:val="9"/>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rPr>
              <w:t>投标报价应包括本次采购所有服务内容的费用，包括但不限于人工、</w:t>
            </w:r>
            <w:r>
              <w:rPr>
                <w:rFonts w:hint="eastAsia" w:ascii="宋体" w:hAnsi="宋体" w:eastAsia="宋体" w:cs="宋体"/>
                <w:color w:val="auto"/>
                <w:sz w:val="21"/>
                <w:szCs w:val="21"/>
                <w:highlight w:val="none"/>
                <w:lang w:val="en-US" w:eastAsia="zh-CN"/>
              </w:rPr>
              <w:t>油料、保险（含人员及车辆保险等）、车辆维修保养</w:t>
            </w:r>
            <w:r>
              <w:rPr>
                <w:rFonts w:hint="eastAsia" w:ascii="宋体" w:hAnsi="宋体" w:eastAsia="宋体" w:cs="宋体"/>
                <w:color w:val="auto"/>
                <w:sz w:val="21"/>
                <w:szCs w:val="21"/>
                <w:highlight w:val="none"/>
              </w:rPr>
              <w:t>、成本、利润、措施费、税费以及合同实施过程中的不可预见费用等全部费用</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但不含运输杂费及搬运费等，运输杂费及搬运费根据</w:t>
            </w:r>
            <w:r>
              <w:rPr>
                <w:rFonts w:hint="eastAsia" w:ascii="宋体" w:hAnsi="宋体" w:eastAsia="宋体" w:cs="宋体"/>
                <w:b w:val="0"/>
                <w:bCs w:val="0"/>
                <w:color w:val="auto"/>
                <w:sz w:val="21"/>
                <w:szCs w:val="21"/>
                <w:highlight w:val="none"/>
                <w:lang w:val="en-US" w:eastAsia="zh-CN"/>
              </w:rPr>
              <w:t>合同</w:t>
            </w:r>
            <w:r>
              <w:rPr>
                <w:rFonts w:hint="eastAsia" w:ascii="宋体" w:hAnsi="宋体" w:eastAsia="宋体" w:cs="宋体"/>
                <w:color w:val="auto"/>
                <w:sz w:val="21"/>
                <w:szCs w:val="21"/>
                <w:highlight w:val="none"/>
              </w:rPr>
              <w:t>附件4《运输杂费及计费规则》和</w:t>
            </w:r>
            <w:r>
              <w:rPr>
                <w:rFonts w:hint="eastAsia" w:ascii="宋体" w:hAnsi="宋体" w:eastAsia="宋体" w:cs="宋体"/>
                <w:b w:val="0"/>
                <w:bCs w:val="0"/>
                <w:color w:val="auto"/>
                <w:sz w:val="21"/>
                <w:szCs w:val="21"/>
                <w:highlight w:val="none"/>
                <w:lang w:val="en-US" w:eastAsia="zh-CN"/>
              </w:rPr>
              <w:t>合同</w:t>
            </w:r>
            <w:r>
              <w:rPr>
                <w:rFonts w:hint="eastAsia" w:ascii="宋体" w:hAnsi="宋体" w:eastAsia="宋体" w:cs="宋体"/>
                <w:color w:val="auto"/>
                <w:sz w:val="21"/>
                <w:szCs w:val="21"/>
                <w:highlight w:val="none"/>
              </w:rPr>
              <w:t>附件7《运输单位搬运费分级标准》据实结算</w:t>
            </w:r>
            <w:r>
              <w:rPr>
                <w:rFonts w:hint="eastAsia" w:ascii="宋体" w:hAnsi="宋体" w:eastAsia="宋体" w:cs="宋体"/>
                <w:color w:val="auto"/>
                <w:sz w:val="21"/>
                <w:szCs w:val="21"/>
                <w:highlight w:val="none"/>
                <w:lang w:eastAsia="zh-CN"/>
              </w:rPr>
              <w:t>。</w:t>
            </w:r>
          </w:p>
          <w:p w14:paraId="345B6AB1">
            <w:pPr>
              <w:pStyle w:val="9"/>
              <w:keepNext w:val="0"/>
              <w:keepLines w:val="0"/>
              <w:pageBreakBefore w:val="0"/>
              <w:kinsoku/>
              <w:wordWrap/>
              <w:overflowPunct/>
              <w:topLinePunct w:val="0"/>
              <w:autoSpaceDE/>
              <w:autoSpaceDN/>
              <w:bidi w:val="0"/>
              <w:spacing w:line="24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本项目采用固定单价暂定总价方式报价，</w:t>
            </w:r>
            <w:r>
              <w:rPr>
                <w:rFonts w:hint="eastAsia" w:ascii="宋体" w:hAnsi="宋体" w:cs="宋体"/>
                <w:color w:val="auto"/>
                <w:sz w:val="21"/>
                <w:szCs w:val="21"/>
                <w:highlight w:val="none"/>
                <w:lang w:eastAsia="zh-CN"/>
              </w:rPr>
              <w:t>投标人</w:t>
            </w:r>
            <w:r>
              <w:rPr>
                <w:rFonts w:hint="eastAsia" w:ascii="宋体" w:hAnsi="宋体" w:eastAsia="宋体" w:cs="宋体"/>
                <w:color w:val="auto"/>
                <w:sz w:val="21"/>
                <w:szCs w:val="21"/>
                <w:highlight w:val="none"/>
              </w:rPr>
              <w:t>必须根据附件《</w:t>
            </w:r>
            <w:r>
              <w:rPr>
                <w:rFonts w:hint="eastAsia" w:ascii="宋体" w:hAnsi="宋体" w:eastAsia="宋体" w:cs="宋体"/>
                <w:color w:val="auto"/>
                <w:sz w:val="21"/>
                <w:szCs w:val="21"/>
                <w:highlight w:val="none"/>
                <w:lang w:val="en-US" w:eastAsia="zh-CN"/>
              </w:rPr>
              <w:t>危险废物运输费单价表</w:t>
            </w:r>
            <w:r>
              <w:rPr>
                <w:rFonts w:hint="eastAsia" w:ascii="宋体" w:hAnsi="宋体" w:eastAsia="宋体" w:cs="宋体"/>
                <w:color w:val="auto"/>
                <w:sz w:val="21"/>
                <w:szCs w:val="21"/>
                <w:highlight w:val="none"/>
              </w:rPr>
              <w:t>》规定的各标段、各区域、各车型的单价限价（元/车次）范围内进行报价（报价为含税价且保留至个位数），并结合相应的预计车次计算出暂定总价（含税价），即某标段所有区域各车型供应商所投运输单价报价与对应预计次数的乘积之和；</w:t>
            </w:r>
            <w:r>
              <w:rPr>
                <w:rFonts w:hint="eastAsia" w:ascii="宋体" w:hAnsi="宋体" w:cs="宋体"/>
                <w:color w:val="auto"/>
                <w:sz w:val="21"/>
                <w:szCs w:val="21"/>
                <w:highlight w:val="none"/>
                <w:lang w:eastAsia="zh-CN"/>
              </w:rPr>
              <w:t>投标人</w:t>
            </w:r>
            <w:r>
              <w:rPr>
                <w:rFonts w:hint="eastAsia" w:ascii="宋体" w:hAnsi="宋体" w:eastAsia="宋体" w:cs="宋体"/>
                <w:color w:val="auto"/>
                <w:sz w:val="21"/>
                <w:szCs w:val="21"/>
                <w:highlight w:val="none"/>
              </w:rPr>
              <w:t>必须严格按照附件《</w:t>
            </w:r>
            <w:r>
              <w:rPr>
                <w:rFonts w:hint="eastAsia" w:ascii="宋体" w:hAnsi="宋体" w:eastAsia="宋体" w:cs="宋体"/>
                <w:color w:val="auto"/>
                <w:sz w:val="21"/>
                <w:szCs w:val="21"/>
                <w:highlight w:val="none"/>
                <w:lang w:val="en-US" w:eastAsia="zh-CN"/>
              </w:rPr>
              <w:t>危险废物运输费单价表</w:t>
            </w:r>
            <w:r>
              <w:rPr>
                <w:rFonts w:hint="eastAsia" w:ascii="宋体" w:hAnsi="宋体" w:eastAsia="宋体" w:cs="宋体"/>
                <w:color w:val="auto"/>
                <w:sz w:val="21"/>
                <w:szCs w:val="21"/>
                <w:highlight w:val="none"/>
              </w:rPr>
              <w:t>》进行填写，漏写、错写或报价超过单价限价的，将被视为非实质性响应而予以投标无效处理。</w:t>
            </w:r>
          </w:p>
        </w:tc>
      </w:tr>
      <w:tr w14:paraId="0DA6B55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811" w:hRule="atLeast"/>
        </w:trPr>
        <w:tc>
          <w:tcPr>
            <w:tcW w:w="718" w:type="dxa"/>
            <w:vAlign w:val="center"/>
          </w:tcPr>
          <w:p w14:paraId="5753074F">
            <w:pPr>
              <w:keepNext w:val="0"/>
              <w:keepLines w:val="0"/>
              <w:pageBreakBefore w:val="0"/>
              <w:kinsoku/>
              <w:wordWrap/>
              <w:overflowPunct/>
              <w:topLinePunct w:val="0"/>
              <w:autoSpaceDE/>
              <w:autoSpaceDN/>
              <w:bidi w:val="0"/>
              <w:spacing w:line="240" w:lineRule="auto"/>
              <w:jc w:val="center"/>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val="en-US" w:eastAsia="zh-CN"/>
              </w:rPr>
              <w:t>7</w:t>
            </w:r>
          </w:p>
        </w:tc>
        <w:tc>
          <w:tcPr>
            <w:tcW w:w="1501" w:type="dxa"/>
            <w:vAlign w:val="center"/>
          </w:tcPr>
          <w:p w14:paraId="0FD3DEEB">
            <w:pPr>
              <w:keepNext w:val="0"/>
              <w:keepLines w:val="0"/>
              <w:pageBreakBefore w:val="0"/>
              <w:kinsoku/>
              <w:wordWrap/>
              <w:overflowPunct/>
              <w:topLinePunct w:val="0"/>
              <w:autoSpaceDE/>
              <w:autoSpaceDN/>
              <w:bidi w:val="0"/>
              <w:spacing w:line="240" w:lineRule="auto"/>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投标有效期</w:t>
            </w:r>
          </w:p>
        </w:tc>
        <w:tc>
          <w:tcPr>
            <w:tcW w:w="6466" w:type="dxa"/>
            <w:vAlign w:val="center"/>
          </w:tcPr>
          <w:p w14:paraId="763A8D0F">
            <w:pPr>
              <w:keepNext w:val="0"/>
              <w:keepLines w:val="0"/>
              <w:pageBreakBefore w:val="0"/>
              <w:tabs>
                <w:tab w:val="center" w:pos="3125"/>
              </w:tabs>
              <w:kinsoku/>
              <w:wordWrap/>
              <w:overflowPunct/>
              <w:topLinePunct w:val="0"/>
              <w:autoSpaceDE/>
              <w:autoSpaceDN/>
              <w:bidi w:val="0"/>
              <w:spacing w:line="24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自开标之日起90天。</w:t>
            </w:r>
          </w:p>
        </w:tc>
      </w:tr>
      <w:tr w14:paraId="79EB88F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876" w:hRule="atLeast"/>
        </w:trPr>
        <w:tc>
          <w:tcPr>
            <w:tcW w:w="718" w:type="dxa"/>
            <w:vAlign w:val="center"/>
          </w:tcPr>
          <w:p w14:paraId="56CE7635">
            <w:pPr>
              <w:keepNext w:val="0"/>
              <w:keepLines w:val="0"/>
              <w:pageBreakBefore w:val="0"/>
              <w:kinsoku/>
              <w:wordWrap/>
              <w:overflowPunct/>
              <w:topLinePunct w:val="0"/>
              <w:autoSpaceDE/>
              <w:autoSpaceDN/>
              <w:bidi w:val="0"/>
              <w:spacing w:line="240" w:lineRule="auto"/>
              <w:jc w:val="center"/>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val="en-US" w:eastAsia="zh-CN"/>
              </w:rPr>
              <w:t>8</w:t>
            </w:r>
          </w:p>
        </w:tc>
        <w:tc>
          <w:tcPr>
            <w:tcW w:w="1501" w:type="dxa"/>
            <w:vAlign w:val="center"/>
          </w:tcPr>
          <w:p w14:paraId="050F23DC">
            <w:pPr>
              <w:keepNext w:val="0"/>
              <w:keepLines w:val="0"/>
              <w:pageBreakBefore w:val="0"/>
              <w:kinsoku/>
              <w:wordWrap/>
              <w:overflowPunct/>
              <w:topLinePunct w:val="0"/>
              <w:autoSpaceDE/>
              <w:autoSpaceDN/>
              <w:bidi w:val="0"/>
              <w:spacing w:line="240" w:lineRule="auto"/>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合同条款</w:t>
            </w:r>
          </w:p>
        </w:tc>
        <w:tc>
          <w:tcPr>
            <w:tcW w:w="6466" w:type="dxa"/>
            <w:vAlign w:val="center"/>
          </w:tcPr>
          <w:p w14:paraId="3F8B27DC">
            <w:pPr>
              <w:keepNext w:val="0"/>
              <w:keepLines w:val="0"/>
              <w:pageBreakBefore w:val="0"/>
              <w:kinsoku/>
              <w:wordWrap/>
              <w:overflowPunct/>
              <w:topLinePunct w:val="0"/>
              <w:autoSpaceDE/>
              <w:autoSpaceDN/>
              <w:bidi w:val="0"/>
              <w:spacing w:line="24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投标人实质响应合同各条款。</w:t>
            </w:r>
          </w:p>
        </w:tc>
      </w:tr>
    </w:tbl>
    <w:p w14:paraId="35E36FA6">
      <w:pPr>
        <w:rPr>
          <w:rFonts w:ascii="宋体" w:hAnsi="宋体"/>
          <w:color w:val="auto"/>
          <w:highlight w:val="none"/>
        </w:rPr>
      </w:pPr>
      <w:bookmarkStart w:id="13" w:name="_Toc19316"/>
      <w:r>
        <w:rPr>
          <w:rFonts w:hint="eastAsia" w:ascii="宋体" w:hAnsi="宋体"/>
          <w:color w:val="auto"/>
          <w:highlight w:val="none"/>
        </w:rPr>
        <w:br w:type="page"/>
      </w:r>
    </w:p>
    <w:p w14:paraId="3D7F310B">
      <w:pPr>
        <w:pStyle w:val="5"/>
        <w:spacing w:before="0" w:after="0" w:line="360" w:lineRule="auto"/>
        <w:jc w:val="center"/>
        <w:rPr>
          <w:color w:val="auto"/>
          <w:highlight w:val="none"/>
        </w:rPr>
      </w:pPr>
      <w:bookmarkStart w:id="14" w:name="_Toc25642"/>
      <w:r>
        <w:rPr>
          <w:rFonts w:hint="eastAsia" w:ascii="宋体" w:hAnsi="宋体"/>
          <w:color w:val="auto"/>
          <w:highlight w:val="none"/>
        </w:rPr>
        <w:t>第二章 技术需求书</w:t>
      </w:r>
      <w:bookmarkEnd w:id="13"/>
      <w:bookmarkEnd w:id="14"/>
    </w:p>
    <w:bookmarkEnd w:id="8"/>
    <w:p w14:paraId="43B790B2">
      <w:pPr>
        <w:keepNext w:val="0"/>
        <w:keepLines w:val="0"/>
        <w:pageBreakBefore w:val="0"/>
        <w:widowControl w:val="0"/>
        <w:kinsoku/>
        <w:wordWrap/>
        <w:overflowPunct/>
        <w:topLinePunct w:val="0"/>
        <w:autoSpaceDE/>
        <w:autoSpaceDN/>
        <w:bidi w:val="0"/>
        <w:adjustRightInd/>
        <w:snapToGrid/>
        <w:spacing w:line="460" w:lineRule="exact"/>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海心沙绿色工业服务项目自2020年12月24日顺利取得《危险废物经营许可证》起，已持续有序开展各项危废处理经营业务。为满足客户危险废物运输、贮存、处置一体化服务需求。为保障本项目运输工作安全、高效开展，我司需再次启动新一轮 “东莞市新东欣环保投资有限公司危险废物运输服务项目（莞惠区域）”采购工作；继续委托有危险废物运输资质且能提高质量服务的运输单位进行危废运输工作。现将相关情况介绍如下：</w:t>
      </w:r>
    </w:p>
    <w:p w14:paraId="50FF883D">
      <w:pPr>
        <w:keepNext w:val="0"/>
        <w:keepLines w:val="0"/>
        <w:pageBreakBefore w:val="0"/>
        <w:widowControl w:val="0"/>
        <w:kinsoku/>
        <w:wordWrap/>
        <w:overflowPunct/>
        <w:topLinePunct w:val="0"/>
        <w:autoSpaceDE/>
        <w:autoSpaceDN/>
        <w:bidi w:val="0"/>
        <w:adjustRightInd/>
        <w:snapToGrid/>
        <w:spacing w:line="460" w:lineRule="exact"/>
        <w:ind w:firstLine="422" w:firstLineChars="200"/>
        <w:jc w:val="both"/>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一、项目概况</w:t>
      </w:r>
    </w:p>
    <w:p w14:paraId="2175F40B">
      <w:pPr>
        <w:keepNext w:val="0"/>
        <w:keepLines w:val="0"/>
        <w:pageBreakBefore w:val="0"/>
        <w:widowControl w:val="0"/>
        <w:kinsoku/>
        <w:wordWrap/>
        <w:overflowPunct/>
        <w:topLinePunct w:val="0"/>
        <w:autoSpaceDE/>
        <w:autoSpaceDN/>
        <w:bidi w:val="0"/>
        <w:adjustRightInd/>
        <w:snapToGrid/>
        <w:spacing w:line="460" w:lineRule="exact"/>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东莞市新东欣环保投资有限公司（以下简称“我司”）成立于2018年4月，位于东莞市麻涌镇与洪梅镇交界的海心沙岛，是东莞市国有企业东实集团旗下环保产业的全资子公司，主要负责东莞市海心沙绿色工业服务项目（危险废物处置项目）的建设运营，业务涵盖危险废物处理处置、收集/暂存、综合利用，以及环境监测、技术咨询与服务。项目可暂存及处理38大类危险废物，处理能力共计</w:t>
      </w:r>
      <w:r>
        <w:rPr>
          <w:rFonts w:hint="eastAsia" w:ascii="宋体" w:hAnsi="宋体" w:eastAsia="宋体" w:cs="宋体"/>
          <w:color w:val="auto"/>
          <w:sz w:val="21"/>
          <w:szCs w:val="21"/>
          <w:highlight w:val="none"/>
          <w:lang w:val="en-US" w:eastAsia="zh-CN"/>
        </w:rPr>
        <w:t>32.309</w:t>
      </w:r>
      <w:r>
        <w:rPr>
          <w:rFonts w:hint="eastAsia" w:ascii="宋体" w:hAnsi="宋体" w:eastAsia="宋体" w:cs="宋体"/>
          <w:color w:val="auto"/>
          <w:sz w:val="21"/>
          <w:szCs w:val="21"/>
          <w:highlight w:val="none"/>
        </w:rPr>
        <w:t>万吨/年（包括：危险废物焚烧处置6万吨/年、工业废水物化处理</w:t>
      </w:r>
      <w:r>
        <w:rPr>
          <w:rFonts w:hint="eastAsia" w:ascii="宋体" w:hAnsi="宋体" w:eastAsia="宋体" w:cs="宋体"/>
          <w:color w:val="auto"/>
          <w:sz w:val="21"/>
          <w:szCs w:val="21"/>
          <w:highlight w:val="none"/>
          <w:lang w:val="en-US" w:eastAsia="zh-CN"/>
        </w:rPr>
        <w:t>5</w:t>
      </w:r>
      <w:r>
        <w:rPr>
          <w:rFonts w:hint="eastAsia" w:ascii="宋体" w:hAnsi="宋体" w:eastAsia="宋体" w:cs="宋体"/>
          <w:color w:val="auto"/>
          <w:sz w:val="21"/>
          <w:szCs w:val="21"/>
          <w:highlight w:val="none"/>
        </w:rPr>
        <w:t>万吨/年、废酸资源化0.5万/年</w:t>
      </w:r>
      <w:r>
        <w:rPr>
          <w:rFonts w:hint="eastAsia" w:ascii="宋体" w:hAnsi="宋体" w:eastAsia="宋体" w:cs="宋体"/>
          <w:color w:val="auto"/>
          <w:sz w:val="21"/>
          <w:szCs w:val="21"/>
          <w:highlight w:val="none"/>
          <w:lang w:eastAsia="zh-CN"/>
        </w:rPr>
        <w:t>、包装桶清洗0.24万</w:t>
      </w:r>
      <w:r>
        <w:rPr>
          <w:rFonts w:hint="eastAsia" w:ascii="宋体" w:hAnsi="宋体" w:eastAsia="宋体" w:cs="宋体"/>
          <w:color w:val="auto"/>
          <w:sz w:val="21"/>
          <w:szCs w:val="21"/>
          <w:highlight w:val="none"/>
        </w:rPr>
        <w:t>/年</w:t>
      </w:r>
      <w:r>
        <w:rPr>
          <w:rFonts w:hint="eastAsia" w:ascii="宋体" w:hAnsi="宋体" w:eastAsia="宋体" w:cs="宋体"/>
          <w:color w:val="auto"/>
          <w:sz w:val="21"/>
          <w:szCs w:val="21"/>
          <w:highlight w:val="none"/>
          <w:lang w:eastAsia="zh-CN"/>
        </w:rPr>
        <w:t>、电池、灯管收集300吨</w:t>
      </w:r>
      <w:r>
        <w:rPr>
          <w:rFonts w:hint="eastAsia" w:ascii="宋体" w:hAnsi="宋体" w:eastAsia="宋体" w:cs="宋体"/>
          <w:color w:val="auto"/>
          <w:sz w:val="21"/>
          <w:szCs w:val="21"/>
          <w:highlight w:val="none"/>
        </w:rPr>
        <w:t>/年</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表面处理废物火法冶炼13.3万吨/年、</w:t>
      </w:r>
      <w:r>
        <w:rPr>
          <w:rFonts w:hint="eastAsia" w:ascii="宋体" w:hAnsi="宋体" w:eastAsia="宋体" w:cs="宋体"/>
          <w:color w:val="auto"/>
          <w:sz w:val="21"/>
          <w:szCs w:val="21"/>
          <w:highlight w:val="none"/>
          <w:lang w:val="en-US" w:eastAsia="zh-CN"/>
        </w:rPr>
        <w:t>铝灰渣1万吨</w:t>
      </w:r>
      <w:r>
        <w:rPr>
          <w:rFonts w:hint="eastAsia" w:ascii="宋体" w:hAnsi="宋体" w:eastAsia="宋体" w:cs="宋体"/>
          <w:color w:val="auto"/>
          <w:sz w:val="21"/>
          <w:szCs w:val="21"/>
          <w:highlight w:val="none"/>
        </w:rPr>
        <w:t>/年</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废矿物油综合利用5万吨/年、收集暂存资质1.239万吨/年）。</w:t>
      </w:r>
    </w:p>
    <w:p w14:paraId="3D82882E">
      <w:pPr>
        <w:keepNext w:val="0"/>
        <w:keepLines w:val="0"/>
        <w:pageBreakBefore w:val="0"/>
        <w:widowControl w:val="0"/>
        <w:kinsoku/>
        <w:wordWrap/>
        <w:overflowPunct/>
        <w:topLinePunct w:val="0"/>
        <w:autoSpaceDE/>
        <w:autoSpaceDN/>
        <w:bidi w:val="0"/>
        <w:adjustRightInd/>
        <w:snapToGrid/>
        <w:spacing w:line="460" w:lineRule="exact"/>
        <w:ind w:firstLine="422" w:firstLineChars="200"/>
        <w:jc w:val="both"/>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二、服务内容</w:t>
      </w:r>
    </w:p>
    <w:p w14:paraId="1C4A840C">
      <w:pPr>
        <w:keepNext w:val="0"/>
        <w:keepLines w:val="0"/>
        <w:pageBreakBefore w:val="0"/>
        <w:widowControl w:val="0"/>
        <w:kinsoku/>
        <w:wordWrap/>
        <w:overflowPunct/>
        <w:topLinePunct w:val="0"/>
        <w:autoSpaceDE/>
        <w:autoSpaceDN/>
        <w:bidi w:val="0"/>
        <w:adjustRightInd/>
        <w:snapToGrid/>
        <w:spacing w:line="460" w:lineRule="exact"/>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成交单位与我司签订《危险废物运输服务合同》，接受我司委托，为我司提供安全、准确、合规、高效的危险废物运输服务。我司根据《危险废物运输服务合同》及其附件，对运输服务进行考核并支付运输服务费用。</w:t>
      </w:r>
    </w:p>
    <w:p w14:paraId="1A25684C">
      <w:pPr>
        <w:keepNext w:val="0"/>
        <w:keepLines w:val="0"/>
        <w:pageBreakBefore w:val="0"/>
        <w:widowControl w:val="0"/>
        <w:kinsoku/>
        <w:wordWrap/>
        <w:overflowPunct/>
        <w:topLinePunct w:val="0"/>
        <w:autoSpaceDE/>
        <w:autoSpaceDN/>
        <w:bidi w:val="0"/>
        <w:adjustRightInd/>
        <w:snapToGrid/>
        <w:spacing w:line="460" w:lineRule="exact"/>
        <w:ind w:firstLine="422" w:firstLineChars="200"/>
        <w:jc w:val="both"/>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三、服务承接范围</w:t>
      </w:r>
    </w:p>
    <w:p w14:paraId="23842614">
      <w:pPr>
        <w:keepNext w:val="0"/>
        <w:keepLines w:val="0"/>
        <w:pageBreakBefore w:val="0"/>
        <w:widowControl w:val="0"/>
        <w:kinsoku/>
        <w:wordWrap/>
        <w:overflowPunct/>
        <w:topLinePunct w:val="0"/>
        <w:autoSpaceDE/>
        <w:autoSpaceDN/>
        <w:bidi w:val="0"/>
        <w:adjustRightInd/>
        <w:snapToGrid/>
        <w:spacing w:line="460" w:lineRule="exact"/>
        <w:ind w:firstLine="422" w:firstLineChars="200"/>
        <w:jc w:val="both"/>
        <w:textAlignment w:val="auto"/>
        <w:rPr>
          <w:rFonts w:hint="eastAsia" w:ascii="宋体" w:hAnsi="宋体" w:eastAsia="宋体" w:cs="宋体"/>
          <w:b/>
          <w:bCs/>
          <w:color w:val="auto"/>
          <w:sz w:val="21"/>
          <w:szCs w:val="21"/>
          <w:highlight w:val="none"/>
          <w:lang w:val="en-US" w:eastAsia="zh-CN"/>
        </w:rPr>
      </w:pPr>
      <w:r>
        <w:rPr>
          <w:rFonts w:hint="eastAsia" w:ascii="宋体" w:hAnsi="宋体" w:eastAsia="宋体" w:cs="宋体"/>
          <w:b/>
          <w:bCs/>
          <w:color w:val="auto"/>
          <w:sz w:val="21"/>
          <w:szCs w:val="21"/>
          <w:highlight w:val="none"/>
        </w:rPr>
        <w:t>（一）区域划分</w:t>
      </w:r>
      <w:r>
        <w:rPr>
          <w:rFonts w:hint="eastAsia" w:ascii="宋体" w:hAnsi="宋体" w:eastAsia="宋体" w:cs="宋体"/>
          <w:b/>
          <w:bCs/>
          <w:color w:val="auto"/>
          <w:sz w:val="21"/>
          <w:szCs w:val="21"/>
          <w:highlight w:val="none"/>
          <w:lang w:eastAsia="zh-CN"/>
        </w:rPr>
        <w:t>、</w:t>
      </w:r>
      <w:r>
        <w:rPr>
          <w:rFonts w:hint="eastAsia" w:ascii="宋体" w:hAnsi="宋体" w:eastAsia="宋体" w:cs="宋体"/>
          <w:b/>
          <w:bCs/>
          <w:color w:val="auto"/>
          <w:sz w:val="21"/>
          <w:szCs w:val="21"/>
          <w:highlight w:val="none"/>
        </w:rPr>
        <w:t>预算</w:t>
      </w:r>
    </w:p>
    <w:p w14:paraId="017D2748">
      <w:pPr>
        <w:keepNext w:val="0"/>
        <w:keepLines w:val="0"/>
        <w:pageBreakBefore w:val="0"/>
        <w:widowControl w:val="0"/>
        <w:kinsoku/>
        <w:wordWrap/>
        <w:overflowPunct/>
        <w:topLinePunct w:val="0"/>
        <w:autoSpaceDE/>
        <w:autoSpaceDN/>
        <w:bidi w:val="0"/>
        <w:adjustRightInd/>
        <w:snapToGrid/>
        <w:spacing w:line="460" w:lineRule="exact"/>
        <w:ind w:firstLine="422" w:firstLineChars="200"/>
        <w:jc w:val="both"/>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1</w:t>
      </w:r>
      <w:r>
        <w:rPr>
          <w:rFonts w:hint="eastAsia" w:ascii="宋体" w:hAnsi="宋体" w:eastAsia="宋体" w:cs="宋体"/>
          <w:b/>
          <w:bCs/>
          <w:color w:val="auto"/>
          <w:sz w:val="21"/>
          <w:szCs w:val="21"/>
          <w:highlight w:val="none"/>
          <w:lang w:eastAsia="zh-CN"/>
        </w:rPr>
        <w:t>.</w:t>
      </w:r>
      <w:r>
        <w:rPr>
          <w:rFonts w:hint="eastAsia" w:ascii="宋体" w:hAnsi="宋体" w:eastAsia="宋体" w:cs="宋体"/>
          <w:b/>
          <w:bCs/>
          <w:color w:val="auto"/>
          <w:sz w:val="21"/>
          <w:szCs w:val="21"/>
          <w:highlight w:val="none"/>
        </w:rPr>
        <w:t>项目范围</w:t>
      </w:r>
    </w:p>
    <w:p w14:paraId="57B806B2">
      <w:pPr>
        <w:keepNext w:val="0"/>
        <w:keepLines w:val="0"/>
        <w:pageBreakBefore w:val="0"/>
        <w:widowControl w:val="0"/>
        <w:kinsoku/>
        <w:wordWrap/>
        <w:overflowPunct/>
        <w:topLinePunct w:val="0"/>
        <w:autoSpaceDE/>
        <w:autoSpaceDN/>
        <w:bidi w:val="0"/>
        <w:adjustRightInd/>
        <w:snapToGrid/>
        <w:spacing w:line="460" w:lineRule="exact"/>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成交人负责</w:t>
      </w:r>
      <w:r>
        <w:rPr>
          <w:rFonts w:hint="eastAsia" w:ascii="宋体" w:hAnsi="宋体" w:eastAsia="宋体" w:cs="宋体"/>
          <w:color w:val="auto"/>
          <w:sz w:val="21"/>
          <w:szCs w:val="21"/>
          <w:highlight w:val="none"/>
          <w:lang w:val="en-US" w:eastAsia="zh-CN"/>
        </w:rPr>
        <w:t>莞惠</w:t>
      </w:r>
      <w:r>
        <w:rPr>
          <w:rFonts w:hint="eastAsia" w:ascii="宋体" w:hAnsi="宋体" w:eastAsia="宋体" w:cs="宋体"/>
          <w:color w:val="auto"/>
          <w:sz w:val="21"/>
          <w:szCs w:val="21"/>
          <w:highlight w:val="none"/>
        </w:rPr>
        <w:t>区域</w:t>
      </w:r>
      <w:r>
        <w:rPr>
          <w:rFonts w:hint="eastAsia" w:ascii="宋体" w:hAnsi="宋体" w:eastAsia="宋体" w:cs="宋体"/>
          <w:color w:val="auto"/>
          <w:sz w:val="21"/>
          <w:szCs w:val="21"/>
          <w:highlight w:val="none"/>
          <w:lang w:val="en-US" w:eastAsia="zh-CN"/>
        </w:rPr>
        <w:t>厢车</w:t>
      </w:r>
      <w:r>
        <w:rPr>
          <w:rFonts w:hint="eastAsia" w:ascii="宋体" w:hAnsi="宋体" w:eastAsia="宋体" w:cs="宋体"/>
          <w:color w:val="auto"/>
          <w:sz w:val="21"/>
          <w:szCs w:val="21"/>
          <w:highlight w:val="none"/>
        </w:rPr>
        <w:t>运输服务，具体区域划分详见附件1《</w:t>
      </w:r>
      <w:r>
        <w:rPr>
          <w:rFonts w:hint="eastAsia" w:ascii="宋体" w:hAnsi="宋体" w:eastAsia="宋体" w:cs="宋体"/>
          <w:color w:val="auto"/>
          <w:sz w:val="21"/>
          <w:szCs w:val="21"/>
          <w:highlight w:val="none"/>
          <w:lang w:val="en-US" w:eastAsia="zh-CN"/>
        </w:rPr>
        <w:t>莞惠区域详细报价区域</w:t>
      </w:r>
      <w:r>
        <w:rPr>
          <w:rFonts w:hint="eastAsia" w:ascii="宋体" w:hAnsi="宋体" w:eastAsia="宋体" w:cs="宋体"/>
          <w:color w:val="auto"/>
          <w:sz w:val="21"/>
          <w:szCs w:val="21"/>
          <w:highlight w:val="none"/>
        </w:rPr>
        <w:t>》，划分如下：</w:t>
      </w:r>
    </w:p>
    <w:tbl>
      <w:tblPr>
        <w:tblStyle w:val="30"/>
        <w:tblW w:w="4999" w:type="pct"/>
        <w:tblInd w:w="0" w:type="dxa"/>
        <w:tblLayout w:type="autofit"/>
        <w:tblCellMar>
          <w:top w:w="0" w:type="dxa"/>
          <w:left w:w="108" w:type="dxa"/>
          <w:bottom w:w="0" w:type="dxa"/>
          <w:right w:w="108" w:type="dxa"/>
        </w:tblCellMar>
      </w:tblPr>
      <w:tblGrid>
        <w:gridCol w:w="934"/>
        <w:gridCol w:w="1396"/>
        <w:gridCol w:w="6190"/>
      </w:tblGrid>
      <w:tr w14:paraId="2CBAD04B">
        <w:tblPrEx>
          <w:tblCellMar>
            <w:top w:w="0" w:type="dxa"/>
            <w:left w:w="108" w:type="dxa"/>
            <w:bottom w:w="0" w:type="dxa"/>
            <w:right w:w="108" w:type="dxa"/>
          </w:tblCellMar>
        </w:tblPrEx>
        <w:trPr>
          <w:trHeight w:val="600" w:hRule="atLeast"/>
        </w:trPr>
        <w:tc>
          <w:tcPr>
            <w:tcW w:w="5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3FE058">
            <w:pPr>
              <w:keepNext w:val="0"/>
              <w:keepLines w:val="0"/>
              <w:pageBreakBefore w:val="0"/>
              <w:widowControl/>
              <w:kinsoku/>
              <w:wordWrap/>
              <w:overflowPunct/>
              <w:topLinePunct w:val="0"/>
              <w:autoSpaceDE/>
              <w:autoSpaceDN/>
              <w:bidi w:val="0"/>
              <w:adjustRightInd/>
              <w:snapToGrid/>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车型</w:t>
            </w:r>
          </w:p>
        </w:tc>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C20A7E">
            <w:pPr>
              <w:keepNext w:val="0"/>
              <w:keepLines w:val="0"/>
              <w:pageBreakBefore w:val="0"/>
              <w:widowControl/>
              <w:kinsoku/>
              <w:wordWrap/>
              <w:overflowPunct/>
              <w:topLinePunct w:val="0"/>
              <w:autoSpaceDE/>
              <w:autoSpaceDN/>
              <w:bidi w:val="0"/>
              <w:adjustRightInd/>
              <w:snapToGrid/>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采购区域</w:t>
            </w:r>
          </w:p>
        </w:tc>
        <w:tc>
          <w:tcPr>
            <w:tcW w:w="363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6ECBF6">
            <w:pPr>
              <w:keepNext w:val="0"/>
              <w:keepLines w:val="0"/>
              <w:pageBreakBefore w:val="0"/>
              <w:widowControl/>
              <w:kinsoku/>
              <w:wordWrap/>
              <w:overflowPunct/>
              <w:topLinePunct w:val="0"/>
              <w:autoSpaceDE/>
              <w:autoSpaceDN/>
              <w:bidi w:val="0"/>
              <w:adjustRightInd/>
              <w:snapToGrid/>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详细说明</w:t>
            </w:r>
          </w:p>
        </w:tc>
      </w:tr>
      <w:tr w14:paraId="32F8CC8F">
        <w:tblPrEx>
          <w:tblCellMar>
            <w:top w:w="0" w:type="dxa"/>
            <w:left w:w="108" w:type="dxa"/>
            <w:bottom w:w="0" w:type="dxa"/>
            <w:right w:w="108" w:type="dxa"/>
          </w:tblCellMar>
        </w:tblPrEx>
        <w:trPr>
          <w:trHeight w:val="437" w:hRule="atLeast"/>
        </w:trPr>
        <w:tc>
          <w:tcPr>
            <w:tcW w:w="5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23A708">
            <w:pPr>
              <w:keepNext w:val="0"/>
              <w:keepLines w:val="0"/>
              <w:pageBreakBefore w:val="0"/>
              <w:kinsoku/>
              <w:wordWrap/>
              <w:overflowPunct/>
              <w:topLinePunct w:val="0"/>
              <w:autoSpaceDE/>
              <w:autoSpaceDN/>
              <w:bidi w:val="0"/>
              <w:adjustRightInd/>
              <w:snapToGrid/>
              <w:jc w:val="center"/>
              <w:rPr>
                <w:rFonts w:hint="eastAsia" w:ascii="宋体" w:hAnsi="宋体" w:eastAsia="宋体" w:cs="宋体"/>
                <w:b/>
                <w:bCs/>
                <w:color w:val="auto"/>
                <w:sz w:val="21"/>
                <w:szCs w:val="21"/>
                <w:highlight w:val="none"/>
                <w:lang w:val="en-US" w:eastAsia="zh-CN"/>
              </w:rPr>
            </w:pPr>
            <w:r>
              <w:rPr>
                <w:rFonts w:hint="eastAsia" w:ascii="宋体" w:hAnsi="宋体" w:eastAsia="宋体" w:cs="宋体"/>
                <w:b/>
                <w:bCs/>
                <w:color w:val="auto"/>
                <w:sz w:val="21"/>
                <w:szCs w:val="21"/>
                <w:highlight w:val="none"/>
                <w:lang w:val="en-US" w:eastAsia="zh-CN"/>
              </w:rPr>
              <w:t>厢车</w:t>
            </w:r>
          </w:p>
        </w:tc>
        <w:tc>
          <w:tcPr>
            <w:tcW w:w="8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9BCB46">
            <w:pPr>
              <w:keepNext w:val="0"/>
              <w:keepLines w:val="0"/>
              <w:pageBreakBefore w:val="0"/>
              <w:widowControl/>
              <w:kinsoku/>
              <w:wordWrap/>
              <w:overflowPunct/>
              <w:topLinePunct w:val="0"/>
              <w:autoSpaceDE/>
              <w:autoSpaceDN/>
              <w:bidi w:val="0"/>
              <w:adjustRightInd/>
              <w:snapToGrid/>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莞惠区域</w:t>
            </w:r>
          </w:p>
        </w:tc>
        <w:tc>
          <w:tcPr>
            <w:tcW w:w="36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BB6BBD">
            <w:pPr>
              <w:keepNext w:val="0"/>
              <w:keepLines w:val="0"/>
              <w:pageBreakBefore w:val="0"/>
              <w:widowControl/>
              <w:kinsoku/>
              <w:wordWrap/>
              <w:overflowPunct/>
              <w:topLinePunct w:val="0"/>
              <w:autoSpaceDE/>
              <w:autoSpaceDN/>
              <w:bidi w:val="0"/>
              <w:adjustRightInd/>
              <w:snapToGrid/>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东莞、惠州（含以上城市限行区）</w:t>
            </w:r>
          </w:p>
        </w:tc>
      </w:tr>
    </w:tbl>
    <w:p w14:paraId="1F483EB0">
      <w:pPr>
        <w:keepNext w:val="0"/>
        <w:keepLines w:val="0"/>
        <w:pageBreakBefore w:val="0"/>
        <w:widowControl w:val="0"/>
        <w:kinsoku/>
        <w:wordWrap/>
        <w:overflowPunct/>
        <w:topLinePunct w:val="0"/>
        <w:autoSpaceDE/>
        <w:autoSpaceDN/>
        <w:bidi w:val="0"/>
        <w:adjustRightInd/>
        <w:snapToGrid/>
        <w:spacing w:line="460" w:lineRule="exact"/>
        <w:ind w:firstLine="422" w:firstLineChars="200"/>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2</w:t>
      </w:r>
      <w:r>
        <w:rPr>
          <w:rFonts w:hint="eastAsia" w:ascii="宋体" w:hAnsi="宋体" w:eastAsia="宋体" w:cs="宋体"/>
          <w:b/>
          <w:bCs/>
          <w:color w:val="auto"/>
          <w:sz w:val="21"/>
          <w:szCs w:val="21"/>
          <w:highlight w:val="none"/>
          <w:lang w:eastAsia="zh-CN"/>
        </w:rPr>
        <w:t>.</w:t>
      </w:r>
      <w:r>
        <w:rPr>
          <w:rFonts w:hint="eastAsia" w:ascii="宋体" w:hAnsi="宋体" w:eastAsia="宋体" w:cs="宋体"/>
          <w:b/>
          <w:bCs/>
          <w:color w:val="auto"/>
          <w:sz w:val="21"/>
          <w:szCs w:val="21"/>
          <w:highlight w:val="none"/>
        </w:rPr>
        <w:t>采购预算</w:t>
      </w:r>
    </w:p>
    <w:p w14:paraId="4E9A95F4">
      <w:pPr>
        <w:keepNext w:val="0"/>
        <w:keepLines w:val="0"/>
        <w:pageBreakBefore w:val="0"/>
        <w:widowControl w:val="0"/>
        <w:kinsoku/>
        <w:wordWrap/>
        <w:overflowPunct/>
        <w:topLinePunct w:val="0"/>
        <w:autoSpaceDE/>
        <w:autoSpaceDN/>
        <w:bidi w:val="0"/>
        <w:adjustRightInd/>
        <w:snapToGrid/>
        <w:spacing w:line="460" w:lineRule="exact"/>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本次采购自签订合同</w:t>
      </w:r>
      <w:r>
        <w:rPr>
          <w:rFonts w:hint="eastAsia" w:ascii="宋体" w:hAnsi="宋体" w:cs="宋体"/>
          <w:color w:val="auto"/>
          <w:sz w:val="21"/>
          <w:szCs w:val="21"/>
          <w:highlight w:val="none"/>
          <w:lang w:val="en-US" w:eastAsia="zh-CN"/>
        </w:rPr>
        <w:t>1</w:t>
      </w:r>
      <w:r>
        <w:rPr>
          <w:rFonts w:hint="eastAsia" w:ascii="宋体" w:hAnsi="宋体" w:eastAsia="宋体" w:cs="宋体"/>
          <w:color w:val="auto"/>
          <w:sz w:val="21"/>
          <w:szCs w:val="21"/>
          <w:highlight w:val="none"/>
        </w:rPr>
        <w:t>年，综合测评的本次招采购</w:t>
      </w:r>
      <w:r>
        <w:rPr>
          <w:rFonts w:hint="eastAsia" w:ascii="宋体" w:hAnsi="宋体" w:cs="宋体"/>
          <w:color w:val="auto"/>
          <w:sz w:val="21"/>
          <w:szCs w:val="21"/>
          <w:highlight w:val="none"/>
          <w:lang w:val="en-US" w:eastAsia="zh-CN"/>
        </w:rPr>
        <w:t>一</w:t>
      </w:r>
      <w:r>
        <w:rPr>
          <w:rFonts w:hint="eastAsia" w:ascii="宋体" w:hAnsi="宋体" w:eastAsia="宋体" w:cs="宋体"/>
          <w:color w:val="auto"/>
          <w:sz w:val="21"/>
          <w:szCs w:val="21"/>
          <w:highlight w:val="none"/>
          <w:lang w:val="en-US" w:eastAsia="zh-CN"/>
        </w:rPr>
        <w:t>年</w:t>
      </w:r>
      <w:r>
        <w:rPr>
          <w:rFonts w:hint="eastAsia" w:ascii="宋体" w:hAnsi="宋体" w:eastAsia="宋体" w:cs="宋体"/>
          <w:color w:val="auto"/>
          <w:sz w:val="21"/>
          <w:szCs w:val="21"/>
          <w:highlight w:val="none"/>
        </w:rPr>
        <w:t>预算约</w:t>
      </w:r>
      <w:r>
        <w:rPr>
          <w:rFonts w:hint="eastAsia" w:ascii="宋体" w:hAnsi="宋体" w:cs="宋体"/>
          <w:color w:val="auto"/>
          <w:sz w:val="21"/>
          <w:szCs w:val="21"/>
          <w:highlight w:val="none"/>
          <w:lang w:val="en-US" w:eastAsia="zh-CN"/>
        </w:rPr>
        <w:t>470</w:t>
      </w:r>
      <w:r>
        <w:rPr>
          <w:rFonts w:hint="eastAsia" w:ascii="宋体" w:hAnsi="宋体" w:eastAsia="宋体" w:cs="宋体"/>
          <w:color w:val="auto"/>
          <w:sz w:val="21"/>
          <w:szCs w:val="21"/>
          <w:highlight w:val="none"/>
        </w:rPr>
        <w:t>万元，采购区域的预算</w:t>
      </w:r>
      <w:r>
        <w:rPr>
          <w:rFonts w:hint="eastAsia" w:ascii="宋体" w:hAnsi="宋体" w:eastAsia="宋体" w:cs="宋体"/>
          <w:color w:val="auto"/>
          <w:sz w:val="21"/>
          <w:szCs w:val="21"/>
          <w:highlight w:val="none"/>
          <w:lang w:val="en-US" w:eastAsia="zh-CN"/>
        </w:rPr>
        <w:t>测算</w:t>
      </w:r>
      <w:r>
        <w:rPr>
          <w:rFonts w:hint="eastAsia" w:ascii="宋体" w:hAnsi="宋体" w:eastAsia="宋体" w:cs="宋体"/>
          <w:color w:val="auto"/>
          <w:sz w:val="21"/>
          <w:szCs w:val="21"/>
          <w:highlight w:val="none"/>
        </w:rPr>
        <w:t>如下所示：</w:t>
      </w:r>
    </w:p>
    <w:tbl>
      <w:tblPr>
        <w:tblStyle w:val="30"/>
        <w:tblW w:w="4998" w:type="pct"/>
        <w:tblInd w:w="0" w:type="dxa"/>
        <w:tblLayout w:type="autofit"/>
        <w:tblCellMar>
          <w:top w:w="0" w:type="dxa"/>
          <w:left w:w="108" w:type="dxa"/>
          <w:bottom w:w="0" w:type="dxa"/>
          <w:right w:w="108" w:type="dxa"/>
        </w:tblCellMar>
      </w:tblPr>
      <w:tblGrid>
        <w:gridCol w:w="808"/>
        <w:gridCol w:w="1367"/>
        <w:gridCol w:w="2487"/>
        <w:gridCol w:w="1928"/>
        <w:gridCol w:w="1929"/>
      </w:tblGrid>
      <w:tr w14:paraId="4F4FF0BF">
        <w:tblPrEx>
          <w:tblCellMar>
            <w:top w:w="0" w:type="dxa"/>
            <w:left w:w="108" w:type="dxa"/>
            <w:bottom w:w="0" w:type="dxa"/>
            <w:right w:w="108" w:type="dxa"/>
          </w:tblCellMar>
        </w:tblPrEx>
        <w:trPr>
          <w:trHeight w:val="600" w:hRule="atLeast"/>
          <w:tblHeader/>
        </w:trPr>
        <w:tc>
          <w:tcPr>
            <w:tcW w:w="4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9F1B6C">
            <w:pPr>
              <w:widowControl/>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车型</w:t>
            </w:r>
          </w:p>
        </w:tc>
        <w:tc>
          <w:tcPr>
            <w:tcW w:w="8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A930CA">
            <w:pPr>
              <w:widowControl/>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采购区域</w:t>
            </w:r>
          </w:p>
        </w:tc>
        <w:tc>
          <w:tcPr>
            <w:tcW w:w="145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14B88A">
            <w:pPr>
              <w:widowControl/>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区域预算（万元）</w:t>
            </w:r>
          </w:p>
        </w:tc>
        <w:tc>
          <w:tcPr>
            <w:tcW w:w="11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CF4755">
            <w:pPr>
              <w:widowControl/>
              <w:jc w:val="center"/>
              <w:textAlignment w:val="center"/>
              <w:rPr>
                <w:rFonts w:hint="eastAsia" w:ascii="宋体" w:hAnsi="宋体" w:eastAsia="宋体" w:cs="宋体"/>
                <w:b/>
                <w:bCs/>
                <w:color w:val="auto"/>
                <w:sz w:val="21"/>
                <w:szCs w:val="21"/>
                <w:highlight w:val="none"/>
                <w:lang w:val="en-US" w:eastAsia="zh-CN"/>
              </w:rPr>
            </w:pPr>
            <w:r>
              <w:rPr>
                <w:rFonts w:hint="eastAsia" w:ascii="宋体" w:hAnsi="宋体" w:eastAsia="宋体" w:cs="宋体"/>
                <w:b/>
                <w:bCs/>
                <w:color w:val="auto"/>
                <w:sz w:val="21"/>
                <w:szCs w:val="21"/>
                <w:highlight w:val="none"/>
                <w:lang w:val="en-US" w:eastAsia="zh-CN"/>
              </w:rPr>
              <w:t>合同期（年）</w:t>
            </w:r>
          </w:p>
        </w:tc>
        <w:tc>
          <w:tcPr>
            <w:tcW w:w="113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BB55D9">
            <w:pPr>
              <w:widowControl/>
              <w:jc w:val="center"/>
              <w:textAlignment w:val="center"/>
              <w:rPr>
                <w:rFonts w:hint="eastAsia" w:ascii="宋体" w:hAnsi="宋体" w:eastAsia="宋体" w:cs="宋体"/>
                <w:b/>
                <w:bCs/>
                <w:color w:val="auto"/>
                <w:sz w:val="21"/>
                <w:szCs w:val="21"/>
                <w:highlight w:val="none"/>
                <w:lang w:val="en-US" w:eastAsia="zh-CN"/>
              </w:rPr>
            </w:pPr>
            <w:r>
              <w:rPr>
                <w:rFonts w:hint="eastAsia" w:ascii="宋体" w:hAnsi="宋体" w:eastAsia="宋体" w:cs="宋体"/>
                <w:b/>
                <w:bCs/>
                <w:color w:val="auto"/>
                <w:sz w:val="21"/>
                <w:szCs w:val="21"/>
                <w:highlight w:val="none"/>
                <w:lang w:val="en-US" w:eastAsia="zh-CN"/>
              </w:rPr>
              <w:t>合计</w:t>
            </w:r>
            <w:r>
              <w:rPr>
                <w:rFonts w:hint="eastAsia" w:ascii="宋体" w:hAnsi="宋体" w:eastAsia="宋体" w:cs="宋体"/>
                <w:b/>
                <w:bCs/>
                <w:color w:val="auto"/>
                <w:sz w:val="21"/>
                <w:szCs w:val="21"/>
                <w:highlight w:val="none"/>
              </w:rPr>
              <w:t>（万元）</w:t>
            </w:r>
          </w:p>
        </w:tc>
      </w:tr>
      <w:tr w14:paraId="5CE48F47">
        <w:tblPrEx>
          <w:tblCellMar>
            <w:top w:w="0" w:type="dxa"/>
            <w:left w:w="108" w:type="dxa"/>
            <w:bottom w:w="0" w:type="dxa"/>
            <w:right w:w="108" w:type="dxa"/>
          </w:tblCellMar>
        </w:tblPrEx>
        <w:trPr>
          <w:trHeight w:val="466" w:hRule="atLeast"/>
        </w:trPr>
        <w:tc>
          <w:tcPr>
            <w:tcW w:w="4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AE9F1F">
            <w:pPr>
              <w:jc w:val="center"/>
              <w:rPr>
                <w:rFonts w:hint="eastAsia" w:ascii="宋体" w:hAnsi="宋体" w:eastAsia="宋体" w:cs="宋体"/>
                <w:b/>
                <w:bCs/>
                <w:color w:val="auto"/>
                <w:sz w:val="21"/>
                <w:szCs w:val="21"/>
                <w:highlight w:val="none"/>
                <w:lang w:val="en-US" w:eastAsia="zh-CN"/>
              </w:rPr>
            </w:pPr>
            <w:r>
              <w:rPr>
                <w:rFonts w:hint="eastAsia" w:ascii="宋体" w:hAnsi="宋体" w:eastAsia="宋体" w:cs="宋体"/>
                <w:b/>
                <w:bCs/>
                <w:color w:val="auto"/>
                <w:sz w:val="21"/>
                <w:szCs w:val="21"/>
                <w:highlight w:val="none"/>
                <w:lang w:val="en-US" w:eastAsia="zh-CN"/>
              </w:rPr>
              <w:t>厢车</w:t>
            </w:r>
          </w:p>
        </w:tc>
        <w:tc>
          <w:tcPr>
            <w:tcW w:w="80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CD4360">
            <w:pPr>
              <w:widowControl/>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莞惠区域</w:t>
            </w:r>
          </w:p>
        </w:tc>
        <w:tc>
          <w:tcPr>
            <w:tcW w:w="14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191FAF">
            <w:pPr>
              <w:keepNext w:val="0"/>
              <w:keepLines w:val="0"/>
              <w:widowControl/>
              <w:suppressLineNumbers w:val="0"/>
              <w:jc w:val="center"/>
              <w:textAlignment w:val="center"/>
              <w:rPr>
                <w:rFonts w:hint="eastAsia" w:ascii="宋体" w:hAnsi="宋体" w:eastAsia="宋体" w:cs="宋体"/>
                <w:color w:val="auto"/>
                <w:sz w:val="21"/>
                <w:szCs w:val="21"/>
                <w:highlight w:val="none"/>
                <w:lang w:val="en-US"/>
              </w:rPr>
            </w:pPr>
            <w:r>
              <w:rPr>
                <w:rFonts w:hint="eastAsia" w:ascii="宋体" w:hAnsi="宋体" w:eastAsia="宋体" w:cs="宋体"/>
                <w:i w:val="0"/>
                <w:iCs w:val="0"/>
                <w:color w:val="auto"/>
                <w:kern w:val="0"/>
                <w:sz w:val="21"/>
                <w:szCs w:val="21"/>
                <w:highlight w:val="none"/>
                <w:u w:val="none"/>
                <w:lang w:val="en-US" w:eastAsia="zh-CN" w:bidi="ar"/>
              </w:rPr>
              <w:t>470</w:t>
            </w:r>
          </w:p>
        </w:tc>
        <w:tc>
          <w:tcPr>
            <w:tcW w:w="11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E64420">
            <w:pPr>
              <w:keepNext w:val="0"/>
              <w:keepLines w:val="0"/>
              <w:widowControl/>
              <w:suppressLineNumbers w:val="0"/>
              <w:jc w:val="center"/>
              <w:textAlignment w:val="center"/>
              <w:rPr>
                <w:rFonts w:hint="eastAsia" w:ascii="宋体" w:hAnsi="宋体" w:eastAsia="宋体" w:cs="宋体"/>
                <w:i w:val="0"/>
                <w:iCs w:val="0"/>
                <w:color w:val="auto"/>
                <w:kern w:val="0"/>
                <w:sz w:val="21"/>
                <w:szCs w:val="21"/>
                <w:highlight w:val="none"/>
                <w:u w:val="none"/>
                <w:lang w:val="en-US" w:eastAsia="zh-CN" w:bidi="ar"/>
              </w:rPr>
            </w:pPr>
            <w:r>
              <w:rPr>
                <w:rFonts w:hint="eastAsia" w:ascii="宋体" w:hAnsi="宋体" w:cs="宋体"/>
                <w:i w:val="0"/>
                <w:iCs w:val="0"/>
                <w:color w:val="auto"/>
                <w:kern w:val="0"/>
                <w:sz w:val="21"/>
                <w:szCs w:val="21"/>
                <w:highlight w:val="none"/>
                <w:u w:val="none"/>
                <w:lang w:val="en-US" w:eastAsia="zh-CN" w:bidi="ar"/>
              </w:rPr>
              <w:t>1</w:t>
            </w:r>
          </w:p>
        </w:tc>
        <w:tc>
          <w:tcPr>
            <w:tcW w:w="11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F2086C">
            <w:pPr>
              <w:keepNext w:val="0"/>
              <w:keepLines w:val="0"/>
              <w:widowControl/>
              <w:suppressLineNumbers w:val="0"/>
              <w:jc w:val="center"/>
              <w:textAlignment w:val="center"/>
              <w:rPr>
                <w:rFonts w:hint="default" w:ascii="宋体" w:hAnsi="宋体" w:eastAsia="宋体" w:cs="宋体"/>
                <w:i w:val="0"/>
                <w:iCs w:val="0"/>
                <w:color w:val="auto"/>
                <w:kern w:val="0"/>
                <w:sz w:val="21"/>
                <w:szCs w:val="21"/>
                <w:highlight w:val="none"/>
                <w:u w:val="none"/>
                <w:lang w:val="en-US" w:eastAsia="zh-CN" w:bidi="ar"/>
              </w:rPr>
            </w:pPr>
            <w:r>
              <w:rPr>
                <w:rFonts w:hint="eastAsia" w:ascii="宋体" w:hAnsi="宋体" w:cs="宋体"/>
                <w:i w:val="0"/>
                <w:iCs w:val="0"/>
                <w:color w:val="auto"/>
                <w:kern w:val="0"/>
                <w:sz w:val="21"/>
                <w:szCs w:val="21"/>
                <w:highlight w:val="none"/>
                <w:u w:val="none"/>
                <w:lang w:val="en-US" w:eastAsia="zh-CN" w:bidi="ar"/>
              </w:rPr>
              <w:t>470</w:t>
            </w:r>
          </w:p>
        </w:tc>
      </w:tr>
    </w:tbl>
    <w:p w14:paraId="18ED2C37">
      <w:pPr>
        <w:keepNext w:val="0"/>
        <w:keepLines w:val="0"/>
        <w:pageBreakBefore w:val="0"/>
        <w:widowControl w:val="0"/>
        <w:kinsoku/>
        <w:wordWrap/>
        <w:overflowPunct/>
        <w:topLinePunct w:val="0"/>
        <w:autoSpaceDE/>
        <w:autoSpaceDN/>
        <w:bidi w:val="0"/>
        <w:adjustRightInd/>
        <w:snapToGrid/>
        <w:spacing w:line="440" w:lineRule="exact"/>
        <w:ind w:firstLine="422" w:firstLineChars="200"/>
        <w:jc w:val="both"/>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（二）采购说明</w:t>
      </w:r>
    </w:p>
    <w:p w14:paraId="38A8C167">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eastAsia" w:ascii="宋体" w:hAnsi="宋体" w:eastAsia="宋体" w:cs="宋体"/>
          <w:b/>
          <w:bCs/>
          <w:color w:val="auto"/>
          <w:sz w:val="21"/>
          <w:szCs w:val="21"/>
          <w:highlight w:val="none"/>
        </w:rPr>
      </w:pPr>
      <w:r>
        <w:rPr>
          <w:rFonts w:hint="eastAsia" w:ascii="宋体" w:hAnsi="宋体" w:cs="宋体"/>
          <w:color w:val="auto"/>
          <w:sz w:val="21"/>
          <w:szCs w:val="21"/>
          <w:highlight w:val="none"/>
          <w:lang w:val="en-US" w:eastAsia="zh-CN"/>
        </w:rPr>
        <w:t>本项目成交</w:t>
      </w:r>
      <w:r>
        <w:rPr>
          <w:rFonts w:hint="eastAsia" w:ascii="宋体" w:hAnsi="宋体" w:eastAsia="宋体" w:cs="宋体"/>
          <w:color w:val="auto"/>
          <w:sz w:val="21"/>
          <w:szCs w:val="21"/>
          <w:highlight w:val="none"/>
        </w:rPr>
        <w:t>2家服务单位，以“一用一备，优先使用最低价服务单位”的派单原则开展服务，</w:t>
      </w:r>
      <w:r>
        <w:rPr>
          <w:rFonts w:hint="eastAsia" w:ascii="宋体" w:hAnsi="宋体" w:eastAsia="宋体" w:cs="宋体"/>
          <w:b/>
          <w:bCs/>
          <w:color w:val="auto"/>
          <w:sz w:val="21"/>
          <w:szCs w:val="21"/>
          <w:highlight w:val="none"/>
        </w:rPr>
        <w:t>若成交人产生跳单</w:t>
      </w:r>
      <w:r>
        <w:rPr>
          <w:rFonts w:hint="eastAsia" w:ascii="宋体" w:hAnsi="宋体" w:eastAsia="宋体" w:cs="宋体"/>
          <w:b/>
          <w:bCs/>
          <w:color w:val="auto"/>
          <w:sz w:val="21"/>
          <w:szCs w:val="21"/>
          <w:highlight w:val="none"/>
          <w:lang w:val="en-US" w:eastAsia="zh-CN"/>
        </w:rPr>
        <w:t>或被投诉</w:t>
      </w:r>
      <w:r>
        <w:rPr>
          <w:rFonts w:hint="eastAsia" w:ascii="宋体" w:hAnsi="宋体" w:eastAsia="宋体" w:cs="宋体"/>
          <w:b/>
          <w:bCs/>
          <w:color w:val="auto"/>
          <w:sz w:val="21"/>
          <w:szCs w:val="21"/>
          <w:highlight w:val="none"/>
        </w:rPr>
        <w:t>情况，采购人有权降低给其的派单数量</w:t>
      </w:r>
      <w:r>
        <w:rPr>
          <w:rFonts w:hint="eastAsia" w:ascii="宋体" w:hAnsi="宋体" w:eastAsia="宋体" w:cs="宋体"/>
          <w:b/>
          <w:bCs/>
          <w:color w:val="auto"/>
          <w:sz w:val="21"/>
          <w:szCs w:val="21"/>
          <w:highlight w:val="none"/>
          <w:lang w:eastAsia="zh-CN"/>
        </w:rPr>
        <w:t>，</w:t>
      </w:r>
      <w:r>
        <w:rPr>
          <w:rFonts w:hint="eastAsia" w:ascii="宋体" w:hAnsi="宋体" w:eastAsia="宋体" w:cs="宋体"/>
          <w:b/>
          <w:bCs/>
          <w:color w:val="auto"/>
          <w:sz w:val="21"/>
          <w:szCs w:val="21"/>
          <w:highlight w:val="none"/>
          <w:lang w:val="en-US" w:eastAsia="zh-CN"/>
        </w:rPr>
        <w:t>情节严重者，将停止派单处理</w:t>
      </w:r>
      <w:r>
        <w:rPr>
          <w:rFonts w:hint="eastAsia" w:ascii="宋体" w:hAnsi="宋体" w:eastAsia="宋体" w:cs="宋体"/>
          <w:b/>
          <w:bCs/>
          <w:color w:val="auto"/>
          <w:sz w:val="21"/>
          <w:szCs w:val="21"/>
          <w:highlight w:val="none"/>
        </w:rPr>
        <w:t>。</w:t>
      </w:r>
    </w:p>
    <w:p w14:paraId="76E9BE4E">
      <w:pPr>
        <w:keepNext w:val="0"/>
        <w:keepLines w:val="0"/>
        <w:pageBreakBefore w:val="0"/>
        <w:widowControl w:val="0"/>
        <w:kinsoku/>
        <w:wordWrap/>
        <w:overflowPunct/>
        <w:topLinePunct w:val="0"/>
        <w:autoSpaceDE/>
        <w:autoSpaceDN/>
        <w:bidi w:val="0"/>
        <w:adjustRightInd/>
        <w:snapToGrid/>
        <w:spacing w:line="440" w:lineRule="exact"/>
        <w:ind w:firstLine="422" w:firstLineChars="200"/>
        <w:jc w:val="both"/>
        <w:textAlignment w:val="auto"/>
        <w:rPr>
          <w:rFonts w:hint="eastAsia" w:ascii="宋体" w:hAnsi="宋体" w:eastAsia="宋体" w:cs="宋体"/>
          <w:b/>
          <w:bCs/>
          <w:color w:val="auto"/>
          <w:sz w:val="21"/>
          <w:szCs w:val="21"/>
          <w:highlight w:val="none"/>
          <w:lang w:val="en-US" w:eastAsia="zh-CN"/>
        </w:rPr>
      </w:pPr>
      <w:r>
        <w:rPr>
          <w:rFonts w:hint="eastAsia" w:ascii="宋体" w:hAnsi="宋体" w:eastAsia="宋体" w:cs="宋体"/>
          <w:b/>
          <w:bCs/>
          <w:color w:val="auto"/>
          <w:sz w:val="21"/>
          <w:szCs w:val="21"/>
          <w:highlight w:val="none"/>
          <w:lang w:val="en-US" w:eastAsia="zh-CN"/>
        </w:rPr>
        <w:t>四、用户需求</w:t>
      </w:r>
    </w:p>
    <w:p w14:paraId="72F562AA">
      <w:pPr>
        <w:keepNext w:val="0"/>
        <w:keepLines w:val="0"/>
        <w:pageBreakBefore w:val="0"/>
        <w:widowControl w:val="0"/>
        <w:kinsoku/>
        <w:wordWrap/>
        <w:overflowPunct/>
        <w:topLinePunct w:val="0"/>
        <w:autoSpaceDE/>
        <w:autoSpaceDN/>
        <w:bidi w:val="0"/>
        <w:adjustRightInd/>
        <w:snapToGrid/>
        <w:spacing w:line="440" w:lineRule="exact"/>
        <w:ind w:firstLine="560" w:firstLineChars="200"/>
        <w:jc w:val="both"/>
        <w:textAlignment w:val="auto"/>
        <w:rPr>
          <w:rFonts w:hint="eastAsia" w:ascii="宋体" w:hAnsi="宋体" w:eastAsia="宋体" w:cs="宋体"/>
          <w:b/>
          <w:bCs/>
          <w:color w:val="auto"/>
          <w:sz w:val="21"/>
          <w:szCs w:val="21"/>
          <w:highlight w:val="none"/>
          <w:lang w:val="en-US" w:eastAsia="zh-CN"/>
        </w:rPr>
      </w:pPr>
      <w:r>
        <w:rPr>
          <w:rFonts w:hint="eastAsia" w:ascii="微软雅黑" w:hAnsi="微软雅黑" w:eastAsia="微软雅黑" w:cs="微软雅黑"/>
          <w:b/>
          <w:bCs/>
          <w:color w:val="auto"/>
          <w:sz w:val="28"/>
          <w:szCs w:val="28"/>
          <w:highlight w:val="none"/>
        </w:rPr>
        <w:t>★</w:t>
      </w:r>
      <w:r>
        <w:rPr>
          <w:rFonts w:hint="eastAsia" w:ascii="宋体" w:hAnsi="宋体" w:eastAsia="宋体" w:cs="宋体"/>
          <w:b/>
          <w:bCs/>
          <w:color w:val="auto"/>
          <w:sz w:val="21"/>
          <w:szCs w:val="21"/>
          <w:highlight w:val="none"/>
          <w:lang w:val="en-US" w:eastAsia="zh-CN"/>
        </w:rPr>
        <w:t>（一）运力需求</w:t>
      </w:r>
    </w:p>
    <w:p w14:paraId="4526900E">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eastAsia" w:ascii="宋体" w:hAnsi="宋体" w:cs="宋体"/>
          <w:color w:val="auto"/>
          <w:kern w:val="2"/>
          <w:sz w:val="21"/>
          <w:szCs w:val="21"/>
          <w:highlight w:val="none"/>
          <w:lang w:val="en-US" w:eastAsia="zh-CN" w:bidi="ar-SA"/>
        </w:rPr>
      </w:pPr>
      <w:r>
        <w:rPr>
          <w:rFonts w:hint="eastAsia" w:ascii="宋体" w:hAnsi="宋体" w:cs="宋体"/>
          <w:color w:val="auto"/>
          <w:kern w:val="2"/>
          <w:sz w:val="21"/>
          <w:szCs w:val="21"/>
          <w:highlight w:val="none"/>
          <w:lang w:val="en-US" w:eastAsia="zh-CN" w:bidi="ar-SA"/>
        </w:rPr>
        <w:t>结合年度派单情况，综合淡旺季需求考虑，预计日用车约20-40车次（仅供参考，最终以实际用车情况为准），要求响应人为本项目配备车辆包括：不少于1台5.2米厢车，不少于1台7.6米厢车，不少于2台9.6米厢车和不少于1台12.5米挂网，最终以实际用车需求为准。</w:t>
      </w:r>
    </w:p>
    <w:p w14:paraId="6E24DAF0">
      <w:pPr>
        <w:keepNext w:val="0"/>
        <w:keepLines w:val="0"/>
        <w:pageBreakBefore w:val="0"/>
        <w:widowControl w:val="0"/>
        <w:kinsoku/>
        <w:wordWrap/>
        <w:overflowPunct/>
        <w:topLinePunct w:val="0"/>
        <w:autoSpaceDE/>
        <w:autoSpaceDN/>
        <w:bidi w:val="0"/>
        <w:adjustRightInd/>
        <w:snapToGrid/>
        <w:spacing w:line="440" w:lineRule="exact"/>
        <w:ind w:firstLine="422" w:firstLineChars="200"/>
        <w:jc w:val="both"/>
        <w:textAlignment w:val="auto"/>
        <w:rPr>
          <w:rFonts w:hint="eastAsia" w:ascii="宋体" w:hAnsi="宋体" w:eastAsia="宋体" w:cs="宋体"/>
          <w:b/>
          <w:bCs/>
          <w:color w:val="auto"/>
          <w:sz w:val="21"/>
          <w:szCs w:val="21"/>
          <w:highlight w:val="none"/>
          <w:lang w:val="en-US" w:eastAsia="zh-CN"/>
        </w:rPr>
      </w:pPr>
      <w:r>
        <w:rPr>
          <w:rFonts w:hint="eastAsia" w:ascii="宋体" w:hAnsi="宋体" w:eastAsia="宋体" w:cs="宋体"/>
          <w:b/>
          <w:bCs/>
          <w:color w:val="auto"/>
          <w:sz w:val="21"/>
          <w:szCs w:val="21"/>
          <w:highlight w:val="none"/>
          <w:lang w:val="en-US" w:eastAsia="zh-CN"/>
        </w:rPr>
        <w:t>（二）服务需求</w:t>
      </w:r>
    </w:p>
    <w:p w14:paraId="197985DB">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cs="宋体"/>
          <w:color w:val="auto"/>
          <w:kern w:val="2"/>
          <w:sz w:val="21"/>
          <w:szCs w:val="21"/>
          <w:highlight w:val="none"/>
          <w:lang w:val="en-US" w:eastAsia="zh-CN" w:bidi="ar-SA"/>
        </w:rPr>
        <w:t>投标人</w:t>
      </w:r>
      <w:r>
        <w:rPr>
          <w:rFonts w:hint="eastAsia" w:ascii="宋体" w:hAnsi="宋体" w:eastAsia="宋体" w:cs="宋体"/>
          <w:color w:val="auto"/>
          <w:kern w:val="2"/>
          <w:sz w:val="21"/>
          <w:szCs w:val="21"/>
          <w:highlight w:val="none"/>
          <w:lang w:val="en-US" w:eastAsia="zh-CN" w:bidi="ar-SA"/>
        </w:rPr>
        <w:t>需为本项目配备足够的服务人员，其中驾驶员、押运员及其他危险废物从业人员（包括调度、后勤、管理）</w:t>
      </w:r>
      <w:r>
        <w:rPr>
          <w:rFonts w:hint="eastAsia" w:ascii="宋体" w:hAnsi="宋体" w:cs="宋体"/>
          <w:color w:val="auto"/>
          <w:kern w:val="2"/>
          <w:sz w:val="21"/>
          <w:szCs w:val="21"/>
          <w:highlight w:val="none"/>
          <w:lang w:val="en-US" w:eastAsia="zh-CN" w:bidi="ar-SA"/>
        </w:rPr>
        <w:t>等</w:t>
      </w:r>
      <w:r>
        <w:rPr>
          <w:rFonts w:hint="eastAsia" w:ascii="宋体" w:hAnsi="宋体" w:eastAsia="宋体" w:cs="宋体"/>
          <w:color w:val="auto"/>
          <w:kern w:val="2"/>
          <w:sz w:val="21"/>
          <w:szCs w:val="21"/>
          <w:highlight w:val="none"/>
          <w:lang w:val="en-US" w:eastAsia="zh-CN" w:bidi="ar-SA"/>
        </w:rPr>
        <w:t>，并对本项目相关服务人员购买相应的保险。</w:t>
      </w:r>
    </w:p>
    <w:p w14:paraId="4D929A1C">
      <w:pPr>
        <w:keepNext w:val="0"/>
        <w:keepLines w:val="0"/>
        <w:pageBreakBefore w:val="0"/>
        <w:widowControl w:val="0"/>
        <w:kinsoku/>
        <w:wordWrap/>
        <w:overflowPunct/>
        <w:topLinePunct w:val="0"/>
        <w:autoSpaceDE/>
        <w:autoSpaceDN/>
        <w:bidi w:val="0"/>
        <w:adjustRightInd/>
        <w:snapToGrid/>
        <w:spacing w:line="440" w:lineRule="exact"/>
        <w:ind w:firstLine="422" w:firstLineChars="200"/>
        <w:jc w:val="both"/>
        <w:textAlignment w:val="auto"/>
        <w:rPr>
          <w:rFonts w:hint="eastAsia" w:ascii="宋体" w:hAnsi="宋体" w:eastAsia="宋体" w:cs="宋体"/>
          <w:b/>
          <w:bCs/>
          <w:color w:val="auto"/>
          <w:sz w:val="21"/>
          <w:szCs w:val="21"/>
          <w:highlight w:val="none"/>
          <w:lang w:val="en-US" w:eastAsia="zh-CN"/>
        </w:rPr>
      </w:pPr>
      <w:r>
        <w:rPr>
          <w:rFonts w:hint="eastAsia" w:ascii="宋体" w:hAnsi="宋体" w:eastAsia="宋体" w:cs="宋体"/>
          <w:b/>
          <w:bCs/>
          <w:color w:val="auto"/>
          <w:sz w:val="21"/>
          <w:szCs w:val="21"/>
          <w:highlight w:val="none"/>
          <w:lang w:val="en-US" w:eastAsia="zh-CN"/>
        </w:rPr>
        <w:t>（三）管理要求</w:t>
      </w:r>
    </w:p>
    <w:p w14:paraId="4E05B690">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eastAsia" w:ascii="宋体" w:hAnsi="宋体" w:eastAsia="宋体" w:cs="宋体"/>
          <w:color w:val="auto"/>
          <w:sz w:val="21"/>
          <w:szCs w:val="21"/>
          <w:highlight w:val="none"/>
          <w:lang w:val="en-US" w:eastAsia="zh-CN"/>
        </w:rPr>
      </w:pPr>
      <w:r>
        <w:rPr>
          <w:rFonts w:hint="eastAsia" w:ascii="宋体" w:hAnsi="宋体" w:cs="宋体"/>
          <w:color w:val="auto"/>
          <w:sz w:val="21"/>
          <w:szCs w:val="21"/>
          <w:highlight w:val="none"/>
          <w:lang w:val="en-US" w:eastAsia="zh-CN"/>
        </w:rPr>
        <w:t>投标人</w:t>
      </w:r>
      <w:r>
        <w:rPr>
          <w:rFonts w:hint="eastAsia" w:ascii="宋体" w:hAnsi="宋体" w:eastAsia="宋体" w:cs="宋体"/>
          <w:color w:val="auto"/>
          <w:sz w:val="21"/>
          <w:szCs w:val="21"/>
          <w:highlight w:val="none"/>
          <w:lang w:val="en-US" w:eastAsia="zh-CN"/>
        </w:rPr>
        <w:t>需拥有应急管理能力，包括但不限于对废物</w:t>
      </w:r>
      <w:r>
        <w:rPr>
          <w:rFonts w:hint="eastAsia" w:ascii="宋体" w:hAnsi="宋体" w:cs="宋体"/>
          <w:color w:val="auto"/>
          <w:sz w:val="21"/>
          <w:szCs w:val="21"/>
          <w:highlight w:val="none"/>
          <w:lang w:val="en-US" w:eastAsia="zh-CN"/>
        </w:rPr>
        <w:t>泄漏</w:t>
      </w:r>
      <w:r>
        <w:rPr>
          <w:rFonts w:hint="eastAsia" w:ascii="宋体" w:hAnsi="宋体" w:eastAsia="宋体" w:cs="宋体"/>
          <w:color w:val="auto"/>
          <w:sz w:val="21"/>
          <w:szCs w:val="21"/>
          <w:highlight w:val="none"/>
          <w:lang w:val="en-US" w:eastAsia="zh-CN"/>
        </w:rPr>
        <w:t>、冒烟反应、着火、恶劣天气、交通事故、车辆故障和防疫等情形制定相应的应急预案。</w:t>
      </w:r>
    </w:p>
    <w:p w14:paraId="0D4C0121">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eastAsia" w:ascii="宋体" w:hAnsi="宋体" w:eastAsia="宋体" w:cs="宋体"/>
          <w:color w:val="auto"/>
          <w:sz w:val="21"/>
          <w:szCs w:val="21"/>
          <w:highlight w:val="none"/>
          <w:lang w:val="en-US" w:eastAsia="zh-CN"/>
        </w:rPr>
      </w:pPr>
      <w:r>
        <w:rPr>
          <w:rFonts w:hint="eastAsia" w:ascii="宋体" w:hAnsi="宋体" w:cs="宋体"/>
          <w:color w:val="auto"/>
          <w:sz w:val="21"/>
          <w:szCs w:val="21"/>
          <w:highlight w:val="none"/>
          <w:lang w:val="en-US" w:eastAsia="zh-CN"/>
        </w:rPr>
        <w:t>投标人</w:t>
      </w:r>
      <w:r>
        <w:rPr>
          <w:rFonts w:hint="eastAsia" w:ascii="宋体" w:hAnsi="宋体" w:eastAsia="宋体" w:cs="宋体"/>
          <w:color w:val="auto"/>
          <w:sz w:val="21"/>
          <w:szCs w:val="21"/>
          <w:highlight w:val="none"/>
          <w:lang w:val="en-US" w:eastAsia="zh-CN"/>
        </w:rPr>
        <w:t>需定期对服务人员开展培训，内容包括但不限于异常情况处置、车辆故障处理、沟通技巧及打包装卸服务规范等。</w:t>
      </w:r>
    </w:p>
    <w:p w14:paraId="34E536A3">
      <w:pPr>
        <w:keepNext w:val="0"/>
        <w:keepLines w:val="0"/>
        <w:pageBreakBefore w:val="0"/>
        <w:widowControl w:val="0"/>
        <w:kinsoku/>
        <w:wordWrap/>
        <w:overflowPunct/>
        <w:topLinePunct w:val="0"/>
        <w:autoSpaceDE/>
        <w:autoSpaceDN/>
        <w:bidi w:val="0"/>
        <w:adjustRightInd/>
        <w:snapToGrid/>
        <w:spacing w:line="440" w:lineRule="exact"/>
        <w:ind w:firstLine="422" w:firstLineChars="200"/>
        <w:jc w:val="both"/>
        <w:textAlignment w:val="auto"/>
        <w:rPr>
          <w:rFonts w:hint="eastAsia" w:ascii="宋体" w:hAnsi="宋体" w:eastAsia="宋体" w:cs="宋体"/>
          <w:b/>
          <w:bCs/>
          <w:color w:val="auto"/>
          <w:sz w:val="21"/>
          <w:szCs w:val="21"/>
          <w:highlight w:val="none"/>
          <w:lang w:val="en-US" w:eastAsia="zh-CN"/>
        </w:rPr>
      </w:pPr>
      <w:r>
        <w:rPr>
          <w:rFonts w:hint="eastAsia" w:ascii="宋体" w:hAnsi="宋体" w:eastAsia="宋体" w:cs="宋体"/>
          <w:b/>
          <w:bCs/>
          <w:color w:val="auto"/>
          <w:sz w:val="21"/>
          <w:szCs w:val="21"/>
          <w:highlight w:val="none"/>
          <w:lang w:val="en-US" w:eastAsia="zh-CN"/>
        </w:rPr>
        <w:t>（四）其他要求</w:t>
      </w:r>
    </w:p>
    <w:p w14:paraId="18DF3DED">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eastAsia" w:ascii="宋体" w:hAnsi="宋体" w:eastAsia="宋体" w:cs="宋体"/>
          <w:b/>
          <w:bCs/>
          <w:color w:val="auto"/>
          <w:sz w:val="21"/>
          <w:szCs w:val="21"/>
          <w:highlight w:val="none"/>
        </w:rPr>
      </w:pPr>
      <w:r>
        <w:rPr>
          <w:rFonts w:hint="eastAsia" w:ascii="宋体" w:hAnsi="宋体" w:cs="宋体"/>
          <w:color w:val="auto"/>
          <w:sz w:val="21"/>
          <w:szCs w:val="21"/>
          <w:highlight w:val="none"/>
          <w:lang w:val="en-US" w:eastAsia="zh-CN"/>
        </w:rPr>
        <w:t>投标人</w:t>
      </w:r>
      <w:r>
        <w:rPr>
          <w:rFonts w:hint="eastAsia" w:ascii="宋体" w:hAnsi="宋体" w:eastAsia="宋体" w:cs="宋体"/>
          <w:color w:val="auto"/>
          <w:sz w:val="21"/>
          <w:szCs w:val="21"/>
          <w:highlight w:val="none"/>
          <w:lang w:val="en-US" w:eastAsia="zh-CN"/>
        </w:rPr>
        <w:t>需拥有（除省固废平台外）自有的或享有使用权的独立软件或平台，包括但不限于满足实时车辆位置跟踪和视频监控功能。</w:t>
      </w:r>
    </w:p>
    <w:p w14:paraId="0FADEE9D">
      <w:pPr>
        <w:keepNext w:val="0"/>
        <w:keepLines w:val="0"/>
        <w:pageBreakBefore w:val="0"/>
        <w:widowControl w:val="0"/>
        <w:kinsoku/>
        <w:wordWrap/>
        <w:overflowPunct/>
        <w:topLinePunct w:val="0"/>
        <w:autoSpaceDE/>
        <w:autoSpaceDN/>
        <w:bidi w:val="0"/>
        <w:adjustRightInd/>
        <w:snapToGrid/>
        <w:spacing w:line="440" w:lineRule="exact"/>
        <w:ind w:firstLine="422" w:firstLineChars="200"/>
        <w:jc w:val="both"/>
        <w:textAlignment w:val="auto"/>
        <w:rPr>
          <w:rFonts w:hint="eastAsia" w:ascii="宋体" w:hAnsi="宋体" w:eastAsia="宋体" w:cs="宋体"/>
          <w:b/>
          <w:bCs/>
          <w:color w:val="auto"/>
          <w:sz w:val="21"/>
          <w:szCs w:val="21"/>
          <w:highlight w:val="none"/>
          <w:lang w:val="en-US" w:eastAsia="zh-CN"/>
        </w:rPr>
      </w:pPr>
      <w:r>
        <w:rPr>
          <w:rFonts w:hint="eastAsia" w:ascii="宋体" w:hAnsi="宋体" w:eastAsia="宋体" w:cs="宋体"/>
          <w:b/>
          <w:bCs/>
          <w:color w:val="auto"/>
          <w:sz w:val="21"/>
          <w:szCs w:val="21"/>
          <w:highlight w:val="none"/>
          <w:lang w:val="en-US" w:eastAsia="zh-CN"/>
        </w:rPr>
        <w:t>五、其他要求</w:t>
      </w:r>
    </w:p>
    <w:p w14:paraId="15E8A234">
      <w:pPr>
        <w:keepNext w:val="0"/>
        <w:keepLines w:val="0"/>
        <w:pageBreakBefore w:val="0"/>
        <w:widowControl w:val="0"/>
        <w:kinsoku/>
        <w:wordWrap/>
        <w:overflowPunct/>
        <w:topLinePunct w:val="0"/>
        <w:autoSpaceDE/>
        <w:autoSpaceDN/>
        <w:bidi w:val="0"/>
        <w:adjustRightInd/>
        <w:snapToGrid/>
        <w:spacing w:line="440" w:lineRule="exact"/>
        <w:ind w:firstLine="560" w:firstLineChars="200"/>
        <w:jc w:val="both"/>
        <w:textAlignment w:val="auto"/>
        <w:rPr>
          <w:rFonts w:hint="eastAsia" w:ascii="宋体" w:hAnsi="宋体" w:eastAsia="宋体" w:cs="宋体"/>
          <w:color w:val="auto"/>
          <w:sz w:val="21"/>
          <w:szCs w:val="21"/>
          <w:highlight w:val="none"/>
        </w:rPr>
      </w:pPr>
      <w:r>
        <w:rPr>
          <w:rFonts w:hint="eastAsia" w:ascii="微软雅黑" w:hAnsi="微软雅黑" w:eastAsia="微软雅黑" w:cs="微软雅黑"/>
          <w:b/>
          <w:bCs/>
          <w:color w:val="auto"/>
          <w:sz w:val="28"/>
          <w:szCs w:val="28"/>
          <w:highlight w:val="none"/>
        </w:rPr>
        <w:t>★</w:t>
      </w:r>
      <w:r>
        <w:rPr>
          <w:rFonts w:hint="eastAsia" w:ascii="宋体" w:hAnsi="宋体" w:eastAsia="宋体" w:cs="宋体"/>
          <w:color w:val="auto"/>
          <w:sz w:val="21"/>
          <w:szCs w:val="21"/>
          <w:highlight w:val="none"/>
        </w:rPr>
        <w:t>1</w:t>
      </w:r>
      <w:r>
        <w:rPr>
          <w:rFonts w:hint="eastAsia" w:ascii="宋体" w:hAnsi="宋体" w:eastAsia="宋体" w:cs="宋体"/>
          <w:color w:val="auto"/>
          <w:sz w:val="21"/>
          <w:szCs w:val="21"/>
          <w:highlight w:val="none"/>
          <w:lang w:eastAsia="zh-CN"/>
        </w:rPr>
        <w:t>.</w:t>
      </w:r>
      <w:r>
        <w:rPr>
          <w:rFonts w:hint="eastAsia" w:ascii="宋体" w:hAnsi="宋体" w:cs="宋体"/>
          <w:color w:val="auto"/>
          <w:sz w:val="21"/>
          <w:szCs w:val="21"/>
          <w:highlight w:val="none"/>
          <w:lang w:eastAsia="zh-CN"/>
        </w:rPr>
        <w:t>投标人</w:t>
      </w:r>
      <w:r>
        <w:rPr>
          <w:rFonts w:hint="eastAsia" w:ascii="宋体" w:hAnsi="宋体" w:eastAsia="宋体" w:cs="宋体"/>
          <w:color w:val="auto"/>
          <w:sz w:val="21"/>
          <w:szCs w:val="21"/>
          <w:highlight w:val="none"/>
        </w:rPr>
        <w:t>需要为危险废物装卸提供必要设备支持，包含</w:t>
      </w:r>
      <w:r>
        <w:rPr>
          <w:rFonts w:hint="eastAsia" w:ascii="宋体" w:hAnsi="宋体" w:eastAsia="宋体" w:cs="宋体"/>
          <w:b/>
          <w:bCs/>
          <w:color w:val="auto"/>
          <w:sz w:val="21"/>
          <w:szCs w:val="21"/>
          <w:highlight w:val="none"/>
        </w:rPr>
        <w:t>升降尾板、手动（电动）叉车、电子叉车秤、抽液设备及管道</w:t>
      </w:r>
      <w:r>
        <w:rPr>
          <w:rFonts w:hint="eastAsia" w:ascii="宋体" w:hAnsi="宋体" w:eastAsia="宋体" w:cs="宋体"/>
          <w:color w:val="auto"/>
          <w:sz w:val="21"/>
          <w:szCs w:val="21"/>
          <w:highlight w:val="none"/>
        </w:rPr>
        <w:t>。</w:t>
      </w:r>
    </w:p>
    <w:p w14:paraId="599D6C96">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rPr>
        <w:t>2</w:t>
      </w:r>
      <w:r>
        <w:rPr>
          <w:rFonts w:hint="eastAsia" w:ascii="宋体" w:hAnsi="宋体" w:eastAsia="宋体" w:cs="宋体"/>
          <w:color w:val="auto"/>
          <w:sz w:val="21"/>
          <w:szCs w:val="21"/>
          <w:highlight w:val="none"/>
          <w:lang w:eastAsia="zh-CN"/>
        </w:rPr>
        <w:t>.</w:t>
      </w:r>
      <w:r>
        <w:rPr>
          <w:rFonts w:hint="eastAsia" w:ascii="宋体" w:hAnsi="宋体" w:cs="宋体"/>
          <w:color w:val="auto"/>
          <w:sz w:val="21"/>
          <w:szCs w:val="21"/>
          <w:highlight w:val="none"/>
          <w:lang w:eastAsia="zh-CN"/>
        </w:rPr>
        <w:t>投标人</w:t>
      </w:r>
      <w:r>
        <w:rPr>
          <w:rFonts w:hint="eastAsia" w:ascii="宋体" w:hAnsi="宋体" w:eastAsia="宋体" w:cs="宋体"/>
          <w:color w:val="auto"/>
          <w:sz w:val="21"/>
          <w:szCs w:val="21"/>
          <w:highlight w:val="none"/>
          <w:lang w:val="en-US" w:eastAsia="zh-CN"/>
        </w:rPr>
        <w:t>须在中标后提供</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lang w:val="en-US" w:eastAsia="zh-CN"/>
        </w:rPr>
        <w:t>驾驶员</w:t>
      </w:r>
      <w:r>
        <w:rPr>
          <w:rFonts w:hint="eastAsia" w:ascii="宋体" w:hAnsi="宋体" w:eastAsia="宋体" w:cs="宋体"/>
          <w:color w:val="auto"/>
          <w:sz w:val="21"/>
          <w:szCs w:val="21"/>
          <w:highlight w:val="none"/>
        </w:rPr>
        <w:t>、押运员、车辆购买保险（含强制险，商业险、承运险及第三者责任险累计不低于200万等）。</w:t>
      </w:r>
    </w:p>
    <w:p w14:paraId="4650FAC7">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车辆设施设备完整、车辆必须配置各项应急物资并确保物资及车辆资质证件在期有效，包括但不限于以下：GPS、消防设施、防泄漏物、营运证资等。</w:t>
      </w:r>
    </w:p>
    <w:p w14:paraId="483E488A">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人员管理：运输人员相关从业资质及证件在期有效。</w:t>
      </w:r>
    </w:p>
    <w:p w14:paraId="0ED51F96">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过程管控：废物运输途中，必须符合国家有关环保法规要求，运输单位对废物运输过程发生的任何环境污染事故承担法律责任。</w:t>
      </w:r>
    </w:p>
    <w:p w14:paraId="3EDC924B">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6</w:t>
      </w:r>
      <w:r>
        <w:rPr>
          <w:rFonts w:hint="eastAsia" w:ascii="宋体" w:hAnsi="宋体" w:eastAsia="宋体" w:cs="宋体"/>
          <w:color w:val="auto"/>
          <w:sz w:val="21"/>
          <w:szCs w:val="21"/>
          <w:highlight w:val="none"/>
          <w:lang w:eastAsia="zh-CN"/>
        </w:rPr>
        <w:t>.收运人员培训与能力要求</w:t>
      </w:r>
      <w:r>
        <w:rPr>
          <w:rFonts w:hint="eastAsia" w:ascii="宋体" w:hAnsi="宋体" w:eastAsia="宋体" w:cs="宋体"/>
          <w:color w:val="auto"/>
          <w:sz w:val="21"/>
          <w:szCs w:val="21"/>
          <w:highlight w:val="none"/>
          <w:lang w:val="en-US" w:eastAsia="zh-CN"/>
        </w:rPr>
        <w:t>：建立完善的收运人员培训体系，并提交对应的培训计划、教材和培训记录，</w:t>
      </w:r>
      <w:r>
        <w:rPr>
          <w:rFonts w:hint="eastAsia" w:ascii="宋体" w:hAnsi="宋体" w:eastAsia="宋体" w:cs="宋体"/>
          <w:color w:val="auto"/>
          <w:sz w:val="21"/>
          <w:szCs w:val="21"/>
          <w:highlight w:val="none"/>
        </w:rPr>
        <w:t>培训内容须全面涵盖异常情况处理、车辆故障处理、沟通技巧及打包装卸服务规范等方面。收运人员对客户现场危险废物有初步的识别和判断，具备识别我司下达派车单列表中所列危废名称与客户现场危废的一致性，种类及数量的符合性、包装的规范性、废物标签的完整性。</w:t>
      </w:r>
    </w:p>
    <w:p w14:paraId="092C23E3">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7</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其他服务质量要求</w:t>
      </w:r>
    </w:p>
    <w:p w14:paraId="1D5B9D0D">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lang w:val="en-US" w:eastAsia="zh-CN"/>
        </w:rPr>
        <w:t>1</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严格遵守采购人及其客户现场要求，不得违反相关规定</w:t>
      </w:r>
      <w:r>
        <w:rPr>
          <w:rFonts w:hint="eastAsia" w:ascii="宋体" w:hAnsi="宋体" w:eastAsia="宋体" w:cs="宋体"/>
          <w:color w:val="auto"/>
          <w:sz w:val="21"/>
          <w:szCs w:val="21"/>
          <w:highlight w:val="none"/>
          <w:lang w:eastAsia="zh-CN"/>
        </w:rPr>
        <w:t>。</w:t>
      </w:r>
    </w:p>
    <w:p w14:paraId="3F894036">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lang w:val="en-US" w:eastAsia="zh-CN"/>
        </w:rPr>
        <w:t>2</w:t>
      </w:r>
      <w:r>
        <w:rPr>
          <w:rFonts w:hint="eastAsia" w:ascii="宋体" w:hAnsi="宋体" w:eastAsia="宋体" w:cs="宋体"/>
          <w:color w:val="auto"/>
          <w:sz w:val="21"/>
          <w:szCs w:val="21"/>
          <w:highlight w:val="none"/>
          <w:lang w:eastAsia="zh-CN"/>
        </w:rPr>
        <w:t>）</w:t>
      </w:r>
      <w:r>
        <w:rPr>
          <w:rFonts w:hint="eastAsia" w:ascii="宋体" w:hAnsi="宋体" w:cs="宋体"/>
          <w:color w:val="auto"/>
          <w:sz w:val="21"/>
          <w:szCs w:val="21"/>
          <w:highlight w:val="none"/>
          <w:lang w:eastAsia="zh-CN"/>
        </w:rPr>
        <w:t>投标人</w:t>
      </w:r>
      <w:r>
        <w:rPr>
          <w:rFonts w:hint="eastAsia" w:ascii="宋体" w:hAnsi="宋体" w:eastAsia="宋体" w:cs="宋体"/>
          <w:color w:val="auto"/>
          <w:sz w:val="21"/>
          <w:szCs w:val="21"/>
          <w:highlight w:val="none"/>
        </w:rPr>
        <w:t>必须仔细阅读《东莞市新东欣环保投资有限公司承运单位违规行为处罚条款》，必须认可并接受采购人制定的违规处罚条款；违规行为将根据《东莞市新东欣环保投资有限公司承运单位违规行为处罚条款》进行处罚</w:t>
      </w:r>
      <w:r>
        <w:rPr>
          <w:rFonts w:hint="eastAsia" w:ascii="宋体" w:hAnsi="宋体" w:eastAsia="宋体" w:cs="宋体"/>
          <w:color w:val="auto"/>
          <w:sz w:val="21"/>
          <w:szCs w:val="21"/>
          <w:highlight w:val="none"/>
          <w:lang w:eastAsia="zh-CN"/>
        </w:rPr>
        <w:t>。</w:t>
      </w:r>
    </w:p>
    <w:p w14:paraId="63848013">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lang w:val="en-US" w:eastAsia="zh-CN"/>
        </w:rPr>
        <w:t>3</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成交人根据采购人提供的整改意见，限时整改；成交人可根据实际情况进行举证，经查确不属成交人责任的，免</w:t>
      </w:r>
      <w:r>
        <w:rPr>
          <w:rFonts w:hint="eastAsia" w:ascii="宋体" w:hAnsi="宋体" w:cs="宋体"/>
          <w:color w:val="auto"/>
          <w:sz w:val="21"/>
          <w:szCs w:val="21"/>
          <w:highlight w:val="none"/>
          <w:lang w:val="en-US" w:eastAsia="zh-CN"/>
        </w:rPr>
        <w:t>予</w:t>
      </w:r>
      <w:r>
        <w:rPr>
          <w:rFonts w:hint="eastAsia" w:ascii="宋体" w:hAnsi="宋体" w:eastAsia="宋体" w:cs="宋体"/>
          <w:color w:val="auto"/>
          <w:sz w:val="21"/>
          <w:szCs w:val="21"/>
          <w:highlight w:val="none"/>
        </w:rPr>
        <w:t>处罚</w:t>
      </w:r>
      <w:r>
        <w:rPr>
          <w:rFonts w:hint="eastAsia" w:ascii="宋体" w:hAnsi="宋体" w:eastAsia="宋体" w:cs="宋体"/>
          <w:color w:val="auto"/>
          <w:sz w:val="21"/>
          <w:szCs w:val="21"/>
          <w:highlight w:val="none"/>
          <w:lang w:eastAsia="zh-CN"/>
        </w:rPr>
        <w:t>。</w:t>
      </w:r>
    </w:p>
    <w:p w14:paraId="602F1D17">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lang w:val="en-US" w:eastAsia="zh-CN"/>
        </w:rPr>
        <w:t>4</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携带包装物、处罚标准、装卸费，采购人有最终解释权</w:t>
      </w:r>
      <w:r>
        <w:rPr>
          <w:rFonts w:hint="eastAsia" w:ascii="宋体" w:hAnsi="宋体" w:eastAsia="宋体" w:cs="宋体"/>
          <w:color w:val="auto"/>
          <w:sz w:val="21"/>
          <w:szCs w:val="21"/>
          <w:highlight w:val="none"/>
          <w:lang w:eastAsia="zh-CN"/>
        </w:rPr>
        <w:t>。</w:t>
      </w:r>
    </w:p>
    <w:p w14:paraId="12937029">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lang w:val="en-US" w:eastAsia="zh-CN"/>
        </w:rPr>
        <w:t>5</w:t>
      </w:r>
      <w:r>
        <w:rPr>
          <w:rFonts w:hint="eastAsia" w:ascii="宋体" w:hAnsi="宋体" w:eastAsia="宋体" w:cs="宋体"/>
          <w:color w:val="auto"/>
          <w:sz w:val="21"/>
          <w:szCs w:val="21"/>
          <w:highlight w:val="none"/>
          <w:lang w:eastAsia="zh-CN"/>
        </w:rPr>
        <w:t>）</w:t>
      </w:r>
      <w:r>
        <w:rPr>
          <w:rFonts w:hint="eastAsia" w:ascii="宋体" w:hAnsi="宋体" w:cs="宋体"/>
          <w:color w:val="auto"/>
          <w:sz w:val="21"/>
          <w:szCs w:val="21"/>
          <w:highlight w:val="none"/>
          <w:lang w:eastAsia="zh-CN"/>
        </w:rPr>
        <w:t>投标人</w:t>
      </w:r>
      <w:r>
        <w:rPr>
          <w:rFonts w:hint="eastAsia" w:ascii="宋体" w:hAnsi="宋体" w:eastAsia="宋体" w:cs="宋体"/>
          <w:color w:val="auto"/>
          <w:sz w:val="21"/>
          <w:szCs w:val="21"/>
          <w:highlight w:val="none"/>
        </w:rPr>
        <w:t>必须具有清晰的公司管理组织架构及权责划分，须提供《道路危险货物运输管理规定》要求的安全生产管理制度、危险货物道路运输事故应急预案、安全生产操作规程</w:t>
      </w:r>
      <w:r>
        <w:rPr>
          <w:rFonts w:hint="eastAsia" w:ascii="宋体" w:hAnsi="宋体" w:eastAsia="宋体" w:cs="宋体"/>
          <w:color w:val="auto"/>
          <w:sz w:val="21"/>
          <w:szCs w:val="21"/>
          <w:highlight w:val="none"/>
          <w:lang w:eastAsia="zh-CN"/>
        </w:rPr>
        <w:t>。</w:t>
      </w:r>
    </w:p>
    <w:p w14:paraId="312DCA1C">
      <w:pPr>
        <w:keepNext w:val="0"/>
        <w:keepLines w:val="0"/>
        <w:pageBreakBefore w:val="0"/>
        <w:widowControl w:val="0"/>
        <w:kinsoku/>
        <w:wordWrap/>
        <w:overflowPunct/>
        <w:topLinePunct w:val="0"/>
        <w:autoSpaceDE/>
        <w:autoSpaceDN/>
        <w:bidi w:val="0"/>
        <w:adjustRightInd/>
        <w:snapToGrid/>
        <w:spacing w:line="440" w:lineRule="exact"/>
        <w:ind w:firstLine="422" w:firstLineChars="200"/>
        <w:jc w:val="both"/>
        <w:textAlignment w:val="auto"/>
        <w:rPr>
          <w:rFonts w:hint="eastAsia" w:ascii="宋体" w:hAnsi="宋体" w:eastAsia="宋体" w:cs="宋体"/>
          <w:b/>
          <w:bCs/>
          <w:color w:val="auto"/>
          <w:sz w:val="21"/>
          <w:szCs w:val="21"/>
          <w:highlight w:val="none"/>
          <w:lang w:val="en-US" w:eastAsia="zh-CN"/>
        </w:rPr>
      </w:pPr>
      <w:r>
        <w:rPr>
          <w:rFonts w:hint="eastAsia" w:ascii="宋体" w:hAnsi="宋体" w:cs="宋体"/>
          <w:b/>
          <w:bCs/>
          <w:color w:val="auto"/>
          <w:sz w:val="21"/>
          <w:szCs w:val="21"/>
          <w:highlight w:val="none"/>
          <w:lang w:val="en-US" w:eastAsia="zh-CN"/>
        </w:rPr>
        <w:t>六</w:t>
      </w:r>
      <w:r>
        <w:rPr>
          <w:rFonts w:hint="eastAsia" w:ascii="宋体" w:hAnsi="宋体" w:eastAsia="宋体" w:cs="宋体"/>
          <w:b/>
          <w:bCs/>
          <w:color w:val="auto"/>
          <w:sz w:val="21"/>
          <w:szCs w:val="21"/>
          <w:highlight w:val="none"/>
          <w:lang w:val="en-US" w:eastAsia="zh-CN"/>
        </w:rPr>
        <w:t>、服务要求</w:t>
      </w:r>
    </w:p>
    <w:p w14:paraId="568CC025">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成交人在非不可抗力因素下均须无条件响应采购人派单需求（</w:t>
      </w:r>
      <w:r>
        <w:rPr>
          <w:rFonts w:hint="eastAsia" w:ascii="宋体" w:hAnsi="宋体" w:eastAsia="宋体" w:cs="宋体"/>
          <w:b/>
          <w:bCs/>
          <w:color w:val="auto"/>
          <w:sz w:val="21"/>
          <w:szCs w:val="21"/>
          <w:highlight w:val="none"/>
        </w:rPr>
        <w:t>含成交区域的限行区域</w:t>
      </w:r>
      <w:r>
        <w:rPr>
          <w:rFonts w:hint="eastAsia" w:ascii="宋体" w:hAnsi="宋体" w:eastAsia="宋体" w:cs="宋体"/>
          <w:b/>
          <w:bCs/>
          <w:color w:val="auto"/>
          <w:sz w:val="21"/>
          <w:szCs w:val="21"/>
          <w:highlight w:val="none"/>
          <w:lang w:eastAsia="zh-CN"/>
        </w:rPr>
        <w:t>，</w:t>
      </w:r>
      <w:r>
        <w:rPr>
          <w:rFonts w:hint="eastAsia" w:ascii="宋体" w:hAnsi="宋体" w:eastAsia="宋体" w:cs="宋体"/>
          <w:b/>
          <w:bCs/>
          <w:color w:val="auto"/>
          <w:sz w:val="21"/>
          <w:szCs w:val="21"/>
          <w:highlight w:val="none"/>
          <w:lang w:val="en-US" w:eastAsia="zh-CN"/>
        </w:rPr>
        <w:t>如惠州市石化区和东莞市松山湖园区</w:t>
      </w:r>
      <w:r>
        <w:rPr>
          <w:rFonts w:hint="eastAsia" w:ascii="宋体" w:hAnsi="宋体" w:eastAsia="宋体" w:cs="宋体"/>
          <w:color w:val="auto"/>
          <w:sz w:val="21"/>
          <w:szCs w:val="21"/>
          <w:highlight w:val="none"/>
        </w:rPr>
        <w:t>），不能</w:t>
      </w:r>
      <w:r>
        <w:rPr>
          <w:rFonts w:hint="eastAsia" w:ascii="宋体" w:hAnsi="宋体" w:eastAsia="宋体" w:cs="宋体"/>
          <w:color w:val="auto"/>
          <w:sz w:val="21"/>
          <w:szCs w:val="21"/>
          <w:highlight w:val="none"/>
          <w:lang w:val="en-US" w:eastAsia="zh-CN"/>
        </w:rPr>
        <w:t>响应</w:t>
      </w:r>
      <w:r>
        <w:rPr>
          <w:rFonts w:hint="eastAsia" w:ascii="宋体" w:hAnsi="宋体" w:eastAsia="宋体" w:cs="宋体"/>
          <w:color w:val="auto"/>
          <w:sz w:val="21"/>
          <w:szCs w:val="21"/>
          <w:highlight w:val="none"/>
        </w:rPr>
        <w:t>采购人运输服务需求的</w:t>
      </w:r>
      <w:r>
        <w:rPr>
          <w:rFonts w:hint="eastAsia" w:ascii="宋体" w:hAnsi="宋体" w:eastAsia="宋体" w:cs="宋体"/>
          <w:color w:val="auto"/>
          <w:sz w:val="21"/>
          <w:szCs w:val="21"/>
          <w:highlight w:val="none"/>
          <w:lang w:val="en-US" w:eastAsia="zh-CN"/>
        </w:rPr>
        <w:t>行为均</w:t>
      </w:r>
      <w:r>
        <w:rPr>
          <w:rFonts w:hint="eastAsia" w:ascii="宋体" w:hAnsi="宋体" w:eastAsia="宋体" w:cs="宋体"/>
          <w:color w:val="auto"/>
          <w:sz w:val="21"/>
          <w:szCs w:val="21"/>
          <w:highlight w:val="none"/>
        </w:rPr>
        <w:t>视为跳单。采购区域需求优先最低价成交人。</w:t>
      </w:r>
    </w:p>
    <w:p w14:paraId="6E979595">
      <w:pPr>
        <w:keepNext w:val="0"/>
        <w:keepLines w:val="0"/>
        <w:pageBreakBefore w:val="0"/>
        <w:widowControl w:val="0"/>
        <w:kinsoku/>
        <w:wordWrap/>
        <w:overflowPunct/>
        <w:topLinePunct w:val="0"/>
        <w:autoSpaceDE/>
        <w:autoSpaceDN/>
        <w:bidi w:val="0"/>
        <w:adjustRightInd/>
        <w:snapToGrid/>
        <w:spacing w:line="440" w:lineRule="exact"/>
        <w:ind w:firstLine="422" w:firstLineChars="200"/>
        <w:jc w:val="both"/>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（一）响应要求</w:t>
      </w:r>
    </w:p>
    <w:p w14:paraId="5CE3CE5F">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eastAsia" w:ascii="宋体" w:hAnsi="宋体" w:cs="宋体"/>
          <w:color w:val="auto"/>
          <w:sz w:val="21"/>
          <w:szCs w:val="21"/>
          <w:highlight w:val="none"/>
          <w:lang w:val="en-US" w:eastAsia="zh-CN"/>
        </w:rPr>
      </w:pPr>
      <w:r>
        <w:rPr>
          <w:rFonts w:hint="eastAsia" w:ascii="宋体" w:hAnsi="宋体" w:cs="宋体"/>
          <w:color w:val="auto"/>
          <w:sz w:val="21"/>
          <w:szCs w:val="21"/>
          <w:highlight w:val="none"/>
          <w:lang w:val="en-US" w:eastAsia="zh-CN"/>
        </w:rPr>
        <w:t>1.派单时间：正常情况下，采购人提前1个日历日派单；有突发情况下（派单当天有收运需求），采购人提前2小时派单。</w:t>
      </w:r>
    </w:p>
    <w:p w14:paraId="0CBEB18A">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eastAsia" w:ascii="宋体" w:hAnsi="宋体" w:cs="宋体"/>
          <w:color w:val="auto"/>
          <w:sz w:val="21"/>
          <w:szCs w:val="21"/>
          <w:highlight w:val="none"/>
          <w:lang w:val="en-US" w:eastAsia="zh-CN"/>
        </w:rPr>
      </w:pPr>
      <w:r>
        <w:rPr>
          <w:rFonts w:hint="eastAsia" w:ascii="宋体" w:hAnsi="宋体" w:cs="宋体"/>
          <w:color w:val="auto"/>
          <w:sz w:val="21"/>
          <w:szCs w:val="21"/>
          <w:highlight w:val="none"/>
          <w:lang w:val="en-US" w:eastAsia="zh-CN"/>
        </w:rPr>
        <w:t>2.派单形式：采购人以书面形式（包括但不限于以 QQ、微信、短信、Email等形式）向成交人发出收运指令，内容包含：所有需收运服务的客户的收运时间、提货单位及地点、运输车型、危险废物名称、数量、收运联系人、联系电话、所需工具等信息。</w:t>
      </w:r>
    </w:p>
    <w:p w14:paraId="6F981125">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default" w:ascii="宋体" w:hAnsi="宋体" w:cs="宋体"/>
          <w:color w:val="auto"/>
          <w:sz w:val="21"/>
          <w:szCs w:val="21"/>
          <w:highlight w:val="none"/>
          <w:lang w:val="en-US" w:eastAsia="zh-CN"/>
        </w:rPr>
      </w:pPr>
      <w:r>
        <w:rPr>
          <w:rFonts w:hint="default" w:ascii="宋体" w:hAnsi="宋体" w:cs="宋体"/>
          <w:color w:val="auto"/>
          <w:sz w:val="21"/>
          <w:szCs w:val="21"/>
          <w:highlight w:val="none"/>
          <w:lang w:val="en-US" w:eastAsia="zh-CN"/>
        </w:rPr>
        <w:t>3.响应要求：成交人接到采购人收运指令时，应在1个小时内响应是否能够承运。成交人确认承运后，须在 3个小时内按采购人收运指令安排人员和车辆，并以文字形式（包含但不限于以 QQ、微信、短信、Email 等）告知采购人该运输车辆的车牌号、车辆型号、司机姓名等信息，并准备好承运单等单据。如果成交人确认承运后取消的，或在规定时间内未作出响应，计入相应的考核扣分（不可抗力除外）。若因成交人原因导致采购人不得不自行解决运输导致运费超支的，超支部分由</w:t>
      </w:r>
      <w:r>
        <w:rPr>
          <w:rFonts w:hint="eastAsia" w:ascii="宋体" w:hAnsi="宋体" w:cs="宋体"/>
          <w:color w:val="auto"/>
          <w:sz w:val="21"/>
          <w:szCs w:val="21"/>
          <w:highlight w:val="none"/>
          <w:lang w:val="en-US" w:eastAsia="zh-CN"/>
        </w:rPr>
        <w:t>成交人</w:t>
      </w:r>
      <w:r>
        <w:rPr>
          <w:rFonts w:hint="default" w:ascii="宋体" w:hAnsi="宋体" w:cs="宋体"/>
          <w:color w:val="auto"/>
          <w:sz w:val="21"/>
          <w:szCs w:val="21"/>
          <w:highlight w:val="none"/>
          <w:lang w:val="en-US" w:eastAsia="zh-CN"/>
        </w:rPr>
        <w:t>承担（不可抗力除外）。</w:t>
      </w:r>
    </w:p>
    <w:p w14:paraId="4E19BA55">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default" w:ascii="宋体" w:hAnsi="宋体" w:cs="宋体"/>
          <w:color w:val="auto"/>
          <w:sz w:val="21"/>
          <w:szCs w:val="21"/>
          <w:highlight w:val="none"/>
          <w:lang w:val="en-US" w:eastAsia="zh-CN"/>
        </w:rPr>
      </w:pPr>
      <w:r>
        <w:rPr>
          <w:rFonts w:hint="default" w:ascii="宋体" w:hAnsi="宋体" w:cs="宋体"/>
          <w:color w:val="auto"/>
          <w:sz w:val="21"/>
          <w:szCs w:val="21"/>
          <w:highlight w:val="none"/>
          <w:lang w:val="en-US" w:eastAsia="zh-CN"/>
        </w:rPr>
        <w:t>★4.限行区域：合同服务期内，成交人必须具有惠州市石化区通行证。成交人须在投标时提供惠州市石化区的通行证（加盖公章），如非自有车辆需提供合作合同（加盖公章）。</w:t>
      </w:r>
    </w:p>
    <w:p w14:paraId="2A325683">
      <w:pPr>
        <w:keepNext w:val="0"/>
        <w:keepLines w:val="0"/>
        <w:pageBreakBefore w:val="0"/>
        <w:widowControl w:val="0"/>
        <w:kinsoku/>
        <w:wordWrap/>
        <w:overflowPunct/>
        <w:topLinePunct w:val="0"/>
        <w:autoSpaceDE/>
        <w:autoSpaceDN/>
        <w:bidi w:val="0"/>
        <w:adjustRightInd/>
        <w:snapToGrid/>
        <w:spacing w:line="440" w:lineRule="exact"/>
        <w:ind w:firstLine="422" w:firstLineChars="200"/>
        <w:jc w:val="both"/>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w:t>
      </w:r>
      <w:r>
        <w:rPr>
          <w:rFonts w:hint="eastAsia" w:ascii="宋体" w:hAnsi="宋体" w:cs="宋体"/>
          <w:b/>
          <w:bCs/>
          <w:color w:val="auto"/>
          <w:sz w:val="21"/>
          <w:szCs w:val="21"/>
          <w:highlight w:val="none"/>
          <w:lang w:val="en-US" w:eastAsia="zh-CN"/>
        </w:rPr>
        <w:t>二</w:t>
      </w:r>
      <w:r>
        <w:rPr>
          <w:rFonts w:hint="eastAsia" w:ascii="宋体" w:hAnsi="宋体" w:eastAsia="宋体" w:cs="宋体"/>
          <w:b/>
          <w:bCs/>
          <w:color w:val="auto"/>
          <w:sz w:val="21"/>
          <w:szCs w:val="21"/>
          <w:highlight w:val="none"/>
        </w:rPr>
        <w:t>）顺路拼车运输</w:t>
      </w:r>
    </w:p>
    <w:p w14:paraId="2C006AB8">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eastAsia" w:ascii="宋体" w:hAnsi="宋体" w:eastAsia="宋体" w:cs="宋体"/>
          <w:b w:val="0"/>
          <w:bCs w:val="0"/>
          <w:color w:val="auto"/>
          <w:sz w:val="21"/>
          <w:szCs w:val="21"/>
          <w:highlight w:val="none"/>
          <w:lang w:val="en-US" w:eastAsia="zh-CN"/>
        </w:rPr>
      </w:pPr>
      <w:r>
        <w:rPr>
          <w:rFonts w:hint="eastAsia" w:ascii="宋体" w:hAnsi="宋体" w:eastAsia="宋体" w:cs="宋体"/>
          <w:color w:val="auto"/>
          <w:sz w:val="21"/>
          <w:szCs w:val="21"/>
          <w:highlight w:val="none"/>
        </w:rPr>
        <w:t>按该车次最远地址运费单价为准结算基础运费，拼车费用另计。同一工业园区的不同客户，不计算拼车费；不同工业园区，</w:t>
      </w:r>
      <w:r>
        <w:rPr>
          <w:rFonts w:hint="eastAsia" w:ascii="宋体" w:hAnsi="宋体" w:eastAsia="宋体" w:cs="宋体"/>
          <w:b/>
          <w:bCs/>
          <w:color w:val="auto"/>
          <w:sz w:val="21"/>
          <w:szCs w:val="21"/>
          <w:highlight w:val="none"/>
        </w:rPr>
        <w:t>同一“区/县/镇”</w:t>
      </w:r>
      <w:r>
        <w:rPr>
          <w:rFonts w:hint="eastAsia" w:ascii="宋体" w:hAnsi="宋体" w:eastAsia="宋体" w:cs="宋体"/>
          <w:color w:val="auto"/>
          <w:sz w:val="21"/>
          <w:szCs w:val="21"/>
          <w:highlight w:val="none"/>
        </w:rPr>
        <w:t>按100元/家计算拼车费；</w:t>
      </w:r>
      <w:r>
        <w:rPr>
          <w:rFonts w:hint="eastAsia" w:ascii="宋体" w:hAnsi="宋体" w:eastAsia="宋体" w:cs="宋体"/>
          <w:b/>
          <w:bCs/>
          <w:color w:val="auto"/>
          <w:sz w:val="21"/>
          <w:szCs w:val="21"/>
          <w:highlight w:val="none"/>
        </w:rPr>
        <w:t>不同“区/县/镇”</w:t>
      </w:r>
      <w:r>
        <w:rPr>
          <w:rFonts w:hint="eastAsia" w:ascii="宋体" w:hAnsi="宋体" w:eastAsia="宋体" w:cs="宋体"/>
          <w:color w:val="auto"/>
          <w:sz w:val="21"/>
          <w:szCs w:val="21"/>
          <w:highlight w:val="none"/>
        </w:rPr>
        <w:t>按150元/家计算拼车费。拼车收运不受成交区域限制，按最远地址委派该区域成交人。</w:t>
      </w:r>
      <w:r>
        <w:rPr>
          <w:rFonts w:hint="eastAsia" w:ascii="宋体" w:hAnsi="宋体" w:eastAsia="宋体" w:cs="宋体"/>
          <w:b w:val="0"/>
          <w:bCs w:val="0"/>
          <w:color w:val="auto"/>
          <w:sz w:val="21"/>
          <w:szCs w:val="21"/>
          <w:highlight w:val="none"/>
        </w:rPr>
        <w:t>“区/县/镇”</w:t>
      </w:r>
      <w:r>
        <w:rPr>
          <w:rFonts w:hint="eastAsia" w:ascii="宋体" w:hAnsi="宋体" w:eastAsia="宋体" w:cs="宋体"/>
          <w:b w:val="0"/>
          <w:bCs w:val="0"/>
          <w:color w:val="auto"/>
          <w:sz w:val="21"/>
          <w:szCs w:val="21"/>
          <w:highlight w:val="none"/>
          <w:lang w:eastAsia="zh-CN"/>
        </w:rPr>
        <w:t>的</w:t>
      </w:r>
      <w:r>
        <w:rPr>
          <w:rFonts w:hint="eastAsia" w:ascii="宋体" w:hAnsi="宋体" w:eastAsia="宋体" w:cs="宋体"/>
          <w:b w:val="0"/>
          <w:bCs w:val="0"/>
          <w:color w:val="auto"/>
          <w:sz w:val="21"/>
          <w:szCs w:val="21"/>
          <w:highlight w:val="none"/>
          <w:lang w:val="en-US" w:eastAsia="zh-CN"/>
        </w:rPr>
        <w:t>定义以报价单的</w:t>
      </w:r>
      <w:r>
        <w:rPr>
          <w:rFonts w:hint="eastAsia" w:ascii="宋体" w:hAnsi="宋体" w:eastAsia="宋体" w:cs="宋体"/>
          <w:b w:val="0"/>
          <w:bCs w:val="0"/>
          <w:color w:val="auto"/>
          <w:sz w:val="21"/>
          <w:szCs w:val="21"/>
          <w:highlight w:val="none"/>
        </w:rPr>
        <w:t>“区/县/镇”</w:t>
      </w:r>
      <w:r>
        <w:rPr>
          <w:rFonts w:hint="eastAsia" w:ascii="宋体" w:hAnsi="宋体" w:eastAsia="宋体" w:cs="宋体"/>
          <w:b w:val="0"/>
          <w:bCs w:val="0"/>
          <w:color w:val="auto"/>
          <w:sz w:val="21"/>
          <w:szCs w:val="21"/>
          <w:highlight w:val="none"/>
          <w:lang w:val="en-US" w:eastAsia="zh-CN"/>
        </w:rPr>
        <w:t>划分为准。</w:t>
      </w:r>
    </w:p>
    <w:p w14:paraId="75725617">
      <w:pPr>
        <w:keepNext w:val="0"/>
        <w:keepLines w:val="0"/>
        <w:pageBreakBefore w:val="0"/>
        <w:widowControl w:val="0"/>
        <w:kinsoku/>
        <w:wordWrap/>
        <w:overflowPunct/>
        <w:topLinePunct w:val="0"/>
        <w:autoSpaceDE/>
        <w:autoSpaceDN/>
        <w:bidi w:val="0"/>
        <w:adjustRightInd/>
        <w:snapToGrid/>
        <w:spacing w:line="440" w:lineRule="exact"/>
        <w:ind w:firstLine="422" w:firstLineChars="200"/>
        <w:jc w:val="both"/>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w:t>
      </w:r>
      <w:r>
        <w:rPr>
          <w:rFonts w:hint="eastAsia" w:ascii="宋体" w:hAnsi="宋体" w:cs="宋体"/>
          <w:b/>
          <w:bCs/>
          <w:color w:val="auto"/>
          <w:sz w:val="21"/>
          <w:szCs w:val="21"/>
          <w:highlight w:val="none"/>
          <w:lang w:val="en-US" w:eastAsia="zh-CN"/>
        </w:rPr>
        <w:t>三</w:t>
      </w:r>
      <w:r>
        <w:rPr>
          <w:rFonts w:hint="eastAsia" w:ascii="宋体" w:hAnsi="宋体" w:eastAsia="宋体" w:cs="宋体"/>
          <w:b/>
          <w:bCs/>
          <w:color w:val="auto"/>
          <w:sz w:val="21"/>
          <w:szCs w:val="21"/>
          <w:highlight w:val="none"/>
        </w:rPr>
        <w:t>）杂费及搬运费</w:t>
      </w:r>
    </w:p>
    <w:p w14:paraId="6C139730">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涉及其他杂费内容按《运输杂费及计费规则》执行；涉及收运现场需进行搬运的费用</w:t>
      </w:r>
      <w:r>
        <w:rPr>
          <w:rFonts w:hint="eastAsia" w:ascii="宋体" w:hAnsi="宋体" w:cs="宋体"/>
          <w:color w:val="auto"/>
          <w:sz w:val="21"/>
          <w:szCs w:val="21"/>
          <w:highlight w:val="none"/>
          <w:lang w:val="en-US" w:eastAsia="zh-CN"/>
        </w:rPr>
        <w:t>按</w:t>
      </w:r>
      <w:r>
        <w:rPr>
          <w:rFonts w:hint="eastAsia" w:ascii="宋体" w:hAnsi="宋体" w:eastAsia="宋体" w:cs="宋体"/>
          <w:color w:val="auto"/>
          <w:sz w:val="21"/>
          <w:szCs w:val="21"/>
          <w:highlight w:val="none"/>
        </w:rPr>
        <w:t>《运输单位搬运费分级标准》执行。</w:t>
      </w:r>
    </w:p>
    <w:p w14:paraId="6A0D7C25">
      <w:pPr>
        <w:keepNext w:val="0"/>
        <w:keepLines w:val="0"/>
        <w:pageBreakBefore w:val="0"/>
        <w:widowControl w:val="0"/>
        <w:kinsoku/>
        <w:wordWrap/>
        <w:overflowPunct/>
        <w:topLinePunct w:val="0"/>
        <w:autoSpaceDE/>
        <w:autoSpaceDN/>
        <w:bidi w:val="0"/>
        <w:adjustRightInd/>
        <w:snapToGrid/>
        <w:spacing w:line="440" w:lineRule="exact"/>
        <w:ind w:firstLine="422" w:firstLineChars="200"/>
        <w:jc w:val="both"/>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w:t>
      </w:r>
      <w:r>
        <w:rPr>
          <w:rFonts w:hint="eastAsia" w:ascii="宋体" w:hAnsi="宋体" w:cs="宋体"/>
          <w:b/>
          <w:bCs/>
          <w:color w:val="auto"/>
          <w:sz w:val="21"/>
          <w:szCs w:val="21"/>
          <w:highlight w:val="none"/>
          <w:lang w:val="en-US" w:eastAsia="zh-CN"/>
        </w:rPr>
        <w:t>四</w:t>
      </w:r>
      <w:r>
        <w:rPr>
          <w:rFonts w:hint="eastAsia" w:ascii="宋体" w:hAnsi="宋体" w:eastAsia="宋体" w:cs="宋体"/>
          <w:b/>
          <w:bCs/>
          <w:color w:val="auto"/>
          <w:sz w:val="21"/>
          <w:szCs w:val="21"/>
          <w:highlight w:val="none"/>
        </w:rPr>
        <w:t>）跳单处罚</w:t>
      </w:r>
    </w:p>
    <w:p w14:paraId="66932E03">
      <w:pPr>
        <w:keepNext w:val="0"/>
        <w:keepLines w:val="0"/>
        <w:pageBreakBefore w:val="0"/>
        <w:widowControl w:val="0"/>
        <w:kinsoku/>
        <w:wordWrap/>
        <w:overflowPunct/>
        <w:topLinePunct w:val="0"/>
        <w:autoSpaceDE/>
        <w:autoSpaceDN/>
        <w:bidi w:val="0"/>
        <w:adjustRightInd/>
        <w:snapToGrid/>
        <w:spacing w:line="440" w:lineRule="exact"/>
        <w:ind w:firstLine="422" w:firstLineChars="200"/>
        <w:jc w:val="both"/>
        <w:textAlignment w:val="auto"/>
        <w:rPr>
          <w:rFonts w:hint="eastAsia" w:ascii="宋体" w:hAnsi="宋体" w:eastAsia="宋体" w:cs="宋体"/>
          <w:b/>
          <w:bCs/>
          <w:color w:val="auto"/>
          <w:sz w:val="21"/>
          <w:szCs w:val="21"/>
          <w:highlight w:val="none"/>
          <w:lang w:val="en-US" w:eastAsia="zh-CN"/>
        </w:rPr>
      </w:pPr>
      <w:r>
        <w:rPr>
          <w:rFonts w:hint="eastAsia" w:ascii="宋体" w:hAnsi="宋体" w:eastAsia="宋体" w:cs="宋体"/>
          <w:b/>
          <w:bCs/>
          <w:color w:val="auto"/>
          <w:sz w:val="21"/>
          <w:szCs w:val="21"/>
          <w:highlight w:val="none"/>
          <w:lang w:val="en-US" w:eastAsia="zh-CN"/>
        </w:rPr>
        <w:t>无法响应采购人派车需求的均属于跳单行为。采购人安排厢车</w:t>
      </w:r>
      <w:r>
        <w:rPr>
          <w:rFonts w:hint="eastAsia" w:ascii="宋体" w:hAnsi="宋体" w:cs="宋体"/>
          <w:b/>
          <w:bCs/>
          <w:color w:val="auto"/>
          <w:sz w:val="21"/>
          <w:szCs w:val="21"/>
          <w:highlight w:val="none"/>
          <w:lang w:val="en-US" w:eastAsia="zh-CN"/>
        </w:rPr>
        <w:t>成交人</w:t>
      </w:r>
      <w:r>
        <w:rPr>
          <w:rFonts w:hint="eastAsia" w:ascii="宋体" w:hAnsi="宋体" w:eastAsia="宋体" w:cs="宋体"/>
          <w:b/>
          <w:bCs/>
          <w:color w:val="auto"/>
          <w:sz w:val="21"/>
          <w:szCs w:val="21"/>
          <w:highlight w:val="none"/>
          <w:lang w:val="en-US" w:eastAsia="zh-CN"/>
        </w:rPr>
        <w:t>20台车/天及以内时，</w:t>
      </w:r>
      <w:r>
        <w:rPr>
          <w:rFonts w:hint="eastAsia" w:ascii="宋体" w:hAnsi="宋体" w:eastAsia="宋体" w:cs="宋体"/>
          <w:b/>
          <w:bCs/>
          <w:color w:val="auto"/>
          <w:sz w:val="21"/>
          <w:szCs w:val="21"/>
          <w:highlight w:val="none"/>
        </w:rPr>
        <w:t>成交人无法响应的，跳单</w:t>
      </w:r>
      <w:r>
        <w:rPr>
          <w:rFonts w:hint="eastAsia" w:ascii="宋体" w:hAnsi="宋体" w:eastAsia="宋体" w:cs="宋体"/>
          <w:b/>
          <w:bCs/>
          <w:color w:val="auto"/>
          <w:sz w:val="21"/>
          <w:szCs w:val="21"/>
          <w:highlight w:val="none"/>
          <w:lang w:val="en-US" w:eastAsia="zh-CN"/>
        </w:rPr>
        <w:t>处罚金额为采购人使用其他运输单位支出运输费用的2倍</w:t>
      </w:r>
      <w:r>
        <w:rPr>
          <w:rFonts w:hint="eastAsia" w:ascii="宋体" w:hAnsi="宋体" w:eastAsia="宋体" w:cs="宋体"/>
          <w:b/>
          <w:bCs/>
          <w:color w:val="auto"/>
          <w:sz w:val="21"/>
          <w:szCs w:val="21"/>
          <w:highlight w:val="none"/>
        </w:rPr>
        <w:t>；采购人当日15时</w:t>
      </w:r>
      <w:r>
        <w:rPr>
          <w:rFonts w:hint="eastAsia" w:ascii="宋体" w:hAnsi="宋体" w:eastAsia="宋体" w:cs="宋体"/>
          <w:b/>
          <w:bCs/>
          <w:color w:val="auto"/>
          <w:sz w:val="21"/>
          <w:szCs w:val="21"/>
          <w:highlight w:val="none"/>
          <w:lang w:val="en-US" w:eastAsia="zh-CN"/>
        </w:rPr>
        <w:t>之后</w:t>
      </w:r>
      <w:r>
        <w:rPr>
          <w:rFonts w:hint="eastAsia" w:ascii="宋体" w:hAnsi="宋体" w:eastAsia="宋体" w:cs="宋体"/>
          <w:b/>
          <w:bCs/>
          <w:color w:val="auto"/>
          <w:sz w:val="21"/>
          <w:szCs w:val="21"/>
          <w:highlight w:val="none"/>
        </w:rPr>
        <w:t>安排次日运输任务</w:t>
      </w:r>
      <w:r>
        <w:rPr>
          <w:rFonts w:hint="eastAsia" w:ascii="宋体" w:hAnsi="宋体" w:eastAsia="宋体" w:cs="宋体"/>
          <w:b/>
          <w:bCs/>
          <w:color w:val="auto"/>
          <w:sz w:val="21"/>
          <w:szCs w:val="21"/>
          <w:highlight w:val="none"/>
          <w:lang w:val="en-US" w:eastAsia="zh-CN"/>
        </w:rPr>
        <w:t>且超过厢车</w:t>
      </w:r>
      <w:r>
        <w:rPr>
          <w:rFonts w:hint="eastAsia" w:ascii="宋体" w:hAnsi="宋体" w:cs="宋体"/>
          <w:b/>
          <w:bCs/>
          <w:color w:val="auto"/>
          <w:sz w:val="21"/>
          <w:szCs w:val="21"/>
          <w:highlight w:val="none"/>
          <w:lang w:val="en-US" w:eastAsia="zh-CN"/>
        </w:rPr>
        <w:t>成交人</w:t>
      </w:r>
      <w:r>
        <w:rPr>
          <w:rFonts w:hint="eastAsia" w:ascii="宋体" w:hAnsi="宋体" w:eastAsia="宋体" w:cs="宋体"/>
          <w:b/>
          <w:bCs/>
          <w:color w:val="auto"/>
          <w:sz w:val="21"/>
          <w:szCs w:val="21"/>
          <w:highlight w:val="none"/>
          <w:lang w:val="en-US" w:eastAsia="zh-CN"/>
        </w:rPr>
        <w:t>20台车/天以上时</w:t>
      </w:r>
      <w:r>
        <w:rPr>
          <w:rFonts w:hint="eastAsia" w:ascii="宋体" w:hAnsi="宋体" w:eastAsia="宋体" w:cs="宋体"/>
          <w:b/>
          <w:bCs/>
          <w:color w:val="auto"/>
          <w:sz w:val="21"/>
          <w:szCs w:val="21"/>
          <w:highlight w:val="none"/>
        </w:rPr>
        <w:t>，成交人无法提供服务的，</w:t>
      </w:r>
      <w:r>
        <w:rPr>
          <w:rFonts w:hint="eastAsia" w:ascii="宋体" w:hAnsi="宋体" w:eastAsia="宋体" w:cs="宋体"/>
          <w:b/>
          <w:bCs/>
          <w:color w:val="auto"/>
          <w:sz w:val="21"/>
          <w:szCs w:val="21"/>
          <w:highlight w:val="none"/>
          <w:lang w:val="en-US" w:eastAsia="zh-CN"/>
        </w:rPr>
        <w:t>仅需承担采购人使用其他运输单位支出的运输费用</w:t>
      </w:r>
      <w:r>
        <w:rPr>
          <w:rFonts w:hint="eastAsia" w:ascii="宋体" w:hAnsi="宋体" w:eastAsia="宋体" w:cs="宋体"/>
          <w:b/>
          <w:bCs/>
          <w:color w:val="auto"/>
          <w:sz w:val="21"/>
          <w:szCs w:val="21"/>
          <w:highlight w:val="none"/>
        </w:rPr>
        <w:t>。跳单处罚款项于跳单所属月份的运输费中扣除。</w:t>
      </w:r>
      <w:r>
        <w:rPr>
          <w:rFonts w:hint="eastAsia" w:ascii="宋体" w:hAnsi="宋体" w:eastAsia="宋体" w:cs="宋体"/>
          <w:b/>
          <w:bCs/>
          <w:color w:val="auto"/>
          <w:sz w:val="21"/>
          <w:szCs w:val="21"/>
          <w:highlight w:val="none"/>
          <w:lang w:val="en-US" w:eastAsia="zh-CN"/>
        </w:rPr>
        <w:t>运费不足</w:t>
      </w:r>
      <w:r>
        <w:rPr>
          <w:rFonts w:hint="eastAsia" w:ascii="宋体" w:hAnsi="宋体" w:cs="宋体"/>
          <w:b/>
          <w:bCs/>
          <w:color w:val="auto"/>
          <w:sz w:val="21"/>
          <w:szCs w:val="21"/>
          <w:highlight w:val="none"/>
          <w:lang w:val="en-US" w:eastAsia="zh-CN"/>
        </w:rPr>
        <w:t>以</w:t>
      </w:r>
      <w:r>
        <w:rPr>
          <w:rFonts w:hint="eastAsia" w:ascii="宋体" w:hAnsi="宋体" w:eastAsia="宋体" w:cs="宋体"/>
          <w:b/>
          <w:bCs/>
          <w:color w:val="auto"/>
          <w:sz w:val="21"/>
          <w:szCs w:val="21"/>
          <w:highlight w:val="none"/>
          <w:lang w:val="en-US" w:eastAsia="zh-CN"/>
        </w:rPr>
        <w:t>抵扣时，从</w:t>
      </w:r>
      <w:r>
        <w:rPr>
          <w:rFonts w:hint="eastAsia" w:ascii="宋体" w:hAnsi="宋体" w:cs="宋体"/>
          <w:b/>
          <w:bCs/>
          <w:color w:val="auto"/>
          <w:sz w:val="21"/>
          <w:szCs w:val="21"/>
          <w:highlight w:val="none"/>
          <w:lang w:val="en-US" w:eastAsia="zh-CN"/>
        </w:rPr>
        <w:t>履约保证金</w:t>
      </w:r>
      <w:r>
        <w:rPr>
          <w:rFonts w:hint="eastAsia" w:ascii="宋体" w:hAnsi="宋体" w:eastAsia="宋体" w:cs="宋体"/>
          <w:b/>
          <w:bCs/>
          <w:color w:val="auto"/>
          <w:sz w:val="21"/>
          <w:szCs w:val="21"/>
          <w:highlight w:val="none"/>
          <w:lang w:val="en-US" w:eastAsia="zh-CN"/>
        </w:rPr>
        <w:t>中扣除。</w:t>
      </w:r>
    </w:p>
    <w:p w14:paraId="64A2137C">
      <w:pPr>
        <w:keepNext w:val="0"/>
        <w:keepLines w:val="0"/>
        <w:pageBreakBefore w:val="0"/>
        <w:widowControl w:val="0"/>
        <w:kinsoku/>
        <w:wordWrap/>
        <w:overflowPunct/>
        <w:topLinePunct w:val="0"/>
        <w:autoSpaceDE/>
        <w:autoSpaceDN/>
        <w:bidi w:val="0"/>
        <w:adjustRightInd/>
        <w:snapToGrid/>
        <w:spacing w:line="440" w:lineRule="exact"/>
        <w:ind w:firstLine="422" w:firstLineChars="200"/>
        <w:jc w:val="both"/>
        <w:textAlignment w:val="auto"/>
        <w:rPr>
          <w:rFonts w:hint="eastAsia" w:ascii="宋体" w:hAnsi="宋体" w:eastAsia="宋体" w:cs="宋体"/>
          <w:color w:val="auto"/>
          <w:sz w:val="21"/>
          <w:szCs w:val="21"/>
          <w:highlight w:val="none"/>
          <w:lang w:eastAsia="zh-CN"/>
        </w:rPr>
      </w:pPr>
      <w:r>
        <w:rPr>
          <w:rFonts w:hint="eastAsia" w:ascii="宋体" w:hAnsi="宋体" w:eastAsia="宋体" w:cs="宋体"/>
          <w:b/>
          <w:bCs/>
          <w:color w:val="auto"/>
          <w:sz w:val="21"/>
          <w:szCs w:val="21"/>
          <w:highlight w:val="none"/>
        </w:rPr>
        <w:t>备注</w:t>
      </w:r>
      <w:r>
        <w:rPr>
          <w:rFonts w:hint="eastAsia" w:ascii="宋体" w:hAnsi="宋体" w:eastAsia="宋体" w:cs="宋体"/>
          <w:color w:val="auto"/>
          <w:sz w:val="21"/>
          <w:szCs w:val="21"/>
          <w:highlight w:val="none"/>
        </w:rPr>
        <w:t>：跳单考核包括成交人已进行响应，后因成交人原因，无法按要求日期或逾期超过5小时抵达客户现场进行收运的情况</w:t>
      </w:r>
      <w:r>
        <w:rPr>
          <w:rFonts w:hint="eastAsia" w:ascii="宋体" w:hAnsi="宋体" w:cs="宋体"/>
          <w:color w:val="auto"/>
          <w:sz w:val="21"/>
          <w:szCs w:val="21"/>
          <w:highlight w:val="none"/>
          <w:lang w:eastAsia="zh-CN"/>
        </w:rPr>
        <w:t>。</w:t>
      </w:r>
    </w:p>
    <w:p w14:paraId="02EEA7E8">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w:t>
      </w:r>
      <w:r>
        <w:rPr>
          <w:rFonts w:hint="eastAsia" w:ascii="宋体" w:hAnsi="宋体" w:cs="宋体"/>
          <w:color w:val="auto"/>
          <w:sz w:val="21"/>
          <w:szCs w:val="21"/>
          <w:highlight w:val="none"/>
          <w:lang w:val="en-US" w:eastAsia="zh-CN"/>
        </w:rPr>
        <w:t>五</w:t>
      </w:r>
      <w:r>
        <w:rPr>
          <w:rFonts w:hint="eastAsia" w:ascii="宋体" w:hAnsi="宋体" w:eastAsia="宋体" w:cs="宋体"/>
          <w:color w:val="auto"/>
          <w:sz w:val="21"/>
          <w:szCs w:val="21"/>
          <w:highlight w:val="none"/>
        </w:rPr>
        <w:t>）成交人跳单达</w:t>
      </w:r>
      <w:r>
        <w:rPr>
          <w:rFonts w:hint="eastAsia" w:ascii="宋体" w:hAnsi="宋体" w:eastAsia="宋体" w:cs="宋体"/>
          <w:color w:val="auto"/>
          <w:sz w:val="21"/>
          <w:szCs w:val="21"/>
          <w:highlight w:val="none"/>
          <w:lang w:val="en-US" w:eastAsia="zh-CN"/>
        </w:rPr>
        <w:t>3</w:t>
      </w:r>
      <w:r>
        <w:rPr>
          <w:rFonts w:hint="eastAsia" w:ascii="宋体" w:hAnsi="宋体" w:eastAsia="宋体" w:cs="宋体"/>
          <w:color w:val="auto"/>
          <w:sz w:val="21"/>
          <w:szCs w:val="21"/>
          <w:highlight w:val="none"/>
        </w:rPr>
        <w:t>车/月，</w:t>
      </w:r>
      <w:r>
        <w:rPr>
          <w:rFonts w:hint="eastAsia" w:ascii="宋体" w:hAnsi="宋体" w:eastAsia="宋体" w:cs="宋体"/>
          <w:color w:val="auto"/>
          <w:sz w:val="21"/>
          <w:szCs w:val="21"/>
          <w:highlight w:val="none"/>
          <w:lang w:val="en-US" w:eastAsia="zh-CN"/>
        </w:rPr>
        <w:t>采购人</w:t>
      </w:r>
      <w:r>
        <w:rPr>
          <w:rFonts w:hint="eastAsia" w:ascii="宋体" w:hAnsi="宋体" w:eastAsia="宋体" w:cs="宋体"/>
          <w:color w:val="auto"/>
          <w:sz w:val="21"/>
          <w:szCs w:val="21"/>
          <w:highlight w:val="none"/>
        </w:rPr>
        <w:t>有权</w:t>
      </w:r>
      <w:r>
        <w:rPr>
          <w:rFonts w:hint="eastAsia" w:ascii="宋体" w:hAnsi="宋体" w:eastAsia="宋体" w:cs="宋体"/>
          <w:color w:val="auto"/>
          <w:sz w:val="21"/>
          <w:szCs w:val="21"/>
          <w:highlight w:val="none"/>
          <w:lang w:val="en-US" w:eastAsia="zh-CN"/>
        </w:rPr>
        <w:t>暂停与该成交人的合作，并视整改情况进行恢复，累计跳单达10车，采购人有权</w:t>
      </w:r>
      <w:r>
        <w:rPr>
          <w:rFonts w:hint="eastAsia" w:ascii="宋体" w:hAnsi="宋体" w:eastAsia="宋体" w:cs="宋体"/>
          <w:color w:val="auto"/>
          <w:sz w:val="21"/>
          <w:szCs w:val="21"/>
          <w:highlight w:val="none"/>
        </w:rPr>
        <w:t>与成交人解除《危险废物运输服务合同》，同时扣除履约保证金。</w:t>
      </w:r>
    </w:p>
    <w:p w14:paraId="24F4A419">
      <w:pPr>
        <w:keepNext w:val="0"/>
        <w:keepLines w:val="0"/>
        <w:pageBreakBefore w:val="0"/>
        <w:widowControl w:val="0"/>
        <w:kinsoku/>
        <w:wordWrap/>
        <w:overflowPunct/>
        <w:topLinePunct w:val="0"/>
        <w:autoSpaceDE/>
        <w:autoSpaceDN/>
        <w:bidi w:val="0"/>
        <w:adjustRightInd/>
        <w:snapToGrid/>
        <w:spacing w:line="440" w:lineRule="exact"/>
        <w:ind w:firstLine="422" w:firstLineChars="200"/>
        <w:jc w:val="both"/>
        <w:textAlignment w:val="auto"/>
        <w:rPr>
          <w:rFonts w:hint="eastAsia" w:ascii="宋体" w:hAnsi="宋体" w:eastAsia="宋体" w:cs="宋体"/>
          <w:b/>
          <w:bCs/>
          <w:color w:val="auto"/>
          <w:sz w:val="21"/>
          <w:szCs w:val="21"/>
          <w:highlight w:val="none"/>
        </w:rPr>
      </w:pPr>
      <w:r>
        <w:rPr>
          <w:rFonts w:hint="eastAsia" w:ascii="宋体" w:hAnsi="宋体" w:cs="宋体"/>
          <w:b/>
          <w:bCs/>
          <w:color w:val="auto"/>
          <w:sz w:val="21"/>
          <w:szCs w:val="21"/>
          <w:highlight w:val="none"/>
          <w:lang w:val="en-US" w:eastAsia="zh-CN"/>
        </w:rPr>
        <w:t>七</w:t>
      </w:r>
      <w:r>
        <w:rPr>
          <w:rFonts w:hint="eastAsia" w:ascii="宋体" w:hAnsi="宋体" w:eastAsia="宋体" w:cs="宋体"/>
          <w:b/>
          <w:bCs/>
          <w:color w:val="auto"/>
          <w:sz w:val="21"/>
          <w:szCs w:val="21"/>
          <w:highlight w:val="none"/>
        </w:rPr>
        <w:t>、服务质量</w:t>
      </w:r>
    </w:p>
    <w:p w14:paraId="59995BF4">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成交人接受采购人委托，为采购人提供危险废物运输服务，服务期间，需严格遵守道路运输、安全生产相关法律法规要求，采购人对成交人违法违规行为保留处罚权利。因成交人</w:t>
      </w:r>
      <w:r>
        <w:rPr>
          <w:rFonts w:hint="eastAsia" w:ascii="宋体" w:hAnsi="宋体" w:cs="宋体"/>
          <w:color w:val="auto"/>
          <w:sz w:val="21"/>
          <w:szCs w:val="21"/>
          <w:highlight w:val="none"/>
          <w:lang w:eastAsia="zh-CN"/>
        </w:rPr>
        <w:t>违反</w:t>
      </w:r>
      <w:r>
        <w:rPr>
          <w:rFonts w:hint="eastAsia" w:ascii="宋体" w:hAnsi="宋体" w:eastAsia="宋体" w:cs="宋体"/>
          <w:color w:val="auto"/>
          <w:sz w:val="21"/>
          <w:szCs w:val="21"/>
          <w:highlight w:val="none"/>
        </w:rPr>
        <w:t>相关法律法规、国家标准、行业标准造成的损失由成交人自行承担。</w:t>
      </w:r>
    </w:p>
    <w:p w14:paraId="75837AC1">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成交人需严格遵守采购人相关要求，对于违反相关要求，采购人有权进行考核，并对相关人员进行处罚。对于违反相关要求，导致危害后果的，需进行赔偿，相关要求详见《东莞市新东欣环保投资有限公司承运单位违规行为处罚条款》。</w:t>
      </w:r>
    </w:p>
    <w:p w14:paraId="281D8BD6">
      <w:pPr>
        <w:keepNext w:val="0"/>
        <w:keepLines w:val="0"/>
        <w:pageBreakBefore w:val="0"/>
        <w:widowControl w:val="0"/>
        <w:kinsoku/>
        <w:wordWrap/>
        <w:overflowPunct/>
        <w:topLinePunct w:val="0"/>
        <w:autoSpaceDE/>
        <w:autoSpaceDN/>
        <w:bidi w:val="0"/>
        <w:adjustRightInd/>
        <w:snapToGrid/>
        <w:spacing w:line="440" w:lineRule="exact"/>
        <w:ind w:firstLine="420" w:firstLineChars="200"/>
        <w:jc w:val="both"/>
        <w:textAlignment w:val="auto"/>
        <w:rPr>
          <w:rFonts w:ascii="宋体" w:hAnsi="宋体" w:cs="Times New Roman"/>
          <w:color w:val="auto"/>
          <w:sz w:val="21"/>
          <w:szCs w:val="21"/>
          <w:highlight w:val="none"/>
        </w:rPr>
      </w:pPr>
      <w:r>
        <w:rPr>
          <w:rFonts w:hint="eastAsia" w:ascii="宋体" w:hAnsi="宋体" w:eastAsia="宋体" w:cs="宋体"/>
          <w:color w:val="auto"/>
          <w:sz w:val="21"/>
          <w:szCs w:val="21"/>
          <w:highlight w:val="none"/>
        </w:rPr>
        <w:t>3</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采购人按季度对成交人进行季度评分考核，根据考核结果进行处罚，考核内容详见《运输商季度考核评分表》</w:t>
      </w:r>
    </w:p>
    <w:bookmarkEnd w:id="9"/>
    <w:bookmarkEnd w:id="10"/>
    <w:bookmarkEnd w:id="11"/>
    <w:bookmarkEnd w:id="12"/>
    <w:p w14:paraId="25CB9AFA">
      <w:pPr>
        <w:keepNext w:val="0"/>
        <w:keepLines w:val="0"/>
        <w:pageBreakBefore w:val="0"/>
        <w:widowControl w:val="0"/>
        <w:kinsoku/>
        <w:wordWrap/>
        <w:overflowPunct/>
        <w:topLinePunct w:val="0"/>
        <w:autoSpaceDE/>
        <w:autoSpaceDN/>
        <w:bidi w:val="0"/>
        <w:adjustRightInd/>
        <w:snapToGrid/>
        <w:spacing w:line="460" w:lineRule="exact"/>
        <w:ind w:firstLine="420" w:firstLineChars="200"/>
        <w:jc w:val="both"/>
        <w:textAlignment w:val="auto"/>
        <w:outlineLvl w:val="9"/>
        <w:rPr>
          <w:rFonts w:ascii="宋体" w:hAnsi="宋体"/>
          <w:b/>
          <w:color w:val="auto"/>
          <w:sz w:val="21"/>
          <w:szCs w:val="21"/>
          <w:highlight w:val="none"/>
        </w:rPr>
      </w:pPr>
      <w:r>
        <w:rPr>
          <w:rFonts w:hint="eastAsia"/>
          <w:color w:val="auto"/>
          <w:sz w:val="21"/>
          <w:szCs w:val="21"/>
          <w:highlight w:val="none"/>
        </w:rPr>
        <w:br w:type="page"/>
      </w:r>
      <w:r>
        <w:rPr>
          <w:rFonts w:hint="eastAsia" w:ascii="宋体" w:hAnsi="宋体"/>
          <w:b/>
          <w:color w:val="auto"/>
          <w:sz w:val="21"/>
          <w:szCs w:val="21"/>
          <w:highlight w:val="none"/>
        </w:rPr>
        <w:t>技术需求书附件</w:t>
      </w:r>
      <w:r>
        <w:rPr>
          <w:rFonts w:hint="eastAsia" w:ascii="宋体" w:hAnsi="宋体"/>
          <w:b/>
          <w:color w:val="auto"/>
          <w:sz w:val="21"/>
          <w:szCs w:val="21"/>
          <w:highlight w:val="none"/>
          <w:lang w:val="en-US" w:eastAsia="zh-CN"/>
        </w:rPr>
        <w:t>1</w:t>
      </w:r>
      <w:r>
        <w:rPr>
          <w:rFonts w:hint="eastAsia" w:ascii="宋体" w:hAnsi="宋体"/>
          <w:b/>
          <w:color w:val="auto"/>
          <w:sz w:val="21"/>
          <w:szCs w:val="21"/>
          <w:highlight w:val="none"/>
        </w:rPr>
        <w:t>：《运输车辆名册》</w:t>
      </w:r>
    </w:p>
    <w:tbl>
      <w:tblPr>
        <w:tblStyle w:val="30"/>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8"/>
        <w:gridCol w:w="2393"/>
        <w:gridCol w:w="2633"/>
        <w:gridCol w:w="2525"/>
      </w:tblGrid>
      <w:tr w14:paraId="657D45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68" w:type="pct"/>
          </w:tcPr>
          <w:p w14:paraId="7566A710">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序号</w:t>
            </w:r>
          </w:p>
        </w:tc>
        <w:tc>
          <w:tcPr>
            <w:tcW w:w="1404" w:type="pct"/>
          </w:tcPr>
          <w:p w14:paraId="5095632B">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车牌号</w:t>
            </w:r>
          </w:p>
        </w:tc>
        <w:tc>
          <w:tcPr>
            <w:tcW w:w="1545" w:type="pct"/>
          </w:tcPr>
          <w:p w14:paraId="203F29E3">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车型</w:t>
            </w:r>
          </w:p>
        </w:tc>
        <w:tc>
          <w:tcPr>
            <w:tcW w:w="1481" w:type="pct"/>
          </w:tcPr>
          <w:p w14:paraId="0BD10F68">
            <w:pPr>
              <w:widowControl w:val="0"/>
              <w:adjustRightInd/>
              <w:snapToGrid/>
              <w:spacing w:line="360" w:lineRule="exact"/>
              <w:ind w:firstLine="660" w:firstLineChars="300"/>
              <w:outlineLvl w:val="9"/>
              <w:rPr>
                <w:rFonts w:ascii="宋体" w:hAnsi="宋体" w:cs="宋体"/>
                <w:color w:val="auto"/>
                <w:sz w:val="22"/>
                <w:highlight w:val="none"/>
              </w:rPr>
            </w:pPr>
            <w:r>
              <w:rPr>
                <w:rFonts w:hint="eastAsia" w:ascii="宋体" w:hAnsi="宋体" w:cs="宋体"/>
                <w:color w:val="auto"/>
                <w:sz w:val="22"/>
                <w:highlight w:val="none"/>
              </w:rPr>
              <w:t>备注</w:t>
            </w:r>
          </w:p>
        </w:tc>
      </w:tr>
      <w:tr w14:paraId="137F22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3AA921E">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1</w:t>
            </w:r>
          </w:p>
        </w:tc>
        <w:tc>
          <w:tcPr>
            <w:tcW w:w="1404" w:type="pct"/>
          </w:tcPr>
          <w:p w14:paraId="105132BC">
            <w:pPr>
              <w:widowControl w:val="0"/>
              <w:adjustRightInd/>
              <w:snapToGrid/>
              <w:spacing w:line="360" w:lineRule="exact"/>
              <w:outlineLvl w:val="9"/>
              <w:rPr>
                <w:rFonts w:ascii="宋体" w:hAnsi="宋体" w:cs="宋体"/>
                <w:color w:val="auto"/>
                <w:sz w:val="22"/>
                <w:highlight w:val="none"/>
              </w:rPr>
            </w:pPr>
          </w:p>
        </w:tc>
        <w:tc>
          <w:tcPr>
            <w:tcW w:w="1545" w:type="pct"/>
          </w:tcPr>
          <w:p w14:paraId="4F4E49BD">
            <w:pPr>
              <w:widowControl w:val="0"/>
              <w:adjustRightInd/>
              <w:snapToGrid/>
              <w:spacing w:line="360" w:lineRule="exact"/>
              <w:outlineLvl w:val="9"/>
              <w:rPr>
                <w:rFonts w:ascii="宋体" w:hAnsi="宋体" w:cs="宋体"/>
                <w:color w:val="auto"/>
                <w:sz w:val="22"/>
                <w:highlight w:val="none"/>
              </w:rPr>
            </w:pPr>
          </w:p>
        </w:tc>
        <w:tc>
          <w:tcPr>
            <w:tcW w:w="1481" w:type="pct"/>
          </w:tcPr>
          <w:p w14:paraId="2DD46547">
            <w:pPr>
              <w:widowControl w:val="0"/>
              <w:adjustRightInd/>
              <w:snapToGrid/>
              <w:spacing w:line="360" w:lineRule="exact"/>
              <w:outlineLvl w:val="9"/>
              <w:rPr>
                <w:rFonts w:ascii="宋体" w:hAnsi="宋体" w:cs="宋体"/>
                <w:color w:val="auto"/>
                <w:sz w:val="22"/>
                <w:highlight w:val="none"/>
              </w:rPr>
            </w:pPr>
          </w:p>
        </w:tc>
      </w:tr>
      <w:tr w14:paraId="32936A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8D598BB">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2</w:t>
            </w:r>
          </w:p>
        </w:tc>
        <w:tc>
          <w:tcPr>
            <w:tcW w:w="1404" w:type="pct"/>
          </w:tcPr>
          <w:p w14:paraId="00F1956B">
            <w:pPr>
              <w:widowControl w:val="0"/>
              <w:adjustRightInd/>
              <w:snapToGrid/>
              <w:spacing w:line="360" w:lineRule="exact"/>
              <w:outlineLvl w:val="9"/>
              <w:rPr>
                <w:rFonts w:ascii="宋体" w:hAnsi="宋体" w:cs="宋体"/>
                <w:color w:val="auto"/>
                <w:sz w:val="22"/>
                <w:highlight w:val="none"/>
              </w:rPr>
            </w:pPr>
          </w:p>
        </w:tc>
        <w:tc>
          <w:tcPr>
            <w:tcW w:w="1545" w:type="pct"/>
          </w:tcPr>
          <w:p w14:paraId="3B87EC12">
            <w:pPr>
              <w:widowControl w:val="0"/>
              <w:adjustRightInd/>
              <w:snapToGrid/>
              <w:spacing w:line="360" w:lineRule="exact"/>
              <w:outlineLvl w:val="9"/>
              <w:rPr>
                <w:rFonts w:ascii="宋体" w:hAnsi="宋体" w:cs="宋体"/>
                <w:color w:val="auto"/>
                <w:sz w:val="22"/>
                <w:highlight w:val="none"/>
              </w:rPr>
            </w:pPr>
          </w:p>
        </w:tc>
        <w:tc>
          <w:tcPr>
            <w:tcW w:w="1481" w:type="pct"/>
          </w:tcPr>
          <w:p w14:paraId="3B530E51">
            <w:pPr>
              <w:widowControl w:val="0"/>
              <w:adjustRightInd/>
              <w:snapToGrid/>
              <w:spacing w:line="360" w:lineRule="exact"/>
              <w:outlineLvl w:val="9"/>
              <w:rPr>
                <w:rFonts w:ascii="宋体" w:hAnsi="宋体" w:cs="宋体"/>
                <w:color w:val="auto"/>
                <w:sz w:val="22"/>
                <w:highlight w:val="none"/>
              </w:rPr>
            </w:pPr>
          </w:p>
        </w:tc>
      </w:tr>
      <w:tr w14:paraId="7E82FB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0B55457">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3</w:t>
            </w:r>
          </w:p>
        </w:tc>
        <w:tc>
          <w:tcPr>
            <w:tcW w:w="1404" w:type="pct"/>
          </w:tcPr>
          <w:p w14:paraId="586B0766">
            <w:pPr>
              <w:widowControl w:val="0"/>
              <w:adjustRightInd/>
              <w:snapToGrid/>
              <w:spacing w:line="360" w:lineRule="exact"/>
              <w:outlineLvl w:val="9"/>
              <w:rPr>
                <w:rFonts w:ascii="宋体" w:hAnsi="宋体" w:cs="宋体"/>
                <w:color w:val="auto"/>
                <w:sz w:val="22"/>
                <w:highlight w:val="none"/>
              </w:rPr>
            </w:pPr>
          </w:p>
        </w:tc>
        <w:tc>
          <w:tcPr>
            <w:tcW w:w="1545" w:type="pct"/>
          </w:tcPr>
          <w:p w14:paraId="794734DD">
            <w:pPr>
              <w:widowControl w:val="0"/>
              <w:adjustRightInd/>
              <w:snapToGrid/>
              <w:spacing w:line="360" w:lineRule="exact"/>
              <w:outlineLvl w:val="9"/>
              <w:rPr>
                <w:rFonts w:ascii="宋体" w:hAnsi="宋体" w:cs="宋体"/>
                <w:color w:val="auto"/>
                <w:sz w:val="22"/>
                <w:highlight w:val="none"/>
              </w:rPr>
            </w:pPr>
          </w:p>
        </w:tc>
        <w:tc>
          <w:tcPr>
            <w:tcW w:w="1481" w:type="pct"/>
          </w:tcPr>
          <w:p w14:paraId="7029A51B">
            <w:pPr>
              <w:widowControl w:val="0"/>
              <w:adjustRightInd/>
              <w:snapToGrid/>
              <w:spacing w:line="360" w:lineRule="exact"/>
              <w:outlineLvl w:val="9"/>
              <w:rPr>
                <w:rFonts w:ascii="宋体" w:hAnsi="宋体" w:cs="宋体"/>
                <w:color w:val="auto"/>
                <w:sz w:val="22"/>
                <w:highlight w:val="none"/>
              </w:rPr>
            </w:pPr>
          </w:p>
        </w:tc>
      </w:tr>
      <w:tr w14:paraId="1269C0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EC62E2F">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4</w:t>
            </w:r>
          </w:p>
        </w:tc>
        <w:tc>
          <w:tcPr>
            <w:tcW w:w="1404" w:type="pct"/>
          </w:tcPr>
          <w:p w14:paraId="6C7B3F0B">
            <w:pPr>
              <w:widowControl w:val="0"/>
              <w:adjustRightInd/>
              <w:snapToGrid/>
              <w:spacing w:line="360" w:lineRule="exact"/>
              <w:outlineLvl w:val="9"/>
              <w:rPr>
                <w:rFonts w:ascii="宋体" w:hAnsi="宋体" w:cs="宋体"/>
                <w:color w:val="auto"/>
                <w:sz w:val="22"/>
                <w:highlight w:val="none"/>
              </w:rPr>
            </w:pPr>
          </w:p>
        </w:tc>
        <w:tc>
          <w:tcPr>
            <w:tcW w:w="1545" w:type="pct"/>
          </w:tcPr>
          <w:p w14:paraId="06FEF92A">
            <w:pPr>
              <w:widowControl w:val="0"/>
              <w:adjustRightInd/>
              <w:snapToGrid/>
              <w:spacing w:line="360" w:lineRule="exact"/>
              <w:outlineLvl w:val="9"/>
              <w:rPr>
                <w:rFonts w:ascii="宋体" w:hAnsi="宋体" w:cs="宋体"/>
                <w:color w:val="auto"/>
                <w:sz w:val="22"/>
                <w:highlight w:val="none"/>
              </w:rPr>
            </w:pPr>
          </w:p>
        </w:tc>
        <w:tc>
          <w:tcPr>
            <w:tcW w:w="1481" w:type="pct"/>
          </w:tcPr>
          <w:p w14:paraId="2266B450">
            <w:pPr>
              <w:widowControl w:val="0"/>
              <w:adjustRightInd/>
              <w:snapToGrid/>
              <w:spacing w:line="360" w:lineRule="exact"/>
              <w:outlineLvl w:val="9"/>
              <w:rPr>
                <w:rFonts w:ascii="宋体" w:hAnsi="宋体" w:cs="宋体"/>
                <w:color w:val="auto"/>
                <w:sz w:val="22"/>
                <w:highlight w:val="none"/>
              </w:rPr>
            </w:pPr>
          </w:p>
        </w:tc>
      </w:tr>
      <w:tr w14:paraId="7804BB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BEE13C5">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5</w:t>
            </w:r>
          </w:p>
        </w:tc>
        <w:tc>
          <w:tcPr>
            <w:tcW w:w="1404" w:type="pct"/>
          </w:tcPr>
          <w:p w14:paraId="66A02FD8">
            <w:pPr>
              <w:widowControl w:val="0"/>
              <w:adjustRightInd/>
              <w:snapToGrid/>
              <w:spacing w:line="360" w:lineRule="exact"/>
              <w:outlineLvl w:val="9"/>
              <w:rPr>
                <w:rFonts w:ascii="宋体" w:hAnsi="宋体" w:cs="宋体"/>
                <w:color w:val="auto"/>
                <w:sz w:val="22"/>
                <w:highlight w:val="none"/>
              </w:rPr>
            </w:pPr>
          </w:p>
        </w:tc>
        <w:tc>
          <w:tcPr>
            <w:tcW w:w="1545" w:type="pct"/>
          </w:tcPr>
          <w:p w14:paraId="3150C691">
            <w:pPr>
              <w:widowControl w:val="0"/>
              <w:adjustRightInd/>
              <w:snapToGrid/>
              <w:spacing w:line="360" w:lineRule="exact"/>
              <w:outlineLvl w:val="9"/>
              <w:rPr>
                <w:rFonts w:ascii="宋体" w:hAnsi="宋体" w:cs="宋体"/>
                <w:color w:val="auto"/>
                <w:sz w:val="22"/>
                <w:highlight w:val="none"/>
              </w:rPr>
            </w:pPr>
          </w:p>
        </w:tc>
        <w:tc>
          <w:tcPr>
            <w:tcW w:w="1481" w:type="pct"/>
          </w:tcPr>
          <w:p w14:paraId="62D0E151">
            <w:pPr>
              <w:widowControl w:val="0"/>
              <w:adjustRightInd/>
              <w:snapToGrid/>
              <w:spacing w:line="360" w:lineRule="exact"/>
              <w:outlineLvl w:val="9"/>
              <w:rPr>
                <w:rFonts w:ascii="宋体" w:hAnsi="宋体" w:cs="宋体"/>
                <w:color w:val="auto"/>
                <w:sz w:val="22"/>
                <w:highlight w:val="none"/>
              </w:rPr>
            </w:pPr>
          </w:p>
        </w:tc>
      </w:tr>
      <w:tr w14:paraId="5D7425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DF24658">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6</w:t>
            </w:r>
          </w:p>
        </w:tc>
        <w:tc>
          <w:tcPr>
            <w:tcW w:w="1404" w:type="pct"/>
          </w:tcPr>
          <w:p w14:paraId="23104856">
            <w:pPr>
              <w:widowControl w:val="0"/>
              <w:adjustRightInd/>
              <w:snapToGrid/>
              <w:spacing w:line="360" w:lineRule="exact"/>
              <w:outlineLvl w:val="9"/>
              <w:rPr>
                <w:rFonts w:ascii="宋体" w:hAnsi="宋体" w:cs="宋体"/>
                <w:color w:val="auto"/>
                <w:sz w:val="22"/>
                <w:highlight w:val="none"/>
              </w:rPr>
            </w:pPr>
          </w:p>
        </w:tc>
        <w:tc>
          <w:tcPr>
            <w:tcW w:w="1545" w:type="pct"/>
          </w:tcPr>
          <w:p w14:paraId="5FFBAE1F">
            <w:pPr>
              <w:widowControl w:val="0"/>
              <w:adjustRightInd/>
              <w:snapToGrid/>
              <w:spacing w:line="360" w:lineRule="exact"/>
              <w:outlineLvl w:val="9"/>
              <w:rPr>
                <w:rFonts w:ascii="宋体" w:hAnsi="宋体" w:cs="宋体"/>
                <w:color w:val="auto"/>
                <w:sz w:val="22"/>
                <w:highlight w:val="none"/>
              </w:rPr>
            </w:pPr>
          </w:p>
        </w:tc>
        <w:tc>
          <w:tcPr>
            <w:tcW w:w="1481" w:type="pct"/>
          </w:tcPr>
          <w:p w14:paraId="52F312E3">
            <w:pPr>
              <w:widowControl w:val="0"/>
              <w:adjustRightInd/>
              <w:snapToGrid/>
              <w:spacing w:line="360" w:lineRule="exact"/>
              <w:outlineLvl w:val="9"/>
              <w:rPr>
                <w:rFonts w:ascii="宋体" w:hAnsi="宋体" w:cs="宋体"/>
                <w:color w:val="auto"/>
                <w:sz w:val="22"/>
                <w:highlight w:val="none"/>
              </w:rPr>
            </w:pPr>
          </w:p>
        </w:tc>
      </w:tr>
      <w:tr w14:paraId="45336E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DA98E10">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7</w:t>
            </w:r>
          </w:p>
        </w:tc>
        <w:tc>
          <w:tcPr>
            <w:tcW w:w="1404" w:type="pct"/>
          </w:tcPr>
          <w:p w14:paraId="1ECECBDD">
            <w:pPr>
              <w:widowControl w:val="0"/>
              <w:adjustRightInd/>
              <w:snapToGrid/>
              <w:spacing w:line="360" w:lineRule="exact"/>
              <w:outlineLvl w:val="9"/>
              <w:rPr>
                <w:rFonts w:ascii="宋体" w:hAnsi="宋体" w:cs="宋体"/>
                <w:color w:val="auto"/>
                <w:sz w:val="22"/>
                <w:highlight w:val="none"/>
              </w:rPr>
            </w:pPr>
          </w:p>
        </w:tc>
        <w:tc>
          <w:tcPr>
            <w:tcW w:w="1545" w:type="pct"/>
          </w:tcPr>
          <w:p w14:paraId="765412AD">
            <w:pPr>
              <w:widowControl w:val="0"/>
              <w:adjustRightInd/>
              <w:snapToGrid/>
              <w:spacing w:line="360" w:lineRule="exact"/>
              <w:outlineLvl w:val="9"/>
              <w:rPr>
                <w:rFonts w:ascii="宋体" w:hAnsi="宋体" w:cs="宋体"/>
                <w:color w:val="auto"/>
                <w:sz w:val="22"/>
                <w:highlight w:val="none"/>
              </w:rPr>
            </w:pPr>
          </w:p>
        </w:tc>
        <w:tc>
          <w:tcPr>
            <w:tcW w:w="1481" w:type="pct"/>
          </w:tcPr>
          <w:p w14:paraId="679471A1">
            <w:pPr>
              <w:widowControl w:val="0"/>
              <w:adjustRightInd/>
              <w:snapToGrid/>
              <w:spacing w:line="360" w:lineRule="exact"/>
              <w:outlineLvl w:val="9"/>
              <w:rPr>
                <w:rFonts w:ascii="宋体" w:hAnsi="宋体" w:cs="宋体"/>
                <w:color w:val="auto"/>
                <w:sz w:val="22"/>
                <w:highlight w:val="none"/>
              </w:rPr>
            </w:pPr>
          </w:p>
        </w:tc>
      </w:tr>
      <w:tr w14:paraId="192717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FA61D44">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8</w:t>
            </w:r>
          </w:p>
        </w:tc>
        <w:tc>
          <w:tcPr>
            <w:tcW w:w="1404" w:type="pct"/>
          </w:tcPr>
          <w:p w14:paraId="1F99AC19">
            <w:pPr>
              <w:widowControl w:val="0"/>
              <w:adjustRightInd/>
              <w:snapToGrid/>
              <w:spacing w:line="360" w:lineRule="exact"/>
              <w:outlineLvl w:val="9"/>
              <w:rPr>
                <w:rFonts w:ascii="宋体" w:hAnsi="宋体" w:cs="宋体"/>
                <w:color w:val="auto"/>
                <w:sz w:val="22"/>
                <w:highlight w:val="none"/>
              </w:rPr>
            </w:pPr>
          </w:p>
        </w:tc>
        <w:tc>
          <w:tcPr>
            <w:tcW w:w="1545" w:type="pct"/>
          </w:tcPr>
          <w:p w14:paraId="5CDEDFEB">
            <w:pPr>
              <w:widowControl w:val="0"/>
              <w:adjustRightInd/>
              <w:snapToGrid/>
              <w:spacing w:line="360" w:lineRule="exact"/>
              <w:outlineLvl w:val="9"/>
              <w:rPr>
                <w:rFonts w:ascii="宋体" w:hAnsi="宋体" w:cs="宋体"/>
                <w:color w:val="auto"/>
                <w:sz w:val="22"/>
                <w:highlight w:val="none"/>
              </w:rPr>
            </w:pPr>
          </w:p>
        </w:tc>
        <w:tc>
          <w:tcPr>
            <w:tcW w:w="1481" w:type="pct"/>
          </w:tcPr>
          <w:p w14:paraId="75F6FC36">
            <w:pPr>
              <w:widowControl w:val="0"/>
              <w:adjustRightInd/>
              <w:snapToGrid/>
              <w:spacing w:line="360" w:lineRule="exact"/>
              <w:outlineLvl w:val="9"/>
              <w:rPr>
                <w:rFonts w:ascii="宋体" w:hAnsi="宋体" w:cs="宋体"/>
                <w:color w:val="auto"/>
                <w:sz w:val="22"/>
                <w:highlight w:val="none"/>
              </w:rPr>
            </w:pPr>
          </w:p>
        </w:tc>
      </w:tr>
      <w:tr w14:paraId="6F9832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5CB22EA">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9</w:t>
            </w:r>
          </w:p>
        </w:tc>
        <w:tc>
          <w:tcPr>
            <w:tcW w:w="1404" w:type="pct"/>
          </w:tcPr>
          <w:p w14:paraId="101785F6">
            <w:pPr>
              <w:widowControl w:val="0"/>
              <w:adjustRightInd/>
              <w:snapToGrid/>
              <w:spacing w:line="360" w:lineRule="exact"/>
              <w:outlineLvl w:val="9"/>
              <w:rPr>
                <w:rFonts w:ascii="宋体" w:hAnsi="宋体" w:cs="宋体"/>
                <w:color w:val="auto"/>
                <w:sz w:val="22"/>
                <w:highlight w:val="none"/>
              </w:rPr>
            </w:pPr>
          </w:p>
        </w:tc>
        <w:tc>
          <w:tcPr>
            <w:tcW w:w="1545" w:type="pct"/>
          </w:tcPr>
          <w:p w14:paraId="513573F2">
            <w:pPr>
              <w:widowControl w:val="0"/>
              <w:adjustRightInd/>
              <w:snapToGrid/>
              <w:spacing w:line="360" w:lineRule="exact"/>
              <w:outlineLvl w:val="9"/>
              <w:rPr>
                <w:rFonts w:ascii="宋体" w:hAnsi="宋体" w:cs="宋体"/>
                <w:color w:val="auto"/>
                <w:sz w:val="22"/>
                <w:highlight w:val="none"/>
              </w:rPr>
            </w:pPr>
          </w:p>
        </w:tc>
        <w:tc>
          <w:tcPr>
            <w:tcW w:w="1481" w:type="pct"/>
          </w:tcPr>
          <w:p w14:paraId="0DE0E664">
            <w:pPr>
              <w:widowControl w:val="0"/>
              <w:adjustRightInd/>
              <w:snapToGrid/>
              <w:spacing w:line="360" w:lineRule="exact"/>
              <w:outlineLvl w:val="9"/>
              <w:rPr>
                <w:rFonts w:ascii="宋体" w:hAnsi="宋体" w:cs="宋体"/>
                <w:color w:val="auto"/>
                <w:sz w:val="22"/>
                <w:highlight w:val="none"/>
              </w:rPr>
            </w:pPr>
          </w:p>
        </w:tc>
      </w:tr>
      <w:tr w14:paraId="1283F6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072573F">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10</w:t>
            </w:r>
          </w:p>
        </w:tc>
        <w:tc>
          <w:tcPr>
            <w:tcW w:w="1404" w:type="pct"/>
          </w:tcPr>
          <w:p w14:paraId="2BC14C38">
            <w:pPr>
              <w:widowControl w:val="0"/>
              <w:adjustRightInd/>
              <w:snapToGrid/>
              <w:spacing w:line="360" w:lineRule="exact"/>
              <w:outlineLvl w:val="9"/>
              <w:rPr>
                <w:rFonts w:ascii="宋体" w:hAnsi="宋体" w:cs="宋体"/>
                <w:color w:val="auto"/>
                <w:sz w:val="22"/>
                <w:highlight w:val="none"/>
              </w:rPr>
            </w:pPr>
          </w:p>
        </w:tc>
        <w:tc>
          <w:tcPr>
            <w:tcW w:w="1545" w:type="pct"/>
          </w:tcPr>
          <w:p w14:paraId="0157792B">
            <w:pPr>
              <w:widowControl w:val="0"/>
              <w:adjustRightInd/>
              <w:snapToGrid/>
              <w:spacing w:line="360" w:lineRule="exact"/>
              <w:outlineLvl w:val="9"/>
              <w:rPr>
                <w:rFonts w:ascii="宋体" w:hAnsi="宋体" w:cs="宋体"/>
                <w:color w:val="auto"/>
                <w:sz w:val="22"/>
                <w:highlight w:val="none"/>
              </w:rPr>
            </w:pPr>
          </w:p>
        </w:tc>
        <w:tc>
          <w:tcPr>
            <w:tcW w:w="1481" w:type="pct"/>
          </w:tcPr>
          <w:p w14:paraId="4E7E3105">
            <w:pPr>
              <w:widowControl w:val="0"/>
              <w:adjustRightInd/>
              <w:snapToGrid/>
              <w:spacing w:line="360" w:lineRule="exact"/>
              <w:outlineLvl w:val="9"/>
              <w:rPr>
                <w:rFonts w:ascii="宋体" w:hAnsi="宋体" w:cs="宋体"/>
                <w:color w:val="auto"/>
                <w:sz w:val="22"/>
                <w:highlight w:val="none"/>
              </w:rPr>
            </w:pPr>
          </w:p>
        </w:tc>
      </w:tr>
      <w:tr w14:paraId="0F373C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E7B493F">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11</w:t>
            </w:r>
          </w:p>
        </w:tc>
        <w:tc>
          <w:tcPr>
            <w:tcW w:w="1404" w:type="pct"/>
          </w:tcPr>
          <w:p w14:paraId="40912561">
            <w:pPr>
              <w:widowControl w:val="0"/>
              <w:adjustRightInd/>
              <w:snapToGrid/>
              <w:spacing w:line="360" w:lineRule="exact"/>
              <w:outlineLvl w:val="9"/>
              <w:rPr>
                <w:rFonts w:ascii="宋体" w:hAnsi="宋体" w:cs="宋体"/>
                <w:color w:val="auto"/>
                <w:sz w:val="22"/>
                <w:highlight w:val="none"/>
              </w:rPr>
            </w:pPr>
          </w:p>
        </w:tc>
        <w:tc>
          <w:tcPr>
            <w:tcW w:w="1545" w:type="pct"/>
          </w:tcPr>
          <w:p w14:paraId="367B89CB">
            <w:pPr>
              <w:widowControl w:val="0"/>
              <w:adjustRightInd/>
              <w:snapToGrid/>
              <w:spacing w:line="360" w:lineRule="exact"/>
              <w:outlineLvl w:val="9"/>
              <w:rPr>
                <w:rFonts w:ascii="宋体" w:hAnsi="宋体" w:cs="宋体"/>
                <w:color w:val="auto"/>
                <w:sz w:val="22"/>
                <w:highlight w:val="none"/>
              </w:rPr>
            </w:pPr>
          </w:p>
        </w:tc>
        <w:tc>
          <w:tcPr>
            <w:tcW w:w="1481" w:type="pct"/>
          </w:tcPr>
          <w:p w14:paraId="42F983F5">
            <w:pPr>
              <w:widowControl w:val="0"/>
              <w:adjustRightInd/>
              <w:snapToGrid/>
              <w:spacing w:line="360" w:lineRule="exact"/>
              <w:outlineLvl w:val="9"/>
              <w:rPr>
                <w:rFonts w:ascii="宋体" w:hAnsi="宋体" w:cs="宋体"/>
                <w:color w:val="auto"/>
                <w:sz w:val="22"/>
                <w:highlight w:val="none"/>
              </w:rPr>
            </w:pPr>
          </w:p>
        </w:tc>
      </w:tr>
      <w:tr w14:paraId="5C40B7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BE154F9">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12</w:t>
            </w:r>
          </w:p>
        </w:tc>
        <w:tc>
          <w:tcPr>
            <w:tcW w:w="1404" w:type="pct"/>
          </w:tcPr>
          <w:p w14:paraId="28116E84">
            <w:pPr>
              <w:widowControl w:val="0"/>
              <w:adjustRightInd/>
              <w:snapToGrid/>
              <w:spacing w:line="360" w:lineRule="exact"/>
              <w:outlineLvl w:val="9"/>
              <w:rPr>
                <w:rFonts w:ascii="宋体" w:hAnsi="宋体" w:cs="宋体"/>
                <w:color w:val="auto"/>
                <w:sz w:val="22"/>
                <w:highlight w:val="none"/>
              </w:rPr>
            </w:pPr>
          </w:p>
        </w:tc>
        <w:tc>
          <w:tcPr>
            <w:tcW w:w="1545" w:type="pct"/>
          </w:tcPr>
          <w:p w14:paraId="6CE95AE6">
            <w:pPr>
              <w:widowControl w:val="0"/>
              <w:adjustRightInd/>
              <w:snapToGrid/>
              <w:spacing w:line="360" w:lineRule="exact"/>
              <w:outlineLvl w:val="9"/>
              <w:rPr>
                <w:rFonts w:ascii="宋体" w:hAnsi="宋体" w:cs="宋体"/>
                <w:color w:val="auto"/>
                <w:sz w:val="22"/>
                <w:highlight w:val="none"/>
              </w:rPr>
            </w:pPr>
          </w:p>
        </w:tc>
        <w:tc>
          <w:tcPr>
            <w:tcW w:w="1481" w:type="pct"/>
          </w:tcPr>
          <w:p w14:paraId="3FCC54D1">
            <w:pPr>
              <w:widowControl w:val="0"/>
              <w:adjustRightInd/>
              <w:snapToGrid/>
              <w:spacing w:line="360" w:lineRule="exact"/>
              <w:outlineLvl w:val="9"/>
              <w:rPr>
                <w:rFonts w:ascii="宋体" w:hAnsi="宋体" w:cs="宋体"/>
                <w:color w:val="auto"/>
                <w:sz w:val="22"/>
                <w:highlight w:val="none"/>
              </w:rPr>
            </w:pPr>
          </w:p>
        </w:tc>
      </w:tr>
      <w:tr w14:paraId="36B654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6D033ED">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13</w:t>
            </w:r>
          </w:p>
        </w:tc>
        <w:tc>
          <w:tcPr>
            <w:tcW w:w="1404" w:type="pct"/>
          </w:tcPr>
          <w:p w14:paraId="146488DF">
            <w:pPr>
              <w:widowControl w:val="0"/>
              <w:adjustRightInd/>
              <w:snapToGrid/>
              <w:spacing w:line="360" w:lineRule="exact"/>
              <w:outlineLvl w:val="9"/>
              <w:rPr>
                <w:rFonts w:ascii="宋体" w:hAnsi="宋体" w:cs="宋体"/>
                <w:color w:val="auto"/>
                <w:sz w:val="22"/>
                <w:highlight w:val="none"/>
              </w:rPr>
            </w:pPr>
          </w:p>
        </w:tc>
        <w:tc>
          <w:tcPr>
            <w:tcW w:w="1545" w:type="pct"/>
          </w:tcPr>
          <w:p w14:paraId="545F863A">
            <w:pPr>
              <w:widowControl w:val="0"/>
              <w:adjustRightInd/>
              <w:snapToGrid/>
              <w:spacing w:line="360" w:lineRule="exact"/>
              <w:outlineLvl w:val="9"/>
              <w:rPr>
                <w:rFonts w:ascii="宋体" w:hAnsi="宋体" w:cs="宋体"/>
                <w:color w:val="auto"/>
                <w:sz w:val="22"/>
                <w:highlight w:val="none"/>
              </w:rPr>
            </w:pPr>
          </w:p>
        </w:tc>
        <w:tc>
          <w:tcPr>
            <w:tcW w:w="1481" w:type="pct"/>
          </w:tcPr>
          <w:p w14:paraId="3FA9F929">
            <w:pPr>
              <w:widowControl w:val="0"/>
              <w:adjustRightInd/>
              <w:snapToGrid/>
              <w:spacing w:line="360" w:lineRule="exact"/>
              <w:outlineLvl w:val="9"/>
              <w:rPr>
                <w:rFonts w:ascii="宋体" w:hAnsi="宋体" w:cs="宋体"/>
                <w:color w:val="auto"/>
                <w:sz w:val="22"/>
                <w:highlight w:val="none"/>
              </w:rPr>
            </w:pPr>
          </w:p>
        </w:tc>
      </w:tr>
      <w:tr w14:paraId="41BDAD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83EA485">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14</w:t>
            </w:r>
          </w:p>
        </w:tc>
        <w:tc>
          <w:tcPr>
            <w:tcW w:w="1404" w:type="pct"/>
          </w:tcPr>
          <w:p w14:paraId="4C4DBB69">
            <w:pPr>
              <w:widowControl w:val="0"/>
              <w:adjustRightInd/>
              <w:snapToGrid/>
              <w:spacing w:line="360" w:lineRule="exact"/>
              <w:outlineLvl w:val="9"/>
              <w:rPr>
                <w:rFonts w:ascii="宋体" w:hAnsi="宋体" w:cs="宋体"/>
                <w:color w:val="auto"/>
                <w:sz w:val="22"/>
                <w:highlight w:val="none"/>
              </w:rPr>
            </w:pPr>
          </w:p>
        </w:tc>
        <w:tc>
          <w:tcPr>
            <w:tcW w:w="1545" w:type="pct"/>
          </w:tcPr>
          <w:p w14:paraId="76CA3D1A">
            <w:pPr>
              <w:widowControl w:val="0"/>
              <w:adjustRightInd/>
              <w:snapToGrid/>
              <w:spacing w:line="360" w:lineRule="exact"/>
              <w:outlineLvl w:val="9"/>
              <w:rPr>
                <w:rFonts w:ascii="宋体" w:hAnsi="宋体" w:cs="宋体"/>
                <w:color w:val="auto"/>
                <w:sz w:val="22"/>
                <w:highlight w:val="none"/>
              </w:rPr>
            </w:pPr>
          </w:p>
        </w:tc>
        <w:tc>
          <w:tcPr>
            <w:tcW w:w="1481" w:type="pct"/>
          </w:tcPr>
          <w:p w14:paraId="262F038E">
            <w:pPr>
              <w:widowControl w:val="0"/>
              <w:adjustRightInd/>
              <w:snapToGrid/>
              <w:spacing w:line="360" w:lineRule="exact"/>
              <w:outlineLvl w:val="9"/>
              <w:rPr>
                <w:rFonts w:ascii="宋体" w:hAnsi="宋体" w:cs="宋体"/>
                <w:color w:val="auto"/>
                <w:sz w:val="22"/>
                <w:highlight w:val="none"/>
              </w:rPr>
            </w:pPr>
          </w:p>
        </w:tc>
      </w:tr>
      <w:tr w14:paraId="35610E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41A3238">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15</w:t>
            </w:r>
          </w:p>
        </w:tc>
        <w:tc>
          <w:tcPr>
            <w:tcW w:w="1404" w:type="pct"/>
          </w:tcPr>
          <w:p w14:paraId="5409C9E4">
            <w:pPr>
              <w:widowControl w:val="0"/>
              <w:adjustRightInd/>
              <w:snapToGrid/>
              <w:spacing w:line="360" w:lineRule="exact"/>
              <w:outlineLvl w:val="9"/>
              <w:rPr>
                <w:rFonts w:ascii="宋体" w:hAnsi="宋体" w:cs="宋体"/>
                <w:color w:val="auto"/>
                <w:sz w:val="22"/>
                <w:highlight w:val="none"/>
              </w:rPr>
            </w:pPr>
          </w:p>
        </w:tc>
        <w:tc>
          <w:tcPr>
            <w:tcW w:w="1545" w:type="pct"/>
          </w:tcPr>
          <w:p w14:paraId="00948FB1">
            <w:pPr>
              <w:widowControl w:val="0"/>
              <w:adjustRightInd/>
              <w:snapToGrid/>
              <w:spacing w:line="360" w:lineRule="exact"/>
              <w:outlineLvl w:val="9"/>
              <w:rPr>
                <w:rFonts w:ascii="宋体" w:hAnsi="宋体" w:cs="宋体"/>
                <w:color w:val="auto"/>
                <w:sz w:val="22"/>
                <w:highlight w:val="none"/>
              </w:rPr>
            </w:pPr>
          </w:p>
        </w:tc>
        <w:tc>
          <w:tcPr>
            <w:tcW w:w="1481" w:type="pct"/>
          </w:tcPr>
          <w:p w14:paraId="514EEA98">
            <w:pPr>
              <w:widowControl w:val="0"/>
              <w:adjustRightInd/>
              <w:snapToGrid/>
              <w:spacing w:line="360" w:lineRule="exact"/>
              <w:outlineLvl w:val="9"/>
              <w:rPr>
                <w:rFonts w:ascii="宋体" w:hAnsi="宋体" w:cs="宋体"/>
                <w:color w:val="auto"/>
                <w:sz w:val="22"/>
                <w:highlight w:val="none"/>
              </w:rPr>
            </w:pPr>
          </w:p>
        </w:tc>
      </w:tr>
      <w:tr w14:paraId="7C8DD6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0200281">
            <w:pPr>
              <w:widowControl w:val="0"/>
              <w:adjustRightInd/>
              <w:snapToGrid/>
              <w:spacing w:line="360" w:lineRule="exact"/>
              <w:ind w:firstLine="220" w:firstLineChars="100"/>
              <w:outlineLvl w:val="9"/>
              <w:rPr>
                <w:rFonts w:hint="default" w:ascii="宋体" w:hAnsi="宋体" w:eastAsia="宋体" w:cs="宋体"/>
                <w:color w:val="auto"/>
                <w:sz w:val="22"/>
                <w:highlight w:val="none"/>
                <w:lang w:val="en-US" w:eastAsia="zh-CN"/>
              </w:rPr>
            </w:pPr>
            <w:r>
              <w:rPr>
                <w:rFonts w:hint="eastAsia" w:ascii="宋体" w:hAnsi="宋体" w:cs="宋体"/>
                <w:color w:val="auto"/>
                <w:sz w:val="22"/>
                <w:highlight w:val="none"/>
                <w:lang w:val="en-US" w:eastAsia="zh-CN"/>
              </w:rPr>
              <w:t>16</w:t>
            </w:r>
          </w:p>
        </w:tc>
        <w:tc>
          <w:tcPr>
            <w:tcW w:w="1404" w:type="pct"/>
          </w:tcPr>
          <w:p w14:paraId="15024679">
            <w:pPr>
              <w:widowControl w:val="0"/>
              <w:adjustRightInd/>
              <w:snapToGrid/>
              <w:spacing w:line="360" w:lineRule="exact"/>
              <w:outlineLvl w:val="9"/>
              <w:rPr>
                <w:rFonts w:ascii="宋体" w:hAnsi="宋体" w:cs="宋体"/>
                <w:color w:val="auto"/>
                <w:sz w:val="22"/>
                <w:highlight w:val="none"/>
              </w:rPr>
            </w:pPr>
          </w:p>
        </w:tc>
        <w:tc>
          <w:tcPr>
            <w:tcW w:w="1545" w:type="pct"/>
          </w:tcPr>
          <w:p w14:paraId="7F2F98FA">
            <w:pPr>
              <w:widowControl w:val="0"/>
              <w:adjustRightInd/>
              <w:snapToGrid/>
              <w:spacing w:line="360" w:lineRule="exact"/>
              <w:outlineLvl w:val="9"/>
              <w:rPr>
                <w:rFonts w:ascii="宋体" w:hAnsi="宋体" w:cs="宋体"/>
                <w:color w:val="auto"/>
                <w:sz w:val="22"/>
                <w:highlight w:val="none"/>
              </w:rPr>
            </w:pPr>
          </w:p>
        </w:tc>
        <w:tc>
          <w:tcPr>
            <w:tcW w:w="1481" w:type="pct"/>
          </w:tcPr>
          <w:p w14:paraId="024315C6">
            <w:pPr>
              <w:widowControl w:val="0"/>
              <w:adjustRightInd/>
              <w:snapToGrid/>
              <w:spacing w:line="360" w:lineRule="exact"/>
              <w:outlineLvl w:val="9"/>
              <w:rPr>
                <w:rFonts w:ascii="宋体" w:hAnsi="宋体" w:cs="宋体"/>
                <w:color w:val="auto"/>
                <w:sz w:val="22"/>
                <w:highlight w:val="none"/>
              </w:rPr>
            </w:pPr>
          </w:p>
        </w:tc>
      </w:tr>
      <w:tr w14:paraId="768FDF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8306326">
            <w:pPr>
              <w:widowControl w:val="0"/>
              <w:adjustRightInd/>
              <w:snapToGrid/>
              <w:spacing w:line="360" w:lineRule="exact"/>
              <w:ind w:firstLine="220" w:firstLineChars="100"/>
              <w:outlineLvl w:val="9"/>
              <w:rPr>
                <w:rFonts w:hint="default" w:ascii="宋体" w:hAnsi="宋体" w:eastAsia="宋体" w:cs="宋体"/>
                <w:color w:val="auto"/>
                <w:sz w:val="22"/>
                <w:highlight w:val="none"/>
                <w:lang w:val="en-US" w:eastAsia="zh-CN"/>
              </w:rPr>
            </w:pPr>
            <w:r>
              <w:rPr>
                <w:rFonts w:hint="eastAsia" w:ascii="宋体" w:hAnsi="宋体" w:cs="宋体"/>
                <w:color w:val="auto"/>
                <w:sz w:val="22"/>
                <w:highlight w:val="none"/>
                <w:lang w:val="en-US" w:eastAsia="zh-CN"/>
              </w:rPr>
              <w:t>17</w:t>
            </w:r>
          </w:p>
        </w:tc>
        <w:tc>
          <w:tcPr>
            <w:tcW w:w="1404" w:type="pct"/>
          </w:tcPr>
          <w:p w14:paraId="10855C8C">
            <w:pPr>
              <w:widowControl w:val="0"/>
              <w:adjustRightInd/>
              <w:snapToGrid/>
              <w:spacing w:line="360" w:lineRule="exact"/>
              <w:outlineLvl w:val="9"/>
              <w:rPr>
                <w:rFonts w:ascii="宋体" w:hAnsi="宋体" w:cs="宋体"/>
                <w:color w:val="auto"/>
                <w:sz w:val="22"/>
                <w:highlight w:val="none"/>
              </w:rPr>
            </w:pPr>
          </w:p>
        </w:tc>
        <w:tc>
          <w:tcPr>
            <w:tcW w:w="1545" w:type="pct"/>
          </w:tcPr>
          <w:p w14:paraId="49FF4AD3">
            <w:pPr>
              <w:widowControl w:val="0"/>
              <w:adjustRightInd/>
              <w:snapToGrid/>
              <w:spacing w:line="360" w:lineRule="exact"/>
              <w:outlineLvl w:val="9"/>
              <w:rPr>
                <w:rFonts w:ascii="宋体" w:hAnsi="宋体" w:cs="宋体"/>
                <w:color w:val="auto"/>
                <w:sz w:val="22"/>
                <w:highlight w:val="none"/>
              </w:rPr>
            </w:pPr>
          </w:p>
        </w:tc>
        <w:tc>
          <w:tcPr>
            <w:tcW w:w="1481" w:type="pct"/>
          </w:tcPr>
          <w:p w14:paraId="133E20B8">
            <w:pPr>
              <w:widowControl w:val="0"/>
              <w:adjustRightInd/>
              <w:snapToGrid/>
              <w:spacing w:line="360" w:lineRule="exact"/>
              <w:outlineLvl w:val="9"/>
              <w:rPr>
                <w:rFonts w:ascii="宋体" w:hAnsi="宋体" w:cs="宋体"/>
                <w:color w:val="auto"/>
                <w:sz w:val="22"/>
                <w:highlight w:val="none"/>
              </w:rPr>
            </w:pPr>
          </w:p>
        </w:tc>
      </w:tr>
      <w:tr w14:paraId="58FBBF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EAB49C3">
            <w:pPr>
              <w:widowControl w:val="0"/>
              <w:adjustRightInd/>
              <w:snapToGrid/>
              <w:spacing w:line="360" w:lineRule="exact"/>
              <w:ind w:firstLine="220" w:firstLineChars="100"/>
              <w:outlineLvl w:val="9"/>
              <w:rPr>
                <w:rFonts w:hint="default" w:ascii="宋体" w:hAnsi="宋体" w:cs="宋体"/>
                <w:color w:val="auto"/>
                <w:sz w:val="22"/>
                <w:highlight w:val="none"/>
                <w:lang w:val="en-US" w:eastAsia="zh-CN"/>
              </w:rPr>
            </w:pPr>
            <w:r>
              <w:rPr>
                <w:rFonts w:hint="eastAsia" w:ascii="宋体" w:hAnsi="宋体" w:cs="宋体"/>
                <w:color w:val="auto"/>
                <w:sz w:val="22"/>
                <w:highlight w:val="none"/>
                <w:lang w:val="en-US" w:eastAsia="zh-CN"/>
              </w:rPr>
              <w:t>18</w:t>
            </w:r>
          </w:p>
        </w:tc>
        <w:tc>
          <w:tcPr>
            <w:tcW w:w="1404" w:type="pct"/>
          </w:tcPr>
          <w:p w14:paraId="664F8D26">
            <w:pPr>
              <w:widowControl w:val="0"/>
              <w:adjustRightInd/>
              <w:snapToGrid/>
              <w:spacing w:line="360" w:lineRule="exact"/>
              <w:outlineLvl w:val="9"/>
              <w:rPr>
                <w:rFonts w:ascii="宋体" w:hAnsi="宋体" w:cs="宋体"/>
                <w:color w:val="auto"/>
                <w:sz w:val="22"/>
                <w:highlight w:val="none"/>
              </w:rPr>
            </w:pPr>
          </w:p>
        </w:tc>
        <w:tc>
          <w:tcPr>
            <w:tcW w:w="1545" w:type="pct"/>
          </w:tcPr>
          <w:p w14:paraId="4F96E79D">
            <w:pPr>
              <w:widowControl w:val="0"/>
              <w:adjustRightInd/>
              <w:snapToGrid/>
              <w:spacing w:line="360" w:lineRule="exact"/>
              <w:outlineLvl w:val="9"/>
              <w:rPr>
                <w:rFonts w:ascii="宋体" w:hAnsi="宋体" w:cs="宋体"/>
                <w:color w:val="auto"/>
                <w:sz w:val="22"/>
                <w:highlight w:val="none"/>
              </w:rPr>
            </w:pPr>
          </w:p>
        </w:tc>
        <w:tc>
          <w:tcPr>
            <w:tcW w:w="1481" w:type="pct"/>
          </w:tcPr>
          <w:p w14:paraId="4F122EB8">
            <w:pPr>
              <w:widowControl w:val="0"/>
              <w:adjustRightInd/>
              <w:snapToGrid/>
              <w:spacing w:line="360" w:lineRule="exact"/>
              <w:outlineLvl w:val="9"/>
              <w:rPr>
                <w:rFonts w:ascii="宋体" w:hAnsi="宋体" w:cs="宋体"/>
                <w:color w:val="auto"/>
                <w:sz w:val="22"/>
                <w:highlight w:val="none"/>
              </w:rPr>
            </w:pPr>
          </w:p>
        </w:tc>
      </w:tr>
      <w:tr w14:paraId="131902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A200BB8">
            <w:pPr>
              <w:widowControl w:val="0"/>
              <w:adjustRightInd/>
              <w:snapToGrid/>
              <w:spacing w:line="360" w:lineRule="exact"/>
              <w:ind w:firstLine="220" w:firstLineChars="100"/>
              <w:outlineLvl w:val="9"/>
              <w:rPr>
                <w:rFonts w:hint="default" w:ascii="宋体" w:hAnsi="宋体" w:cs="宋体"/>
                <w:color w:val="auto"/>
                <w:sz w:val="22"/>
                <w:highlight w:val="none"/>
                <w:lang w:val="en-US" w:eastAsia="zh-CN"/>
              </w:rPr>
            </w:pPr>
            <w:r>
              <w:rPr>
                <w:rFonts w:hint="eastAsia" w:ascii="宋体" w:hAnsi="宋体" w:cs="宋体"/>
                <w:color w:val="auto"/>
                <w:sz w:val="22"/>
                <w:highlight w:val="none"/>
                <w:lang w:val="en-US" w:eastAsia="zh-CN"/>
              </w:rPr>
              <w:t>19</w:t>
            </w:r>
          </w:p>
        </w:tc>
        <w:tc>
          <w:tcPr>
            <w:tcW w:w="1404" w:type="pct"/>
          </w:tcPr>
          <w:p w14:paraId="084B93C9">
            <w:pPr>
              <w:widowControl w:val="0"/>
              <w:adjustRightInd/>
              <w:snapToGrid/>
              <w:spacing w:line="360" w:lineRule="exact"/>
              <w:outlineLvl w:val="9"/>
              <w:rPr>
                <w:rFonts w:ascii="宋体" w:hAnsi="宋体" w:cs="宋体"/>
                <w:color w:val="auto"/>
                <w:sz w:val="22"/>
                <w:highlight w:val="none"/>
              </w:rPr>
            </w:pPr>
          </w:p>
        </w:tc>
        <w:tc>
          <w:tcPr>
            <w:tcW w:w="1545" w:type="pct"/>
          </w:tcPr>
          <w:p w14:paraId="14B685B8">
            <w:pPr>
              <w:widowControl w:val="0"/>
              <w:adjustRightInd/>
              <w:snapToGrid/>
              <w:spacing w:line="360" w:lineRule="exact"/>
              <w:outlineLvl w:val="9"/>
              <w:rPr>
                <w:rFonts w:ascii="宋体" w:hAnsi="宋体" w:cs="宋体"/>
                <w:color w:val="auto"/>
                <w:sz w:val="22"/>
                <w:highlight w:val="none"/>
              </w:rPr>
            </w:pPr>
          </w:p>
        </w:tc>
        <w:tc>
          <w:tcPr>
            <w:tcW w:w="1481" w:type="pct"/>
          </w:tcPr>
          <w:p w14:paraId="64C5FB43">
            <w:pPr>
              <w:widowControl w:val="0"/>
              <w:adjustRightInd/>
              <w:snapToGrid/>
              <w:spacing w:line="360" w:lineRule="exact"/>
              <w:outlineLvl w:val="9"/>
              <w:rPr>
                <w:rFonts w:ascii="宋体" w:hAnsi="宋体" w:cs="宋体"/>
                <w:color w:val="auto"/>
                <w:sz w:val="22"/>
                <w:highlight w:val="none"/>
              </w:rPr>
            </w:pPr>
          </w:p>
        </w:tc>
      </w:tr>
      <w:tr w14:paraId="75F2C1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2C4B4FF">
            <w:pPr>
              <w:widowControl w:val="0"/>
              <w:adjustRightInd/>
              <w:snapToGrid/>
              <w:spacing w:line="360" w:lineRule="exact"/>
              <w:ind w:firstLine="220" w:firstLineChars="100"/>
              <w:outlineLvl w:val="9"/>
              <w:rPr>
                <w:rFonts w:hint="default" w:ascii="宋体" w:hAnsi="宋体" w:cs="宋体"/>
                <w:color w:val="auto"/>
                <w:sz w:val="22"/>
                <w:highlight w:val="none"/>
                <w:lang w:val="en-US" w:eastAsia="zh-CN"/>
              </w:rPr>
            </w:pPr>
            <w:r>
              <w:rPr>
                <w:rFonts w:hint="eastAsia" w:ascii="宋体" w:hAnsi="宋体" w:cs="宋体"/>
                <w:color w:val="auto"/>
                <w:sz w:val="22"/>
                <w:highlight w:val="none"/>
                <w:lang w:val="en-US" w:eastAsia="zh-CN"/>
              </w:rPr>
              <w:t>20</w:t>
            </w:r>
          </w:p>
        </w:tc>
        <w:tc>
          <w:tcPr>
            <w:tcW w:w="1404" w:type="pct"/>
          </w:tcPr>
          <w:p w14:paraId="60D9D8D6">
            <w:pPr>
              <w:widowControl w:val="0"/>
              <w:adjustRightInd/>
              <w:snapToGrid/>
              <w:spacing w:line="360" w:lineRule="exact"/>
              <w:outlineLvl w:val="9"/>
              <w:rPr>
                <w:rFonts w:ascii="宋体" w:hAnsi="宋体" w:cs="宋体"/>
                <w:color w:val="auto"/>
                <w:sz w:val="22"/>
                <w:highlight w:val="none"/>
              </w:rPr>
            </w:pPr>
          </w:p>
        </w:tc>
        <w:tc>
          <w:tcPr>
            <w:tcW w:w="1545" w:type="pct"/>
          </w:tcPr>
          <w:p w14:paraId="52D8E1F2">
            <w:pPr>
              <w:widowControl w:val="0"/>
              <w:adjustRightInd/>
              <w:snapToGrid/>
              <w:spacing w:line="360" w:lineRule="exact"/>
              <w:outlineLvl w:val="9"/>
              <w:rPr>
                <w:rFonts w:ascii="宋体" w:hAnsi="宋体" w:cs="宋体"/>
                <w:color w:val="auto"/>
                <w:sz w:val="22"/>
                <w:highlight w:val="none"/>
              </w:rPr>
            </w:pPr>
          </w:p>
        </w:tc>
        <w:tc>
          <w:tcPr>
            <w:tcW w:w="1481" w:type="pct"/>
          </w:tcPr>
          <w:p w14:paraId="57A43CCA">
            <w:pPr>
              <w:widowControl w:val="0"/>
              <w:adjustRightInd/>
              <w:snapToGrid/>
              <w:spacing w:line="360" w:lineRule="exact"/>
              <w:outlineLvl w:val="9"/>
              <w:rPr>
                <w:rFonts w:ascii="宋体" w:hAnsi="宋体" w:cs="宋体"/>
                <w:color w:val="auto"/>
                <w:sz w:val="22"/>
                <w:highlight w:val="none"/>
              </w:rPr>
            </w:pPr>
          </w:p>
        </w:tc>
      </w:tr>
    </w:tbl>
    <w:p w14:paraId="65ACAFDF">
      <w:pPr>
        <w:keepNext w:val="0"/>
        <w:keepLines w:val="0"/>
        <w:pageBreakBefore w:val="0"/>
        <w:widowControl w:val="0"/>
        <w:kinsoku/>
        <w:wordWrap/>
        <w:overflowPunct/>
        <w:topLinePunct w:val="0"/>
        <w:autoSpaceDE/>
        <w:autoSpaceDN/>
        <w:bidi w:val="0"/>
        <w:adjustRightInd/>
        <w:snapToGrid/>
        <w:spacing w:line="460" w:lineRule="exact"/>
        <w:ind w:firstLine="420" w:firstLineChars="200"/>
        <w:jc w:val="both"/>
        <w:textAlignment w:val="auto"/>
        <w:outlineLvl w:val="9"/>
        <w:rPr>
          <w:rFonts w:hint="eastAsia" w:ascii="宋体" w:hAnsi="宋体" w:eastAsia="宋体" w:cs="宋体"/>
          <w:color w:val="auto"/>
          <w:highlight w:val="none"/>
        </w:rPr>
      </w:pPr>
      <w:r>
        <w:rPr>
          <w:rFonts w:hint="eastAsia" w:ascii="宋体" w:hAnsi="宋体" w:eastAsia="宋体" w:cs="宋体"/>
          <w:color w:val="auto"/>
          <w:highlight w:val="none"/>
        </w:rPr>
        <w:t>备注：</w:t>
      </w:r>
    </w:p>
    <w:p w14:paraId="056DB4AC">
      <w:pPr>
        <w:keepNext w:val="0"/>
        <w:keepLines w:val="0"/>
        <w:pageBreakBefore w:val="0"/>
        <w:widowControl w:val="0"/>
        <w:numPr>
          <w:ilvl w:val="0"/>
          <w:numId w:val="0"/>
        </w:numPr>
        <w:kinsoku/>
        <w:wordWrap/>
        <w:overflowPunct/>
        <w:topLinePunct w:val="0"/>
        <w:autoSpaceDE/>
        <w:autoSpaceDN/>
        <w:bidi w:val="0"/>
        <w:adjustRightInd/>
        <w:snapToGrid/>
        <w:spacing w:line="460" w:lineRule="exact"/>
        <w:ind w:firstLine="420" w:firstLineChars="200"/>
        <w:jc w:val="both"/>
        <w:textAlignment w:val="auto"/>
        <w:outlineLvl w:val="9"/>
        <w:rPr>
          <w:rFonts w:hint="eastAsia" w:ascii="宋体" w:hAnsi="宋体" w:eastAsia="宋体" w:cs="宋体"/>
          <w:color w:val="auto"/>
          <w:highlight w:val="none"/>
          <w:lang w:val="en-US" w:eastAsia="zh-CN"/>
        </w:rPr>
      </w:pPr>
      <w:r>
        <w:rPr>
          <w:rFonts w:hint="eastAsia" w:ascii="宋体" w:hAnsi="宋体" w:eastAsia="宋体" w:cs="宋体"/>
          <w:color w:val="auto"/>
          <w:sz w:val="21"/>
          <w:szCs w:val="22"/>
          <w:highlight w:val="none"/>
          <w:lang w:val="en-US" w:eastAsia="zh-CN" w:bidi="ar-SA"/>
        </w:rPr>
        <w:t>1.</w:t>
      </w:r>
      <w:r>
        <w:rPr>
          <w:rFonts w:hint="eastAsia" w:ascii="宋体" w:hAnsi="宋体" w:eastAsia="宋体" w:cs="宋体"/>
          <w:color w:val="auto"/>
          <w:highlight w:val="none"/>
        </w:rPr>
        <w:t>以上为拟投入本项目运输车辆清单，</w:t>
      </w:r>
      <w:r>
        <w:rPr>
          <w:rFonts w:hint="eastAsia" w:ascii="宋体" w:hAnsi="宋体" w:eastAsia="宋体" w:cs="宋体"/>
          <w:color w:val="auto"/>
          <w:highlight w:val="none"/>
          <w:lang w:val="en-US" w:eastAsia="zh-CN"/>
        </w:rPr>
        <w:t>投标人</w:t>
      </w:r>
      <w:r>
        <w:rPr>
          <w:rFonts w:hint="eastAsia" w:ascii="宋体" w:hAnsi="宋体" w:eastAsia="宋体" w:cs="宋体"/>
          <w:color w:val="auto"/>
          <w:highlight w:val="none"/>
        </w:rPr>
        <w:t>可根据情况增加，不得减少。</w:t>
      </w:r>
      <w:r>
        <w:rPr>
          <w:rFonts w:hint="eastAsia" w:ascii="宋体" w:hAnsi="宋体" w:eastAsia="宋体" w:cs="宋体"/>
          <w:color w:val="auto"/>
          <w:highlight w:val="none"/>
          <w:lang w:val="en-US" w:eastAsia="zh-CN"/>
        </w:rPr>
        <w:t>以上</w:t>
      </w:r>
      <w:r>
        <w:rPr>
          <w:rFonts w:hint="eastAsia" w:ascii="宋体" w:hAnsi="宋体" w:eastAsia="宋体" w:cs="宋体"/>
          <w:color w:val="auto"/>
          <w:highlight w:val="none"/>
        </w:rPr>
        <w:t>名单为初步填写，后续如需更换，</w:t>
      </w:r>
      <w:r>
        <w:rPr>
          <w:rFonts w:hint="eastAsia" w:ascii="宋体" w:hAnsi="宋体" w:eastAsia="宋体" w:cs="宋体"/>
          <w:color w:val="auto"/>
          <w:highlight w:val="none"/>
          <w:lang w:val="en-US" w:eastAsia="zh-CN"/>
        </w:rPr>
        <w:t>需</w:t>
      </w:r>
      <w:r>
        <w:rPr>
          <w:rFonts w:hint="eastAsia" w:ascii="宋体" w:hAnsi="宋体" w:eastAsia="宋体" w:cs="宋体"/>
          <w:color w:val="auto"/>
          <w:highlight w:val="none"/>
        </w:rPr>
        <w:t>征得采购人</w:t>
      </w:r>
      <w:r>
        <w:rPr>
          <w:rFonts w:hint="eastAsia" w:ascii="宋体" w:hAnsi="宋体" w:eastAsia="宋体" w:cs="宋体"/>
          <w:color w:val="auto"/>
          <w:highlight w:val="none"/>
          <w:lang w:val="en-US" w:eastAsia="zh-CN"/>
        </w:rPr>
        <w:t>书面</w:t>
      </w:r>
      <w:r>
        <w:rPr>
          <w:rFonts w:hint="eastAsia" w:ascii="宋体" w:hAnsi="宋体" w:eastAsia="宋体" w:cs="宋体"/>
          <w:color w:val="auto"/>
          <w:highlight w:val="none"/>
        </w:rPr>
        <w:t>同意后方可更换。非投标人自有车辆的，需提供投标人与承租人的租赁合同或合作协议，均加盖公章；</w:t>
      </w:r>
      <w:r>
        <w:rPr>
          <w:rFonts w:hint="eastAsia" w:ascii="宋体" w:hAnsi="宋体" w:eastAsia="宋体" w:cs="宋体"/>
          <w:color w:val="auto"/>
          <w:highlight w:val="none"/>
          <w:lang w:val="en-US" w:eastAsia="zh-CN"/>
        </w:rPr>
        <w:t>合同履约过程中，成交人每少一辆</w:t>
      </w:r>
      <w:r>
        <w:rPr>
          <w:rFonts w:hint="eastAsia" w:ascii="宋体" w:hAnsi="宋体" w:cs="宋体"/>
          <w:color w:val="auto"/>
          <w:highlight w:val="none"/>
          <w:lang w:val="en-US" w:eastAsia="zh-CN"/>
        </w:rPr>
        <w:t>处以</w:t>
      </w:r>
      <w:r>
        <w:rPr>
          <w:rFonts w:hint="eastAsia" w:ascii="宋体" w:hAnsi="宋体" w:eastAsia="宋体" w:cs="宋体"/>
          <w:color w:val="auto"/>
          <w:highlight w:val="none"/>
          <w:lang w:val="en-US" w:eastAsia="zh-CN"/>
        </w:rPr>
        <w:t>10000元处罚，超过3辆的采购人有权无责解除合同并没收履约保证金。</w:t>
      </w:r>
    </w:p>
    <w:p w14:paraId="17A93B4D">
      <w:pPr>
        <w:keepNext w:val="0"/>
        <w:keepLines w:val="0"/>
        <w:pageBreakBefore w:val="0"/>
        <w:widowControl w:val="0"/>
        <w:kinsoku/>
        <w:wordWrap/>
        <w:overflowPunct/>
        <w:topLinePunct w:val="0"/>
        <w:autoSpaceDE/>
        <w:autoSpaceDN/>
        <w:bidi w:val="0"/>
        <w:adjustRightInd/>
        <w:snapToGrid/>
        <w:spacing w:line="460" w:lineRule="exact"/>
        <w:ind w:firstLine="420" w:firstLineChars="200"/>
        <w:jc w:val="both"/>
        <w:textAlignment w:val="auto"/>
        <w:outlineLvl w:val="9"/>
        <w:rPr>
          <w:rFonts w:hint="eastAsia" w:ascii="宋体" w:hAnsi="宋体" w:eastAsia="宋体" w:cs="宋体"/>
          <w:color w:val="auto"/>
          <w:highlight w:val="none"/>
        </w:rPr>
      </w:pPr>
      <w:r>
        <w:rPr>
          <w:rFonts w:hint="eastAsia" w:ascii="宋体" w:hAnsi="宋体" w:eastAsia="宋体" w:cs="宋体"/>
          <w:color w:val="auto"/>
          <w:highlight w:val="none"/>
          <w:lang w:val="en-US" w:eastAsia="zh-CN"/>
        </w:rPr>
        <w:t>2.</w:t>
      </w:r>
      <w:r>
        <w:rPr>
          <w:rFonts w:hint="eastAsia" w:ascii="宋体" w:hAnsi="宋体" w:eastAsia="宋体" w:cs="宋体"/>
          <w:color w:val="auto"/>
          <w:highlight w:val="none"/>
        </w:rPr>
        <w:t>资料要求：</w:t>
      </w:r>
    </w:p>
    <w:p w14:paraId="60749EA4">
      <w:pPr>
        <w:keepNext w:val="0"/>
        <w:keepLines w:val="0"/>
        <w:pageBreakBefore w:val="0"/>
        <w:widowControl w:val="0"/>
        <w:kinsoku/>
        <w:wordWrap/>
        <w:overflowPunct/>
        <w:topLinePunct w:val="0"/>
        <w:autoSpaceDE/>
        <w:autoSpaceDN/>
        <w:bidi w:val="0"/>
        <w:adjustRightInd/>
        <w:snapToGrid/>
        <w:spacing w:line="460" w:lineRule="exact"/>
        <w:ind w:firstLine="420" w:firstLineChars="200"/>
        <w:jc w:val="both"/>
        <w:textAlignment w:val="auto"/>
        <w:outlineLvl w:val="9"/>
        <w:rPr>
          <w:rFonts w:hint="eastAsia" w:ascii="宋体" w:hAnsi="宋体" w:eastAsia="宋体" w:cs="宋体"/>
          <w:color w:val="auto"/>
          <w:highlight w:val="none"/>
          <w:lang w:eastAsia="zh-CN"/>
        </w:rPr>
      </w:pPr>
      <w:r>
        <w:rPr>
          <w:rFonts w:hint="eastAsia" w:ascii="宋体" w:hAnsi="宋体" w:eastAsia="宋体" w:cs="宋体"/>
          <w:color w:val="auto"/>
          <w:highlight w:val="none"/>
        </w:rPr>
        <w:t>【投标时提供】</w:t>
      </w:r>
      <w:r>
        <w:rPr>
          <w:rFonts w:hint="eastAsia" w:ascii="宋体" w:hAnsi="宋体" w:eastAsia="宋体" w:cs="宋体"/>
          <w:color w:val="auto"/>
          <w:highlight w:val="none"/>
          <w:lang w:val="en-US" w:eastAsia="zh-CN"/>
        </w:rPr>
        <w:t>上述</w:t>
      </w:r>
      <w:r>
        <w:rPr>
          <w:rFonts w:hint="eastAsia" w:ascii="宋体" w:hAnsi="宋体" w:eastAsia="宋体" w:cs="宋体"/>
          <w:color w:val="auto"/>
          <w:highlight w:val="none"/>
        </w:rPr>
        <w:t>运输车辆的《道路运输证》</w:t>
      </w:r>
      <w:r>
        <w:rPr>
          <w:rFonts w:hint="eastAsia" w:ascii="宋体" w:hAnsi="宋体" w:eastAsia="宋体" w:cs="宋体"/>
          <w:color w:val="auto"/>
          <w:highlight w:val="none"/>
          <w:lang w:val="en-US" w:eastAsia="zh-CN"/>
        </w:rPr>
        <w:t>且经营范围包括“危险货物运输”</w:t>
      </w:r>
      <w:r>
        <w:rPr>
          <w:rFonts w:hint="eastAsia" w:ascii="宋体" w:hAnsi="宋体" w:eastAsia="宋体" w:cs="宋体"/>
          <w:color w:val="auto"/>
          <w:highlight w:val="none"/>
        </w:rPr>
        <w:t>（加盖公章）；非投标人自有车辆的，需提供投标人与承租人的租赁合同或合作协议，均加盖公章</w:t>
      </w:r>
      <w:r>
        <w:rPr>
          <w:rFonts w:hint="eastAsia" w:ascii="宋体" w:hAnsi="宋体" w:eastAsia="宋体" w:cs="宋体"/>
          <w:color w:val="auto"/>
          <w:highlight w:val="none"/>
          <w:lang w:eastAsia="zh-CN"/>
        </w:rPr>
        <w:t>。</w:t>
      </w:r>
    </w:p>
    <w:p w14:paraId="5F8B70AB">
      <w:pPr>
        <w:keepNext w:val="0"/>
        <w:keepLines w:val="0"/>
        <w:pageBreakBefore w:val="0"/>
        <w:widowControl w:val="0"/>
        <w:kinsoku/>
        <w:wordWrap/>
        <w:overflowPunct/>
        <w:topLinePunct w:val="0"/>
        <w:autoSpaceDE/>
        <w:autoSpaceDN/>
        <w:bidi w:val="0"/>
        <w:adjustRightInd/>
        <w:snapToGrid/>
        <w:spacing w:line="460" w:lineRule="exact"/>
        <w:ind w:firstLine="420" w:firstLineChars="200"/>
        <w:jc w:val="both"/>
        <w:textAlignment w:val="auto"/>
        <w:outlineLvl w:val="9"/>
        <w:rPr>
          <w:rFonts w:hint="eastAsia" w:ascii="宋体" w:hAnsi="宋体" w:eastAsia="宋体" w:cs="宋体"/>
          <w:color w:val="auto"/>
          <w:highlight w:val="none"/>
        </w:rPr>
      </w:pPr>
      <w:r>
        <w:rPr>
          <w:rFonts w:hint="eastAsia" w:ascii="宋体" w:hAnsi="宋体" w:eastAsia="宋体" w:cs="宋体"/>
          <w:color w:val="auto"/>
          <w:highlight w:val="none"/>
        </w:rPr>
        <w:t>【中标后向</w:t>
      </w:r>
      <w:r>
        <w:rPr>
          <w:rFonts w:hint="eastAsia" w:ascii="宋体" w:hAnsi="宋体" w:eastAsia="宋体" w:cs="宋体"/>
          <w:color w:val="auto"/>
          <w:highlight w:val="none"/>
          <w:lang w:val="en-US" w:eastAsia="zh-CN"/>
        </w:rPr>
        <w:t>采购人</w:t>
      </w:r>
      <w:r>
        <w:rPr>
          <w:rFonts w:hint="eastAsia" w:ascii="宋体" w:hAnsi="宋体" w:eastAsia="宋体" w:cs="宋体"/>
          <w:color w:val="auto"/>
          <w:highlight w:val="none"/>
        </w:rPr>
        <w:t>备案】运输车辆的行驶证、道路运输证、强制险保单、商业险保单、危险货物承运人保单、GPS定位系统安装证明、视频监控接入证明等。</w:t>
      </w:r>
    </w:p>
    <w:p w14:paraId="753DE32F">
      <w:pPr>
        <w:keepNext w:val="0"/>
        <w:keepLines w:val="0"/>
        <w:pageBreakBefore w:val="0"/>
        <w:kinsoku/>
        <w:wordWrap/>
        <w:overflowPunct/>
        <w:topLinePunct w:val="0"/>
        <w:autoSpaceDE/>
        <w:autoSpaceDN/>
        <w:bidi w:val="0"/>
        <w:spacing w:line="460" w:lineRule="exact"/>
        <w:textAlignment w:val="auto"/>
        <w:rPr>
          <w:rFonts w:hint="eastAsia" w:ascii="宋体" w:hAnsi="宋体"/>
          <w:b/>
          <w:color w:val="auto"/>
          <w:sz w:val="21"/>
          <w:szCs w:val="21"/>
          <w:highlight w:val="none"/>
        </w:rPr>
      </w:pPr>
      <w:bookmarkStart w:id="15" w:name="_Toc9453"/>
      <w:bookmarkStart w:id="16" w:name="_Toc15740"/>
      <w:bookmarkStart w:id="17" w:name="_Toc32168"/>
      <w:bookmarkStart w:id="18" w:name="_Toc29928"/>
      <w:bookmarkStart w:id="19" w:name="_Toc13772"/>
      <w:bookmarkStart w:id="20" w:name="_Toc25130"/>
      <w:bookmarkStart w:id="21" w:name="_Toc2600"/>
      <w:bookmarkStart w:id="22" w:name="_Toc15014"/>
      <w:r>
        <w:rPr>
          <w:rFonts w:hint="eastAsia" w:ascii="宋体" w:hAnsi="宋体"/>
          <w:b/>
          <w:color w:val="auto"/>
          <w:sz w:val="21"/>
          <w:szCs w:val="21"/>
          <w:highlight w:val="none"/>
        </w:rPr>
        <w:br w:type="page"/>
      </w:r>
    </w:p>
    <w:p w14:paraId="14EC87D4">
      <w:pPr>
        <w:outlineLvl w:val="9"/>
        <w:rPr>
          <w:rFonts w:hint="eastAsia" w:ascii="宋体" w:hAnsi="宋体"/>
          <w:b/>
          <w:color w:val="auto"/>
          <w:sz w:val="21"/>
          <w:szCs w:val="21"/>
          <w:highlight w:val="none"/>
        </w:rPr>
      </w:pPr>
      <w:r>
        <w:rPr>
          <w:rFonts w:hint="eastAsia" w:ascii="宋体" w:hAnsi="宋体"/>
          <w:b/>
          <w:color w:val="auto"/>
          <w:sz w:val="21"/>
          <w:szCs w:val="21"/>
          <w:highlight w:val="none"/>
        </w:rPr>
        <w:t>技术需求书附件</w:t>
      </w:r>
      <w:r>
        <w:rPr>
          <w:rFonts w:hint="eastAsia" w:ascii="宋体" w:hAnsi="宋体"/>
          <w:b/>
          <w:color w:val="auto"/>
          <w:sz w:val="21"/>
          <w:szCs w:val="21"/>
          <w:highlight w:val="none"/>
          <w:lang w:val="en-US" w:eastAsia="zh-CN"/>
        </w:rPr>
        <w:t>2</w:t>
      </w:r>
      <w:r>
        <w:rPr>
          <w:rFonts w:hint="eastAsia" w:ascii="宋体" w:hAnsi="宋体"/>
          <w:b/>
          <w:color w:val="auto"/>
          <w:sz w:val="21"/>
          <w:szCs w:val="21"/>
          <w:highlight w:val="none"/>
        </w:rPr>
        <w:t>：《运输人员花名册》</w:t>
      </w:r>
      <w:bookmarkEnd w:id="15"/>
      <w:bookmarkEnd w:id="16"/>
      <w:bookmarkEnd w:id="17"/>
      <w:bookmarkEnd w:id="18"/>
      <w:r>
        <w:rPr>
          <w:rFonts w:hint="eastAsia" w:ascii="宋体" w:hAnsi="宋体"/>
          <w:b/>
          <w:color w:val="auto"/>
          <w:sz w:val="21"/>
          <w:szCs w:val="21"/>
          <w:highlight w:val="none"/>
        </w:rPr>
        <w:t xml:space="preserve"> </w:t>
      </w:r>
      <w:bookmarkEnd w:id="19"/>
      <w:bookmarkEnd w:id="20"/>
      <w:bookmarkEnd w:id="21"/>
      <w:bookmarkEnd w:id="22"/>
    </w:p>
    <w:tbl>
      <w:tblPr>
        <w:tblStyle w:val="30"/>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8"/>
        <w:gridCol w:w="2393"/>
        <w:gridCol w:w="2634"/>
        <w:gridCol w:w="2525"/>
      </w:tblGrid>
      <w:tr w14:paraId="3604A4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68" w:type="pct"/>
          </w:tcPr>
          <w:p w14:paraId="2639B917">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序号</w:t>
            </w:r>
          </w:p>
        </w:tc>
        <w:tc>
          <w:tcPr>
            <w:tcW w:w="1404" w:type="pct"/>
          </w:tcPr>
          <w:p w14:paraId="6F52B32E">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人员名单</w:t>
            </w:r>
          </w:p>
        </w:tc>
        <w:tc>
          <w:tcPr>
            <w:tcW w:w="1545" w:type="pct"/>
          </w:tcPr>
          <w:p w14:paraId="5DC4E49D">
            <w:pPr>
              <w:widowControl w:val="0"/>
              <w:adjustRightInd/>
              <w:snapToGrid/>
              <w:spacing w:line="360" w:lineRule="exact"/>
              <w:ind w:firstLine="220" w:firstLineChars="100"/>
              <w:jc w:val="center"/>
              <w:outlineLvl w:val="9"/>
              <w:rPr>
                <w:rFonts w:ascii="宋体" w:hAnsi="宋体" w:cs="宋体"/>
                <w:color w:val="auto"/>
                <w:sz w:val="22"/>
                <w:highlight w:val="none"/>
              </w:rPr>
            </w:pPr>
            <w:r>
              <w:rPr>
                <w:rFonts w:hint="eastAsia" w:ascii="宋体" w:hAnsi="宋体" w:cs="宋体"/>
                <w:color w:val="auto"/>
                <w:sz w:val="22"/>
                <w:highlight w:val="none"/>
              </w:rPr>
              <w:t>证照（类别）</w:t>
            </w:r>
          </w:p>
        </w:tc>
        <w:tc>
          <w:tcPr>
            <w:tcW w:w="1481" w:type="pct"/>
          </w:tcPr>
          <w:p w14:paraId="67763976">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备注</w:t>
            </w:r>
          </w:p>
        </w:tc>
      </w:tr>
      <w:tr w14:paraId="0755B4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14C6B0C">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1</w:t>
            </w:r>
          </w:p>
        </w:tc>
        <w:tc>
          <w:tcPr>
            <w:tcW w:w="1404" w:type="pct"/>
          </w:tcPr>
          <w:p w14:paraId="36B9CCB7">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2A32602D">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1DC35C46">
            <w:pPr>
              <w:widowControl w:val="0"/>
              <w:adjustRightInd/>
              <w:snapToGrid/>
              <w:spacing w:line="360" w:lineRule="exact"/>
              <w:jc w:val="center"/>
              <w:outlineLvl w:val="9"/>
              <w:rPr>
                <w:rFonts w:ascii="宋体" w:hAnsi="宋体" w:cs="宋体"/>
                <w:color w:val="auto"/>
                <w:sz w:val="22"/>
                <w:highlight w:val="none"/>
              </w:rPr>
            </w:pPr>
          </w:p>
        </w:tc>
      </w:tr>
      <w:tr w14:paraId="598138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802D99B">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2</w:t>
            </w:r>
          </w:p>
        </w:tc>
        <w:tc>
          <w:tcPr>
            <w:tcW w:w="1404" w:type="pct"/>
          </w:tcPr>
          <w:p w14:paraId="62C6C8F3">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177EA368">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074A7C30">
            <w:pPr>
              <w:widowControl w:val="0"/>
              <w:adjustRightInd/>
              <w:snapToGrid/>
              <w:spacing w:line="360" w:lineRule="exact"/>
              <w:jc w:val="center"/>
              <w:outlineLvl w:val="9"/>
              <w:rPr>
                <w:rFonts w:ascii="宋体" w:hAnsi="宋体" w:cs="宋体"/>
                <w:color w:val="auto"/>
                <w:sz w:val="22"/>
                <w:highlight w:val="none"/>
              </w:rPr>
            </w:pPr>
          </w:p>
        </w:tc>
      </w:tr>
      <w:tr w14:paraId="056E6A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5508E4B">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3</w:t>
            </w:r>
          </w:p>
        </w:tc>
        <w:tc>
          <w:tcPr>
            <w:tcW w:w="1404" w:type="pct"/>
          </w:tcPr>
          <w:p w14:paraId="5CE230DD">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6C41244A">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59E704B1">
            <w:pPr>
              <w:widowControl w:val="0"/>
              <w:adjustRightInd/>
              <w:snapToGrid/>
              <w:spacing w:line="360" w:lineRule="exact"/>
              <w:jc w:val="center"/>
              <w:outlineLvl w:val="9"/>
              <w:rPr>
                <w:rFonts w:ascii="宋体" w:hAnsi="宋体" w:cs="宋体"/>
                <w:color w:val="auto"/>
                <w:sz w:val="22"/>
                <w:highlight w:val="none"/>
              </w:rPr>
            </w:pPr>
          </w:p>
        </w:tc>
      </w:tr>
      <w:tr w14:paraId="07E4D6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B833A94">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4</w:t>
            </w:r>
          </w:p>
        </w:tc>
        <w:tc>
          <w:tcPr>
            <w:tcW w:w="1404" w:type="pct"/>
          </w:tcPr>
          <w:p w14:paraId="0B0DE43F">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5D07F606">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206641D2">
            <w:pPr>
              <w:widowControl w:val="0"/>
              <w:adjustRightInd/>
              <w:snapToGrid/>
              <w:spacing w:line="360" w:lineRule="exact"/>
              <w:jc w:val="center"/>
              <w:outlineLvl w:val="9"/>
              <w:rPr>
                <w:rFonts w:ascii="宋体" w:hAnsi="宋体" w:cs="宋体"/>
                <w:color w:val="auto"/>
                <w:sz w:val="22"/>
                <w:highlight w:val="none"/>
              </w:rPr>
            </w:pPr>
          </w:p>
        </w:tc>
      </w:tr>
      <w:tr w14:paraId="69DD4E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F79E529">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5</w:t>
            </w:r>
          </w:p>
        </w:tc>
        <w:tc>
          <w:tcPr>
            <w:tcW w:w="1404" w:type="pct"/>
          </w:tcPr>
          <w:p w14:paraId="54F35671">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2A116164">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2E87C46B">
            <w:pPr>
              <w:widowControl w:val="0"/>
              <w:adjustRightInd/>
              <w:snapToGrid/>
              <w:spacing w:line="360" w:lineRule="exact"/>
              <w:jc w:val="center"/>
              <w:outlineLvl w:val="9"/>
              <w:rPr>
                <w:rFonts w:ascii="宋体" w:hAnsi="宋体" w:cs="宋体"/>
                <w:color w:val="auto"/>
                <w:sz w:val="22"/>
                <w:highlight w:val="none"/>
              </w:rPr>
            </w:pPr>
          </w:p>
        </w:tc>
      </w:tr>
      <w:tr w14:paraId="0D592F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5789544">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6</w:t>
            </w:r>
          </w:p>
        </w:tc>
        <w:tc>
          <w:tcPr>
            <w:tcW w:w="1404" w:type="pct"/>
          </w:tcPr>
          <w:p w14:paraId="72581FE0">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51B7E872">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3D5D23EB">
            <w:pPr>
              <w:widowControl w:val="0"/>
              <w:adjustRightInd/>
              <w:snapToGrid/>
              <w:spacing w:line="360" w:lineRule="exact"/>
              <w:jc w:val="center"/>
              <w:outlineLvl w:val="9"/>
              <w:rPr>
                <w:rFonts w:ascii="宋体" w:hAnsi="宋体" w:cs="宋体"/>
                <w:color w:val="auto"/>
                <w:sz w:val="22"/>
                <w:highlight w:val="none"/>
              </w:rPr>
            </w:pPr>
          </w:p>
        </w:tc>
      </w:tr>
      <w:tr w14:paraId="29821B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3625143">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7</w:t>
            </w:r>
          </w:p>
        </w:tc>
        <w:tc>
          <w:tcPr>
            <w:tcW w:w="1404" w:type="pct"/>
          </w:tcPr>
          <w:p w14:paraId="3BB27A64">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78BEEA5C">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6E1490EB">
            <w:pPr>
              <w:widowControl w:val="0"/>
              <w:adjustRightInd/>
              <w:snapToGrid/>
              <w:spacing w:line="360" w:lineRule="exact"/>
              <w:jc w:val="center"/>
              <w:outlineLvl w:val="9"/>
              <w:rPr>
                <w:rFonts w:ascii="宋体" w:hAnsi="宋体" w:cs="宋体"/>
                <w:color w:val="auto"/>
                <w:sz w:val="22"/>
                <w:highlight w:val="none"/>
              </w:rPr>
            </w:pPr>
          </w:p>
        </w:tc>
      </w:tr>
      <w:tr w14:paraId="48F648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524FEBB">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8</w:t>
            </w:r>
          </w:p>
        </w:tc>
        <w:tc>
          <w:tcPr>
            <w:tcW w:w="1404" w:type="pct"/>
          </w:tcPr>
          <w:p w14:paraId="6DCA0359">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24A8FEE8">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2D9C618E">
            <w:pPr>
              <w:widowControl w:val="0"/>
              <w:adjustRightInd/>
              <w:snapToGrid/>
              <w:spacing w:line="360" w:lineRule="exact"/>
              <w:jc w:val="center"/>
              <w:outlineLvl w:val="9"/>
              <w:rPr>
                <w:rFonts w:ascii="宋体" w:hAnsi="宋体" w:cs="宋体"/>
                <w:color w:val="auto"/>
                <w:sz w:val="22"/>
                <w:highlight w:val="none"/>
              </w:rPr>
            </w:pPr>
          </w:p>
        </w:tc>
      </w:tr>
      <w:tr w14:paraId="55C7D2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7E5F4C0">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9</w:t>
            </w:r>
          </w:p>
        </w:tc>
        <w:tc>
          <w:tcPr>
            <w:tcW w:w="1404" w:type="pct"/>
          </w:tcPr>
          <w:p w14:paraId="0F2732ED">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46058749">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20DEB1AC">
            <w:pPr>
              <w:widowControl w:val="0"/>
              <w:adjustRightInd/>
              <w:snapToGrid/>
              <w:spacing w:line="360" w:lineRule="exact"/>
              <w:jc w:val="center"/>
              <w:outlineLvl w:val="9"/>
              <w:rPr>
                <w:rFonts w:ascii="宋体" w:hAnsi="宋体" w:cs="宋体"/>
                <w:color w:val="auto"/>
                <w:sz w:val="22"/>
                <w:highlight w:val="none"/>
              </w:rPr>
            </w:pPr>
          </w:p>
        </w:tc>
      </w:tr>
      <w:tr w14:paraId="28100E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4A83D89">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10</w:t>
            </w:r>
          </w:p>
        </w:tc>
        <w:tc>
          <w:tcPr>
            <w:tcW w:w="1404" w:type="pct"/>
          </w:tcPr>
          <w:p w14:paraId="0A015A2D">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4D91C2E5">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0407F3A6">
            <w:pPr>
              <w:widowControl w:val="0"/>
              <w:adjustRightInd/>
              <w:snapToGrid/>
              <w:spacing w:line="360" w:lineRule="exact"/>
              <w:jc w:val="center"/>
              <w:outlineLvl w:val="9"/>
              <w:rPr>
                <w:rFonts w:ascii="宋体" w:hAnsi="宋体" w:cs="宋体"/>
                <w:color w:val="auto"/>
                <w:sz w:val="22"/>
                <w:highlight w:val="none"/>
              </w:rPr>
            </w:pPr>
          </w:p>
        </w:tc>
      </w:tr>
      <w:tr w14:paraId="277FC3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384266C">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11</w:t>
            </w:r>
          </w:p>
        </w:tc>
        <w:tc>
          <w:tcPr>
            <w:tcW w:w="1404" w:type="pct"/>
          </w:tcPr>
          <w:p w14:paraId="2D422E64">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0451796F">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70705430">
            <w:pPr>
              <w:widowControl w:val="0"/>
              <w:adjustRightInd/>
              <w:snapToGrid/>
              <w:spacing w:line="360" w:lineRule="exact"/>
              <w:jc w:val="center"/>
              <w:outlineLvl w:val="9"/>
              <w:rPr>
                <w:rFonts w:ascii="宋体" w:hAnsi="宋体" w:cs="宋体"/>
                <w:color w:val="auto"/>
                <w:sz w:val="22"/>
                <w:highlight w:val="none"/>
              </w:rPr>
            </w:pPr>
          </w:p>
        </w:tc>
      </w:tr>
      <w:tr w14:paraId="271B98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8F6AC1B">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12</w:t>
            </w:r>
          </w:p>
        </w:tc>
        <w:tc>
          <w:tcPr>
            <w:tcW w:w="1404" w:type="pct"/>
          </w:tcPr>
          <w:p w14:paraId="15B662E8">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4FB59ECB">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0F8BDBD6">
            <w:pPr>
              <w:widowControl w:val="0"/>
              <w:adjustRightInd/>
              <w:snapToGrid/>
              <w:spacing w:line="360" w:lineRule="exact"/>
              <w:jc w:val="center"/>
              <w:outlineLvl w:val="9"/>
              <w:rPr>
                <w:rFonts w:ascii="宋体" w:hAnsi="宋体" w:cs="宋体"/>
                <w:color w:val="auto"/>
                <w:sz w:val="22"/>
                <w:highlight w:val="none"/>
              </w:rPr>
            </w:pPr>
          </w:p>
        </w:tc>
      </w:tr>
      <w:tr w14:paraId="1FF626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946CF73">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13</w:t>
            </w:r>
          </w:p>
        </w:tc>
        <w:tc>
          <w:tcPr>
            <w:tcW w:w="1404" w:type="pct"/>
          </w:tcPr>
          <w:p w14:paraId="41BE2F8E">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67D23806">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3976084B">
            <w:pPr>
              <w:widowControl w:val="0"/>
              <w:adjustRightInd/>
              <w:snapToGrid/>
              <w:spacing w:line="360" w:lineRule="exact"/>
              <w:jc w:val="center"/>
              <w:outlineLvl w:val="9"/>
              <w:rPr>
                <w:rFonts w:ascii="宋体" w:hAnsi="宋体" w:cs="宋体"/>
                <w:color w:val="auto"/>
                <w:sz w:val="22"/>
                <w:highlight w:val="none"/>
              </w:rPr>
            </w:pPr>
          </w:p>
        </w:tc>
      </w:tr>
      <w:tr w14:paraId="587518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04448B0">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14</w:t>
            </w:r>
          </w:p>
        </w:tc>
        <w:tc>
          <w:tcPr>
            <w:tcW w:w="1404" w:type="pct"/>
          </w:tcPr>
          <w:p w14:paraId="7B5E8475">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473690B5">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5A8BFE28">
            <w:pPr>
              <w:widowControl w:val="0"/>
              <w:adjustRightInd/>
              <w:snapToGrid/>
              <w:spacing w:line="360" w:lineRule="exact"/>
              <w:jc w:val="center"/>
              <w:outlineLvl w:val="9"/>
              <w:rPr>
                <w:rFonts w:ascii="宋体" w:hAnsi="宋体" w:cs="宋体"/>
                <w:color w:val="auto"/>
                <w:sz w:val="22"/>
                <w:highlight w:val="none"/>
              </w:rPr>
            </w:pPr>
          </w:p>
        </w:tc>
      </w:tr>
      <w:tr w14:paraId="5F20E3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3B7F330">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15</w:t>
            </w:r>
          </w:p>
        </w:tc>
        <w:tc>
          <w:tcPr>
            <w:tcW w:w="1404" w:type="pct"/>
          </w:tcPr>
          <w:p w14:paraId="083A9ADF">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13E62450">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444922AD">
            <w:pPr>
              <w:widowControl w:val="0"/>
              <w:adjustRightInd/>
              <w:snapToGrid/>
              <w:spacing w:line="360" w:lineRule="exact"/>
              <w:jc w:val="center"/>
              <w:outlineLvl w:val="9"/>
              <w:rPr>
                <w:rFonts w:ascii="宋体" w:hAnsi="宋体" w:cs="宋体"/>
                <w:color w:val="auto"/>
                <w:sz w:val="22"/>
                <w:highlight w:val="none"/>
              </w:rPr>
            </w:pPr>
          </w:p>
        </w:tc>
      </w:tr>
      <w:tr w14:paraId="5ABD57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08E05A3">
            <w:pPr>
              <w:widowControl w:val="0"/>
              <w:adjustRightInd/>
              <w:snapToGrid/>
              <w:spacing w:line="360" w:lineRule="exact"/>
              <w:jc w:val="center"/>
              <w:outlineLvl w:val="9"/>
              <w:rPr>
                <w:rFonts w:hint="default" w:ascii="宋体" w:hAnsi="宋体" w:eastAsia="宋体" w:cs="宋体"/>
                <w:color w:val="auto"/>
                <w:sz w:val="22"/>
                <w:highlight w:val="none"/>
                <w:lang w:val="en-US" w:eastAsia="zh-CN"/>
              </w:rPr>
            </w:pPr>
            <w:r>
              <w:rPr>
                <w:rFonts w:hint="eastAsia" w:ascii="宋体" w:hAnsi="宋体" w:cs="宋体"/>
                <w:color w:val="auto"/>
                <w:sz w:val="22"/>
                <w:highlight w:val="none"/>
                <w:lang w:val="en-US" w:eastAsia="zh-CN"/>
              </w:rPr>
              <w:t>16</w:t>
            </w:r>
          </w:p>
        </w:tc>
        <w:tc>
          <w:tcPr>
            <w:tcW w:w="1404" w:type="pct"/>
          </w:tcPr>
          <w:p w14:paraId="4494E239">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1461F6C2">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6623748F">
            <w:pPr>
              <w:widowControl w:val="0"/>
              <w:adjustRightInd/>
              <w:snapToGrid/>
              <w:spacing w:line="360" w:lineRule="exact"/>
              <w:jc w:val="center"/>
              <w:outlineLvl w:val="9"/>
              <w:rPr>
                <w:rFonts w:ascii="宋体" w:hAnsi="宋体" w:cs="宋体"/>
                <w:color w:val="auto"/>
                <w:sz w:val="22"/>
                <w:highlight w:val="none"/>
              </w:rPr>
            </w:pPr>
          </w:p>
        </w:tc>
      </w:tr>
      <w:tr w14:paraId="0EC4A6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B573093">
            <w:pPr>
              <w:widowControl w:val="0"/>
              <w:adjustRightInd/>
              <w:snapToGrid/>
              <w:spacing w:line="360" w:lineRule="exact"/>
              <w:jc w:val="center"/>
              <w:outlineLvl w:val="9"/>
              <w:rPr>
                <w:rFonts w:hint="default" w:ascii="宋体" w:hAnsi="宋体" w:eastAsia="宋体" w:cs="宋体"/>
                <w:color w:val="auto"/>
                <w:sz w:val="22"/>
                <w:highlight w:val="none"/>
                <w:lang w:val="en-US" w:eastAsia="zh-CN"/>
              </w:rPr>
            </w:pPr>
            <w:r>
              <w:rPr>
                <w:rFonts w:hint="eastAsia" w:ascii="宋体" w:hAnsi="宋体" w:cs="宋体"/>
                <w:color w:val="auto"/>
                <w:sz w:val="22"/>
                <w:highlight w:val="none"/>
                <w:lang w:val="en-US" w:eastAsia="zh-CN"/>
              </w:rPr>
              <w:t>17</w:t>
            </w:r>
          </w:p>
        </w:tc>
        <w:tc>
          <w:tcPr>
            <w:tcW w:w="1404" w:type="pct"/>
          </w:tcPr>
          <w:p w14:paraId="6DBC9E21">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407ECCB8">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4BC69BBC">
            <w:pPr>
              <w:widowControl w:val="0"/>
              <w:adjustRightInd/>
              <w:snapToGrid/>
              <w:spacing w:line="360" w:lineRule="exact"/>
              <w:jc w:val="center"/>
              <w:outlineLvl w:val="9"/>
              <w:rPr>
                <w:rFonts w:ascii="宋体" w:hAnsi="宋体" w:cs="宋体"/>
                <w:color w:val="auto"/>
                <w:sz w:val="22"/>
                <w:highlight w:val="none"/>
              </w:rPr>
            </w:pPr>
          </w:p>
        </w:tc>
      </w:tr>
      <w:tr w14:paraId="154F6A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949B8FF">
            <w:pPr>
              <w:widowControl w:val="0"/>
              <w:adjustRightInd/>
              <w:snapToGrid/>
              <w:spacing w:line="360" w:lineRule="exact"/>
              <w:jc w:val="center"/>
              <w:outlineLvl w:val="9"/>
              <w:rPr>
                <w:rFonts w:hint="default" w:ascii="宋体" w:hAnsi="宋体" w:cs="宋体"/>
                <w:color w:val="auto"/>
                <w:sz w:val="22"/>
                <w:highlight w:val="none"/>
                <w:lang w:val="en-US" w:eastAsia="zh-CN"/>
              </w:rPr>
            </w:pPr>
            <w:r>
              <w:rPr>
                <w:rFonts w:hint="eastAsia" w:ascii="宋体" w:hAnsi="宋体" w:cs="宋体"/>
                <w:color w:val="auto"/>
                <w:sz w:val="22"/>
                <w:highlight w:val="none"/>
                <w:lang w:val="en-US" w:eastAsia="zh-CN"/>
              </w:rPr>
              <w:t>18</w:t>
            </w:r>
          </w:p>
        </w:tc>
        <w:tc>
          <w:tcPr>
            <w:tcW w:w="1404" w:type="pct"/>
          </w:tcPr>
          <w:p w14:paraId="056D0D5C">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48196627">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3FD6ABCC">
            <w:pPr>
              <w:widowControl w:val="0"/>
              <w:adjustRightInd/>
              <w:snapToGrid/>
              <w:spacing w:line="360" w:lineRule="exact"/>
              <w:jc w:val="center"/>
              <w:outlineLvl w:val="9"/>
              <w:rPr>
                <w:rFonts w:ascii="宋体" w:hAnsi="宋体" w:cs="宋体"/>
                <w:color w:val="auto"/>
                <w:sz w:val="22"/>
                <w:highlight w:val="none"/>
              </w:rPr>
            </w:pPr>
          </w:p>
        </w:tc>
      </w:tr>
      <w:tr w14:paraId="4950EE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AFA7BA1">
            <w:pPr>
              <w:widowControl w:val="0"/>
              <w:adjustRightInd/>
              <w:snapToGrid/>
              <w:spacing w:line="360" w:lineRule="exact"/>
              <w:jc w:val="center"/>
              <w:outlineLvl w:val="9"/>
              <w:rPr>
                <w:rFonts w:hint="default" w:ascii="宋体" w:hAnsi="宋体" w:cs="宋体"/>
                <w:color w:val="auto"/>
                <w:sz w:val="22"/>
                <w:highlight w:val="none"/>
                <w:lang w:val="en-US" w:eastAsia="zh-CN"/>
              </w:rPr>
            </w:pPr>
            <w:r>
              <w:rPr>
                <w:rFonts w:hint="eastAsia" w:ascii="宋体" w:hAnsi="宋体" w:cs="宋体"/>
                <w:color w:val="auto"/>
                <w:sz w:val="22"/>
                <w:highlight w:val="none"/>
                <w:lang w:val="en-US" w:eastAsia="zh-CN"/>
              </w:rPr>
              <w:t>19</w:t>
            </w:r>
          </w:p>
        </w:tc>
        <w:tc>
          <w:tcPr>
            <w:tcW w:w="1404" w:type="pct"/>
          </w:tcPr>
          <w:p w14:paraId="62E7A58F">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0F44EC9C">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11427B6D">
            <w:pPr>
              <w:widowControl w:val="0"/>
              <w:adjustRightInd/>
              <w:snapToGrid/>
              <w:spacing w:line="360" w:lineRule="exact"/>
              <w:jc w:val="center"/>
              <w:outlineLvl w:val="9"/>
              <w:rPr>
                <w:rFonts w:ascii="宋体" w:hAnsi="宋体" w:cs="宋体"/>
                <w:color w:val="auto"/>
                <w:sz w:val="22"/>
                <w:highlight w:val="none"/>
              </w:rPr>
            </w:pPr>
          </w:p>
        </w:tc>
      </w:tr>
      <w:tr w14:paraId="667412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CD4043C">
            <w:pPr>
              <w:widowControl w:val="0"/>
              <w:adjustRightInd/>
              <w:snapToGrid/>
              <w:spacing w:line="360" w:lineRule="exact"/>
              <w:jc w:val="center"/>
              <w:outlineLvl w:val="9"/>
              <w:rPr>
                <w:rFonts w:hint="default" w:ascii="宋体" w:hAnsi="宋体" w:cs="宋体"/>
                <w:color w:val="auto"/>
                <w:sz w:val="22"/>
                <w:highlight w:val="none"/>
                <w:lang w:val="en-US" w:eastAsia="zh-CN"/>
              </w:rPr>
            </w:pPr>
            <w:r>
              <w:rPr>
                <w:rFonts w:hint="eastAsia" w:ascii="宋体" w:hAnsi="宋体" w:cs="宋体"/>
                <w:color w:val="auto"/>
                <w:sz w:val="22"/>
                <w:highlight w:val="none"/>
                <w:lang w:val="en-US" w:eastAsia="zh-CN"/>
              </w:rPr>
              <w:t>20</w:t>
            </w:r>
          </w:p>
        </w:tc>
        <w:tc>
          <w:tcPr>
            <w:tcW w:w="1404" w:type="pct"/>
          </w:tcPr>
          <w:p w14:paraId="7B9C1F67">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2A9CE160">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23117DB4">
            <w:pPr>
              <w:widowControl w:val="0"/>
              <w:adjustRightInd/>
              <w:snapToGrid/>
              <w:spacing w:line="360" w:lineRule="exact"/>
              <w:jc w:val="center"/>
              <w:outlineLvl w:val="9"/>
              <w:rPr>
                <w:rFonts w:ascii="宋体" w:hAnsi="宋体" w:cs="宋体"/>
                <w:color w:val="auto"/>
                <w:sz w:val="22"/>
                <w:highlight w:val="none"/>
              </w:rPr>
            </w:pPr>
          </w:p>
        </w:tc>
      </w:tr>
    </w:tbl>
    <w:p w14:paraId="77D286E0">
      <w:pPr>
        <w:keepNext w:val="0"/>
        <w:keepLines w:val="0"/>
        <w:pageBreakBefore w:val="0"/>
        <w:widowControl w:val="0"/>
        <w:kinsoku/>
        <w:wordWrap/>
        <w:overflowPunct/>
        <w:topLinePunct w:val="0"/>
        <w:autoSpaceDE/>
        <w:autoSpaceDN/>
        <w:bidi w:val="0"/>
        <w:adjustRightInd/>
        <w:snapToGrid/>
        <w:spacing w:line="460" w:lineRule="exact"/>
        <w:ind w:firstLine="440" w:firstLineChars="200"/>
        <w:jc w:val="both"/>
        <w:textAlignment w:val="auto"/>
        <w:rPr>
          <w:rFonts w:hint="eastAsia" w:ascii="宋体" w:hAnsi="宋体" w:cs="宋体"/>
          <w:color w:val="auto"/>
          <w:sz w:val="22"/>
          <w:highlight w:val="none"/>
        </w:rPr>
      </w:pPr>
      <w:r>
        <w:rPr>
          <w:rFonts w:hint="eastAsia" w:ascii="宋体" w:hAnsi="宋体" w:cs="宋体"/>
          <w:color w:val="auto"/>
          <w:sz w:val="22"/>
          <w:highlight w:val="none"/>
        </w:rPr>
        <w:t>备注：</w:t>
      </w:r>
    </w:p>
    <w:p w14:paraId="73E653C9">
      <w:pPr>
        <w:keepNext w:val="0"/>
        <w:keepLines w:val="0"/>
        <w:pageBreakBefore w:val="0"/>
        <w:widowControl w:val="0"/>
        <w:kinsoku/>
        <w:wordWrap/>
        <w:overflowPunct/>
        <w:topLinePunct w:val="0"/>
        <w:autoSpaceDE/>
        <w:autoSpaceDN/>
        <w:bidi w:val="0"/>
        <w:adjustRightInd/>
        <w:snapToGrid/>
        <w:spacing w:line="460" w:lineRule="exact"/>
        <w:ind w:firstLine="440" w:firstLineChars="200"/>
        <w:jc w:val="both"/>
        <w:textAlignment w:val="auto"/>
        <w:rPr>
          <w:rFonts w:hint="eastAsia" w:ascii="宋体" w:hAnsi="宋体" w:cs="宋体"/>
          <w:color w:val="auto"/>
          <w:sz w:val="22"/>
          <w:highlight w:val="none"/>
        </w:rPr>
      </w:pPr>
      <w:r>
        <w:rPr>
          <w:rFonts w:hint="eastAsia" w:ascii="宋体" w:hAnsi="宋体" w:cs="宋体"/>
          <w:color w:val="auto"/>
          <w:sz w:val="22"/>
          <w:highlight w:val="none"/>
        </w:rPr>
        <w:t>1</w:t>
      </w:r>
      <w:r>
        <w:rPr>
          <w:rFonts w:hint="eastAsia" w:ascii="宋体" w:hAnsi="宋体" w:cs="宋体"/>
          <w:color w:val="auto"/>
          <w:sz w:val="22"/>
          <w:highlight w:val="none"/>
          <w:lang w:val="en-US" w:eastAsia="zh-CN"/>
        </w:rPr>
        <w:t>.</w:t>
      </w:r>
      <w:r>
        <w:rPr>
          <w:rFonts w:hint="eastAsia" w:ascii="宋体" w:hAnsi="宋体" w:cs="宋体"/>
          <w:color w:val="auto"/>
          <w:sz w:val="22"/>
          <w:highlight w:val="none"/>
        </w:rPr>
        <w:t>投标人须</w:t>
      </w:r>
      <w:r>
        <w:rPr>
          <w:rFonts w:hint="eastAsia" w:ascii="宋体" w:hAnsi="宋体" w:cs="宋体"/>
          <w:color w:val="auto"/>
          <w:sz w:val="22"/>
          <w:highlight w:val="none"/>
          <w:lang w:val="en-US" w:eastAsia="zh-CN"/>
        </w:rPr>
        <w:t>根据《运输车辆名册》车辆数量配备驾驶员、押运员，及调度、后勤、管理等人员</w:t>
      </w:r>
      <w:r>
        <w:rPr>
          <w:rFonts w:hint="eastAsia" w:ascii="宋体" w:hAnsi="宋体" w:cs="宋体"/>
          <w:color w:val="auto"/>
          <w:sz w:val="22"/>
          <w:highlight w:val="none"/>
        </w:rPr>
        <w:t>。如驾驶员和押运员非投标人自有员工的，需提供投标人与承租人的租赁合同或合作协议</w:t>
      </w:r>
      <w:r>
        <w:rPr>
          <w:rFonts w:hint="eastAsia" w:ascii="宋体" w:hAnsi="宋体" w:cs="宋体"/>
          <w:color w:val="auto"/>
          <w:sz w:val="22"/>
          <w:highlight w:val="none"/>
          <w:lang w:eastAsia="zh-CN"/>
        </w:rPr>
        <w:t>，</w:t>
      </w:r>
      <w:r>
        <w:rPr>
          <w:rFonts w:hint="eastAsia" w:ascii="宋体" w:hAnsi="宋体" w:cs="宋体"/>
          <w:color w:val="auto"/>
          <w:sz w:val="22"/>
          <w:highlight w:val="none"/>
          <w:lang w:val="en-US" w:eastAsia="zh-CN"/>
        </w:rPr>
        <w:t>加盖公章</w:t>
      </w:r>
      <w:r>
        <w:rPr>
          <w:rFonts w:hint="eastAsia" w:ascii="宋体" w:hAnsi="宋体" w:cs="宋体"/>
          <w:color w:val="auto"/>
          <w:sz w:val="22"/>
          <w:highlight w:val="none"/>
        </w:rPr>
        <w:t>；具体人员名单为初步填写，后续如需更换，</w:t>
      </w:r>
      <w:r>
        <w:rPr>
          <w:rFonts w:hint="eastAsia" w:ascii="宋体" w:hAnsi="宋体" w:cs="宋体"/>
          <w:color w:val="auto"/>
          <w:sz w:val="22"/>
          <w:highlight w:val="none"/>
          <w:lang w:val="en-US" w:eastAsia="zh-CN"/>
        </w:rPr>
        <w:t>需</w:t>
      </w:r>
      <w:r>
        <w:rPr>
          <w:rFonts w:hint="eastAsia" w:ascii="宋体" w:hAnsi="宋体" w:cs="宋体"/>
          <w:color w:val="auto"/>
          <w:sz w:val="22"/>
          <w:highlight w:val="none"/>
        </w:rPr>
        <w:t>征得采购人</w:t>
      </w:r>
      <w:r>
        <w:rPr>
          <w:rFonts w:hint="eastAsia" w:ascii="宋体" w:hAnsi="宋体" w:cs="宋体"/>
          <w:color w:val="auto"/>
          <w:sz w:val="22"/>
          <w:highlight w:val="none"/>
          <w:lang w:val="en-US" w:eastAsia="zh-CN"/>
        </w:rPr>
        <w:t>书面</w:t>
      </w:r>
      <w:r>
        <w:rPr>
          <w:rFonts w:hint="eastAsia" w:ascii="宋体" w:hAnsi="宋体" w:cs="宋体"/>
          <w:color w:val="auto"/>
          <w:sz w:val="22"/>
          <w:highlight w:val="none"/>
        </w:rPr>
        <w:t>同意后方可更换。</w:t>
      </w:r>
    </w:p>
    <w:p w14:paraId="7C49F571">
      <w:pPr>
        <w:keepNext w:val="0"/>
        <w:keepLines w:val="0"/>
        <w:pageBreakBefore w:val="0"/>
        <w:widowControl w:val="0"/>
        <w:kinsoku/>
        <w:wordWrap/>
        <w:overflowPunct/>
        <w:topLinePunct w:val="0"/>
        <w:autoSpaceDE/>
        <w:autoSpaceDN/>
        <w:bidi w:val="0"/>
        <w:adjustRightInd/>
        <w:snapToGrid/>
        <w:spacing w:line="460" w:lineRule="exact"/>
        <w:ind w:firstLine="440" w:firstLineChars="200"/>
        <w:jc w:val="both"/>
        <w:textAlignment w:val="auto"/>
        <w:rPr>
          <w:rFonts w:hint="eastAsia" w:ascii="宋体" w:hAnsi="宋体" w:cs="宋体"/>
          <w:color w:val="auto"/>
          <w:sz w:val="22"/>
          <w:highlight w:val="none"/>
        </w:rPr>
      </w:pPr>
      <w:r>
        <w:rPr>
          <w:rFonts w:hint="eastAsia" w:ascii="宋体" w:hAnsi="宋体" w:cs="宋体"/>
          <w:color w:val="auto"/>
          <w:sz w:val="22"/>
          <w:highlight w:val="none"/>
          <w:lang w:val="en-US" w:eastAsia="zh-CN"/>
        </w:rPr>
        <w:t>2.</w:t>
      </w:r>
      <w:r>
        <w:rPr>
          <w:rFonts w:hint="eastAsia" w:ascii="宋体" w:hAnsi="宋体" w:cs="宋体"/>
          <w:color w:val="auto"/>
          <w:sz w:val="22"/>
          <w:highlight w:val="none"/>
        </w:rPr>
        <w:t>资料要求：</w:t>
      </w:r>
    </w:p>
    <w:p w14:paraId="46DB60C3">
      <w:pPr>
        <w:keepNext w:val="0"/>
        <w:keepLines w:val="0"/>
        <w:pageBreakBefore w:val="0"/>
        <w:widowControl w:val="0"/>
        <w:kinsoku/>
        <w:wordWrap/>
        <w:overflowPunct/>
        <w:topLinePunct w:val="0"/>
        <w:autoSpaceDE/>
        <w:autoSpaceDN/>
        <w:bidi w:val="0"/>
        <w:adjustRightInd/>
        <w:snapToGrid/>
        <w:spacing w:line="460" w:lineRule="exact"/>
        <w:ind w:firstLine="442" w:firstLineChars="200"/>
        <w:jc w:val="both"/>
        <w:textAlignment w:val="auto"/>
        <w:rPr>
          <w:rFonts w:hint="eastAsia" w:ascii="宋体" w:hAnsi="宋体" w:cs="宋体"/>
          <w:color w:val="auto"/>
          <w:sz w:val="22"/>
          <w:highlight w:val="none"/>
        </w:rPr>
      </w:pPr>
      <w:r>
        <w:rPr>
          <w:rFonts w:hint="eastAsia" w:ascii="宋体" w:hAnsi="宋体" w:cs="宋体"/>
          <w:b/>
          <w:bCs/>
          <w:color w:val="auto"/>
          <w:sz w:val="22"/>
          <w:highlight w:val="none"/>
        </w:rPr>
        <w:t>【投标时提供】</w:t>
      </w:r>
      <w:r>
        <w:rPr>
          <w:rFonts w:hint="eastAsia" w:ascii="宋体" w:hAnsi="宋体" w:cs="宋体"/>
          <w:color w:val="auto"/>
          <w:sz w:val="22"/>
          <w:highlight w:val="none"/>
        </w:rPr>
        <w:t>驾驶员的《道路运输从业人员从业资格证》且从业资格类别包括“道路危险货物运输</w:t>
      </w:r>
      <w:r>
        <w:rPr>
          <w:rFonts w:hint="eastAsia" w:ascii="宋体" w:hAnsi="宋体" w:cs="宋体"/>
          <w:color w:val="auto"/>
          <w:sz w:val="22"/>
          <w:highlight w:val="none"/>
          <w:lang w:val="en-US" w:eastAsia="zh-CN"/>
        </w:rPr>
        <w:t>驾驶员</w:t>
      </w:r>
      <w:r>
        <w:rPr>
          <w:rFonts w:hint="eastAsia" w:ascii="宋体" w:hAnsi="宋体" w:cs="宋体"/>
          <w:color w:val="auto"/>
          <w:sz w:val="22"/>
          <w:highlight w:val="none"/>
        </w:rPr>
        <w:t>”及押运员的《道路运输从业人员从业资格证》且从业资格类别包括“道路危险货物运输押运人员”，加盖公章。</w:t>
      </w:r>
    </w:p>
    <w:p w14:paraId="4B309D65">
      <w:pPr>
        <w:keepNext w:val="0"/>
        <w:keepLines w:val="0"/>
        <w:pageBreakBefore w:val="0"/>
        <w:widowControl w:val="0"/>
        <w:kinsoku/>
        <w:wordWrap/>
        <w:overflowPunct/>
        <w:topLinePunct w:val="0"/>
        <w:autoSpaceDE/>
        <w:autoSpaceDN/>
        <w:bidi w:val="0"/>
        <w:adjustRightInd/>
        <w:snapToGrid/>
        <w:spacing w:line="460" w:lineRule="exact"/>
        <w:ind w:firstLine="442" w:firstLineChars="200"/>
        <w:jc w:val="both"/>
        <w:textAlignment w:val="auto"/>
        <w:rPr>
          <w:rFonts w:hint="eastAsia" w:ascii="宋体" w:hAnsi="宋体" w:eastAsia="宋体" w:cs="宋体"/>
          <w:color w:val="auto"/>
          <w:sz w:val="21"/>
          <w:szCs w:val="21"/>
          <w:highlight w:val="none"/>
          <w:lang w:val="en-US" w:eastAsia="zh-CN"/>
        </w:rPr>
      </w:pPr>
      <w:r>
        <w:rPr>
          <w:rFonts w:hint="eastAsia" w:ascii="宋体" w:hAnsi="宋体" w:cs="宋体"/>
          <w:b/>
          <w:bCs/>
          <w:color w:val="auto"/>
          <w:sz w:val="22"/>
          <w:highlight w:val="none"/>
        </w:rPr>
        <w:t>【中标后</w:t>
      </w:r>
      <w:r>
        <w:rPr>
          <w:rFonts w:hint="eastAsia" w:ascii="宋体" w:hAnsi="宋体" w:cs="宋体"/>
          <w:b/>
          <w:bCs/>
          <w:color w:val="auto"/>
          <w:sz w:val="22"/>
          <w:highlight w:val="none"/>
          <w:lang w:val="en-US" w:eastAsia="zh-CN"/>
        </w:rPr>
        <w:t>向甲方备案</w:t>
      </w:r>
      <w:r>
        <w:rPr>
          <w:rFonts w:hint="eastAsia" w:ascii="宋体" w:hAnsi="宋体" w:cs="宋体"/>
          <w:b/>
          <w:bCs/>
          <w:color w:val="auto"/>
          <w:sz w:val="22"/>
          <w:highlight w:val="none"/>
        </w:rPr>
        <w:t>】</w:t>
      </w:r>
      <w:r>
        <w:rPr>
          <w:rFonts w:hint="eastAsia" w:ascii="宋体" w:hAnsi="宋体" w:cs="宋体"/>
          <w:color w:val="auto"/>
          <w:sz w:val="22"/>
          <w:highlight w:val="none"/>
        </w:rPr>
        <w:t>驾驶员的身份证、</w:t>
      </w:r>
      <w:r>
        <w:rPr>
          <w:rFonts w:hint="eastAsia" w:ascii="宋体" w:hAnsi="宋体" w:cs="宋体"/>
          <w:color w:val="auto"/>
          <w:sz w:val="22"/>
          <w:highlight w:val="none"/>
          <w:lang w:val="en-US" w:eastAsia="zh-CN"/>
        </w:rPr>
        <w:t>驾驶证、</w:t>
      </w:r>
      <w:r>
        <w:rPr>
          <w:rFonts w:hint="eastAsia" w:ascii="宋体" w:hAnsi="宋体" w:cs="宋体"/>
          <w:color w:val="auto"/>
          <w:sz w:val="22"/>
          <w:highlight w:val="none"/>
        </w:rPr>
        <w:t>《道路运输从业人员从业资格证》</w:t>
      </w:r>
      <w:r>
        <w:rPr>
          <w:rFonts w:hint="eastAsia" w:ascii="宋体" w:hAnsi="宋体" w:cs="宋体"/>
          <w:color w:val="auto"/>
          <w:sz w:val="22"/>
          <w:highlight w:val="none"/>
          <w:lang w:val="en-US" w:eastAsia="zh-CN"/>
        </w:rPr>
        <w:t>和保险证明等；押运员的身份证、</w:t>
      </w:r>
      <w:r>
        <w:rPr>
          <w:rFonts w:hint="eastAsia" w:ascii="宋体" w:hAnsi="宋体" w:cs="宋体"/>
          <w:color w:val="auto"/>
          <w:sz w:val="22"/>
          <w:highlight w:val="none"/>
        </w:rPr>
        <w:t>《道路运输从业人员从业资格证》</w:t>
      </w:r>
      <w:r>
        <w:rPr>
          <w:rFonts w:hint="eastAsia" w:ascii="宋体" w:hAnsi="宋体" w:cs="宋体"/>
          <w:color w:val="auto"/>
          <w:sz w:val="22"/>
          <w:highlight w:val="none"/>
          <w:lang w:val="en-US" w:eastAsia="zh-CN"/>
        </w:rPr>
        <w:t>和保险证明等。</w:t>
      </w:r>
      <w:r>
        <w:rPr>
          <w:rFonts w:hint="eastAsia" w:ascii="宋体" w:hAnsi="宋体" w:eastAsia="宋体" w:cs="宋体"/>
          <w:color w:val="auto"/>
          <w:sz w:val="21"/>
          <w:szCs w:val="21"/>
          <w:highlight w:val="none"/>
          <w:lang w:val="en-US" w:eastAsia="zh-CN"/>
        </w:rPr>
        <w:br w:type="page"/>
      </w:r>
    </w:p>
    <w:p w14:paraId="6192C791">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outlineLvl w:val="9"/>
        <w:rPr>
          <w:rFonts w:hint="eastAsia" w:ascii="宋体" w:hAnsi="宋体" w:eastAsia="宋体" w:cs="宋体"/>
          <w:b/>
          <w:color w:val="auto"/>
          <w:szCs w:val="21"/>
          <w:highlight w:val="none"/>
        </w:rPr>
      </w:pPr>
      <w:bookmarkStart w:id="23" w:name="_Toc7992"/>
      <w:bookmarkStart w:id="24" w:name="_Toc31213"/>
      <w:bookmarkStart w:id="25" w:name="_Toc20379"/>
      <w:bookmarkStart w:id="26" w:name="_Toc9743"/>
      <w:bookmarkStart w:id="27" w:name="_Toc6753"/>
      <w:bookmarkStart w:id="28" w:name="_Toc8275"/>
      <w:bookmarkStart w:id="29" w:name="_Toc19764"/>
      <w:bookmarkStart w:id="30" w:name="_Toc15465"/>
      <w:bookmarkStart w:id="31" w:name="_Toc15633"/>
      <w:bookmarkStart w:id="32" w:name="_Toc26867"/>
      <w:bookmarkStart w:id="33" w:name="_Toc21152"/>
      <w:bookmarkStart w:id="34" w:name="_Toc7180"/>
      <w:r>
        <w:rPr>
          <w:rFonts w:hint="eastAsia" w:ascii="宋体" w:hAnsi="宋体" w:eastAsia="宋体" w:cs="宋体"/>
          <w:b/>
          <w:color w:val="auto"/>
          <w:sz w:val="21"/>
          <w:szCs w:val="21"/>
          <w:highlight w:val="none"/>
        </w:rPr>
        <w:t>技术需求书</w:t>
      </w:r>
      <w:r>
        <w:rPr>
          <w:rFonts w:hint="eastAsia" w:ascii="宋体" w:hAnsi="宋体" w:eastAsia="宋体" w:cs="宋体"/>
          <w:b/>
          <w:color w:val="auto"/>
          <w:szCs w:val="21"/>
          <w:highlight w:val="none"/>
        </w:rPr>
        <w:t>附件</w:t>
      </w:r>
      <w:r>
        <w:rPr>
          <w:rFonts w:hint="eastAsia" w:ascii="宋体" w:hAnsi="宋体" w:eastAsia="宋体" w:cs="宋体"/>
          <w:b/>
          <w:color w:val="auto"/>
          <w:szCs w:val="21"/>
          <w:highlight w:val="none"/>
          <w:lang w:val="en-US" w:eastAsia="zh-CN"/>
        </w:rPr>
        <w:t>3：</w:t>
      </w:r>
      <w:r>
        <w:rPr>
          <w:rFonts w:hint="eastAsia" w:ascii="宋体" w:hAnsi="宋体" w:eastAsia="宋体" w:cs="宋体"/>
          <w:b/>
          <w:color w:val="auto"/>
          <w:szCs w:val="21"/>
          <w:highlight w:val="none"/>
        </w:rPr>
        <w:t>《</w:t>
      </w:r>
      <w:r>
        <w:rPr>
          <w:rFonts w:hint="eastAsia" w:ascii="宋体" w:hAnsi="宋体" w:eastAsia="宋体" w:cs="宋体"/>
          <w:b/>
          <w:color w:val="auto"/>
          <w:szCs w:val="21"/>
          <w:highlight w:val="none"/>
          <w:lang w:eastAsia="zh-CN"/>
        </w:rPr>
        <w:t>危险废物运输</w:t>
      </w:r>
      <w:r>
        <w:rPr>
          <w:rFonts w:hint="eastAsia" w:ascii="宋体" w:hAnsi="宋体" w:eastAsia="宋体" w:cs="宋体"/>
          <w:b/>
          <w:color w:val="auto"/>
          <w:szCs w:val="21"/>
          <w:highlight w:val="none"/>
          <w:lang w:val="en-US" w:eastAsia="zh-CN"/>
        </w:rPr>
        <w:t>预计车次</w:t>
      </w:r>
      <w:r>
        <w:rPr>
          <w:rFonts w:hint="eastAsia" w:ascii="宋体" w:hAnsi="宋体" w:eastAsia="宋体" w:cs="宋体"/>
          <w:b/>
          <w:color w:val="auto"/>
          <w:szCs w:val="21"/>
          <w:highlight w:val="none"/>
        </w:rPr>
        <w:t>》</w:t>
      </w:r>
      <w:bookmarkEnd w:id="23"/>
      <w:bookmarkEnd w:id="24"/>
      <w:bookmarkEnd w:id="25"/>
      <w:bookmarkEnd w:id="26"/>
      <w:bookmarkEnd w:id="27"/>
      <w:bookmarkEnd w:id="28"/>
      <w:bookmarkEnd w:id="29"/>
      <w:bookmarkEnd w:id="30"/>
      <w:bookmarkEnd w:id="31"/>
      <w:bookmarkEnd w:id="32"/>
      <w:bookmarkEnd w:id="33"/>
      <w:bookmarkEnd w:id="34"/>
    </w:p>
    <w:p w14:paraId="1ED3302E">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outlineLvl w:val="9"/>
        <w:rPr>
          <w:rFonts w:hint="eastAsia" w:ascii="宋体" w:hAnsi="宋体" w:eastAsia="宋体" w:cs="宋体"/>
          <w:b/>
          <w:color w:val="auto"/>
          <w:szCs w:val="21"/>
          <w:highlight w:val="none"/>
        </w:rPr>
      </w:pPr>
    </w:p>
    <w:tbl>
      <w:tblPr>
        <w:tblStyle w:val="30"/>
        <w:tblW w:w="8805"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457"/>
        <w:gridCol w:w="611"/>
        <w:gridCol w:w="2940"/>
        <w:gridCol w:w="1199"/>
        <w:gridCol w:w="1199"/>
        <w:gridCol w:w="1199"/>
        <w:gridCol w:w="1200"/>
      </w:tblGrid>
      <w:tr w14:paraId="77B52D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0" w:hRule="atLeast"/>
          <w:jc w:val="center"/>
        </w:trPr>
        <w:tc>
          <w:tcPr>
            <w:tcW w:w="4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2760766">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18"/>
                <w:szCs w:val="18"/>
                <w:highlight w:val="none"/>
                <w:u w:val="none"/>
              </w:rPr>
            </w:pPr>
            <w:bookmarkStart w:id="35" w:name="_Toc6526"/>
            <w:bookmarkStart w:id="36" w:name="_Toc15526"/>
            <w:bookmarkStart w:id="37" w:name="_Toc26928"/>
            <w:bookmarkStart w:id="38" w:name="_Toc22620"/>
            <w:bookmarkStart w:id="39" w:name="_Toc6561"/>
            <w:bookmarkStart w:id="40" w:name="_Toc17292"/>
            <w:bookmarkStart w:id="41" w:name="_Toc19836"/>
            <w:bookmarkStart w:id="42" w:name="_Toc32626"/>
            <w:bookmarkStart w:id="43" w:name="_Toc4642"/>
            <w:bookmarkStart w:id="44" w:name="_Toc18540"/>
            <w:bookmarkStart w:id="45" w:name="_Toc30839"/>
            <w:bookmarkStart w:id="46" w:name="_Toc1563"/>
            <w:bookmarkStart w:id="47" w:name="_Toc25787"/>
            <w:r>
              <w:rPr>
                <w:rFonts w:hint="eastAsia" w:ascii="宋体" w:hAnsi="宋体" w:eastAsia="宋体" w:cs="宋体"/>
                <w:b/>
                <w:bCs/>
                <w:i w:val="0"/>
                <w:iCs w:val="0"/>
                <w:color w:val="auto"/>
                <w:kern w:val="0"/>
                <w:sz w:val="18"/>
                <w:szCs w:val="18"/>
                <w:highlight w:val="none"/>
                <w:u w:val="none"/>
                <w:lang w:val="en-US" w:eastAsia="zh-CN" w:bidi="ar"/>
              </w:rPr>
              <w:t>序号</w:t>
            </w:r>
          </w:p>
        </w:tc>
        <w:tc>
          <w:tcPr>
            <w:tcW w:w="61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EAD9387">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区域</w:t>
            </w:r>
          </w:p>
        </w:tc>
        <w:tc>
          <w:tcPr>
            <w:tcW w:w="294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CEE32F4">
            <w:pPr>
              <w:keepNext w:val="0"/>
              <w:keepLines w:val="0"/>
              <w:widowControl/>
              <w:suppressLineNumbers w:val="0"/>
              <w:spacing w:line="240" w:lineRule="auto"/>
              <w:jc w:val="center"/>
              <w:textAlignment w:val="center"/>
              <w:rPr>
                <w:rFonts w:hint="default" w:ascii="宋体" w:hAnsi="宋体" w:eastAsia="宋体" w:cs="宋体"/>
                <w:b/>
                <w:bCs/>
                <w:i w:val="0"/>
                <w:iCs w:val="0"/>
                <w:color w:val="auto"/>
                <w:sz w:val="18"/>
                <w:szCs w:val="18"/>
                <w:highlight w:val="none"/>
                <w:u w:val="none"/>
                <w:lang w:val="en-US"/>
              </w:rPr>
            </w:pPr>
            <w:r>
              <w:rPr>
                <w:rFonts w:hint="eastAsia" w:ascii="宋体" w:hAnsi="宋体" w:eastAsia="宋体" w:cs="宋体"/>
                <w:b/>
                <w:bCs/>
                <w:i w:val="0"/>
                <w:iCs w:val="0"/>
                <w:color w:val="auto"/>
                <w:kern w:val="0"/>
                <w:sz w:val="18"/>
                <w:szCs w:val="18"/>
                <w:highlight w:val="none"/>
                <w:u w:val="none"/>
                <w:lang w:val="en-US" w:eastAsia="zh-CN" w:bidi="ar"/>
              </w:rPr>
              <w:t>服务区域</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D75FD43">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5.2米厢车预计1年</w:t>
            </w:r>
            <w:r>
              <w:rPr>
                <w:rFonts w:hint="eastAsia" w:ascii="宋体" w:hAnsi="宋体" w:eastAsia="宋体" w:cs="宋体"/>
                <w:b/>
                <w:bCs/>
                <w:i w:val="0"/>
                <w:iCs w:val="0"/>
                <w:color w:val="auto"/>
                <w:kern w:val="0"/>
                <w:sz w:val="18"/>
                <w:szCs w:val="18"/>
                <w:highlight w:val="none"/>
                <w:u w:val="none"/>
                <w:lang w:val="en-US" w:eastAsia="zh-CN" w:bidi="ar"/>
              </w:rPr>
              <w:br w:type="textWrapping"/>
            </w:r>
            <w:r>
              <w:rPr>
                <w:rFonts w:hint="eastAsia" w:ascii="宋体" w:hAnsi="宋体" w:eastAsia="宋体" w:cs="宋体"/>
                <w:b/>
                <w:bCs/>
                <w:i w:val="0"/>
                <w:iCs w:val="0"/>
                <w:color w:val="auto"/>
                <w:kern w:val="0"/>
                <w:sz w:val="18"/>
                <w:szCs w:val="18"/>
                <w:highlight w:val="none"/>
                <w:u w:val="none"/>
                <w:lang w:val="en-US" w:eastAsia="zh-CN" w:bidi="ar"/>
              </w:rPr>
              <w:t>车次</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FF0744E">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7.6米厢车预计1年</w:t>
            </w:r>
            <w:r>
              <w:rPr>
                <w:rFonts w:hint="eastAsia" w:ascii="宋体" w:hAnsi="宋体" w:eastAsia="宋体" w:cs="宋体"/>
                <w:b/>
                <w:bCs/>
                <w:i w:val="0"/>
                <w:iCs w:val="0"/>
                <w:color w:val="auto"/>
                <w:kern w:val="0"/>
                <w:sz w:val="18"/>
                <w:szCs w:val="18"/>
                <w:highlight w:val="none"/>
                <w:u w:val="none"/>
                <w:lang w:val="en-US" w:eastAsia="zh-CN" w:bidi="ar"/>
              </w:rPr>
              <w:br w:type="textWrapping"/>
            </w:r>
            <w:r>
              <w:rPr>
                <w:rFonts w:hint="eastAsia" w:ascii="宋体" w:hAnsi="宋体" w:eastAsia="宋体" w:cs="宋体"/>
                <w:b/>
                <w:bCs/>
                <w:i w:val="0"/>
                <w:iCs w:val="0"/>
                <w:color w:val="auto"/>
                <w:kern w:val="0"/>
                <w:sz w:val="18"/>
                <w:szCs w:val="18"/>
                <w:highlight w:val="none"/>
                <w:u w:val="none"/>
                <w:lang w:val="en-US" w:eastAsia="zh-CN" w:bidi="ar"/>
              </w:rPr>
              <w:t>车次</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4F7F0E7">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9.6米厢车预计1年</w:t>
            </w:r>
            <w:r>
              <w:rPr>
                <w:rFonts w:hint="eastAsia" w:ascii="宋体" w:hAnsi="宋体" w:eastAsia="宋体" w:cs="宋体"/>
                <w:b/>
                <w:bCs/>
                <w:i w:val="0"/>
                <w:iCs w:val="0"/>
                <w:color w:val="auto"/>
                <w:kern w:val="0"/>
                <w:sz w:val="18"/>
                <w:szCs w:val="18"/>
                <w:highlight w:val="none"/>
                <w:u w:val="none"/>
                <w:lang w:val="en-US" w:eastAsia="zh-CN" w:bidi="ar"/>
              </w:rPr>
              <w:br w:type="textWrapping"/>
            </w:r>
            <w:r>
              <w:rPr>
                <w:rFonts w:hint="eastAsia" w:ascii="宋体" w:hAnsi="宋体" w:eastAsia="宋体" w:cs="宋体"/>
                <w:b/>
                <w:bCs/>
                <w:i w:val="0"/>
                <w:iCs w:val="0"/>
                <w:color w:val="auto"/>
                <w:kern w:val="0"/>
                <w:sz w:val="18"/>
                <w:szCs w:val="18"/>
                <w:highlight w:val="none"/>
                <w:u w:val="none"/>
                <w:lang w:val="en-US" w:eastAsia="zh-CN" w:bidi="ar"/>
              </w:rPr>
              <w:t>车次</w:t>
            </w:r>
          </w:p>
        </w:tc>
        <w:tc>
          <w:tcPr>
            <w:tcW w:w="120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C1FDFDE">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12.5米厢车预计1年</w:t>
            </w:r>
            <w:r>
              <w:rPr>
                <w:rFonts w:hint="eastAsia" w:ascii="宋体" w:hAnsi="宋体" w:eastAsia="宋体" w:cs="宋体"/>
                <w:b/>
                <w:bCs/>
                <w:i w:val="0"/>
                <w:iCs w:val="0"/>
                <w:color w:val="auto"/>
                <w:kern w:val="0"/>
                <w:sz w:val="18"/>
                <w:szCs w:val="18"/>
                <w:highlight w:val="none"/>
                <w:u w:val="none"/>
                <w:lang w:val="en-US" w:eastAsia="zh-CN" w:bidi="ar"/>
              </w:rPr>
              <w:br w:type="textWrapping"/>
            </w:r>
            <w:r>
              <w:rPr>
                <w:rFonts w:hint="eastAsia" w:ascii="宋体" w:hAnsi="宋体" w:eastAsia="宋体" w:cs="宋体"/>
                <w:b/>
                <w:bCs/>
                <w:i w:val="0"/>
                <w:iCs w:val="0"/>
                <w:color w:val="auto"/>
                <w:kern w:val="0"/>
                <w:sz w:val="18"/>
                <w:szCs w:val="18"/>
                <w:highlight w:val="none"/>
                <w:u w:val="none"/>
                <w:lang w:val="en-US" w:eastAsia="zh-CN" w:bidi="ar"/>
              </w:rPr>
              <w:t>车次</w:t>
            </w:r>
          </w:p>
        </w:tc>
      </w:tr>
      <w:tr w14:paraId="55CB39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0" w:hRule="atLeast"/>
          <w:jc w:val="center"/>
        </w:trPr>
        <w:tc>
          <w:tcPr>
            <w:tcW w:w="457"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64ACBBC">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1</w:t>
            </w:r>
          </w:p>
        </w:tc>
        <w:tc>
          <w:tcPr>
            <w:tcW w:w="611"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177E99B6">
            <w:pPr>
              <w:keepNext w:val="0"/>
              <w:keepLines w:val="0"/>
              <w:widowControl/>
              <w:suppressLineNumbers w:val="0"/>
              <w:spacing w:line="240" w:lineRule="auto"/>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东莞</w:t>
            </w:r>
          </w:p>
        </w:tc>
        <w:tc>
          <w:tcPr>
            <w:tcW w:w="294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7466368">
            <w:pPr>
              <w:keepNext w:val="0"/>
              <w:keepLines w:val="0"/>
              <w:widowControl/>
              <w:suppressLineNumbers w:val="0"/>
              <w:spacing w:line="240" w:lineRule="auto"/>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洪梅、麻涌、望牛墩、道滘</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C77548E">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2</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40E8C79">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31</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B031C0A">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52</w:t>
            </w:r>
          </w:p>
        </w:tc>
        <w:tc>
          <w:tcPr>
            <w:tcW w:w="120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7DAF621">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20</w:t>
            </w:r>
          </w:p>
        </w:tc>
      </w:tr>
      <w:tr w14:paraId="375735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0" w:hRule="atLeast"/>
          <w:jc w:val="center"/>
        </w:trPr>
        <w:tc>
          <w:tcPr>
            <w:tcW w:w="457"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EB43554">
            <w:pPr>
              <w:spacing w:line="240" w:lineRule="auto"/>
              <w:jc w:val="center"/>
              <w:rPr>
                <w:rFonts w:hint="eastAsia" w:ascii="宋体" w:hAnsi="宋体" w:eastAsia="宋体" w:cs="宋体"/>
                <w:b/>
                <w:bCs/>
                <w:i w:val="0"/>
                <w:iCs w:val="0"/>
                <w:color w:val="auto"/>
                <w:sz w:val="18"/>
                <w:szCs w:val="18"/>
                <w:highlight w:val="none"/>
                <w:u w:val="none"/>
              </w:rPr>
            </w:pPr>
          </w:p>
        </w:tc>
        <w:tc>
          <w:tcPr>
            <w:tcW w:w="611"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6AEDDA3">
            <w:pPr>
              <w:spacing w:line="240" w:lineRule="auto"/>
              <w:jc w:val="center"/>
              <w:rPr>
                <w:rFonts w:hint="eastAsia" w:ascii="宋体" w:hAnsi="宋体" w:eastAsia="宋体" w:cs="宋体"/>
                <w:i w:val="0"/>
                <w:iCs w:val="0"/>
                <w:color w:val="auto"/>
                <w:sz w:val="18"/>
                <w:szCs w:val="18"/>
                <w:highlight w:val="none"/>
                <w:u w:val="none"/>
              </w:rPr>
            </w:pPr>
          </w:p>
        </w:tc>
        <w:tc>
          <w:tcPr>
            <w:tcW w:w="294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23FFBD7">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莞城、东城、南城、万江（限行）</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34528A9">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2</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62E15F2">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61</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E0C1FAA">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101</w:t>
            </w:r>
          </w:p>
        </w:tc>
        <w:tc>
          <w:tcPr>
            <w:tcW w:w="120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3F2220F">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p>
        </w:tc>
      </w:tr>
      <w:tr w14:paraId="233A3F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0" w:hRule="atLeast"/>
          <w:jc w:val="center"/>
        </w:trPr>
        <w:tc>
          <w:tcPr>
            <w:tcW w:w="457"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03A2ECD">
            <w:pPr>
              <w:spacing w:line="240" w:lineRule="auto"/>
              <w:jc w:val="center"/>
              <w:rPr>
                <w:rFonts w:hint="eastAsia" w:ascii="宋体" w:hAnsi="宋体" w:eastAsia="宋体" w:cs="宋体"/>
                <w:b/>
                <w:bCs/>
                <w:i w:val="0"/>
                <w:iCs w:val="0"/>
                <w:color w:val="auto"/>
                <w:sz w:val="18"/>
                <w:szCs w:val="18"/>
                <w:highlight w:val="none"/>
                <w:u w:val="none"/>
              </w:rPr>
            </w:pPr>
          </w:p>
        </w:tc>
        <w:tc>
          <w:tcPr>
            <w:tcW w:w="611"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1AFA0E78">
            <w:pPr>
              <w:spacing w:line="240" w:lineRule="auto"/>
              <w:jc w:val="center"/>
              <w:rPr>
                <w:rFonts w:hint="eastAsia" w:ascii="宋体" w:hAnsi="宋体" w:eastAsia="宋体" w:cs="宋体"/>
                <w:i w:val="0"/>
                <w:iCs w:val="0"/>
                <w:color w:val="auto"/>
                <w:sz w:val="18"/>
                <w:szCs w:val="18"/>
                <w:highlight w:val="none"/>
                <w:u w:val="none"/>
              </w:rPr>
            </w:pPr>
          </w:p>
        </w:tc>
        <w:tc>
          <w:tcPr>
            <w:tcW w:w="294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F9A3BAE">
            <w:pPr>
              <w:keepNext w:val="0"/>
              <w:keepLines w:val="0"/>
              <w:widowControl/>
              <w:suppressLineNumbers w:val="0"/>
              <w:spacing w:line="240" w:lineRule="auto"/>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中堂、高埗、厚街、沙田</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0CE314B">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2</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1D3916F">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54</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34781F4">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83</w:t>
            </w:r>
          </w:p>
        </w:tc>
        <w:tc>
          <w:tcPr>
            <w:tcW w:w="120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99FD020">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13</w:t>
            </w:r>
          </w:p>
        </w:tc>
      </w:tr>
      <w:tr w14:paraId="60D99B2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0" w:hRule="atLeast"/>
          <w:jc w:val="center"/>
        </w:trPr>
        <w:tc>
          <w:tcPr>
            <w:tcW w:w="457"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AC444B5">
            <w:pPr>
              <w:spacing w:line="240" w:lineRule="auto"/>
              <w:jc w:val="center"/>
              <w:rPr>
                <w:rFonts w:hint="eastAsia" w:ascii="宋体" w:hAnsi="宋体" w:eastAsia="宋体" w:cs="宋体"/>
                <w:b/>
                <w:bCs/>
                <w:i w:val="0"/>
                <w:iCs w:val="0"/>
                <w:color w:val="auto"/>
                <w:sz w:val="18"/>
                <w:szCs w:val="18"/>
                <w:highlight w:val="none"/>
                <w:u w:val="none"/>
              </w:rPr>
            </w:pPr>
          </w:p>
        </w:tc>
        <w:tc>
          <w:tcPr>
            <w:tcW w:w="611"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11FA982B">
            <w:pPr>
              <w:spacing w:line="240" w:lineRule="auto"/>
              <w:jc w:val="center"/>
              <w:rPr>
                <w:rFonts w:hint="eastAsia" w:ascii="宋体" w:hAnsi="宋体" w:eastAsia="宋体" w:cs="宋体"/>
                <w:i w:val="0"/>
                <w:iCs w:val="0"/>
                <w:color w:val="auto"/>
                <w:sz w:val="18"/>
                <w:szCs w:val="18"/>
                <w:highlight w:val="none"/>
                <w:u w:val="none"/>
              </w:rPr>
            </w:pPr>
          </w:p>
        </w:tc>
        <w:tc>
          <w:tcPr>
            <w:tcW w:w="294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9310401">
            <w:pPr>
              <w:keepNext w:val="0"/>
              <w:keepLines w:val="0"/>
              <w:widowControl/>
              <w:suppressLineNumbers w:val="0"/>
              <w:spacing w:line="240" w:lineRule="auto"/>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石碣、石龙、茶山</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2260304">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C12059E">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22</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BDE7A76">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26</w:t>
            </w:r>
          </w:p>
        </w:tc>
        <w:tc>
          <w:tcPr>
            <w:tcW w:w="120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88A62B3">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3</w:t>
            </w:r>
          </w:p>
        </w:tc>
      </w:tr>
      <w:tr w14:paraId="7588421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0" w:hRule="atLeast"/>
          <w:jc w:val="center"/>
        </w:trPr>
        <w:tc>
          <w:tcPr>
            <w:tcW w:w="457"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C832B02">
            <w:pPr>
              <w:spacing w:line="240" w:lineRule="auto"/>
              <w:jc w:val="center"/>
              <w:rPr>
                <w:rFonts w:hint="eastAsia" w:ascii="宋体" w:hAnsi="宋体" w:eastAsia="宋体" w:cs="宋体"/>
                <w:b/>
                <w:bCs/>
                <w:i w:val="0"/>
                <w:iCs w:val="0"/>
                <w:color w:val="auto"/>
                <w:sz w:val="18"/>
                <w:szCs w:val="18"/>
                <w:highlight w:val="none"/>
                <w:u w:val="none"/>
              </w:rPr>
            </w:pPr>
          </w:p>
        </w:tc>
        <w:tc>
          <w:tcPr>
            <w:tcW w:w="611"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65957E4">
            <w:pPr>
              <w:spacing w:line="240" w:lineRule="auto"/>
              <w:jc w:val="center"/>
              <w:rPr>
                <w:rFonts w:hint="eastAsia" w:ascii="宋体" w:hAnsi="宋体" w:eastAsia="宋体" w:cs="宋体"/>
                <w:i w:val="0"/>
                <w:iCs w:val="0"/>
                <w:color w:val="auto"/>
                <w:sz w:val="18"/>
                <w:szCs w:val="18"/>
                <w:highlight w:val="none"/>
                <w:u w:val="none"/>
              </w:rPr>
            </w:pPr>
          </w:p>
        </w:tc>
        <w:tc>
          <w:tcPr>
            <w:tcW w:w="294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85D6E9B">
            <w:pPr>
              <w:keepNext w:val="0"/>
              <w:keepLines w:val="0"/>
              <w:widowControl/>
              <w:suppressLineNumbers w:val="0"/>
              <w:spacing w:line="240" w:lineRule="auto"/>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石排、横沥、寮步、东坑</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5AB4A84">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2</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3989585">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45</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EEA7348">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70</w:t>
            </w:r>
          </w:p>
        </w:tc>
        <w:tc>
          <w:tcPr>
            <w:tcW w:w="120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1849405">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p>
        </w:tc>
      </w:tr>
      <w:tr w14:paraId="567E3F0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0" w:hRule="atLeast"/>
          <w:jc w:val="center"/>
        </w:trPr>
        <w:tc>
          <w:tcPr>
            <w:tcW w:w="457"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3CC0346">
            <w:pPr>
              <w:spacing w:line="240" w:lineRule="auto"/>
              <w:jc w:val="center"/>
              <w:rPr>
                <w:rFonts w:hint="eastAsia" w:ascii="宋体" w:hAnsi="宋体" w:eastAsia="宋体" w:cs="宋体"/>
                <w:b/>
                <w:bCs/>
                <w:i w:val="0"/>
                <w:iCs w:val="0"/>
                <w:color w:val="auto"/>
                <w:sz w:val="18"/>
                <w:szCs w:val="18"/>
                <w:highlight w:val="none"/>
                <w:u w:val="none"/>
              </w:rPr>
            </w:pPr>
          </w:p>
        </w:tc>
        <w:tc>
          <w:tcPr>
            <w:tcW w:w="611"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087F40A9">
            <w:pPr>
              <w:spacing w:line="240" w:lineRule="auto"/>
              <w:jc w:val="center"/>
              <w:rPr>
                <w:rFonts w:hint="eastAsia" w:ascii="宋体" w:hAnsi="宋体" w:eastAsia="宋体" w:cs="宋体"/>
                <w:i w:val="0"/>
                <w:iCs w:val="0"/>
                <w:color w:val="auto"/>
                <w:sz w:val="18"/>
                <w:szCs w:val="18"/>
                <w:highlight w:val="none"/>
                <w:u w:val="none"/>
              </w:rPr>
            </w:pPr>
          </w:p>
        </w:tc>
        <w:tc>
          <w:tcPr>
            <w:tcW w:w="294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24FBE30">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松山湖（限行）</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8DE1F8C">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3EB5009">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70</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EC903D2">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70</w:t>
            </w:r>
          </w:p>
        </w:tc>
        <w:tc>
          <w:tcPr>
            <w:tcW w:w="120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1330162">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15</w:t>
            </w:r>
          </w:p>
        </w:tc>
      </w:tr>
      <w:tr w14:paraId="4FECDB0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0" w:hRule="atLeast"/>
          <w:jc w:val="center"/>
        </w:trPr>
        <w:tc>
          <w:tcPr>
            <w:tcW w:w="457"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B4E285F">
            <w:pPr>
              <w:spacing w:line="240" w:lineRule="auto"/>
              <w:jc w:val="center"/>
              <w:rPr>
                <w:rFonts w:hint="eastAsia" w:ascii="宋体" w:hAnsi="宋体" w:eastAsia="宋体" w:cs="宋体"/>
                <w:b/>
                <w:bCs/>
                <w:i w:val="0"/>
                <w:iCs w:val="0"/>
                <w:color w:val="auto"/>
                <w:sz w:val="18"/>
                <w:szCs w:val="18"/>
                <w:highlight w:val="none"/>
                <w:u w:val="none"/>
              </w:rPr>
            </w:pPr>
          </w:p>
        </w:tc>
        <w:tc>
          <w:tcPr>
            <w:tcW w:w="611"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41A50F61">
            <w:pPr>
              <w:spacing w:line="240" w:lineRule="auto"/>
              <w:jc w:val="center"/>
              <w:rPr>
                <w:rFonts w:hint="eastAsia" w:ascii="宋体" w:hAnsi="宋体" w:eastAsia="宋体" w:cs="宋体"/>
                <w:i w:val="0"/>
                <w:iCs w:val="0"/>
                <w:color w:val="auto"/>
                <w:sz w:val="18"/>
                <w:szCs w:val="18"/>
                <w:highlight w:val="none"/>
                <w:u w:val="none"/>
              </w:rPr>
            </w:pPr>
          </w:p>
        </w:tc>
        <w:tc>
          <w:tcPr>
            <w:tcW w:w="294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6601A30">
            <w:pPr>
              <w:keepNext w:val="0"/>
              <w:keepLines w:val="0"/>
              <w:widowControl/>
              <w:suppressLineNumbers w:val="0"/>
              <w:spacing w:line="240" w:lineRule="auto"/>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大岭山、虎门、长安</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10CFBBD">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2</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D993F8D">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70</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C6E269C">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110</w:t>
            </w:r>
          </w:p>
        </w:tc>
        <w:tc>
          <w:tcPr>
            <w:tcW w:w="120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908AE23">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25</w:t>
            </w:r>
          </w:p>
        </w:tc>
      </w:tr>
      <w:tr w14:paraId="3D5609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0" w:hRule="atLeast"/>
          <w:jc w:val="center"/>
        </w:trPr>
        <w:tc>
          <w:tcPr>
            <w:tcW w:w="457"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90A555B">
            <w:pPr>
              <w:spacing w:line="240" w:lineRule="auto"/>
              <w:jc w:val="center"/>
              <w:rPr>
                <w:rFonts w:hint="eastAsia" w:ascii="宋体" w:hAnsi="宋体" w:eastAsia="宋体" w:cs="宋体"/>
                <w:b/>
                <w:bCs/>
                <w:i w:val="0"/>
                <w:iCs w:val="0"/>
                <w:color w:val="auto"/>
                <w:sz w:val="18"/>
                <w:szCs w:val="18"/>
                <w:highlight w:val="none"/>
                <w:u w:val="none"/>
              </w:rPr>
            </w:pPr>
          </w:p>
        </w:tc>
        <w:tc>
          <w:tcPr>
            <w:tcW w:w="611"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74F50766">
            <w:pPr>
              <w:spacing w:line="240" w:lineRule="auto"/>
              <w:jc w:val="center"/>
              <w:rPr>
                <w:rFonts w:hint="eastAsia" w:ascii="宋体" w:hAnsi="宋体" w:eastAsia="宋体" w:cs="宋体"/>
                <w:i w:val="0"/>
                <w:iCs w:val="0"/>
                <w:color w:val="auto"/>
                <w:sz w:val="18"/>
                <w:szCs w:val="18"/>
                <w:highlight w:val="none"/>
                <w:u w:val="none"/>
              </w:rPr>
            </w:pPr>
          </w:p>
        </w:tc>
        <w:tc>
          <w:tcPr>
            <w:tcW w:w="294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F698A28">
            <w:pPr>
              <w:keepNext w:val="0"/>
              <w:keepLines w:val="0"/>
              <w:widowControl/>
              <w:suppressLineNumbers w:val="0"/>
              <w:spacing w:line="240" w:lineRule="auto"/>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大朗、企石、黄江、常平、桥头</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723BF52">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2</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1FCA2BC">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90</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845FE74">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290</w:t>
            </w:r>
          </w:p>
        </w:tc>
        <w:tc>
          <w:tcPr>
            <w:tcW w:w="120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BEE25B7">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10</w:t>
            </w:r>
          </w:p>
        </w:tc>
      </w:tr>
      <w:tr w14:paraId="7BB7E42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0" w:hRule="atLeast"/>
          <w:jc w:val="center"/>
        </w:trPr>
        <w:tc>
          <w:tcPr>
            <w:tcW w:w="457"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C54CB66">
            <w:pPr>
              <w:spacing w:line="240" w:lineRule="auto"/>
              <w:jc w:val="center"/>
              <w:rPr>
                <w:rFonts w:hint="eastAsia" w:ascii="宋体" w:hAnsi="宋体" w:eastAsia="宋体" w:cs="宋体"/>
                <w:b/>
                <w:bCs/>
                <w:i w:val="0"/>
                <w:iCs w:val="0"/>
                <w:color w:val="auto"/>
                <w:sz w:val="18"/>
                <w:szCs w:val="18"/>
                <w:highlight w:val="none"/>
                <w:u w:val="none"/>
              </w:rPr>
            </w:pPr>
          </w:p>
        </w:tc>
        <w:tc>
          <w:tcPr>
            <w:tcW w:w="611"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00056C66">
            <w:pPr>
              <w:spacing w:line="240" w:lineRule="auto"/>
              <w:jc w:val="center"/>
              <w:rPr>
                <w:rFonts w:hint="eastAsia" w:ascii="宋体" w:hAnsi="宋体" w:eastAsia="宋体" w:cs="宋体"/>
                <w:i w:val="0"/>
                <w:iCs w:val="0"/>
                <w:color w:val="auto"/>
                <w:sz w:val="18"/>
                <w:szCs w:val="18"/>
                <w:highlight w:val="none"/>
                <w:u w:val="none"/>
              </w:rPr>
            </w:pPr>
          </w:p>
        </w:tc>
        <w:tc>
          <w:tcPr>
            <w:tcW w:w="294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7C1BF4F">
            <w:pPr>
              <w:keepNext w:val="0"/>
              <w:keepLines w:val="0"/>
              <w:widowControl/>
              <w:suppressLineNumbers w:val="0"/>
              <w:spacing w:line="240" w:lineRule="auto"/>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樟木头、塘厦、谢岗、凤岗、清溪</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7E2E33F">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B30654A">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72</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FB1302A">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65</w:t>
            </w:r>
          </w:p>
        </w:tc>
        <w:tc>
          <w:tcPr>
            <w:tcW w:w="120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F52FBF9">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13</w:t>
            </w:r>
          </w:p>
        </w:tc>
      </w:tr>
      <w:tr w14:paraId="220E67C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0" w:hRule="atLeast"/>
          <w:jc w:val="center"/>
        </w:trPr>
        <w:tc>
          <w:tcPr>
            <w:tcW w:w="457"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AAB7881">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2</w:t>
            </w:r>
          </w:p>
        </w:tc>
        <w:tc>
          <w:tcPr>
            <w:tcW w:w="611"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1E45FACD">
            <w:pPr>
              <w:keepNext w:val="0"/>
              <w:keepLines w:val="0"/>
              <w:widowControl/>
              <w:suppressLineNumbers w:val="0"/>
              <w:spacing w:line="240" w:lineRule="auto"/>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惠州</w:t>
            </w:r>
          </w:p>
        </w:tc>
        <w:tc>
          <w:tcPr>
            <w:tcW w:w="294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07B569F">
            <w:pPr>
              <w:keepNext w:val="0"/>
              <w:keepLines w:val="0"/>
              <w:widowControl/>
              <w:suppressLineNumbers w:val="0"/>
              <w:spacing w:line="240" w:lineRule="auto"/>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博罗</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6DE0F73">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949027C">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60</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E5A899F">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110</w:t>
            </w:r>
          </w:p>
        </w:tc>
        <w:tc>
          <w:tcPr>
            <w:tcW w:w="120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D512C30">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2</w:t>
            </w:r>
          </w:p>
        </w:tc>
      </w:tr>
      <w:tr w14:paraId="45363C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0" w:hRule="atLeast"/>
          <w:jc w:val="center"/>
        </w:trPr>
        <w:tc>
          <w:tcPr>
            <w:tcW w:w="457"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1165DE6">
            <w:pPr>
              <w:spacing w:line="240" w:lineRule="auto"/>
              <w:jc w:val="center"/>
              <w:rPr>
                <w:rFonts w:hint="eastAsia" w:ascii="宋体" w:hAnsi="宋体" w:eastAsia="宋体" w:cs="宋体"/>
                <w:b/>
                <w:bCs/>
                <w:i w:val="0"/>
                <w:iCs w:val="0"/>
                <w:color w:val="auto"/>
                <w:sz w:val="18"/>
                <w:szCs w:val="18"/>
                <w:highlight w:val="none"/>
                <w:u w:val="none"/>
              </w:rPr>
            </w:pPr>
          </w:p>
        </w:tc>
        <w:tc>
          <w:tcPr>
            <w:tcW w:w="611"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4392DA82">
            <w:pPr>
              <w:spacing w:line="240" w:lineRule="auto"/>
              <w:jc w:val="center"/>
              <w:rPr>
                <w:rFonts w:hint="eastAsia" w:ascii="宋体" w:hAnsi="宋体" w:eastAsia="宋体" w:cs="宋体"/>
                <w:i w:val="0"/>
                <w:iCs w:val="0"/>
                <w:color w:val="auto"/>
                <w:sz w:val="18"/>
                <w:szCs w:val="18"/>
                <w:highlight w:val="none"/>
                <w:u w:val="none"/>
              </w:rPr>
            </w:pPr>
          </w:p>
        </w:tc>
        <w:tc>
          <w:tcPr>
            <w:tcW w:w="294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4B5F5C3">
            <w:pPr>
              <w:keepNext w:val="0"/>
              <w:keepLines w:val="0"/>
              <w:widowControl/>
              <w:suppressLineNumbers w:val="0"/>
              <w:spacing w:line="240" w:lineRule="auto"/>
              <w:jc w:val="center"/>
              <w:textAlignment w:val="center"/>
              <w:rPr>
                <w:rFonts w:hint="default" w:ascii="宋体" w:hAnsi="宋体" w:eastAsia="宋体" w:cs="宋体"/>
                <w:i w:val="0"/>
                <w:iCs w:val="0"/>
                <w:color w:val="auto"/>
                <w:sz w:val="18"/>
                <w:szCs w:val="18"/>
                <w:highlight w:val="none"/>
                <w:u w:val="none"/>
                <w:lang w:val="en-US"/>
              </w:rPr>
            </w:pPr>
            <w:r>
              <w:rPr>
                <w:rFonts w:hint="eastAsia" w:ascii="宋体" w:hAnsi="宋体" w:eastAsia="宋体" w:cs="宋体"/>
                <w:i w:val="0"/>
                <w:iCs w:val="0"/>
                <w:color w:val="auto"/>
                <w:kern w:val="0"/>
                <w:sz w:val="18"/>
                <w:szCs w:val="18"/>
                <w:highlight w:val="none"/>
                <w:u w:val="none"/>
                <w:lang w:val="en-US" w:eastAsia="zh-CN" w:bidi="ar"/>
              </w:rPr>
              <w:t>惠城、惠阳</w:t>
            </w:r>
            <w:r>
              <w:rPr>
                <w:rFonts w:hint="eastAsia" w:ascii="宋体" w:hAnsi="宋体" w:cs="宋体"/>
                <w:i w:val="0"/>
                <w:iCs w:val="0"/>
                <w:color w:val="auto"/>
                <w:kern w:val="0"/>
                <w:sz w:val="18"/>
                <w:szCs w:val="18"/>
                <w:highlight w:val="none"/>
                <w:u w:val="none"/>
                <w:lang w:val="en-US" w:eastAsia="zh-CN" w:bidi="ar"/>
              </w:rPr>
              <w:t>、仲恺新区</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9E2C0B0">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2</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D9F941E">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120</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F338FEB">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200</w:t>
            </w:r>
          </w:p>
        </w:tc>
        <w:tc>
          <w:tcPr>
            <w:tcW w:w="120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1B6F114">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20</w:t>
            </w:r>
          </w:p>
        </w:tc>
      </w:tr>
      <w:tr w14:paraId="1E3DC1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0" w:hRule="atLeast"/>
          <w:jc w:val="center"/>
        </w:trPr>
        <w:tc>
          <w:tcPr>
            <w:tcW w:w="457"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436CF92">
            <w:pPr>
              <w:spacing w:line="240" w:lineRule="auto"/>
              <w:jc w:val="center"/>
              <w:rPr>
                <w:rFonts w:hint="eastAsia" w:ascii="宋体" w:hAnsi="宋体" w:eastAsia="宋体" w:cs="宋体"/>
                <w:b/>
                <w:bCs/>
                <w:i w:val="0"/>
                <w:iCs w:val="0"/>
                <w:color w:val="auto"/>
                <w:sz w:val="18"/>
                <w:szCs w:val="18"/>
                <w:highlight w:val="none"/>
                <w:u w:val="none"/>
              </w:rPr>
            </w:pPr>
          </w:p>
        </w:tc>
        <w:tc>
          <w:tcPr>
            <w:tcW w:w="611"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4E5806ED">
            <w:pPr>
              <w:spacing w:line="240" w:lineRule="auto"/>
              <w:jc w:val="center"/>
              <w:rPr>
                <w:rFonts w:hint="eastAsia" w:ascii="宋体" w:hAnsi="宋体" w:eastAsia="宋体" w:cs="宋体"/>
                <w:i w:val="0"/>
                <w:iCs w:val="0"/>
                <w:color w:val="auto"/>
                <w:sz w:val="18"/>
                <w:szCs w:val="18"/>
                <w:highlight w:val="none"/>
                <w:u w:val="none"/>
              </w:rPr>
            </w:pPr>
          </w:p>
        </w:tc>
        <w:tc>
          <w:tcPr>
            <w:tcW w:w="294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802C439">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大亚湾（含石化区）</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8D64052">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D552836">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24</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1802181">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220</w:t>
            </w:r>
          </w:p>
        </w:tc>
        <w:tc>
          <w:tcPr>
            <w:tcW w:w="120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8F91953">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90</w:t>
            </w:r>
          </w:p>
        </w:tc>
      </w:tr>
      <w:tr w14:paraId="7D01B5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0" w:hRule="atLeast"/>
          <w:jc w:val="center"/>
        </w:trPr>
        <w:tc>
          <w:tcPr>
            <w:tcW w:w="457"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98E11C7">
            <w:pPr>
              <w:spacing w:line="240" w:lineRule="auto"/>
              <w:jc w:val="center"/>
              <w:rPr>
                <w:rFonts w:hint="eastAsia" w:ascii="宋体" w:hAnsi="宋体" w:eastAsia="宋体" w:cs="宋体"/>
                <w:b/>
                <w:bCs/>
                <w:i w:val="0"/>
                <w:iCs w:val="0"/>
                <w:color w:val="auto"/>
                <w:sz w:val="18"/>
                <w:szCs w:val="18"/>
                <w:highlight w:val="none"/>
                <w:u w:val="none"/>
              </w:rPr>
            </w:pPr>
          </w:p>
        </w:tc>
        <w:tc>
          <w:tcPr>
            <w:tcW w:w="611"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0FCA7897">
            <w:pPr>
              <w:spacing w:line="240" w:lineRule="auto"/>
              <w:jc w:val="center"/>
              <w:rPr>
                <w:rFonts w:hint="eastAsia" w:ascii="宋体" w:hAnsi="宋体" w:eastAsia="宋体" w:cs="宋体"/>
                <w:i w:val="0"/>
                <w:iCs w:val="0"/>
                <w:color w:val="auto"/>
                <w:sz w:val="18"/>
                <w:szCs w:val="18"/>
                <w:highlight w:val="none"/>
                <w:u w:val="none"/>
              </w:rPr>
            </w:pPr>
          </w:p>
        </w:tc>
        <w:tc>
          <w:tcPr>
            <w:tcW w:w="294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2D8A750">
            <w:pPr>
              <w:keepNext w:val="0"/>
              <w:keepLines w:val="0"/>
              <w:widowControl/>
              <w:suppressLineNumbers w:val="0"/>
              <w:spacing w:line="240" w:lineRule="auto"/>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龙门县、惠东</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24F8F12">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2</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B4CA268">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16</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FBA7784">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30</w:t>
            </w:r>
          </w:p>
        </w:tc>
        <w:tc>
          <w:tcPr>
            <w:tcW w:w="120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3481BE2">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18"/>
                <w:szCs w:val="18"/>
                <w:highlight w:val="none"/>
                <w:u w:val="none"/>
                <w:lang w:val="en-US" w:eastAsia="zh-CN" w:bidi="ar"/>
              </w:rPr>
              <w:t>3</w:t>
            </w:r>
          </w:p>
        </w:tc>
      </w:tr>
      <w:tr w14:paraId="288DF4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0" w:hRule="atLeast"/>
          <w:jc w:val="center"/>
        </w:trPr>
        <w:tc>
          <w:tcPr>
            <w:tcW w:w="4008" w:type="dxa"/>
            <w:gridSpan w:val="3"/>
            <w:tcBorders>
              <w:top w:val="single" w:color="000000" w:sz="4" w:space="0"/>
              <w:left w:val="single" w:color="000000" w:sz="4" w:space="0"/>
              <w:bottom w:val="single" w:color="000000" w:sz="4" w:space="0"/>
              <w:right w:val="single" w:color="000000" w:sz="4" w:space="0"/>
            </w:tcBorders>
            <w:shd w:val="clear" w:color="auto" w:fill="FFFFFF"/>
            <w:vAlign w:val="center"/>
          </w:tcPr>
          <w:p w14:paraId="7C8C148A">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合计</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FEC7114">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21</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1066AA5">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735</w:t>
            </w:r>
          </w:p>
        </w:tc>
        <w:tc>
          <w:tcPr>
            <w:tcW w:w="119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B58A8EA">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1427</w:t>
            </w:r>
          </w:p>
        </w:tc>
        <w:tc>
          <w:tcPr>
            <w:tcW w:w="120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7FDF8FF">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216</w:t>
            </w:r>
          </w:p>
        </w:tc>
      </w:tr>
    </w:tbl>
    <w:p w14:paraId="58BF8B87">
      <w:pPr>
        <w:adjustRightInd/>
        <w:snapToGrid/>
        <w:spacing w:line="360" w:lineRule="exact"/>
        <w:outlineLvl w:val="9"/>
        <w:rPr>
          <w:rFonts w:hint="eastAsia" w:ascii="宋体" w:hAnsi="宋体"/>
          <w:b/>
          <w:color w:val="auto"/>
          <w:sz w:val="21"/>
          <w:szCs w:val="21"/>
          <w:highlight w:val="none"/>
        </w:rPr>
      </w:pPr>
    </w:p>
    <w:p w14:paraId="5B352871">
      <w:pPr>
        <w:outlineLvl w:val="9"/>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br w:type="page"/>
      </w:r>
    </w:p>
    <w:p w14:paraId="6EA38142">
      <w:pPr>
        <w:keepNext w:val="0"/>
        <w:keepLines w:val="0"/>
        <w:pageBreakBefore w:val="0"/>
        <w:widowControl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b/>
          <w:color w:val="auto"/>
          <w:szCs w:val="21"/>
          <w:highlight w:val="none"/>
        </w:rPr>
      </w:pPr>
      <w:r>
        <w:rPr>
          <w:rFonts w:hint="eastAsia" w:ascii="宋体" w:hAnsi="宋体" w:eastAsia="宋体" w:cs="宋体"/>
          <w:b/>
          <w:color w:val="auto"/>
          <w:sz w:val="21"/>
          <w:szCs w:val="21"/>
          <w:highlight w:val="none"/>
        </w:rPr>
        <w:t>技术需求书</w:t>
      </w:r>
      <w:r>
        <w:rPr>
          <w:rFonts w:hint="eastAsia" w:ascii="宋体" w:hAnsi="宋体" w:eastAsia="宋体" w:cs="宋体"/>
          <w:b/>
          <w:color w:val="auto"/>
          <w:szCs w:val="21"/>
          <w:highlight w:val="none"/>
        </w:rPr>
        <w:t>附件</w:t>
      </w:r>
      <w:r>
        <w:rPr>
          <w:rFonts w:hint="eastAsia" w:ascii="宋体" w:hAnsi="宋体" w:eastAsia="宋体" w:cs="宋体"/>
          <w:b/>
          <w:color w:val="auto"/>
          <w:szCs w:val="21"/>
          <w:highlight w:val="none"/>
          <w:lang w:val="en-US" w:eastAsia="zh-CN"/>
        </w:rPr>
        <w:t>4：</w:t>
      </w:r>
      <w:r>
        <w:rPr>
          <w:rFonts w:hint="eastAsia" w:ascii="宋体" w:hAnsi="宋体" w:eastAsia="宋体" w:cs="宋体"/>
          <w:b/>
          <w:color w:val="auto"/>
          <w:szCs w:val="21"/>
          <w:highlight w:val="none"/>
        </w:rPr>
        <w:t>《运输杂费及计费规则》</w:t>
      </w:r>
      <w:bookmarkEnd w:id="35"/>
      <w:bookmarkEnd w:id="36"/>
      <w:bookmarkEnd w:id="37"/>
      <w:bookmarkEnd w:id="38"/>
      <w:bookmarkEnd w:id="39"/>
      <w:bookmarkEnd w:id="40"/>
      <w:bookmarkEnd w:id="41"/>
      <w:bookmarkEnd w:id="42"/>
      <w:bookmarkEnd w:id="43"/>
      <w:bookmarkEnd w:id="44"/>
      <w:bookmarkEnd w:id="45"/>
      <w:bookmarkEnd w:id="46"/>
      <w:bookmarkEnd w:id="47"/>
    </w:p>
    <w:tbl>
      <w:tblPr>
        <w:tblStyle w:val="30"/>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142"/>
        <w:gridCol w:w="2708"/>
        <w:gridCol w:w="1845"/>
        <w:gridCol w:w="2824"/>
      </w:tblGrid>
      <w:tr w14:paraId="2DD8D8D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530" w:hRule="atLeast"/>
        </w:trPr>
        <w:tc>
          <w:tcPr>
            <w:tcW w:w="114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FE6852">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项目</w:t>
            </w:r>
          </w:p>
        </w:tc>
        <w:tc>
          <w:tcPr>
            <w:tcW w:w="2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8BDFDE">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规则</w:t>
            </w:r>
          </w:p>
        </w:tc>
        <w:tc>
          <w:tcPr>
            <w:tcW w:w="18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D7C3F6">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计费</w:t>
            </w:r>
          </w:p>
        </w:tc>
        <w:tc>
          <w:tcPr>
            <w:tcW w:w="2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685196">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备注</w:t>
            </w:r>
          </w:p>
        </w:tc>
      </w:tr>
      <w:tr w14:paraId="5EE5579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14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E829E4">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过磅费</w:t>
            </w:r>
          </w:p>
        </w:tc>
        <w:tc>
          <w:tcPr>
            <w:tcW w:w="2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74F239">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采购人的客户要求以第三方地磅为准，需在第三方地磅过磅，产生的过磅费用</w:t>
            </w:r>
          </w:p>
        </w:tc>
        <w:tc>
          <w:tcPr>
            <w:tcW w:w="18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B7F07D">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按实际执行</w:t>
            </w:r>
          </w:p>
        </w:tc>
        <w:tc>
          <w:tcPr>
            <w:tcW w:w="2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3D36BB">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对账需提供：过磅单、收据</w:t>
            </w:r>
          </w:p>
        </w:tc>
      </w:tr>
      <w:tr w14:paraId="782A66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0" w:hRule="atLeast"/>
        </w:trPr>
        <w:tc>
          <w:tcPr>
            <w:tcW w:w="114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3A7E72">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顺带包装物费用</w:t>
            </w:r>
          </w:p>
        </w:tc>
        <w:tc>
          <w:tcPr>
            <w:tcW w:w="2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0BC178">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顺带包装物按照重量计费：</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1、单车带20个及以上200L桶；</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2、单车带10个及以上吨桶；</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3、单车带50个及以上卡板；</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符合以上任一项即可计费，否则不予计费</w:t>
            </w:r>
          </w:p>
        </w:tc>
        <w:tc>
          <w:tcPr>
            <w:tcW w:w="18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D4C641">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200元/车</w:t>
            </w:r>
          </w:p>
        </w:tc>
        <w:tc>
          <w:tcPr>
            <w:tcW w:w="2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79160E">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对账需提供：包装物交接单，重量核对清单</w:t>
            </w:r>
          </w:p>
        </w:tc>
      </w:tr>
      <w:tr w14:paraId="5E2DB12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114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88F637">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专车送包装物</w:t>
            </w:r>
          </w:p>
        </w:tc>
        <w:tc>
          <w:tcPr>
            <w:tcW w:w="2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FC11F9">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需专车送包装物的</w:t>
            </w:r>
          </w:p>
        </w:tc>
        <w:tc>
          <w:tcPr>
            <w:tcW w:w="18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1EFF5D">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按运价的70%计费</w:t>
            </w:r>
          </w:p>
        </w:tc>
        <w:tc>
          <w:tcPr>
            <w:tcW w:w="2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C68E79">
            <w:pPr>
              <w:spacing w:line="240" w:lineRule="auto"/>
              <w:jc w:val="center"/>
              <w:rPr>
                <w:rFonts w:hint="eastAsia" w:ascii="宋体" w:hAnsi="宋体" w:eastAsia="宋体" w:cs="宋体"/>
                <w:i w:val="0"/>
                <w:iCs w:val="0"/>
                <w:color w:val="auto"/>
                <w:sz w:val="20"/>
                <w:szCs w:val="20"/>
                <w:highlight w:val="none"/>
                <w:u w:val="none"/>
              </w:rPr>
            </w:pPr>
          </w:p>
        </w:tc>
      </w:tr>
      <w:tr w14:paraId="423A9F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80" w:hRule="atLeast"/>
        </w:trPr>
        <w:tc>
          <w:tcPr>
            <w:tcW w:w="1142" w:type="dxa"/>
            <w:tcBorders>
              <w:top w:val="single" w:color="000000" w:sz="4" w:space="0"/>
              <w:left w:val="single" w:color="000000" w:sz="4" w:space="0"/>
              <w:bottom w:val="single" w:color="auto" w:sz="4" w:space="0"/>
              <w:right w:val="single" w:color="000000" w:sz="4" w:space="0"/>
            </w:tcBorders>
            <w:shd w:val="clear" w:color="auto" w:fill="auto"/>
            <w:noWrap/>
            <w:vAlign w:val="center"/>
          </w:tcPr>
          <w:p w14:paraId="257D44F0">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拼车费</w:t>
            </w:r>
          </w:p>
        </w:tc>
        <w:tc>
          <w:tcPr>
            <w:tcW w:w="2708" w:type="dxa"/>
            <w:tcBorders>
              <w:top w:val="single" w:color="000000" w:sz="4" w:space="0"/>
              <w:left w:val="single" w:color="000000" w:sz="4" w:space="0"/>
              <w:bottom w:val="single" w:color="auto" w:sz="4" w:space="0"/>
              <w:right w:val="single" w:color="000000" w:sz="4" w:space="0"/>
            </w:tcBorders>
            <w:shd w:val="clear" w:color="auto" w:fill="auto"/>
            <w:vAlign w:val="center"/>
          </w:tcPr>
          <w:p w14:paraId="257CD235">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1、同一工业园区的不同客户，不计算拼车费；</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2、不同工业园区，同一“区/县/镇”按100元/家计算拼车费；</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3、不同“区/县/镇”按150元/家计算拼车费。</w:t>
            </w:r>
          </w:p>
        </w:tc>
        <w:tc>
          <w:tcPr>
            <w:tcW w:w="18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264DDA">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按规则</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100元/家</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或</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150元/家</w:t>
            </w:r>
          </w:p>
        </w:tc>
        <w:tc>
          <w:tcPr>
            <w:tcW w:w="2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EE9868">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原则上不顺路不予拼车；“区/县/镇”的定义以报价单的“区/县/镇”划分为准。</w:t>
            </w:r>
          </w:p>
        </w:tc>
      </w:tr>
      <w:tr w14:paraId="46DB05B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818" w:hRule="atLeast"/>
        </w:trPr>
        <w:tc>
          <w:tcPr>
            <w:tcW w:w="1142"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597ADE2">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装卸费</w:t>
            </w:r>
          </w:p>
        </w:tc>
        <w:tc>
          <w:tcPr>
            <w:tcW w:w="2708" w:type="dxa"/>
            <w:tcBorders>
              <w:top w:val="single" w:color="auto" w:sz="4" w:space="0"/>
              <w:left w:val="single" w:color="auto" w:sz="4" w:space="0"/>
              <w:bottom w:val="single" w:color="auto" w:sz="4" w:space="0"/>
              <w:right w:val="single" w:color="auto" w:sz="4" w:space="0"/>
            </w:tcBorders>
            <w:shd w:val="clear" w:color="auto" w:fill="auto"/>
            <w:vAlign w:val="center"/>
          </w:tcPr>
          <w:p w14:paraId="2742BD18">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按装卸费标准执行。</w:t>
            </w:r>
          </w:p>
        </w:tc>
        <w:tc>
          <w:tcPr>
            <w:tcW w:w="1845" w:type="dxa"/>
            <w:tcBorders>
              <w:top w:val="single" w:color="000000" w:sz="4" w:space="0"/>
              <w:left w:val="single" w:color="auto" w:sz="4" w:space="0"/>
              <w:bottom w:val="single" w:color="000000" w:sz="4" w:space="0"/>
              <w:right w:val="single" w:color="000000" w:sz="4" w:space="0"/>
            </w:tcBorders>
            <w:shd w:val="clear" w:color="auto" w:fill="auto"/>
            <w:vAlign w:val="center"/>
          </w:tcPr>
          <w:p w14:paraId="416F4738">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见装卸费标准</w:t>
            </w:r>
          </w:p>
        </w:tc>
        <w:tc>
          <w:tcPr>
            <w:tcW w:w="2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57A62D">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费用的申请：</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1、每月制作搬运打包费申请表，表内必须包含收运日期、客户名称、搬运废物的重量，同时提供对应客户现场能体现打包服务的水印照片和短视频，视频及照片文件名须按“日期+客户+重量”格式命名，并电子版打包发至采购人留存。</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2、提供对账单纸质时，须将对应的水印照片打印出来作为结算凭证，对账纸质资料每页盖章。</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3、无法提供上述资料的不予支付打包费用（客户现场不允许携带手机的，可与客户沟通协助拍摄，协商不成的需要提前告知采购人，以便采购人与客户确认打包服务属实）。</w:t>
            </w:r>
          </w:p>
        </w:tc>
      </w:tr>
      <w:tr w14:paraId="0DA1492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142" w:type="dxa"/>
            <w:tcBorders>
              <w:top w:val="single" w:color="auto" w:sz="4" w:space="0"/>
              <w:left w:val="single" w:color="000000" w:sz="4" w:space="0"/>
              <w:bottom w:val="single" w:color="000000" w:sz="4" w:space="0"/>
              <w:right w:val="single" w:color="000000" w:sz="4" w:space="0"/>
            </w:tcBorders>
            <w:shd w:val="clear" w:color="auto" w:fill="auto"/>
            <w:noWrap/>
            <w:vAlign w:val="center"/>
          </w:tcPr>
          <w:p w14:paraId="113F3982">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放空费</w:t>
            </w:r>
          </w:p>
        </w:tc>
        <w:tc>
          <w:tcPr>
            <w:tcW w:w="2708" w:type="dxa"/>
            <w:tcBorders>
              <w:top w:val="single" w:color="auto" w:sz="4" w:space="0"/>
              <w:left w:val="single" w:color="000000" w:sz="4" w:space="0"/>
              <w:bottom w:val="single" w:color="000000" w:sz="4" w:space="0"/>
              <w:right w:val="single" w:color="000000" w:sz="4" w:space="0"/>
            </w:tcBorders>
            <w:shd w:val="clear" w:color="auto" w:fill="FFFFFF"/>
            <w:vAlign w:val="center"/>
          </w:tcPr>
          <w:p w14:paraId="2C5364A7">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采购人派单给到运输公司，运输公司已开始承接运输任务后，由于采购人或其客户原因导致该批次废物无法收运，运输公司空车往返产生的相关费用</w:t>
            </w:r>
          </w:p>
        </w:tc>
        <w:tc>
          <w:tcPr>
            <w:tcW w:w="18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C076727">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运价的60%</w:t>
            </w:r>
          </w:p>
        </w:tc>
        <w:tc>
          <w:tcPr>
            <w:tcW w:w="282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187A488">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不提供放空费情况如下：</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1、因不可抗力如台风等因素无法收运的；</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2、运输单位车辆故障无法按时抵达客户现场装货的；</w:t>
            </w:r>
          </w:p>
        </w:tc>
      </w:tr>
      <w:tr w14:paraId="1BBFD1F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20" w:hRule="atLeast"/>
        </w:trPr>
        <w:tc>
          <w:tcPr>
            <w:tcW w:w="114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4B8DBC">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押车费</w:t>
            </w:r>
          </w:p>
        </w:tc>
        <w:tc>
          <w:tcPr>
            <w:tcW w:w="270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002764A">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采购人派单给到运输公司，运输公司已承接该批次废物，但因采购人或其客户原因导致无法当天完成卸货释放运输公司运力，货物需要滞留在车上过夜产生的相关费用，按车型付压车费</w:t>
            </w:r>
          </w:p>
        </w:tc>
        <w:tc>
          <w:tcPr>
            <w:tcW w:w="18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9360653">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5.2米厢车：600元/夜</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7.6米厢车：800元/夜</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9.6米厢车：1000元/夜</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12米挂车：1200元/夜</w:t>
            </w:r>
          </w:p>
        </w:tc>
        <w:tc>
          <w:tcPr>
            <w:tcW w:w="282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289F8EF">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Style w:val="87"/>
                <w:color w:val="auto"/>
                <w:sz w:val="20"/>
                <w:szCs w:val="20"/>
                <w:highlight w:val="none"/>
                <w:lang w:val="en-US" w:eastAsia="zh-CN" w:bidi="ar"/>
              </w:rPr>
              <w:t>不提供押车费情况如下：</w:t>
            </w:r>
            <w:r>
              <w:rPr>
                <w:rStyle w:val="87"/>
                <w:color w:val="auto"/>
                <w:sz w:val="20"/>
                <w:szCs w:val="20"/>
                <w:highlight w:val="none"/>
                <w:lang w:val="en-US" w:eastAsia="zh-CN" w:bidi="ar"/>
              </w:rPr>
              <w:br w:type="textWrapping"/>
            </w:r>
            <w:r>
              <w:rPr>
                <w:rStyle w:val="87"/>
                <w:color w:val="auto"/>
                <w:sz w:val="20"/>
                <w:szCs w:val="20"/>
                <w:highlight w:val="none"/>
                <w:lang w:val="en-US" w:eastAsia="zh-CN" w:bidi="ar"/>
              </w:rPr>
              <w:t>1、</w:t>
            </w:r>
            <w:r>
              <w:rPr>
                <w:rStyle w:val="88"/>
                <w:color w:val="auto"/>
                <w:sz w:val="20"/>
                <w:szCs w:val="20"/>
                <w:highlight w:val="none"/>
                <w:lang w:val="en-US" w:eastAsia="zh-CN" w:bidi="ar"/>
              </w:rPr>
              <w:t>因客户运距远，无法当天及时返回导致押车的；</w:t>
            </w:r>
            <w:r>
              <w:rPr>
                <w:rStyle w:val="87"/>
                <w:color w:val="auto"/>
                <w:sz w:val="20"/>
                <w:szCs w:val="20"/>
                <w:highlight w:val="none"/>
                <w:lang w:val="en-US" w:eastAsia="zh-CN" w:bidi="ar"/>
              </w:rPr>
              <w:br w:type="textWrapping"/>
            </w:r>
            <w:r>
              <w:rPr>
                <w:rStyle w:val="87"/>
                <w:color w:val="auto"/>
                <w:sz w:val="20"/>
                <w:szCs w:val="20"/>
                <w:highlight w:val="none"/>
                <w:lang w:val="en-US" w:eastAsia="zh-CN" w:bidi="ar"/>
              </w:rPr>
              <w:t>2、因不可抗力如台风等因素无法卸货导致押车的；</w:t>
            </w:r>
            <w:r>
              <w:rPr>
                <w:rStyle w:val="87"/>
                <w:color w:val="auto"/>
                <w:sz w:val="20"/>
                <w:szCs w:val="20"/>
                <w:highlight w:val="none"/>
                <w:lang w:val="en-US" w:eastAsia="zh-CN" w:bidi="ar"/>
              </w:rPr>
              <w:br w:type="textWrapping"/>
            </w:r>
            <w:r>
              <w:rPr>
                <w:rStyle w:val="87"/>
                <w:color w:val="auto"/>
                <w:sz w:val="20"/>
                <w:szCs w:val="20"/>
                <w:highlight w:val="none"/>
                <w:lang w:val="en-US" w:eastAsia="zh-CN" w:bidi="ar"/>
              </w:rPr>
              <w:t>3、运输单位车辆故障无法按时抵达采购人厂区卸货导致押车的；</w:t>
            </w:r>
            <w:r>
              <w:rPr>
                <w:rStyle w:val="87"/>
                <w:color w:val="auto"/>
                <w:sz w:val="20"/>
                <w:szCs w:val="20"/>
                <w:highlight w:val="none"/>
                <w:lang w:val="en-US" w:eastAsia="zh-CN" w:bidi="ar"/>
              </w:rPr>
              <w:br w:type="textWrapping"/>
            </w:r>
            <w:r>
              <w:rPr>
                <w:rStyle w:val="87"/>
                <w:color w:val="auto"/>
                <w:sz w:val="20"/>
                <w:szCs w:val="20"/>
                <w:highlight w:val="none"/>
                <w:lang w:val="en-US" w:eastAsia="zh-CN" w:bidi="ar"/>
              </w:rPr>
              <w:t>4、非工作时间段进场，且未在当天提前报备（下午16时前报备）导致进场后无法卸货押车的；</w:t>
            </w:r>
          </w:p>
        </w:tc>
      </w:tr>
      <w:tr w14:paraId="6BD45DD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14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B11963">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机械租赁费</w:t>
            </w:r>
          </w:p>
        </w:tc>
        <w:tc>
          <w:tcPr>
            <w:tcW w:w="2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63A166">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因甲方客户装卸货物需要，经采购人同意，需外请叉车、挖掘机、吸污设备进行装货的。</w:t>
            </w:r>
          </w:p>
        </w:tc>
        <w:tc>
          <w:tcPr>
            <w:tcW w:w="18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E411AA">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按照实际价格结算</w:t>
            </w:r>
          </w:p>
        </w:tc>
        <w:tc>
          <w:tcPr>
            <w:tcW w:w="2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B94A9C">
            <w:pPr>
              <w:keepNext w:val="0"/>
              <w:keepLines w:val="0"/>
              <w:widowControl/>
              <w:suppressLineNumbers w:val="0"/>
              <w:spacing w:line="240" w:lineRule="auto"/>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对账需提供：带水印的现场照片、收据或付款记录。费用由运输单位垫付，计入当月运输对账单中，于当月开具运输服务发票进行对账结算。</w:t>
            </w:r>
          </w:p>
        </w:tc>
      </w:tr>
      <w:tr w14:paraId="3B3EB0E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trPr>
        <w:tc>
          <w:tcPr>
            <w:tcW w:w="114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3F6C9C">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剧毒运输</w:t>
            </w:r>
          </w:p>
        </w:tc>
        <w:tc>
          <w:tcPr>
            <w:tcW w:w="2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F75EA4">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成交人不得因资质问题跳单，</w:t>
            </w:r>
            <w:r>
              <w:rPr>
                <w:rFonts w:hint="eastAsia" w:ascii="宋体" w:hAnsi="宋体" w:cs="宋体"/>
                <w:i w:val="0"/>
                <w:iCs w:val="0"/>
                <w:color w:val="auto"/>
                <w:kern w:val="0"/>
                <w:sz w:val="20"/>
                <w:szCs w:val="20"/>
                <w:highlight w:val="none"/>
                <w:u w:val="none"/>
                <w:lang w:val="en-US" w:eastAsia="zh-CN" w:bidi="ar"/>
              </w:rPr>
              <w:t>采购人</w:t>
            </w:r>
            <w:r>
              <w:rPr>
                <w:rFonts w:hint="eastAsia" w:ascii="宋体" w:hAnsi="宋体" w:eastAsia="宋体" w:cs="宋体"/>
                <w:i w:val="0"/>
                <w:iCs w:val="0"/>
                <w:color w:val="auto"/>
                <w:kern w:val="0"/>
                <w:sz w:val="20"/>
                <w:szCs w:val="20"/>
                <w:highlight w:val="none"/>
                <w:u w:val="none"/>
                <w:lang w:val="en-US" w:eastAsia="zh-CN" w:bidi="ar"/>
              </w:rPr>
              <w:t>按正常运输价格上浮500元/车支付运费</w:t>
            </w:r>
          </w:p>
        </w:tc>
        <w:tc>
          <w:tcPr>
            <w:tcW w:w="18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E10548">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500元/车</w:t>
            </w:r>
          </w:p>
        </w:tc>
        <w:tc>
          <w:tcPr>
            <w:tcW w:w="2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3A8F5C">
            <w:pPr>
              <w:spacing w:line="240" w:lineRule="auto"/>
              <w:jc w:val="center"/>
              <w:rPr>
                <w:rFonts w:hint="eastAsia" w:ascii="宋体" w:hAnsi="宋体" w:eastAsia="宋体" w:cs="宋体"/>
                <w:i w:val="0"/>
                <w:iCs w:val="0"/>
                <w:color w:val="auto"/>
                <w:sz w:val="20"/>
                <w:szCs w:val="20"/>
                <w:highlight w:val="none"/>
                <w:u w:val="none"/>
              </w:rPr>
            </w:pPr>
          </w:p>
        </w:tc>
      </w:tr>
    </w:tbl>
    <w:p w14:paraId="6DE9DA32">
      <w:pPr>
        <w:jc w:val="center"/>
        <w:outlineLvl w:val="9"/>
        <w:rPr>
          <w:rFonts w:ascii="黑体" w:eastAsia="黑体"/>
          <w:color w:val="auto"/>
          <w:sz w:val="28"/>
          <w:szCs w:val="28"/>
          <w:highlight w:val="none"/>
        </w:rPr>
      </w:pPr>
    </w:p>
    <w:p w14:paraId="65B20E6B">
      <w:pPr>
        <w:rPr>
          <w:rFonts w:hint="eastAsia" w:ascii="宋体" w:hAnsi="宋体" w:eastAsia="宋体" w:cs="宋体"/>
          <w:b/>
          <w:color w:val="auto"/>
          <w:sz w:val="21"/>
          <w:szCs w:val="21"/>
          <w:highlight w:val="none"/>
        </w:rPr>
      </w:pPr>
      <w:bookmarkStart w:id="48" w:name="_Toc32030"/>
      <w:bookmarkStart w:id="49" w:name="_Toc5306"/>
      <w:bookmarkStart w:id="50" w:name="_Toc22269"/>
      <w:bookmarkStart w:id="51" w:name="_Toc32167"/>
      <w:bookmarkStart w:id="52" w:name="_Toc30801"/>
      <w:bookmarkStart w:id="53" w:name="_Toc2916"/>
      <w:bookmarkStart w:id="54" w:name="_Toc8103"/>
      <w:bookmarkStart w:id="55" w:name="_Toc24751"/>
      <w:bookmarkStart w:id="56" w:name="_Toc8287"/>
      <w:bookmarkStart w:id="57" w:name="_Toc11871"/>
      <w:bookmarkStart w:id="58" w:name="_Toc31994"/>
      <w:bookmarkStart w:id="59" w:name="_Toc21941"/>
      <w:bookmarkStart w:id="60" w:name="_Toc9709"/>
      <w:r>
        <w:rPr>
          <w:rFonts w:hint="eastAsia" w:ascii="宋体" w:hAnsi="宋体" w:eastAsia="宋体" w:cs="宋体"/>
          <w:b/>
          <w:color w:val="auto"/>
          <w:sz w:val="21"/>
          <w:szCs w:val="21"/>
          <w:highlight w:val="none"/>
        </w:rPr>
        <w:br w:type="page"/>
      </w:r>
    </w:p>
    <w:p w14:paraId="0D93DD03">
      <w:pPr>
        <w:keepNext w:val="0"/>
        <w:keepLines w:val="0"/>
        <w:pageBreakBefore w:val="0"/>
        <w:widowControl w:val="0"/>
        <w:kinsoku/>
        <w:wordWrap/>
        <w:overflowPunct/>
        <w:topLinePunct w:val="0"/>
        <w:autoSpaceDE/>
        <w:autoSpaceDN/>
        <w:bidi w:val="0"/>
        <w:adjustRightInd/>
        <w:snapToGrid/>
        <w:spacing w:line="240" w:lineRule="auto"/>
        <w:textAlignment w:val="auto"/>
        <w:outlineLvl w:val="9"/>
        <w:rPr>
          <w:rFonts w:hint="eastAsia" w:ascii="宋体" w:hAnsi="宋体" w:eastAsia="宋体" w:cs="宋体"/>
          <w:b/>
          <w:color w:val="auto"/>
          <w:szCs w:val="21"/>
          <w:highlight w:val="none"/>
        </w:rPr>
      </w:pPr>
      <w:r>
        <w:rPr>
          <w:rFonts w:hint="eastAsia" w:ascii="宋体" w:hAnsi="宋体" w:eastAsia="宋体" w:cs="宋体"/>
          <w:b/>
          <w:color w:val="auto"/>
          <w:sz w:val="21"/>
          <w:szCs w:val="21"/>
          <w:highlight w:val="none"/>
        </w:rPr>
        <w:t>技术需求书</w:t>
      </w:r>
      <w:r>
        <w:rPr>
          <w:rFonts w:hint="eastAsia" w:ascii="宋体" w:hAnsi="宋体" w:eastAsia="宋体" w:cs="宋体"/>
          <w:b/>
          <w:color w:val="auto"/>
          <w:szCs w:val="21"/>
          <w:highlight w:val="none"/>
        </w:rPr>
        <w:t>附件</w:t>
      </w:r>
      <w:r>
        <w:rPr>
          <w:rFonts w:hint="eastAsia" w:ascii="宋体" w:hAnsi="宋体" w:cs="宋体"/>
          <w:b/>
          <w:color w:val="auto"/>
          <w:szCs w:val="21"/>
          <w:highlight w:val="none"/>
          <w:lang w:val="en-US" w:eastAsia="zh-CN"/>
        </w:rPr>
        <w:t>5</w:t>
      </w:r>
      <w:r>
        <w:rPr>
          <w:rFonts w:hint="eastAsia" w:ascii="宋体" w:hAnsi="宋体" w:eastAsia="宋体" w:cs="宋体"/>
          <w:b/>
          <w:color w:val="auto"/>
          <w:szCs w:val="21"/>
          <w:highlight w:val="none"/>
          <w:lang w:val="en-US" w:eastAsia="zh-CN"/>
        </w:rPr>
        <w:t>：</w:t>
      </w:r>
      <w:r>
        <w:rPr>
          <w:rFonts w:hint="eastAsia" w:ascii="宋体" w:hAnsi="宋体" w:eastAsia="宋体" w:cs="宋体"/>
          <w:b/>
          <w:color w:val="auto"/>
          <w:szCs w:val="21"/>
          <w:highlight w:val="none"/>
        </w:rPr>
        <w:t>《承运单位违规行为处罚条款》</w:t>
      </w:r>
    </w:p>
    <w:tbl>
      <w:tblPr>
        <w:tblStyle w:val="30"/>
        <w:tblpPr w:leftFromText="180" w:rightFromText="180" w:vertAnchor="text" w:horzAnchor="page" w:tblpX="1906" w:tblpY="467"/>
        <w:tblOverlap w:val="never"/>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533"/>
        <w:gridCol w:w="458"/>
        <w:gridCol w:w="5198"/>
        <w:gridCol w:w="2333"/>
      </w:tblGrid>
      <w:tr w14:paraId="2B0C87B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trPr>
        <w:tc>
          <w:tcPr>
            <w:tcW w:w="5000" w:type="pct"/>
            <w:gridSpan w:val="4"/>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9191842">
            <w:pPr>
              <w:keepNext w:val="0"/>
              <w:keepLines w:val="0"/>
              <w:widowControl/>
              <w:suppressLineNumbers w:val="0"/>
              <w:spacing w:line="240" w:lineRule="auto"/>
              <w:jc w:val="center"/>
              <w:textAlignment w:val="center"/>
              <w:outlineLvl w:val="9"/>
              <w:rPr>
                <w:rFonts w:hint="eastAsia" w:ascii="宋体" w:hAnsi="宋体" w:eastAsia="宋体" w:cs="宋体"/>
                <w:b/>
                <w:bCs/>
                <w:i w:val="0"/>
                <w:iCs w:val="0"/>
                <w:color w:val="auto"/>
                <w:kern w:val="0"/>
                <w:sz w:val="20"/>
                <w:szCs w:val="20"/>
                <w:highlight w:val="none"/>
                <w:u w:val="none"/>
                <w:lang w:val="en-US" w:eastAsia="zh-CN" w:bidi="ar"/>
              </w:rPr>
            </w:pPr>
            <w:r>
              <w:rPr>
                <w:rFonts w:hint="eastAsia" w:ascii="宋体" w:hAnsi="宋体" w:eastAsia="宋体" w:cs="宋体"/>
                <w:b/>
                <w:bCs/>
                <w:i w:val="0"/>
                <w:iCs w:val="0"/>
                <w:color w:val="auto"/>
                <w:kern w:val="0"/>
                <w:sz w:val="20"/>
                <w:szCs w:val="20"/>
                <w:highlight w:val="none"/>
                <w:u w:val="none"/>
                <w:lang w:val="en-US" w:eastAsia="zh-CN" w:bidi="ar"/>
              </w:rPr>
              <w:t>东莞市新东欣环保投资有限公司承运单位违规行为处罚条款</w:t>
            </w:r>
          </w:p>
          <w:p w14:paraId="15BFE138">
            <w:pPr>
              <w:keepNext w:val="0"/>
              <w:keepLines w:val="0"/>
              <w:widowControl/>
              <w:suppressLineNumbers w:val="0"/>
              <w:spacing w:line="240" w:lineRule="auto"/>
              <w:jc w:val="both"/>
              <w:textAlignment w:val="center"/>
              <w:outlineLvl w:val="9"/>
              <w:rPr>
                <w:rFonts w:hint="eastAsia" w:ascii="宋体" w:hAnsi="宋体" w:eastAsia="宋体" w:cs="宋体"/>
                <w:b/>
                <w:bCs/>
                <w:i w:val="0"/>
                <w:iCs w:val="0"/>
                <w:color w:val="auto"/>
                <w:kern w:val="0"/>
                <w:sz w:val="20"/>
                <w:szCs w:val="20"/>
                <w:highlight w:val="none"/>
                <w:u w:val="none"/>
                <w:lang w:val="en-US" w:eastAsia="zh-CN" w:bidi="ar"/>
              </w:rPr>
            </w:pPr>
            <w:r>
              <w:rPr>
                <w:rFonts w:hint="eastAsia" w:ascii="宋体" w:hAnsi="宋体" w:eastAsia="宋体" w:cs="宋体"/>
                <w:b/>
                <w:bCs/>
                <w:i w:val="0"/>
                <w:iCs w:val="0"/>
                <w:color w:val="auto"/>
                <w:kern w:val="0"/>
                <w:sz w:val="20"/>
                <w:szCs w:val="20"/>
                <w:highlight w:val="none"/>
                <w:u w:val="none"/>
                <w:lang w:val="en-US" w:eastAsia="zh-CN" w:bidi="ar"/>
              </w:rPr>
              <w:t>说明：</w:t>
            </w:r>
            <w:r>
              <w:rPr>
                <w:rFonts w:hint="eastAsia" w:ascii="宋体" w:hAnsi="宋体" w:eastAsia="宋体" w:cs="宋体"/>
                <w:b/>
                <w:bCs/>
                <w:color w:val="auto"/>
                <w:sz w:val="20"/>
                <w:szCs w:val="20"/>
                <w:highlight w:val="none"/>
                <w:u w:val="none"/>
                <w:lang w:val="en-US" w:eastAsia="zh-CN" w:bidi="ar"/>
              </w:rPr>
              <w:t>以下</w:t>
            </w:r>
            <w:r>
              <w:rPr>
                <w:rFonts w:hint="eastAsia" w:ascii="宋体" w:hAnsi="宋体" w:eastAsia="宋体" w:cs="宋体"/>
                <w:b/>
                <w:bCs/>
                <w:color w:val="auto"/>
                <w:sz w:val="20"/>
                <w:szCs w:val="20"/>
                <w:highlight w:val="none"/>
                <w:u w:val="none"/>
                <w:lang w:bidi="ar"/>
              </w:rPr>
              <w:t>罚款属于违约金，均为人民币</w:t>
            </w:r>
            <w:r>
              <w:rPr>
                <w:rFonts w:hint="eastAsia" w:ascii="宋体" w:hAnsi="宋体" w:eastAsia="宋体" w:cs="宋体"/>
                <w:b/>
                <w:bCs/>
                <w:color w:val="auto"/>
                <w:sz w:val="20"/>
                <w:szCs w:val="20"/>
                <w:highlight w:val="none"/>
                <w:u w:val="none"/>
                <w:lang w:eastAsia="zh-CN" w:bidi="ar"/>
              </w:rPr>
              <w:t>。</w:t>
            </w:r>
          </w:p>
        </w:tc>
      </w:tr>
      <w:tr w14:paraId="754FC0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5000" w:type="pct"/>
            <w:gridSpan w:val="4"/>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3108FC8">
            <w:pPr>
              <w:spacing w:line="240" w:lineRule="auto"/>
              <w:jc w:val="center"/>
              <w:outlineLvl w:val="9"/>
              <w:rPr>
                <w:rFonts w:hint="eastAsia" w:ascii="宋体" w:hAnsi="宋体" w:eastAsia="宋体" w:cs="宋体"/>
                <w:b/>
                <w:bCs/>
                <w:i w:val="0"/>
                <w:iCs w:val="0"/>
                <w:color w:val="auto"/>
                <w:sz w:val="20"/>
                <w:szCs w:val="20"/>
                <w:highlight w:val="none"/>
                <w:u w:val="none"/>
              </w:rPr>
            </w:pPr>
          </w:p>
        </w:tc>
      </w:tr>
      <w:tr w14:paraId="543106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313" w:type="pct"/>
            <w:tcBorders>
              <w:top w:val="single" w:color="000000" w:sz="4" w:space="0"/>
              <w:left w:val="single" w:color="000000" w:sz="4" w:space="0"/>
              <w:bottom w:val="single" w:color="000000" w:sz="4" w:space="0"/>
              <w:right w:val="nil"/>
            </w:tcBorders>
            <w:shd w:val="clear" w:color="auto" w:fill="auto"/>
            <w:vAlign w:val="center"/>
          </w:tcPr>
          <w:p w14:paraId="152852E9">
            <w:pPr>
              <w:keepNext w:val="0"/>
              <w:keepLines w:val="0"/>
              <w:widowControl/>
              <w:suppressLineNumbers w:val="0"/>
              <w:spacing w:line="240" w:lineRule="auto"/>
              <w:jc w:val="center"/>
              <w:textAlignment w:val="center"/>
              <w:outlineLvl w:val="9"/>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项目分类</w:t>
            </w:r>
          </w:p>
        </w:tc>
        <w:tc>
          <w:tcPr>
            <w:tcW w:w="2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A76AB2">
            <w:pPr>
              <w:keepNext w:val="0"/>
              <w:keepLines w:val="0"/>
              <w:widowControl/>
              <w:suppressLineNumbers w:val="0"/>
              <w:spacing w:line="240" w:lineRule="auto"/>
              <w:jc w:val="center"/>
              <w:textAlignment w:val="center"/>
              <w:outlineLvl w:val="9"/>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序号</w:t>
            </w:r>
          </w:p>
        </w:tc>
        <w:tc>
          <w:tcPr>
            <w:tcW w:w="30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CD79921">
            <w:pPr>
              <w:keepNext w:val="0"/>
              <w:keepLines w:val="0"/>
              <w:widowControl/>
              <w:suppressLineNumbers w:val="0"/>
              <w:spacing w:line="240" w:lineRule="auto"/>
              <w:jc w:val="center"/>
              <w:textAlignment w:val="center"/>
              <w:outlineLvl w:val="9"/>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违规行为</w:t>
            </w:r>
          </w:p>
        </w:tc>
        <w:tc>
          <w:tcPr>
            <w:tcW w:w="13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7DCD53">
            <w:pPr>
              <w:keepNext w:val="0"/>
              <w:keepLines w:val="0"/>
              <w:widowControl/>
              <w:suppressLineNumbers w:val="0"/>
              <w:spacing w:line="240" w:lineRule="auto"/>
              <w:jc w:val="center"/>
              <w:textAlignment w:val="center"/>
              <w:outlineLvl w:val="9"/>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处罚措施</w:t>
            </w:r>
          </w:p>
        </w:tc>
      </w:tr>
      <w:tr w14:paraId="034800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313"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633D2F9">
            <w:pPr>
              <w:keepNext w:val="0"/>
              <w:keepLines w:val="0"/>
              <w:widowControl/>
              <w:suppressLineNumbers w:val="0"/>
              <w:spacing w:line="240" w:lineRule="auto"/>
              <w:jc w:val="center"/>
              <w:textAlignment w:val="center"/>
              <w:outlineLvl w:val="9"/>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条款明细</w:t>
            </w:r>
          </w:p>
        </w:tc>
        <w:tc>
          <w:tcPr>
            <w:tcW w:w="26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C65850A">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30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3A3BD1E">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送货单上的废物名称错误、包装物重量错扣、重量错计、数字顺序错填、不同废物重量错调、数量单位写错、现场未与客户一一核对确认送货单数据造成客户漏签字或者代替客户签字、送货单涂改或底联不清晰等造成送货单数据异常引起纠纷后经确认属于运输人员原因造成的</w:t>
            </w:r>
          </w:p>
        </w:tc>
        <w:tc>
          <w:tcPr>
            <w:tcW w:w="136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4F936E0">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罚款300元/次</w:t>
            </w:r>
          </w:p>
        </w:tc>
      </w:tr>
      <w:tr w14:paraId="492F025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3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3924102">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26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5F76BA5">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w:t>
            </w:r>
          </w:p>
        </w:tc>
        <w:tc>
          <w:tcPr>
            <w:tcW w:w="30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EB905E1">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运输单位原因错扫、漏扫、迟扫联单，导致联单运输时间与实际运输时间不一致的；或者运输单位原因导致联单作废重新提交的。</w:t>
            </w:r>
          </w:p>
        </w:tc>
        <w:tc>
          <w:tcPr>
            <w:tcW w:w="136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AB68FDC">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罚款300元/次</w:t>
            </w:r>
          </w:p>
        </w:tc>
      </w:tr>
      <w:tr w14:paraId="3F69489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80" w:hRule="atLeast"/>
        </w:trPr>
        <w:tc>
          <w:tcPr>
            <w:tcW w:w="3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922210F">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26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8E69AD5">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3</w:t>
            </w:r>
          </w:p>
        </w:tc>
        <w:tc>
          <w:tcPr>
            <w:tcW w:w="30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6A23046">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运输人员操作不当导致废物</w:t>
            </w:r>
            <w:r>
              <w:rPr>
                <w:rFonts w:hint="eastAsia" w:ascii="宋体" w:hAnsi="宋体" w:cs="宋体"/>
                <w:i w:val="0"/>
                <w:iCs w:val="0"/>
                <w:color w:val="auto"/>
                <w:kern w:val="0"/>
                <w:sz w:val="20"/>
                <w:szCs w:val="20"/>
                <w:highlight w:val="none"/>
                <w:u w:val="none"/>
                <w:lang w:val="en-US" w:eastAsia="zh-CN" w:bidi="ar"/>
              </w:rPr>
              <w:t>泄漏</w:t>
            </w:r>
            <w:r>
              <w:rPr>
                <w:rFonts w:hint="eastAsia" w:ascii="宋体" w:hAnsi="宋体" w:eastAsia="宋体" w:cs="宋体"/>
                <w:i w:val="0"/>
                <w:iCs w:val="0"/>
                <w:color w:val="auto"/>
                <w:kern w:val="0"/>
                <w:sz w:val="20"/>
                <w:szCs w:val="20"/>
                <w:highlight w:val="none"/>
                <w:u w:val="none"/>
                <w:lang w:val="en-US" w:eastAsia="zh-CN" w:bidi="ar"/>
              </w:rPr>
              <w:t>或发生反应的：包括不限于收运前未检查废物包装、液位，包装物破损未及时发现，未按规范打包货装车，缠膜不牢导致废物倾倒，车辆防泄漏措施不当导致废物泄漏至路面。该异常现象发生的地点不限于采购人厂区、运输途中、采购人的客户厂区。</w:t>
            </w:r>
          </w:p>
        </w:tc>
        <w:tc>
          <w:tcPr>
            <w:tcW w:w="136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9DD915F">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罚款500元/次；</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造成环境污染事故的另行处罚；</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采购人的客户方有相关处罚规定并出具罚单的；</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以上情况择重者处罚</w:t>
            </w:r>
          </w:p>
        </w:tc>
      </w:tr>
      <w:tr w14:paraId="59623C7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60" w:hRule="atLeast"/>
        </w:trPr>
        <w:tc>
          <w:tcPr>
            <w:tcW w:w="3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41AFD77">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26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6E881A7">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4</w:t>
            </w:r>
          </w:p>
        </w:tc>
        <w:tc>
          <w:tcPr>
            <w:tcW w:w="30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C150087">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槽车运输前未清理罐内残留导致我司废物被污染，废物多项指标出现异常，处置成本上升或者有价废物贬值；废物在现场反应，存在安全隐患、或导致未遂事故、安全事故。</w:t>
            </w:r>
          </w:p>
        </w:tc>
        <w:tc>
          <w:tcPr>
            <w:tcW w:w="136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ACF8177">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1、污染：罚款500元并赔偿因废物指标异常导致的处置成本上涨和有价废物损失；</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2、反应：废物反应导致其他罚款或人身伤害的，需承担相关处罚，并承担相关行政、刑事处罚、民事责任。</w:t>
            </w:r>
          </w:p>
        </w:tc>
      </w:tr>
      <w:tr w14:paraId="5009DD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3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D1581F">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26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C90B6D3">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5</w:t>
            </w:r>
          </w:p>
        </w:tc>
        <w:tc>
          <w:tcPr>
            <w:tcW w:w="30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A8D716A">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采购人的客户提出合理收运时间，运输公司确认可按要求时间到达，但最终运输人员未按约定时间抵达，且又未与客户协商达成其他一致的收运时间，导致投诉的，经确认属实。</w:t>
            </w:r>
          </w:p>
        </w:tc>
        <w:tc>
          <w:tcPr>
            <w:tcW w:w="136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008D396">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罚款500元/次</w:t>
            </w:r>
          </w:p>
        </w:tc>
      </w:tr>
      <w:tr w14:paraId="357455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3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E00DF92">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26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359490F">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6</w:t>
            </w:r>
          </w:p>
        </w:tc>
        <w:tc>
          <w:tcPr>
            <w:tcW w:w="30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2EAE058">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运输单位原因导致采购人或者采购人的客户方的设备设施损坏，或者造成人员伤害的。</w:t>
            </w:r>
          </w:p>
        </w:tc>
        <w:tc>
          <w:tcPr>
            <w:tcW w:w="136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DBC39FB">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据实赔偿并加收罚款500元；采购人的客户方有相关处罚规定，并出具罚单的，择重者处罚。</w:t>
            </w:r>
          </w:p>
        </w:tc>
      </w:tr>
      <w:tr w14:paraId="5227741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3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81064F2">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26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6437722">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7</w:t>
            </w:r>
          </w:p>
        </w:tc>
        <w:tc>
          <w:tcPr>
            <w:tcW w:w="30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280336C">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运输作业人员在采购人或者采购人的客户厂内禁止吸烟区吸烟，被现场管理人员发现，并出具书面处罚通知。</w:t>
            </w:r>
          </w:p>
        </w:tc>
        <w:tc>
          <w:tcPr>
            <w:tcW w:w="136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4C11A3E">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罚款500元/人；</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采购人的客户有相关处罚规定，并出具罚单的，择重处罚。</w:t>
            </w:r>
          </w:p>
        </w:tc>
      </w:tr>
      <w:tr w14:paraId="4AC3FD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3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7BCC931">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26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8F7A1BA">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8</w:t>
            </w:r>
          </w:p>
        </w:tc>
        <w:tc>
          <w:tcPr>
            <w:tcW w:w="30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2B913F5">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运输作业人员在采购人或者采购人的客户厂区内未按现场管理要求佩戴劳保用品，被现场管理人员发现，并出具书面处罚通知。</w:t>
            </w:r>
          </w:p>
        </w:tc>
        <w:tc>
          <w:tcPr>
            <w:tcW w:w="136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A0617C3">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罚款200元/人；</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采购人的客户有相关处罚规定，并出具罚单的，择重处罚。</w:t>
            </w:r>
          </w:p>
        </w:tc>
      </w:tr>
      <w:tr w14:paraId="272B0F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3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8CFDF43">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26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C949722">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9</w:t>
            </w:r>
          </w:p>
        </w:tc>
        <w:tc>
          <w:tcPr>
            <w:tcW w:w="30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17960B7">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运输作业人员在采购人或者采购人的客户厂内未按限速规定行驶，被现场管理人员发现，并出具书面处罚通知。</w:t>
            </w:r>
          </w:p>
        </w:tc>
        <w:tc>
          <w:tcPr>
            <w:tcW w:w="136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08AC5B4">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罚款200元/人；</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采购人的客户有相关处罚规定，并出具罚单的，择重处罚。</w:t>
            </w:r>
          </w:p>
        </w:tc>
      </w:tr>
      <w:tr w14:paraId="44F3B92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3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0081209">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26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DB1F487">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10</w:t>
            </w:r>
          </w:p>
        </w:tc>
        <w:tc>
          <w:tcPr>
            <w:tcW w:w="30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87184F6">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除上述第6~9点外，运输作业人员在采购人或者采购人的客户厂内未遵守现场管理制度并引发投诉并出具罚单的其他情况。</w:t>
            </w:r>
          </w:p>
        </w:tc>
        <w:tc>
          <w:tcPr>
            <w:tcW w:w="136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15D1AB5">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每一单罚款500元；客户有相关处罚规定，并出具罚单的，择重处罚。</w:t>
            </w:r>
          </w:p>
        </w:tc>
      </w:tr>
      <w:tr w14:paraId="644D91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3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A97365B">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26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77334D4">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11</w:t>
            </w:r>
          </w:p>
        </w:tc>
        <w:tc>
          <w:tcPr>
            <w:tcW w:w="30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7067695">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运输作业人员私自</w:t>
            </w:r>
            <w:r>
              <w:rPr>
                <w:rFonts w:hint="eastAsia" w:ascii="宋体" w:hAnsi="宋体" w:cs="宋体"/>
                <w:i w:val="0"/>
                <w:iCs w:val="0"/>
                <w:color w:val="auto"/>
                <w:kern w:val="0"/>
                <w:sz w:val="20"/>
                <w:szCs w:val="20"/>
                <w:highlight w:val="none"/>
                <w:u w:val="none"/>
                <w:lang w:val="en-US" w:eastAsia="zh-CN" w:bidi="ar"/>
              </w:rPr>
              <w:t>变卖</w:t>
            </w:r>
            <w:r>
              <w:rPr>
                <w:rFonts w:hint="eastAsia" w:ascii="宋体" w:hAnsi="宋体" w:eastAsia="宋体" w:cs="宋体"/>
                <w:i w:val="0"/>
                <w:iCs w:val="0"/>
                <w:color w:val="auto"/>
                <w:kern w:val="0"/>
                <w:sz w:val="20"/>
                <w:szCs w:val="20"/>
                <w:highlight w:val="none"/>
                <w:u w:val="none"/>
                <w:lang w:val="en-US" w:eastAsia="zh-CN" w:bidi="ar"/>
              </w:rPr>
              <w:t>采购人有价物资，包括但不限于：委托运输的具有市场价值的废物、具有市场价值的包装物、具有市场价值的其他物资。</w:t>
            </w:r>
          </w:p>
        </w:tc>
        <w:tc>
          <w:tcPr>
            <w:tcW w:w="136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802A213">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等价赔偿并解除合同扣除履约</w:t>
            </w:r>
            <w:r>
              <w:rPr>
                <w:rFonts w:hint="eastAsia" w:ascii="宋体" w:hAnsi="宋体" w:cs="宋体"/>
                <w:i w:val="0"/>
                <w:iCs w:val="0"/>
                <w:color w:val="auto"/>
                <w:kern w:val="0"/>
                <w:sz w:val="20"/>
                <w:szCs w:val="20"/>
                <w:highlight w:val="none"/>
                <w:u w:val="none"/>
                <w:lang w:val="en-US" w:eastAsia="zh-CN" w:bidi="ar"/>
              </w:rPr>
              <w:t>保证</w:t>
            </w:r>
            <w:r>
              <w:rPr>
                <w:rFonts w:hint="eastAsia" w:ascii="宋体" w:hAnsi="宋体" w:eastAsia="宋体" w:cs="宋体"/>
                <w:i w:val="0"/>
                <w:iCs w:val="0"/>
                <w:color w:val="auto"/>
                <w:kern w:val="0"/>
                <w:sz w:val="20"/>
                <w:szCs w:val="20"/>
                <w:highlight w:val="none"/>
                <w:u w:val="none"/>
                <w:lang w:val="en-US" w:eastAsia="zh-CN" w:bidi="ar"/>
              </w:rPr>
              <w:t>金；情节严重的报警处理。</w:t>
            </w:r>
          </w:p>
        </w:tc>
      </w:tr>
      <w:tr w14:paraId="17C6598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3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B88349">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26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B0FBD22">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12</w:t>
            </w:r>
          </w:p>
        </w:tc>
        <w:tc>
          <w:tcPr>
            <w:tcW w:w="30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1C21660">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运输作业人员在收运现场发现未贴</w:t>
            </w:r>
            <w:r>
              <w:rPr>
                <w:rFonts w:hint="eastAsia" w:ascii="宋体" w:hAnsi="宋体" w:cs="宋体"/>
                <w:i w:val="0"/>
                <w:iCs w:val="0"/>
                <w:color w:val="auto"/>
                <w:kern w:val="0"/>
                <w:sz w:val="20"/>
                <w:szCs w:val="20"/>
                <w:highlight w:val="none"/>
                <w:u w:val="none"/>
                <w:lang w:val="en-US" w:eastAsia="zh-CN" w:bidi="ar"/>
              </w:rPr>
              <w:t>标识</w:t>
            </w:r>
            <w:r>
              <w:rPr>
                <w:rFonts w:hint="eastAsia" w:ascii="宋体" w:hAnsi="宋体" w:eastAsia="宋体" w:cs="宋体"/>
                <w:i w:val="0"/>
                <w:iCs w:val="0"/>
                <w:color w:val="auto"/>
                <w:kern w:val="0"/>
                <w:sz w:val="20"/>
                <w:szCs w:val="20"/>
                <w:highlight w:val="none"/>
                <w:u w:val="none"/>
                <w:lang w:val="en-US" w:eastAsia="zh-CN" w:bidi="ar"/>
              </w:rPr>
              <w:t>、标签的废物，须履行提醒和纠正的义务。未履行前述义务且未使用我司提供的标签填写清楚所收废物名称或采取其他措施进行标识废物，将未贴任何</w:t>
            </w:r>
            <w:r>
              <w:rPr>
                <w:rFonts w:hint="eastAsia" w:ascii="宋体" w:hAnsi="宋体" w:cs="宋体"/>
                <w:i w:val="0"/>
                <w:iCs w:val="0"/>
                <w:color w:val="auto"/>
                <w:kern w:val="0"/>
                <w:sz w:val="20"/>
                <w:szCs w:val="20"/>
                <w:highlight w:val="none"/>
                <w:u w:val="none"/>
                <w:lang w:val="en-US" w:eastAsia="zh-CN" w:bidi="ar"/>
              </w:rPr>
              <w:t>标识</w:t>
            </w:r>
            <w:r>
              <w:rPr>
                <w:rFonts w:hint="eastAsia" w:ascii="宋体" w:hAnsi="宋体" w:eastAsia="宋体" w:cs="宋体"/>
                <w:i w:val="0"/>
                <w:iCs w:val="0"/>
                <w:color w:val="auto"/>
                <w:kern w:val="0"/>
                <w:sz w:val="20"/>
                <w:szCs w:val="20"/>
                <w:highlight w:val="none"/>
                <w:u w:val="none"/>
                <w:lang w:val="en-US" w:eastAsia="zh-CN" w:bidi="ar"/>
              </w:rPr>
              <w:t>、标签的废物收运进入采购人厂区的。</w:t>
            </w:r>
          </w:p>
        </w:tc>
        <w:tc>
          <w:tcPr>
            <w:tcW w:w="136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B6EBFEB">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罚款200元/次；若最终因此发生退货时，由运输公司承担退货费用</w:t>
            </w:r>
          </w:p>
        </w:tc>
      </w:tr>
      <w:tr w14:paraId="390E5E5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3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0106DE">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26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424AEBA">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13</w:t>
            </w:r>
          </w:p>
        </w:tc>
        <w:tc>
          <w:tcPr>
            <w:tcW w:w="30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16CAC8B">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运输作业人员中途倾倒危险废物。</w:t>
            </w:r>
          </w:p>
        </w:tc>
        <w:tc>
          <w:tcPr>
            <w:tcW w:w="136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395B614">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报警处理并解除合同扣除履约</w:t>
            </w:r>
            <w:r>
              <w:rPr>
                <w:rFonts w:hint="eastAsia" w:ascii="宋体" w:hAnsi="宋体" w:cs="宋体"/>
                <w:i w:val="0"/>
                <w:iCs w:val="0"/>
                <w:color w:val="auto"/>
                <w:kern w:val="0"/>
                <w:sz w:val="20"/>
                <w:szCs w:val="20"/>
                <w:highlight w:val="none"/>
                <w:u w:val="none"/>
                <w:lang w:val="en-US" w:eastAsia="zh-CN" w:bidi="ar"/>
              </w:rPr>
              <w:t>保证</w:t>
            </w:r>
            <w:r>
              <w:rPr>
                <w:rFonts w:hint="eastAsia" w:ascii="宋体" w:hAnsi="宋体" w:eastAsia="宋体" w:cs="宋体"/>
                <w:i w:val="0"/>
                <w:iCs w:val="0"/>
                <w:color w:val="auto"/>
                <w:kern w:val="0"/>
                <w:sz w:val="20"/>
                <w:szCs w:val="20"/>
                <w:highlight w:val="none"/>
                <w:u w:val="none"/>
                <w:lang w:val="en-US" w:eastAsia="zh-CN" w:bidi="ar"/>
              </w:rPr>
              <w:t>金</w:t>
            </w:r>
          </w:p>
        </w:tc>
      </w:tr>
      <w:tr w14:paraId="15E559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3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1AE0F1">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26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9D6CA0E">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14</w:t>
            </w:r>
          </w:p>
        </w:tc>
        <w:tc>
          <w:tcPr>
            <w:tcW w:w="30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7F758FD">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运输作业人员未听从采购人现场调度人员、现场操作人员的指挥，未按要求装货、填写单据、未在指定的地点卸货，不按照要求携带包装物，或私自领取包装物。</w:t>
            </w:r>
          </w:p>
        </w:tc>
        <w:tc>
          <w:tcPr>
            <w:tcW w:w="136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A99CDFE">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Style w:val="89"/>
                <w:color w:val="auto"/>
                <w:sz w:val="20"/>
                <w:szCs w:val="20"/>
                <w:highlight w:val="none"/>
                <w:lang w:val="en-US" w:eastAsia="zh-CN" w:bidi="ar"/>
              </w:rPr>
              <w:t>罚款1000元/次</w:t>
            </w:r>
          </w:p>
        </w:tc>
      </w:tr>
      <w:tr w14:paraId="4017BE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3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665C56D">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26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B494322">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15</w:t>
            </w:r>
          </w:p>
        </w:tc>
        <w:tc>
          <w:tcPr>
            <w:tcW w:w="30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4933725">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危险货物运输车辆标识不全、无危险标志灯及危险货物标识牌。</w:t>
            </w:r>
          </w:p>
        </w:tc>
        <w:tc>
          <w:tcPr>
            <w:tcW w:w="136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D9612D4">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罚款300元/车</w:t>
            </w:r>
          </w:p>
        </w:tc>
      </w:tr>
      <w:tr w14:paraId="42080E1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3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54AA839">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26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2D7EFBC">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16</w:t>
            </w:r>
          </w:p>
        </w:tc>
        <w:tc>
          <w:tcPr>
            <w:tcW w:w="30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4A8D696">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未安装防火罩、无导静电胶条或胶条未触地的。危险货物车辆技术等级未达到一级、未在检验有效期内的。危险货物运输车辆未配置相应的消防应急设施；消防应急设施未定期检查、保养、未在有效期限内的。</w:t>
            </w:r>
          </w:p>
        </w:tc>
        <w:tc>
          <w:tcPr>
            <w:tcW w:w="136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5CA51B6">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Style w:val="89"/>
                <w:color w:val="auto"/>
                <w:sz w:val="20"/>
                <w:szCs w:val="20"/>
                <w:highlight w:val="none"/>
                <w:lang w:val="en-US" w:eastAsia="zh-CN" w:bidi="ar"/>
              </w:rPr>
              <w:t>罚款1000元/车</w:t>
            </w:r>
          </w:p>
        </w:tc>
      </w:tr>
      <w:tr w14:paraId="66B850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3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6B2E39C">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26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CBC8299">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17</w:t>
            </w:r>
          </w:p>
        </w:tc>
        <w:tc>
          <w:tcPr>
            <w:tcW w:w="30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C418B76">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运输作业人员未持证上岗或所持资格证过期失效的。</w:t>
            </w:r>
          </w:p>
        </w:tc>
        <w:tc>
          <w:tcPr>
            <w:tcW w:w="136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D3B5D02">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罚款1000元/人</w:t>
            </w:r>
          </w:p>
        </w:tc>
      </w:tr>
      <w:tr w14:paraId="1D695C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3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5BC8760">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26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C3185B4">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18</w:t>
            </w:r>
          </w:p>
        </w:tc>
        <w:tc>
          <w:tcPr>
            <w:tcW w:w="30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F7ABBBF">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车辆无危险货物运输许可证或证件过期失效的。</w:t>
            </w:r>
          </w:p>
        </w:tc>
        <w:tc>
          <w:tcPr>
            <w:tcW w:w="136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CFC91C2">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罚款2000元/车</w:t>
            </w:r>
          </w:p>
        </w:tc>
      </w:tr>
      <w:tr w14:paraId="157618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3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07615ED">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26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52C7B7E">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19</w:t>
            </w:r>
          </w:p>
        </w:tc>
        <w:tc>
          <w:tcPr>
            <w:tcW w:w="304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304F0A5">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收到同一个客户连续2次及以上投诉。</w:t>
            </w:r>
          </w:p>
        </w:tc>
        <w:tc>
          <w:tcPr>
            <w:tcW w:w="136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E42BD82">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罚款5000元/次</w:t>
            </w:r>
          </w:p>
        </w:tc>
      </w:tr>
      <w:tr w14:paraId="2B50594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3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52282F">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26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68A05E2">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20</w:t>
            </w:r>
          </w:p>
        </w:tc>
        <w:tc>
          <w:tcPr>
            <w:tcW w:w="30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F6EC26">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非因不可抗力因素（包括气象灾害、地质灾害、行政措施/管制、社会异常事件、战争）不安排车辆，或者无理由超时回复派车需求的，视为跳单。</w:t>
            </w:r>
          </w:p>
        </w:tc>
        <w:tc>
          <w:tcPr>
            <w:tcW w:w="136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495B13B">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按采购文件约定处罚条款进行处罚</w:t>
            </w:r>
          </w:p>
        </w:tc>
      </w:tr>
      <w:tr w14:paraId="64B9CB3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3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283E30">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26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54A1EA1">
            <w:pPr>
              <w:keepNext w:val="0"/>
              <w:keepLines w:val="0"/>
              <w:widowControl/>
              <w:suppressLineNumbers w:val="0"/>
              <w:spacing w:line="240" w:lineRule="auto"/>
              <w:jc w:val="center"/>
              <w:textAlignment w:val="center"/>
              <w:outlineLvl w:val="9"/>
              <w:rPr>
                <w:rFonts w:hint="default" w:ascii="宋体" w:hAnsi="宋体" w:eastAsia="宋体" w:cs="宋体"/>
                <w:i w:val="0"/>
                <w:iCs w:val="0"/>
                <w:color w:val="auto"/>
                <w:kern w:val="0"/>
                <w:sz w:val="20"/>
                <w:szCs w:val="20"/>
                <w:highlight w:val="none"/>
                <w:u w:val="none"/>
                <w:lang w:val="en-US" w:eastAsia="zh-CN" w:bidi="ar"/>
              </w:rPr>
            </w:pPr>
            <w:r>
              <w:rPr>
                <w:rFonts w:hint="eastAsia" w:ascii="宋体" w:hAnsi="宋体" w:cs="宋体"/>
                <w:i w:val="0"/>
                <w:iCs w:val="0"/>
                <w:color w:val="auto"/>
                <w:kern w:val="0"/>
                <w:sz w:val="20"/>
                <w:szCs w:val="20"/>
                <w:highlight w:val="none"/>
                <w:u w:val="none"/>
                <w:lang w:val="en-US" w:eastAsia="zh-CN" w:bidi="ar"/>
              </w:rPr>
              <w:t>21</w:t>
            </w:r>
          </w:p>
        </w:tc>
        <w:tc>
          <w:tcPr>
            <w:tcW w:w="30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B49524">
            <w:pPr>
              <w:keepNext w:val="0"/>
              <w:keepLines w:val="0"/>
              <w:widowControl/>
              <w:suppressLineNumbers w:val="0"/>
              <w:spacing w:line="240" w:lineRule="auto"/>
              <w:jc w:val="center"/>
              <w:textAlignment w:val="center"/>
              <w:rPr>
                <w:rFonts w:hint="eastAsia" w:ascii="宋体" w:hAnsi="宋体" w:eastAsia="宋体" w:cs="宋体"/>
                <w:i w:val="0"/>
                <w:iCs w:val="0"/>
                <w:color w:val="auto"/>
                <w:kern w:val="0"/>
                <w:sz w:val="20"/>
                <w:szCs w:val="20"/>
                <w:highlight w:val="none"/>
                <w:u w:val="none"/>
                <w:lang w:val="en-US" w:eastAsia="zh-CN" w:bidi="ar"/>
              </w:rPr>
            </w:pPr>
            <w:r>
              <w:rPr>
                <w:rFonts w:hint="eastAsia" w:ascii="宋体" w:hAnsi="宋体" w:eastAsia="宋体" w:cs="宋体"/>
                <w:i w:val="0"/>
                <w:iCs w:val="0"/>
                <w:color w:val="auto"/>
                <w:kern w:val="0"/>
                <w:sz w:val="20"/>
                <w:szCs w:val="20"/>
                <w:highlight w:val="none"/>
                <w:u w:val="none"/>
                <w:lang w:val="en-US" w:eastAsia="zh-CN" w:bidi="ar"/>
              </w:rPr>
              <w:t>服务期间在信用中国上查询到运输公司有不良记录的</w:t>
            </w:r>
          </w:p>
        </w:tc>
        <w:tc>
          <w:tcPr>
            <w:tcW w:w="1367"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CBA0AA3">
            <w:pPr>
              <w:keepNext w:val="0"/>
              <w:keepLines w:val="0"/>
              <w:widowControl/>
              <w:suppressLineNumbers w:val="0"/>
              <w:spacing w:line="240" w:lineRule="auto"/>
              <w:jc w:val="center"/>
              <w:textAlignment w:val="center"/>
              <w:rPr>
                <w:rFonts w:hint="eastAsia" w:ascii="宋体" w:hAnsi="宋体" w:eastAsia="宋体" w:cs="宋体"/>
                <w:b/>
                <w:bCs/>
                <w:i w:val="0"/>
                <w:iCs w:val="0"/>
                <w:color w:val="auto"/>
                <w:kern w:val="0"/>
                <w:sz w:val="20"/>
                <w:szCs w:val="20"/>
                <w:highlight w:val="none"/>
                <w:u w:val="none"/>
                <w:lang w:val="en-US" w:eastAsia="zh-CN" w:bidi="ar"/>
              </w:rPr>
            </w:pPr>
            <w:r>
              <w:rPr>
                <w:rFonts w:hint="eastAsia" w:ascii="宋体" w:hAnsi="宋体" w:eastAsia="宋体" w:cs="宋体"/>
                <w:b/>
                <w:bCs/>
                <w:i w:val="0"/>
                <w:iCs w:val="0"/>
                <w:color w:val="auto"/>
                <w:kern w:val="0"/>
                <w:sz w:val="20"/>
                <w:szCs w:val="20"/>
                <w:highlight w:val="none"/>
                <w:u w:val="none"/>
                <w:lang w:val="en-US" w:eastAsia="zh-CN" w:bidi="ar"/>
              </w:rPr>
              <w:t>解除合同扣除履约</w:t>
            </w:r>
            <w:r>
              <w:rPr>
                <w:rFonts w:hint="eastAsia" w:ascii="宋体" w:hAnsi="宋体" w:cs="宋体"/>
                <w:b/>
                <w:bCs/>
                <w:i w:val="0"/>
                <w:iCs w:val="0"/>
                <w:color w:val="auto"/>
                <w:kern w:val="0"/>
                <w:sz w:val="20"/>
                <w:szCs w:val="20"/>
                <w:highlight w:val="none"/>
                <w:u w:val="none"/>
                <w:lang w:val="en-US" w:eastAsia="zh-CN" w:bidi="ar"/>
              </w:rPr>
              <w:t>保证</w:t>
            </w:r>
            <w:r>
              <w:rPr>
                <w:rFonts w:hint="eastAsia" w:ascii="宋体" w:hAnsi="宋体" w:eastAsia="宋体" w:cs="宋体"/>
                <w:b/>
                <w:bCs/>
                <w:i w:val="0"/>
                <w:iCs w:val="0"/>
                <w:color w:val="auto"/>
                <w:kern w:val="0"/>
                <w:sz w:val="20"/>
                <w:szCs w:val="20"/>
                <w:highlight w:val="none"/>
                <w:u w:val="none"/>
                <w:lang w:val="en-US" w:eastAsia="zh-CN" w:bidi="ar"/>
              </w:rPr>
              <w:t>金</w:t>
            </w:r>
          </w:p>
        </w:tc>
      </w:tr>
      <w:tr w14:paraId="15A74B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2" w:hRule="atLeast"/>
        </w:trPr>
        <w:tc>
          <w:tcPr>
            <w:tcW w:w="3632" w:type="pct"/>
            <w:gridSpan w:val="3"/>
            <w:tcBorders>
              <w:top w:val="nil"/>
              <w:left w:val="nil"/>
              <w:bottom w:val="nil"/>
              <w:right w:val="nil"/>
            </w:tcBorders>
            <w:shd w:val="clear" w:color="auto" w:fill="auto"/>
            <w:vAlign w:val="center"/>
          </w:tcPr>
          <w:p w14:paraId="0D39E606">
            <w:pPr>
              <w:keepNext w:val="0"/>
              <w:keepLines w:val="0"/>
              <w:widowControl/>
              <w:suppressLineNumbers w:val="0"/>
              <w:spacing w:line="240" w:lineRule="auto"/>
              <w:jc w:val="left"/>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我司确认上述条款内容无误，如发生违规行为，愿按照上述条款执行！</w:t>
            </w:r>
          </w:p>
        </w:tc>
        <w:tc>
          <w:tcPr>
            <w:tcW w:w="1367" w:type="pct"/>
            <w:tcBorders>
              <w:top w:val="nil"/>
              <w:left w:val="nil"/>
              <w:bottom w:val="nil"/>
              <w:right w:val="nil"/>
            </w:tcBorders>
            <w:shd w:val="clear" w:color="auto" w:fill="auto"/>
            <w:vAlign w:val="center"/>
          </w:tcPr>
          <w:p w14:paraId="7C82C1FF">
            <w:pPr>
              <w:spacing w:line="240" w:lineRule="auto"/>
              <w:jc w:val="center"/>
              <w:outlineLvl w:val="9"/>
              <w:rPr>
                <w:rFonts w:hint="eastAsia" w:ascii="宋体" w:hAnsi="宋体" w:eastAsia="宋体" w:cs="宋体"/>
                <w:i w:val="0"/>
                <w:iCs w:val="0"/>
                <w:color w:val="auto"/>
                <w:sz w:val="20"/>
                <w:szCs w:val="20"/>
                <w:highlight w:val="none"/>
                <w:u w:val="none"/>
              </w:rPr>
            </w:pPr>
          </w:p>
        </w:tc>
      </w:tr>
      <w:tr w14:paraId="3FA4C88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1" w:hRule="atLeast"/>
        </w:trPr>
        <w:tc>
          <w:tcPr>
            <w:tcW w:w="3632" w:type="pct"/>
            <w:gridSpan w:val="3"/>
            <w:tcBorders>
              <w:top w:val="nil"/>
              <w:left w:val="nil"/>
              <w:bottom w:val="nil"/>
              <w:right w:val="nil"/>
            </w:tcBorders>
            <w:shd w:val="clear" w:color="auto" w:fill="auto"/>
            <w:vAlign w:val="center"/>
          </w:tcPr>
          <w:p w14:paraId="011759F1">
            <w:pPr>
              <w:keepNext w:val="0"/>
              <w:keepLines w:val="0"/>
              <w:widowControl/>
              <w:suppressLineNumbers w:val="0"/>
              <w:spacing w:line="240" w:lineRule="auto"/>
              <w:jc w:val="left"/>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运输单位签字（盖章）/日期：</w:t>
            </w:r>
          </w:p>
        </w:tc>
        <w:tc>
          <w:tcPr>
            <w:tcW w:w="1367" w:type="pct"/>
            <w:tcBorders>
              <w:top w:val="nil"/>
              <w:left w:val="nil"/>
              <w:bottom w:val="nil"/>
              <w:right w:val="nil"/>
            </w:tcBorders>
            <w:shd w:val="clear" w:color="auto" w:fill="auto"/>
            <w:vAlign w:val="center"/>
          </w:tcPr>
          <w:p w14:paraId="761BD9E1">
            <w:pPr>
              <w:spacing w:line="240" w:lineRule="auto"/>
              <w:jc w:val="center"/>
              <w:outlineLvl w:val="9"/>
              <w:rPr>
                <w:rFonts w:hint="eastAsia" w:ascii="宋体" w:hAnsi="宋体" w:eastAsia="宋体" w:cs="宋体"/>
                <w:i w:val="0"/>
                <w:iCs w:val="0"/>
                <w:color w:val="auto"/>
                <w:sz w:val="20"/>
                <w:szCs w:val="20"/>
                <w:highlight w:val="none"/>
                <w:u w:val="none"/>
              </w:rPr>
            </w:pPr>
          </w:p>
        </w:tc>
      </w:tr>
    </w:tbl>
    <w:p w14:paraId="27420427">
      <w:pP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br w:type="page"/>
      </w:r>
    </w:p>
    <w:bookmarkEnd w:id="48"/>
    <w:bookmarkEnd w:id="49"/>
    <w:bookmarkEnd w:id="50"/>
    <w:bookmarkEnd w:id="51"/>
    <w:bookmarkEnd w:id="52"/>
    <w:bookmarkEnd w:id="53"/>
    <w:bookmarkEnd w:id="54"/>
    <w:bookmarkEnd w:id="55"/>
    <w:bookmarkEnd w:id="56"/>
    <w:bookmarkEnd w:id="57"/>
    <w:bookmarkEnd w:id="58"/>
    <w:bookmarkEnd w:id="59"/>
    <w:bookmarkEnd w:id="60"/>
    <w:p w14:paraId="202EFF32">
      <w:pPr>
        <w:keepNext w:val="0"/>
        <w:keepLines w:val="0"/>
        <w:pageBreakBefore w:val="0"/>
        <w:widowControl w:val="0"/>
        <w:kinsoku/>
        <w:wordWrap/>
        <w:overflowPunct/>
        <w:topLinePunct w:val="0"/>
        <w:autoSpaceDE/>
        <w:autoSpaceDN/>
        <w:bidi w:val="0"/>
        <w:adjustRightInd/>
        <w:snapToGrid/>
        <w:spacing w:line="360" w:lineRule="auto"/>
        <w:jc w:val="left"/>
        <w:textAlignment w:val="auto"/>
        <w:outlineLvl w:val="9"/>
        <w:rPr>
          <w:rFonts w:hint="eastAsia" w:ascii="宋体" w:hAnsi="宋体" w:eastAsia="宋体" w:cs="宋体"/>
          <w:b/>
          <w:color w:val="auto"/>
          <w:szCs w:val="21"/>
          <w:highlight w:val="none"/>
          <w:lang w:val="en-US" w:eastAsia="zh-CN"/>
        </w:rPr>
      </w:pPr>
      <w:bookmarkStart w:id="61" w:name="_Toc19343"/>
      <w:bookmarkStart w:id="62" w:name="_Toc22472"/>
      <w:bookmarkStart w:id="63" w:name="_Toc22179"/>
      <w:bookmarkStart w:id="64" w:name="_Toc30579"/>
      <w:bookmarkStart w:id="65" w:name="_Toc6857"/>
      <w:bookmarkStart w:id="66" w:name="_Toc281"/>
      <w:bookmarkStart w:id="67" w:name="_Toc18"/>
      <w:bookmarkStart w:id="68" w:name="_Toc5020"/>
      <w:bookmarkStart w:id="69" w:name="_Toc14141"/>
      <w:bookmarkStart w:id="70" w:name="_Toc11942"/>
      <w:bookmarkStart w:id="71" w:name="_Toc31987"/>
      <w:bookmarkStart w:id="72" w:name="_Toc20765"/>
      <w:bookmarkStart w:id="73" w:name="_Toc1558"/>
      <w:r>
        <w:rPr>
          <w:rFonts w:hint="eastAsia" w:ascii="宋体" w:hAnsi="宋体" w:eastAsia="宋体" w:cs="宋体"/>
          <w:b/>
          <w:color w:val="auto"/>
          <w:sz w:val="21"/>
          <w:szCs w:val="21"/>
          <w:highlight w:val="none"/>
        </w:rPr>
        <w:t>技术需求书</w:t>
      </w:r>
      <w:r>
        <w:rPr>
          <w:rFonts w:hint="eastAsia" w:ascii="宋体" w:hAnsi="宋体" w:eastAsia="宋体" w:cs="宋体"/>
          <w:b/>
          <w:color w:val="auto"/>
          <w:szCs w:val="21"/>
          <w:highlight w:val="none"/>
        </w:rPr>
        <w:t>附件</w:t>
      </w:r>
      <w:r>
        <w:rPr>
          <w:rFonts w:hint="eastAsia" w:ascii="宋体" w:hAnsi="宋体" w:cs="宋体"/>
          <w:b/>
          <w:color w:val="auto"/>
          <w:szCs w:val="21"/>
          <w:highlight w:val="none"/>
          <w:lang w:val="en-US" w:eastAsia="zh-CN"/>
        </w:rPr>
        <w:t>6</w:t>
      </w:r>
      <w:r>
        <w:rPr>
          <w:rFonts w:hint="eastAsia" w:ascii="宋体" w:hAnsi="宋体" w:eastAsia="宋体" w:cs="宋体"/>
          <w:b/>
          <w:color w:val="auto"/>
          <w:szCs w:val="21"/>
          <w:highlight w:val="none"/>
          <w:lang w:val="en-US" w:eastAsia="zh-CN"/>
        </w:rPr>
        <w:t>：</w:t>
      </w:r>
      <w:r>
        <w:rPr>
          <w:rFonts w:hint="eastAsia" w:ascii="宋体" w:hAnsi="宋体" w:eastAsia="宋体" w:cs="宋体"/>
          <w:b/>
          <w:color w:val="auto"/>
          <w:szCs w:val="21"/>
          <w:highlight w:val="none"/>
        </w:rPr>
        <w:t>《</w:t>
      </w:r>
      <w:r>
        <w:rPr>
          <w:rFonts w:hint="eastAsia" w:ascii="宋体" w:hAnsi="宋体" w:eastAsia="宋体" w:cs="宋体"/>
          <w:b/>
          <w:color w:val="auto"/>
          <w:szCs w:val="21"/>
          <w:highlight w:val="none"/>
          <w:lang w:val="en-US" w:eastAsia="zh-CN"/>
        </w:rPr>
        <w:t>运输商季度考核评分表》</w:t>
      </w:r>
      <w:bookmarkEnd w:id="61"/>
      <w:bookmarkEnd w:id="62"/>
      <w:bookmarkEnd w:id="63"/>
      <w:bookmarkEnd w:id="64"/>
      <w:bookmarkEnd w:id="65"/>
      <w:bookmarkEnd w:id="66"/>
      <w:bookmarkEnd w:id="67"/>
      <w:bookmarkEnd w:id="68"/>
      <w:bookmarkEnd w:id="69"/>
      <w:bookmarkEnd w:id="70"/>
      <w:bookmarkEnd w:id="71"/>
      <w:bookmarkEnd w:id="72"/>
      <w:bookmarkEnd w:id="73"/>
    </w:p>
    <w:p w14:paraId="1B84D8A4">
      <w:pPr>
        <w:jc w:val="left"/>
        <w:outlineLvl w:val="9"/>
        <w:rPr>
          <w:rFonts w:hint="eastAsia" w:cs="Times New Roman"/>
          <w:b/>
          <w:color w:val="auto"/>
          <w:szCs w:val="21"/>
          <w:highlight w:val="none"/>
          <w:lang w:val="en-US" w:eastAsia="zh-CN"/>
        </w:rPr>
      </w:pPr>
      <w:r>
        <w:rPr>
          <w:rFonts w:hint="eastAsia" w:ascii="方正小标宋简体" w:hAnsi="方正小标宋简体" w:eastAsia="方正小标宋简体" w:cs="方正小标宋简体"/>
          <w:color w:val="auto"/>
          <w:sz w:val="28"/>
          <w:szCs w:val="22"/>
          <w:highlight w:val="none"/>
          <w:lang w:val="en-US"/>
        </w:rPr>
        <w:drawing>
          <wp:inline distT="0" distB="0" distL="114300" distR="114300">
            <wp:extent cx="1275080" cy="429895"/>
            <wp:effectExtent l="0" t="0" r="1270" b="0"/>
            <wp:docPr id="8" name="图片 8" descr="东实环境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东实环境logo"/>
                    <pic:cNvPicPr>
                      <a:picLocks noChangeAspect="1"/>
                    </pic:cNvPicPr>
                  </pic:nvPicPr>
                  <pic:blipFill>
                    <a:blip r:embed="rId16"/>
                    <a:stretch>
                      <a:fillRect/>
                    </a:stretch>
                  </pic:blipFill>
                  <pic:spPr>
                    <a:xfrm>
                      <a:off x="0" y="0"/>
                      <a:ext cx="1275080" cy="429895"/>
                    </a:xfrm>
                    <a:prstGeom prst="rect">
                      <a:avLst/>
                    </a:prstGeom>
                    <a:noFill/>
                    <a:ln>
                      <a:noFill/>
                    </a:ln>
                  </pic:spPr>
                </pic:pic>
              </a:graphicData>
            </a:graphic>
          </wp:inline>
        </w:drawing>
      </w:r>
    </w:p>
    <w:tbl>
      <w:tblPr>
        <w:tblStyle w:val="30"/>
        <w:tblW w:w="4998" w:type="pct"/>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108" w:type="dxa"/>
          <w:bottom w:w="0" w:type="dxa"/>
          <w:right w:w="108" w:type="dxa"/>
        </w:tblCellMar>
      </w:tblPr>
      <w:tblGrid>
        <w:gridCol w:w="426"/>
        <w:gridCol w:w="396"/>
        <w:gridCol w:w="256"/>
        <w:gridCol w:w="3736"/>
        <w:gridCol w:w="939"/>
        <w:gridCol w:w="486"/>
        <w:gridCol w:w="397"/>
        <w:gridCol w:w="1883"/>
      </w:tblGrid>
      <w:tr w14:paraId="2A6C4B3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614" w:hRule="atLeast"/>
          <w:jc w:val="center"/>
        </w:trPr>
        <w:tc>
          <w:tcPr>
            <w:tcW w:w="5000" w:type="pct"/>
            <w:gridSpan w:val="8"/>
            <w:noWrap w:val="0"/>
            <w:vAlign w:val="center"/>
          </w:tcPr>
          <w:p w14:paraId="5D71E52D">
            <w:pPr>
              <w:spacing w:line="240" w:lineRule="auto"/>
              <w:jc w:val="center"/>
              <w:outlineLvl w:val="9"/>
              <w:rPr>
                <w:rFonts w:hint="eastAsia" w:ascii="方正小标宋简体" w:hAnsi="方正小标宋简体" w:eastAsia="方正小标宋简体" w:cs="方正小标宋简体"/>
                <w:color w:val="auto"/>
                <w:sz w:val="28"/>
                <w:szCs w:val="28"/>
                <w:highlight w:val="none"/>
              </w:rPr>
            </w:pPr>
            <w:r>
              <w:rPr>
                <w:rFonts w:hint="eastAsia" w:ascii="方正小标宋简体" w:hAnsi="方正小标宋简体" w:eastAsia="方正小标宋简体" w:cs="方正小标宋简体"/>
                <w:color w:val="auto"/>
                <w:sz w:val="28"/>
                <w:szCs w:val="28"/>
                <w:highlight w:val="none"/>
                <w:lang w:val="en-US"/>
              </w:rPr>
              <w:t>东莞市新东欣环保投资</w:t>
            </w:r>
            <w:r>
              <w:rPr>
                <w:rFonts w:hint="eastAsia" w:ascii="方正小标宋简体" w:hAnsi="方正小标宋简体" w:eastAsia="方正小标宋简体" w:cs="方正小标宋简体"/>
                <w:color w:val="auto"/>
                <w:sz w:val="28"/>
                <w:szCs w:val="28"/>
                <w:highlight w:val="none"/>
              </w:rPr>
              <w:t>有限公司</w:t>
            </w:r>
          </w:p>
          <w:p w14:paraId="2CAD6DAE">
            <w:pPr>
              <w:spacing w:line="240" w:lineRule="auto"/>
              <w:jc w:val="center"/>
              <w:outlineLvl w:val="9"/>
              <w:rPr>
                <w:rFonts w:eastAsia="宋体" w:cs="Arial"/>
                <w:color w:val="auto"/>
                <w:sz w:val="18"/>
                <w:szCs w:val="18"/>
                <w:highlight w:val="none"/>
                <w:lang w:val="fr-FR"/>
              </w:rPr>
            </w:pPr>
            <w:r>
              <w:rPr>
                <w:rFonts w:ascii="Times New Roman" w:hAnsi="Times New Roman" w:eastAsia="宋体"/>
                <w:color w:val="auto"/>
                <w:sz w:val="18"/>
                <w:szCs w:val="18"/>
                <w:highlight w:val="none"/>
                <w:lang w:val="en-US"/>
              </w:rPr>
              <w:t>Dongguan Xin Dongxin Environmental Protection Investment</w:t>
            </w:r>
            <w:r>
              <w:rPr>
                <w:rFonts w:ascii="Times New Roman" w:hAnsi="Times New Roman" w:eastAsia="宋体"/>
                <w:color w:val="auto"/>
                <w:sz w:val="18"/>
                <w:szCs w:val="18"/>
                <w:highlight w:val="none"/>
                <w:lang w:val="fr-FR"/>
              </w:rPr>
              <w:t xml:space="preserve"> Co., Ltd.</w:t>
            </w:r>
          </w:p>
        </w:tc>
      </w:tr>
      <w:tr w14:paraId="0EE86C9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87" w:hRule="atLeast"/>
          <w:jc w:val="center"/>
        </w:trPr>
        <w:tc>
          <w:tcPr>
            <w:tcW w:w="5000" w:type="pct"/>
            <w:gridSpan w:val="8"/>
            <w:noWrap w:val="0"/>
            <w:vAlign w:val="center"/>
          </w:tcPr>
          <w:p w14:paraId="661DD202">
            <w:pPr>
              <w:spacing w:line="240" w:lineRule="auto"/>
              <w:jc w:val="center"/>
              <w:outlineLvl w:val="9"/>
              <w:rPr>
                <w:rFonts w:ascii="Times New Roman" w:hAnsi="Times New Roman" w:eastAsia="宋体"/>
                <w:color w:val="auto"/>
                <w:sz w:val="18"/>
                <w:szCs w:val="18"/>
                <w:highlight w:val="none"/>
                <w:lang w:val="en-US"/>
              </w:rPr>
            </w:pPr>
            <w:r>
              <w:rPr>
                <w:rFonts w:hint="eastAsia" w:ascii="宋体" w:hAnsi="宋体" w:eastAsia="宋体"/>
                <w:color w:val="auto"/>
                <w:sz w:val="21"/>
                <w:szCs w:val="21"/>
                <w:highlight w:val="none"/>
              </w:rPr>
              <w:t>运输商季度考核评分表</w:t>
            </w:r>
          </w:p>
        </w:tc>
      </w:tr>
      <w:tr w14:paraId="4D639BE6">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375" w:hRule="atLeast"/>
          <w:jc w:val="center"/>
        </w:trPr>
        <w:tc>
          <w:tcPr>
            <w:tcW w:w="633" w:type="pct"/>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68E6CC17">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考核目的</w:t>
            </w:r>
          </w:p>
        </w:tc>
        <w:tc>
          <w:tcPr>
            <w:tcW w:w="4366" w:type="pct"/>
            <w:gridSpan w:val="5"/>
            <w:tcBorders>
              <w:top w:val="single" w:color="auto" w:sz="4" w:space="0"/>
              <w:left w:val="single" w:color="auto" w:sz="4" w:space="0"/>
              <w:bottom w:val="single" w:color="auto" w:sz="4" w:space="0"/>
              <w:right w:val="single" w:color="auto" w:sz="4" w:space="0"/>
            </w:tcBorders>
            <w:shd w:val="clear" w:color="auto" w:fill="FFFFFF"/>
            <w:noWrap w:val="0"/>
            <w:vAlign w:val="center"/>
          </w:tcPr>
          <w:p w14:paraId="296D23D4">
            <w:pPr>
              <w:overflowPunct/>
              <w:autoSpaceDE/>
              <w:autoSpaceDN/>
              <w:adjustRightInd/>
              <w:spacing w:line="320" w:lineRule="exact"/>
              <w:ind w:right="-380" w:rightChars="-181"/>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为规范运输商管理，督促运输商提高运输服务质量制定本考核评分表；</w:t>
            </w:r>
          </w:p>
        </w:tc>
      </w:tr>
      <w:tr w14:paraId="421C47E6">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375" w:hRule="atLeast"/>
          <w:jc w:val="center"/>
        </w:trPr>
        <w:tc>
          <w:tcPr>
            <w:tcW w:w="633" w:type="pct"/>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619A60A2">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考核分级</w:t>
            </w:r>
          </w:p>
        </w:tc>
        <w:tc>
          <w:tcPr>
            <w:tcW w:w="4366" w:type="pct"/>
            <w:gridSpan w:val="5"/>
            <w:tcBorders>
              <w:top w:val="single" w:color="auto" w:sz="4" w:space="0"/>
              <w:left w:val="single" w:color="auto" w:sz="4" w:space="0"/>
              <w:bottom w:val="single" w:color="auto" w:sz="4" w:space="0"/>
              <w:right w:val="single" w:color="auto" w:sz="4" w:space="0"/>
            </w:tcBorders>
            <w:shd w:val="clear" w:color="auto" w:fill="FFFFFF"/>
            <w:noWrap w:val="0"/>
            <w:vAlign w:val="center"/>
          </w:tcPr>
          <w:p w14:paraId="1762A0EA">
            <w:pPr>
              <w:overflowPunct/>
              <w:autoSpaceDE/>
              <w:adjustRightInd/>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总体评分</w:t>
            </w:r>
          </w:p>
          <w:p w14:paraId="4ADA4306">
            <w:pPr>
              <w:overflowPunct/>
              <w:autoSpaceDE/>
              <w:adjustRightInd/>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A级：考评得分＞80分</w:t>
            </w:r>
          </w:p>
          <w:p w14:paraId="0D602BB4">
            <w:pPr>
              <w:overflowPunct/>
              <w:autoSpaceDE/>
              <w:adjustRightInd/>
              <w:rPr>
                <w:rFonts w:hint="eastAsia" w:ascii="宋体" w:hAnsi="宋体" w:eastAsia="宋体" w:cs="宋体"/>
                <w:color w:val="auto"/>
                <w:sz w:val="18"/>
                <w:szCs w:val="18"/>
                <w:highlight w:val="none"/>
                <w:lang w:val="en-US"/>
              </w:rPr>
            </w:pPr>
            <w:r>
              <w:rPr>
                <w:rFonts w:ascii="宋体" w:hAnsi="宋体" w:eastAsia="宋体" w:cs="宋体"/>
                <w:color w:val="auto"/>
                <w:sz w:val="18"/>
                <w:szCs w:val="18"/>
                <w:highlight w:val="none"/>
                <w:lang w:val="en-US"/>
              </w:rPr>
              <w:t>B</w:t>
            </w:r>
            <w:r>
              <w:rPr>
                <w:rFonts w:hint="eastAsia" w:ascii="宋体" w:hAnsi="宋体" w:eastAsia="宋体" w:cs="宋体"/>
                <w:color w:val="auto"/>
                <w:sz w:val="18"/>
                <w:szCs w:val="18"/>
                <w:highlight w:val="none"/>
                <w:lang w:val="en-US"/>
              </w:rPr>
              <w:t>级：70分＜考评得分≤80分</w:t>
            </w:r>
          </w:p>
          <w:p w14:paraId="3E467431">
            <w:pPr>
              <w:overflowPunct/>
              <w:autoSpaceDE/>
              <w:autoSpaceDN/>
              <w:adjustRightInd/>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color w:val="auto"/>
                <w:sz w:val="18"/>
                <w:szCs w:val="18"/>
                <w:highlight w:val="none"/>
                <w:lang w:val="en-US"/>
              </w:rPr>
              <w:t>C级：考评得分≤70分</w:t>
            </w:r>
          </w:p>
        </w:tc>
      </w:tr>
      <w:tr w14:paraId="34D84AE0">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375" w:hRule="atLeast"/>
          <w:jc w:val="center"/>
        </w:trPr>
        <w:tc>
          <w:tcPr>
            <w:tcW w:w="633" w:type="pct"/>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28A7B7E8">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考核细则</w:t>
            </w:r>
          </w:p>
        </w:tc>
        <w:tc>
          <w:tcPr>
            <w:tcW w:w="4366" w:type="pct"/>
            <w:gridSpan w:val="5"/>
            <w:tcBorders>
              <w:top w:val="single" w:color="auto" w:sz="4" w:space="0"/>
              <w:left w:val="single" w:color="auto" w:sz="4" w:space="0"/>
              <w:bottom w:val="single" w:color="auto" w:sz="4" w:space="0"/>
              <w:right w:val="single" w:color="auto" w:sz="4" w:space="0"/>
            </w:tcBorders>
            <w:shd w:val="clear" w:color="auto" w:fill="FFFFFF"/>
            <w:noWrap w:val="0"/>
            <w:vAlign w:val="center"/>
          </w:tcPr>
          <w:p w14:paraId="62AB4668">
            <w:pPr>
              <w:numPr>
                <w:ilvl w:val="0"/>
                <w:numId w:val="1"/>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季度考核评分级别为B级，扣除运输款项1</w:t>
            </w:r>
            <w:r>
              <w:rPr>
                <w:rFonts w:ascii="宋体" w:hAnsi="宋体" w:eastAsia="宋体" w:cs="宋体"/>
                <w:color w:val="auto"/>
                <w:sz w:val="18"/>
                <w:szCs w:val="18"/>
                <w:highlight w:val="none"/>
                <w:lang w:val="en-US"/>
              </w:rPr>
              <w:t>000</w:t>
            </w:r>
            <w:r>
              <w:rPr>
                <w:rFonts w:hint="eastAsia" w:ascii="宋体" w:hAnsi="宋体" w:eastAsia="宋体" w:cs="宋体"/>
                <w:color w:val="auto"/>
                <w:sz w:val="18"/>
                <w:szCs w:val="18"/>
                <w:highlight w:val="none"/>
                <w:lang w:val="en-US"/>
              </w:rPr>
              <w:t>元，并在最近一个月的运输费对账中进行扣减；</w:t>
            </w:r>
          </w:p>
          <w:p w14:paraId="12A2D39A">
            <w:pPr>
              <w:numPr>
                <w:ilvl w:val="0"/>
                <w:numId w:val="1"/>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连续2个季度评分为B级，降低其派单数量；</w:t>
            </w:r>
          </w:p>
          <w:p w14:paraId="3D6ED46A">
            <w:pPr>
              <w:numPr>
                <w:ilvl w:val="0"/>
                <w:numId w:val="1"/>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季度考核评分级别为C级，经评分部门评估，可解除《运输服务合同》；</w:t>
            </w:r>
          </w:p>
          <w:p w14:paraId="56392845">
            <w:pPr>
              <w:numPr>
                <w:ilvl w:val="0"/>
                <w:numId w:val="1"/>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不同评分部门对同一件事不重复扣分，同一考核扣分事件适用多条考核标准时以最严厉考核标准扣分且</w:t>
            </w:r>
          </w:p>
          <w:p w14:paraId="087B14B7">
            <w:p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不重复扣分。</w:t>
            </w:r>
          </w:p>
        </w:tc>
      </w:tr>
      <w:tr w14:paraId="42B8AD9C">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375" w:hRule="atLeast"/>
          <w:jc w:val="center"/>
        </w:trPr>
        <w:tc>
          <w:tcPr>
            <w:tcW w:w="633" w:type="pct"/>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15AE4691">
            <w:pPr>
              <w:overflowPunct/>
              <w:autoSpaceDE/>
              <w:autoSpaceDN/>
              <w:adjustRightInd/>
              <w:spacing w:line="320" w:lineRule="exact"/>
              <w:ind w:right="-380" w:rightChars="-181"/>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运输单位</w:t>
            </w:r>
          </w:p>
        </w:tc>
        <w:tc>
          <w:tcPr>
            <w:tcW w:w="2743" w:type="pct"/>
            <w:gridSpan w:val="2"/>
            <w:tcBorders>
              <w:top w:val="single" w:color="auto" w:sz="4" w:space="0"/>
              <w:left w:val="single" w:color="auto" w:sz="4" w:space="0"/>
              <w:bottom w:val="single" w:color="auto" w:sz="4" w:space="0"/>
              <w:right w:val="single" w:color="auto" w:sz="4" w:space="0"/>
            </w:tcBorders>
            <w:shd w:val="clear" w:color="auto" w:fill="FFFFFF"/>
            <w:noWrap w:val="0"/>
            <w:vAlign w:val="center"/>
          </w:tcPr>
          <w:p w14:paraId="1633358E">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p>
        </w:tc>
        <w:tc>
          <w:tcPr>
            <w:tcW w:w="518" w:type="pct"/>
            <w:gridSpan w:val="2"/>
            <w:tcBorders>
              <w:top w:val="single" w:color="auto" w:sz="4" w:space="0"/>
              <w:left w:val="single" w:color="auto" w:sz="4" w:space="0"/>
              <w:bottom w:val="single" w:color="auto" w:sz="4" w:space="0"/>
              <w:right w:val="single" w:color="auto" w:sz="4" w:space="0"/>
            </w:tcBorders>
            <w:shd w:val="clear" w:color="auto" w:fill="FFFFFF"/>
            <w:noWrap w:val="0"/>
            <w:vAlign w:val="center"/>
          </w:tcPr>
          <w:p w14:paraId="3AB0AB38">
            <w:pPr>
              <w:overflowPunct/>
              <w:autoSpaceDE/>
              <w:autoSpaceDN/>
              <w:adjustRightInd/>
              <w:spacing w:line="320" w:lineRule="exact"/>
              <w:ind w:right="-380" w:rightChars="-181"/>
              <w:jc w:val="both"/>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考核周期</w:t>
            </w:r>
          </w:p>
        </w:tc>
        <w:tc>
          <w:tcPr>
            <w:tcW w:w="1104" w:type="pct"/>
            <w:tcBorders>
              <w:top w:val="single" w:color="auto" w:sz="4" w:space="0"/>
              <w:left w:val="single" w:color="auto" w:sz="4" w:space="0"/>
              <w:bottom w:val="single" w:color="auto" w:sz="4" w:space="0"/>
              <w:right w:val="single" w:color="auto" w:sz="4" w:space="0"/>
            </w:tcBorders>
            <w:shd w:val="clear" w:color="auto" w:fill="FFFFFF"/>
            <w:noWrap w:val="0"/>
            <w:vAlign w:val="center"/>
          </w:tcPr>
          <w:p w14:paraId="19C47C5E">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p>
        </w:tc>
      </w:tr>
      <w:tr w14:paraId="6B561417">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375" w:hRule="atLeast"/>
          <w:jc w:val="center"/>
        </w:trPr>
        <w:tc>
          <w:tcPr>
            <w:tcW w:w="5000" w:type="pct"/>
            <w:gridSpan w:val="8"/>
            <w:tcBorders>
              <w:top w:val="single" w:color="auto" w:sz="4" w:space="0"/>
              <w:left w:val="single" w:color="auto" w:sz="4" w:space="0"/>
              <w:bottom w:val="single" w:color="auto" w:sz="4" w:space="0"/>
              <w:right w:val="single" w:color="auto" w:sz="4" w:space="0"/>
            </w:tcBorders>
            <w:shd w:val="clear" w:color="auto" w:fill="C0C0C0"/>
            <w:noWrap/>
            <w:vAlign w:val="center"/>
          </w:tcPr>
          <w:p w14:paraId="018F4B0D">
            <w:pPr>
              <w:overflowPunct/>
              <w:autoSpaceDE/>
              <w:autoSpaceDN/>
              <w:adjustRightInd/>
              <w:spacing w:line="320" w:lineRule="exact"/>
              <w:ind w:right="-380" w:rightChars="-181"/>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A.考核内容</w:t>
            </w:r>
          </w:p>
        </w:tc>
      </w:tr>
      <w:tr w14:paraId="417E98CB">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495" w:hRule="atLeast"/>
          <w:jc w:val="center"/>
        </w:trPr>
        <w:tc>
          <w:tcPr>
            <w:tcW w:w="2826" w:type="pct"/>
            <w:gridSpan w:val="4"/>
            <w:tcBorders>
              <w:top w:val="single" w:color="auto" w:sz="4" w:space="0"/>
              <w:left w:val="single" w:color="auto" w:sz="4" w:space="0"/>
              <w:bottom w:val="single" w:color="auto" w:sz="4" w:space="0"/>
              <w:right w:val="single" w:color="auto" w:sz="4" w:space="0"/>
            </w:tcBorders>
            <w:shd w:val="clear" w:color="auto" w:fill="FFFFFF"/>
            <w:noWrap/>
            <w:vAlign w:val="center"/>
          </w:tcPr>
          <w:p w14:paraId="77C68A0F">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评分项目</w:t>
            </w:r>
          </w:p>
        </w:tc>
        <w:tc>
          <w:tcPr>
            <w:tcW w:w="551" w:type="pct"/>
            <w:tcBorders>
              <w:top w:val="nil"/>
              <w:left w:val="nil"/>
              <w:bottom w:val="single" w:color="auto" w:sz="4" w:space="0"/>
              <w:right w:val="single" w:color="auto" w:sz="4" w:space="0"/>
            </w:tcBorders>
            <w:shd w:val="clear" w:color="auto" w:fill="FFFFFF"/>
            <w:noWrap/>
            <w:vAlign w:val="center"/>
          </w:tcPr>
          <w:p w14:paraId="32B8C391">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评分部门</w:t>
            </w:r>
          </w:p>
        </w:tc>
        <w:tc>
          <w:tcPr>
            <w:tcW w:w="285" w:type="pct"/>
            <w:tcBorders>
              <w:top w:val="nil"/>
              <w:left w:val="nil"/>
              <w:bottom w:val="single" w:color="auto" w:sz="4" w:space="0"/>
              <w:right w:val="single" w:color="auto" w:sz="4" w:space="0"/>
            </w:tcBorders>
            <w:shd w:val="clear" w:color="auto" w:fill="FFFFFF"/>
            <w:noWrap w:val="0"/>
            <w:vAlign w:val="center"/>
          </w:tcPr>
          <w:p w14:paraId="764B577A">
            <w:pPr>
              <w:overflowPunct/>
              <w:autoSpaceDE/>
              <w:autoSpaceDN/>
              <w:adjustRightInd/>
              <w:spacing w:line="320" w:lineRule="exact"/>
              <w:jc w:val="center"/>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分值</w:t>
            </w:r>
          </w:p>
        </w:tc>
        <w:tc>
          <w:tcPr>
            <w:tcW w:w="233" w:type="pct"/>
            <w:tcBorders>
              <w:top w:val="nil"/>
              <w:left w:val="nil"/>
              <w:bottom w:val="single" w:color="auto" w:sz="4" w:space="0"/>
              <w:right w:val="single" w:color="auto" w:sz="4" w:space="0"/>
            </w:tcBorders>
            <w:shd w:val="clear" w:color="auto" w:fill="FFFFFF"/>
            <w:noWrap w:val="0"/>
            <w:vAlign w:val="center"/>
          </w:tcPr>
          <w:p w14:paraId="7075835A">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得分</w:t>
            </w:r>
          </w:p>
        </w:tc>
        <w:tc>
          <w:tcPr>
            <w:tcW w:w="1104" w:type="pct"/>
            <w:tcBorders>
              <w:top w:val="nil"/>
              <w:left w:val="nil"/>
              <w:bottom w:val="single" w:color="auto" w:sz="4" w:space="0"/>
              <w:right w:val="single" w:color="auto" w:sz="4" w:space="0"/>
            </w:tcBorders>
            <w:shd w:val="clear" w:color="auto" w:fill="FFFFFF"/>
            <w:noWrap/>
            <w:vAlign w:val="center"/>
          </w:tcPr>
          <w:p w14:paraId="1F3F023C">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评分说明</w:t>
            </w:r>
          </w:p>
        </w:tc>
      </w:tr>
      <w:tr w14:paraId="25EDB67E">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535" w:hRule="atLeast"/>
          <w:jc w:val="center"/>
        </w:trPr>
        <w:tc>
          <w:tcPr>
            <w:tcW w:w="250" w:type="pct"/>
            <w:vMerge w:val="restart"/>
            <w:tcBorders>
              <w:top w:val="nil"/>
              <w:left w:val="single" w:color="auto" w:sz="4" w:space="0"/>
              <w:right w:val="single" w:color="auto" w:sz="4" w:space="0"/>
            </w:tcBorders>
            <w:noWrap w:val="0"/>
            <w:vAlign w:val="center"/>
          </w:tcPr>
          <w:p w14:paraId="6E0AF7FF">
            <w:pPr>
              <w:jc w:val="center"/>
              <w:rPr>
                <w:rFonts w:ascii="宋体" w:hAnsi="宋体" w:eastAsia="宋体" w:cs="宋体"/>
                <w:color w:val="auto"/>
                <w:sz w:val="21"/>
                <w:szCs w:val="21"/>
                <w:highlight w:val="none"/>
                <w:lang w:val="en-US"/>
              </w:rPr>
            </w:pPr>
            <w:r>
              <w:rPr>
                <w:rFonts w:hint="eastAsia" w:ascii="宋体" w:hAnsi="宋体" w:eastAsia="宋体" w:cs="宋体"/>
                <w:color w:val="auto"/>
                <w:sz w:val="21"/>
                <w:szCs w:val="21"/>
                <w:highlight w:val="none"/>
                <w:lang w:val="en-US"/>
              </w:rPr>
              <w:t>安全环保</w:t>
            </w:r>
          </w:p>
        </w:tc>
        <w:tc>
          <w:tcPr>
            <w:tcW w:w="232" w:type="pct"/>
            <w:tcBorders>
              <w:top w:val="nil"/>
              <w:left w:val="nil"/>
              <w:bottom w:val="single" w:color="auto" w:sz="4" w:space="0"/>
              <w:right w:val="single" w:color="auto" w:sz="4" w:space="0"/>
            </w:tcBorders>
            <w:noWrap w:val="0"/>
            <w:vAlign w:val="center"/>
          </w:tcPr>
          <w:p w14:paraId="21B197A2">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w:t>
            </w:r>
          </w:p>
        </w:tc>
        <w:tc>
          <w:tcPr>
            <w:tcW w:w="2343" w:type="pct"/>
            <w:gridSpan w:val="2"/>
            <w:tcBorders>
              <w:top w:val="nil"/>
              <w:left w:val="nil"/>
              <w:bottom w:val="single" w:color="auto" w:sz="4" w:space="0"/>
              <w:right w:val="single" w:color="auto" w:sz="4" w:space="0"/>
            </w:tcBorders>
            <w:noWrap w:val="0"/>
            <w:vAlign w:val="center"/>
          </w:tcPr>
          <w:p w14:paraId="13DB5CA9">
            <w:pPr>
              <w:overflowPunct/>
              <w:autoSpaceDE/>
              <w:autoSpaceDN/>
              <w:adjustRightInd/>
              <w:spacing w:line="320" w:lineRule="exact"/>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在“客户现场、运输途中、新东欣公司”发生</w:t>
            </w:r>
            <w:r>
              <w:rPr>
                <w:rFonts w:hint="eastAsia" w:ascii="宋体" w:hAnsi="宋体" w:cs="宋体"/>
                <w:color w:val="auto"/>
                <w:sz w:val="18"/>
                <w:szCs w:val="18"/>
                <w:highlight w:val="none"/>
                <w:lang w:val="en-US" w:eastAsia="zh-CN"/>
              </w:rPr>
              <w:t>泄漏</w:t>
            </w:r>
            <w:r>
              <w:rPr>
                <w:rFonts w:hint="eastAsia" w:ascii="宋体" w:hAnsi="宋体" w:eastAsia="宋体" w:cs="宋体"/>
                <w:color w:val="auto"/>
                <w:sz w:val="18"/>
                <w:szCs w:val="18"/>
                <w:highlight w:val="none"/>
                <w:lang w:val="en-US"/>
              </w:rPr>
              <w:t>。</w:t>
            </w:r>
          </w:p>
        </w:tc>
        <w:tc>
          <w:tcPr>
            <w:tcW w:w="551" w:type="pct"/>
            <w:tcBorders>
              <w:top w:val="nil"/>
              <w:left w:val="nil"/>
              <w:bottom w:val="single" w:color="auto" w:sz="4" w:space="0"/>
              <w:right w:val="single" w:color="auto" w:sz="4" w:space="0"/>
            </w:tcBorders>
            <w:noWrap w:val="0"/>
            <w:vAlign w:val="center"/>
          </w:tcPr>
          <w:p w14:paraId="44577CD3">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rPr>
              <w:t>市场</w:t>
            </w:r>
            <w:r>
              <w:rPr>
                <w:rFonts w:hint="eastAsia" w:ascii="宋体" w:hAnsi="宋体" w:eastAsia="宋体" w:cs="宋体"/>
                <w:color w:val="auto"/>
                <w:sz w:val="18"/>
                <w:szCs w:val="18"/>
                <w:highlight w:val="none"/>
                <w:lang w:val="en-US" w:eastAsia="zh-CN"/>
              </w:rPr>
              <w:t>中心</w:t>
            </w:r>
          </w:p>
          <w:p w14:paraId="7CB98443">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rPr>
              <w:t>物控</w:t>
            </w:r>
            <w:r>
              <w:rPr>
                <w:rFonts w:hint="eastAsia" w:ascii="宋体" w:hAnsi="宋体" w:eastAsia="宋体" w:cs="宋体"/>
                <w:color w:val="auto"/>
                <w:sz w:val="18"/>
                <w:szCs w:val="18"/>
                <w:highlight w:val="none"/>
                <w:lang w:val="en-US" w:eastAsia="zh-CN"/>
              </w:rPr>
              <w:t>车间</w:t>
            </w:r>
          </w:p>
          <w:p w14:paraId="53E5AA5A">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安全环境部</w:t>
            </w:r>
          </w:p>
        </w:tc>
        <w:tc>
          <w:tcPr>
            <w:tcW w:w="285" w:type="pct"/>
            <w:tcBorders>
              <w:top w:val="nil"/>
              <w:left w:val="nil"/>
              <w:bottom w:val="single" w:color="auto" w:sz="4" w:space="0"/>
              <w:right w:val="single" w:color="auto" w:sz="4" w:space="0"/>
            </w:tcBorders>
            <w:noWrap w:val="0"/>
            <w:vAlign w:val="center"/>
          </w:tcPr>
          <w:p w14:paraId="3531EB9C">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233" w:type="pct"/>
            <w:tcBorders>
              <w:top w:val="nil"/>
              <w:left w:val="nil"/>
              <w:bottom w:val="single" w:color="auto" w:sz="4" w:space="0"/>
              <w:right w:val="single" w:color="auto" w:sz="4" w:space="0"/>
            </w:tcBorders>
            <w:noWrap w:val="0"/>
            <w:vAlign w:val="center"/>
          </w:tcPr>
          <w:p w14:paraId="66453525">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04" w:type="pct"/>
            <w:tcBorders>
              <w:top w:val="nil"/>
              <w:left w:val="nil"/>
              <w:bottom w:val="single" w:color="auto" w:sz="4" w:space="0"/>
              <w:right w:val="single" w:color="auto" w:sz="4" w:space="0"/>
            </w:tcBorders>
            <w:noWrap w:val="0"/>
            <w:vAlign w:val="center"/>
          </w:tcPr>
          <w:p w14:paraId="08C72327">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73AFB448">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420" w:hRule="atLeast"/>
          <w:jc w:val="center"/>
        </w:trPr>
        <w:tc>
          <w:tcPr>
            <w:tcW w:w="250" w:type="pct"/>
            <w:vMerge w:val="continue"/>
            <w:tcBorders>
              <w:left w:val="single" w:color="auto" w:sz="4" w:space="0"/>
              <w:right w:val="single" w:color="auto" w:sz="4" w:space="0"/>
            </w:tcBorders>
            <w:noWrap w:val="0"/>
            <w:vAlign w:val="center"/>
          </w:tcPr>
          <w:p w14:paraId="1BA7DB0C">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232" w:type="pct"/>
            <w:tcBorders>
              <w:top w:val="nil"/>
              <w:left w:val="nil"/>
              <w:bottom w:val="single" w:color="auto" w:sz="4" w:space="0"/>
              <w:right w:val="single" w:color="auto" w:sz="4" w:space="0"/>
            </w:tcBorders>
            <w:noWrap w:val="0"/>
            <w:vAlign w:val="center"/>
          </w:tcPr>
          <w:p w14:paraId="4878FB2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2</w:t>
            </w:r>
          </w:p>
        </w:tc>
        <w:tc>
          <w:tcPr>
            <w:tcW w:w="2343" w:type="pct"/>
            <w:gridSpan w:val="2"/>
            <w:tcBorders>
              <w:top w:val="nil"/>
              <w:left w:val="nil"/>
              <w:bottom w:val="single" w:color="auto" w:sz="4" w:space="0"/>
              <w:right w:val="single" w:color="auto" w:sz="4" w:space="0"/>
            </w:tcBorders>
            <w:noWrap w:val="0"/>
            <w:vAlign w:val="center"/>
          </w:tcPr>
          <w:p w14:paraId="57076B2E">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在服务过程中发生“人、车、设备、运输的货物”相关的事故。</w:t>
            </w:r>
          </w:p>
        </w:tc>
        <w:tc>
          <w:tcPr>
            <w:tcW w:w="551" w:type="pct"/>
            <w:tcBorders>
              <w:top w:val="nil"/>
              <w:left w:val="nil"/>
              <w:bottom w:val="single" w:color="auto" w:sz="4" w:space="0"/>
              <w:right w:val="single" w:color="auto" w:sz="4" w:space="0"/>
            </w:tcBorders>
            <w:noWrap w:val="0"/>
            <w:vAlign w:val="center"/>
          </w:tcPr>
          <w:p w14:paraId="5D359AC0">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p w14:paraId="7B80B339">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物控车间</w:t>
            </w:r>
          </w:p>
          <w:p w14:paraId="57298C86">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安全环境部</w:t>
            </w:r>
          </w:p>
        </w:tc>
        <w:tc>
          <w:tcPr>
            <w:tcW w:w="285" w:type="pct"/>
            <w:tcBorders>
              <w:top w:val="nil"/>
              <w:left w:val="nil"/>
              <w:bottom w:val="single" w:color="auto" w:sz="4" w:space="0"/>
              <w:right w:val="single" w:color="auto" w:sz="4" w:space="0"/>
            </w:tcBorders>
            <w:noWrap w:val="0"/>
            <w:vAlign w:val="center"/>
          </w:tcPr>
          <w:p w14:paraId="408D7D33">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233" w:type="pct"/>
            <w:tcBorders>
              <w:top w:val="nil"/>
              <w:left w:val="nil"/>
              <w:bottom w:val="single" w:color="auto" w:sz="4" w:space="0"/>
              <w:right w:val="single" w:color="auto" w:sz="4" w:space="0"/>
            </w:tcBorders>
            <w:noWrap w:val="0"/>
            <w:vAlign w:val="center"/>
          </w:tcPr>
          <w:p w14:paraId="56A43988">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104" w:type="pct"/>
            <w:tcBorders>
              <w:top w:val="nil"/>
              <w:left w:val="nil"/>
              <w:bottom w:val="single" w:color="auto" w:sz="4" w:space="0"/>
              <w:right w:val="single" w:color="auto" w:sz="4" w:space="0"/>
            </w:tcBorders>
            <w:noWrap w:val="0"/>
            <w:vAlign w:val="center"/>
          </w:tcPr>
          <w:p w14:paraId="4ECD00AE">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21870518">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420" w:hRule="atLeast"/>
          <w:jc w:val="center"/>
        </w:trPr>
        <w:tc>
          <w:tcPr>
            <w:tcW w:w="250" w:type="pct"/>
            <w:vMerge w:val="continue"/>
            <w:tcBorders>
              <w:left w:val="single" w:color="auto" w:sz="4" w:space="0"/>
              <w:right w:val="single" w:color="auto" w:sz="4" w:space="0"/>
            </w:tcBorders>
            <w:noWrap w:val="0"/>
            <w:vAlign w:val="center"/>
          </w:tcPr>
          <w:p w14:paraId="0B562F8E">
            <w:pPr>
              <w:jc w:val="center"/>
              <w:rPr>
                <w:rFonts w:hint="eastAsia" w:ascii="宋体" w:hAnsi="宋体" w:eastAsia="宋体" w:cs="宋体"/>
                <w:color w:val="auto"/>
                <w:sz w:val="18"/>
                <w:szCs w:val="18"/>
                <w:highlight w:val="none"/>
                <w:lang w:val="en-US"/>
              </w:rPr>
            </w:pPr>
          </w:p>
        </w:tc>
        <w:tc>
          <w:tcPr>
            <w:tcW w:w="232" w:type="pct"/>
            <w:tcBorders>
              <w:top w:val="single" w:color="auto" w:sz="4" w:space="0"/>
              <w:left w:val="nil"/>
              <w:bottom w:val="single" w:color="auto" w:sz="4" w:space="0"/>
              <w:right w:val="single" w:color="auto" w:sz="4" w:space="0"/>
            </w:tcBorders>
            <w:noWrap w:val="0"/>
            <w:vAlign w:val="center"/>
          </w:tcPr>
          <w:p w14:paraId="4FCAD02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3</w:t>
            </w:r>
          </w:p>
        </w:tc>
        <w:tc>
          <w:tcPr>
            <w:tcW w:w="2343" w:type="pct"/>
            <w:gridSpan w:val="2"/>
            <w:tcBorders>
              <w:top w:val="nil"/>
              <w:left w:val="nil"/>
              <w:bottom w:val="single" w:color="auto" w:sz="4" w:space="0"/>
              <w:right w:val="single" w:color="auto" w:sz="4" w:space="0"/>
            </w:tcBorders>
            <w:noWrap w:val="0"/>
            <w:vAlign w:val="center"/>
          </w:tcPr>
          <w:p w14:paraId="38286295">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在服务过程中未正确佩戴劳保用品。</w:t>
            </w:r>
          </w:p>
        </w:tc>
        <w:tc>
          <w:tcPr>
            <w:tcW w:w="551" w:type="pct"/>
            <w:tcBorders>
              <w:top w:val="nil"/>
              <w:left w:val="nil"/>
              <w:bottom w:val="single" w:color="auto" w:sz="4" w:space="0"/>
              <w:right w:val="single" w:color="auto" w:sz="4" w:space="0"/>
            </w:tcBorders>
            <w:noWrap w:val="0"/>
            <w:vAlign w:val="center"/>
          </w:tcPr>
          <w:p w14:paraId="2A84F0C8">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p w14:paraId="40F4B540">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物控车间</w:t>
            </w:r>
          </w:p>
          <w:p w14:paraId="4DAFEF76">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安全环境部</w:t>
            </w:r>
          </w:p>
        </w:tc>
        <w:tc>
          <w:tcPr>
            <w:tcW w:w="285" w:type="pct"/>
            <w:tcBorders>
              <w:top w:val="nil"/>
              <w:left w:val="nil"/>
              <w:bottom w:val="single" w:color="auto" w:sz="4" w:space="0"/>
              <w:right w:val="single" w:color="auto" w:sz="4" w:space="0"/>
            </w:tcBorders>
            <w:noWrap w:val="0"/>
            <w:vAlign w:val="center"/>
          </w:tcPr>
          <w:p w14:paraId="706DDFC2">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233" w:type="pct"/>
            <w:tcBorders>
              <w:top w:val="nil"/>
              <w:left w:val="nil"/>
              <w:bottom w:val="single" w:color="auto" w:sz="4" w:space="0"/>
              <w:right w:val="single" w:color="auto" w:sz="4" w:space="0"/>
            </w:tcBorders>
            <w:noWrap w:val="0"/>
            <w:vAlign w:val="center"/>
          </w:tcPr>
          <w:p w14:paraId="19B83478">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04" w:type="pct"/>
            <w:tcBorders>
              <w:top w:val="nil"/>
              <w:left w:val="nil"/>
              <w:bottom w:val="single" w:color="auto" w:sz="4" w:space="0"/>
              <w:right w:val="single" w:color="auto" w:sz="4" w:space="0"/>
            </w:tcBorders>
            <w:noWrap w:val="0"/>
            <w:vAlign w:val="center"/>
          </w:tcPr>
          <w:p w14:paraId="1437BD42">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01DDBCC0">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273" w:hRule="atLeast"/>
          <w:jc w:val="center"/>
        </w:trPr>
        <w:tc>
          <w:tcPr>
            <w:tcW w:w="250" w:type="pct"/>
            <w:vMerge w:val="continue"/>
            <w:tcBorders>
              <w:left w:val="single" w:color="auto" w:sz="4" w:space="0"/>
              <w:bottom w:val="single" w:color="000000" w:sz="4" w:space="0"/>
              <w:right w:val="single" w:color="auto" w:sz="4" w:space="0"/>
            </w:tcBorders>
            <w:noWrap w:val="0"/>
            <w:vAlign w:val="center"/>
          </w:tcPr>
          <w:p w14:paraId="1050E6B8">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232" w:type="pct"/>
            <w:tcBorders>
              <w:top w:val="nil"/>
              <w:left w:val="nil"/>
              <w:bottom w:val="single" w:color="auto" w:sz="4" w:space="0"/>
              <w:right w:val="single" w:color="auto" w:sz="4" w:space="0"/>
            </w:tcBorders>
            <w:noWrap w:val="0"/>
            <w:vAlign w:val="center"/>
          </w:tcPr>
          <w:p w14:paraId="2E23270E">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4</w:t>
            </w:r>
          </w:p>
        </w:tc>
        <w:tc>
          <w:tcPr>
            <w:tcW w:w="2343" w:type="pct"/>
            <w:gridSpan w:val="2"/>
            <w:tcBorders>
              <w:top w:val="nil"/>
              <w:left w:val="nil"/>
              <w:bottom w:val="nil"/>
              <w:right w:val="nil"/>
            </w:tcBorders>
            <w:noWrap/>
            <w:vAlign w:val="center"/>
          </w:tcPr>
          <w:p w14:paraId="0BB9C075">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服务车辆</w:t>
            </w:r>
            <w:r>
              <w:rPr>
                <w:rFonts w:hint="eastAsia" w:ascii="宋体" w:hAnsi="宋体" w:eastAsia="宋体" w:cs="宋体"/>
                <w:color w:val="auto"/>
                <w:sz w:val="18"/>
                <w:szCs w:val="18"/>
                <w:highlight w:val="none"/>
                <w:lang w:val="en-US"/>
              </w:rPr>
              <w:t>未</w:t>
            </w:r>
            <w:r>
              <w:rPr>
                <w:rFonts w:hint="eastAsia" w:ascii="宋体" w:hAnsi="宋体" w:eastAsia="宋体" w:cs="宋体"/>
                <w:color w:val="auto"/>
                <w:sz w:val="18"/>
                <w:szCs w:val="18"/>
                <w:highlight w:val="none"/>
                <w:lang w:val="en-US"/>
              </w:rPr>
              <w:t>配置合适的消防用品</w:t>
            </w:r>
            <w:r>
              <w:rPr>
                <w:rFonts w:hint="eastAsia" w:ascii="宋体" w:hAnsi="宋体" w:eastAsia="宋体" w:cs="宋体"/>
                <w:color w:val="auto"/>
                <w:sz w:val="18"/>
                <w:szCs w:val="18"/>
                <w:highlight w:val="none"/>
                <w:lang w:val="en-US"/>
              </w:rPr>
              <w:t>或应急物资。</w:t>
            </w:r>
          </w:p>
        </w:tc>
        <w:tc>
          <w:tcPr>
            <w:tcW w:w="551" w:type="pct"/>
            <w:tcBorders>
              <w:top w:val="nil"/>
              <w:left w:val="single" w:color="auto" w:sz="4" w:space="0"/>
              <w:bottom w:val="single" w:color="auto" w:sz="4" w:space="0"/>
              <w:right w:val="single" w:color="auto" w:sz="4" w:space="0"/>
            </w:tcBorders>
            <w:noWrap w:val="0"/>
            <w:vAlign w:val="center"/>
          </w:tcPr>
          <w:p w14:paraId="0235C30A">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p w14:paraId="2AC55EA4">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物控车间</w:t>
            </w:r>
          </w:p>
          <w:p w14:paraId="7AAA3FBC">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安全环境部</w:t>
            </w:r>
          </w:p>
        </w:tc>
        <w:tc>
          <w:tcPr>
            <w:tcW w:w="285" w:type="pct"/>
            <w:tcBorders>
              <w:top w:val="nil"/>
              <w:left w:val="nil"/>
              <w:bottom w:val="single" w:color="auto" w:sz="4" w:space="0"/>
              <w:right w:val="single" w:color="auto" w:sz="4" w:space="0"/>
            </w:tcBorders>
            <w:noWrap w:val="0"/>
            <w:vAlign w:val="center"/>
          </w:tcPr>
          <w:p w14:paraId="5C50112A">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233" w:type="pct"/>
            <w:tcBorders>
              <w:top w:val="nil"/>
              <w:left w:val="nil"/>
              <w:bottom w:val="single" w:color="auto" w:sz="4" w:space="0"/>
              <w:right w:val="single" w:color="auto" w:sz="4" w:space="0"/>
            </w:tcBorders>
            <w:noWrap w:val="0"/>
            <w:vAlign w:val="center"/>
          </w:tcPr>
          <w:p w14:paraId="1191C9FB">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104" w:type="pct"/>
            <w:tcBorders>
              <w:top w:val="nil"/>
              <w:left w:val="nil"/>
              <w:bottom w:val="single" w:color="auto" w:sz="4" w:space="0"/>
              <w:right w:val="single" w:color="auto" w:sz="4" w:space="0"/>
            </w:tcBorders>
            <w:noWrap w:val="0"/>
            <w:vAlign w:val="center"/>
          </w:tcPr>
          <w:p w14:paraId="1D70CCC4">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1647FFC5">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540" w:hRule="atLeast"/>
          <w:jc w:val="center"/>
        </w:trPr>
        <w:tc>
          <w:tcPr>
            <w:tcW w:w="250" w:type="pct"/>
            <w:vMerge w:val="restart"/>
            <w:tcBorders>
              <w:top w:val="nil"/>
              <w:left w:val="single" w:color="auto" w:sz="4" w:space="0"/>
              <w:right w:val="single" w:color="auto" w:sz="4" w:space="0"/>
            </w:tcBorders>
            <w:noWrap w:val="0"/>
            <w:vAlign w:val="center"/>
          </w:tcPr>
          <w:p w14:paraId="6E412584">
            <w:pPr>
              <w:overflowPunct/>
              <w:autoSpaceDE/>
              <w:autoSpaceDN/>
              <w:adjustRightInd/>
              <w:jc w:val="center"/>
              <w:textAlignment w:val="auto"/>
              <w:rPr>
                <w:rFonts w:ascii="宋体" w:hAnsi="宋体" w:eastAsia="宋体" w:cs="宋体"/>
                <w:color w:val="auto"/>
                <w:sz w:val="21"/>
                <w:szCs w:val="21"/>
                <w:highlight w:val="none"/>
                <w:lang w:val="en-US"/>
              </w:rPr>
            </w:pPr>
            <w:r>
              <w:rPr>
                <w:rFonts w:hint="eastAsia" w:ascii="宋体" w:hAnsi="宋体" w:eastAsia="宋体" w:cs="宋体"/>
                <w:color w:val="auto"/>
                <w:sz w:val="21"/>
                <w:szCs w:val="21"/>
                <w:highlight w:val="none"/>
                <w:lang w:val="en-US"/>
              </w:rPr>
              <w:t>服务质量</w:t>
            </w:r>
          </w:p>
        </w:tc>
        <w:tc>
          <w:tcPr>
            <w:tcW w:w="232" w:type="pct"/>
            <w:tcBorders>
              <w:top w:val="nil"/>
              <w:left w:val="nil"/>
              <w:bottom w:val="single" w:color="auto" w:sz="4" w:space="0"/>
              <w:right w:val="single" w:color="auto" w:sz="4" w:space="0"/>
            </w:tcBorders>
            <w:noWrap w:val="0"/>
            <w:vAlign w:val="center"/>
          </w:tcPr>
          <w:p w14:paraId="684B08E0">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2343" w:type="pct"/>
            <w:gridSpan w:val="2"/>
            <w:tcBorders>
              <w:top w:val="single" w:color="auto" w:sz="4" w:space="0"/>
              <w:left w:val="nil"/>
              <w:bottom w:val="single" w:color="auto" w:sz="4" w:space="0"/>
              <w:right w:val="single" w:color="auto" w:sz="4" w:space="0"/>
            </w:tcBorders>
            <w:noWrap w:val="0"/>
            <w:vAlign w:val="center"/>
          </w:tcPr>
          <w:p w14:paraId="53C5D2E3">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因运力不足导致</w:t>
            </w:r>
            <w:r>
              <w:rPr>
                <w:rFonts w:hint="eastAsia" w:ascii="宋体" w:hAnsi="宋体" w:eastAsia="宋体" w:cs="宋体"/>
                <w:color w:val="auto"/>
                <w:sz w:val="18"/>
                <w:szCs w:val="18"/>
                <w:highlight w:val="none"/>
                <w:lang w:val="en-US"/>
              </w:rPr>
              <w:t>跳单。</w:t>
            </w:r>
          </w:p>
        </w:tc>
        <w:tc>
          <w:tcPr>
            <w:tcW w:w="551" w:type="pct"/>
            <w:tcBorders>
              <w:top w:val="nil"/>
              <w:left w:val="nil"/>
              <w:bottom w:val="single" w:color="auto" w:sz="4" w:space="0"/>
              <w:right w:val="single" w:color="auto" w:sz="4" w:space="0"/>
            </w:tcBorders>
            <w:noWrap w:val="0"/>
            <w:vAlign w:val="center"/>
          </w:tcPr>
          <w:p w14:paraId="7B0CC6E4">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tc>
        <w:tc>
          <w:tcPr>
            <w:tcW w:w="285" w:type="pct"/>
            <w:tcBorders>
              <w:top w:val="nil"/>
              <w:left w:val="nil"/>
              <w:bottom w:val="single" w:color="auto" w:sz="4" w:space="0"/>
              <w:right w:val="single" w:color="auto" w:sz="4" w:space="0"/>
            </w:tcBorders>
            <w:noWrap w:val="0"/>
            <w:vAlign w:val="center"/>
          </w:tcPr>
          <w:p w14:paraId="30D8D383">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233" w:type="pct"/>
            <w:tcBorders>
              <w:top w:val="nil"/>
              <w:left w:val="nil"/>
              <w:bottom w:val="single" w:color="auto" w:sz="4" w:space="0"/>
              <w:right w:val="single" w:color="auto" w:sz="4" w:space="0"/>
            </w:tcBorders>
            <w:noWrap w:val="0"/>
            <w:vAlign w:val="center"/>
          </w:tcPr>
          <w:p w14:paraId="302DC959">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04" w:type="pct"/>
            <w:tcBorders>
              <w:top w:val="nil"/>
              <w:left w:val="nil"/>
              <w:bottom w:val="single" w:color="auto" w:sz="4" w:space="0"/>
              <w:right w:val="single" w:color="auto" w:sz="4" w:space="0"/>
            </w:tcBorders>
            <w:noWrap w:val="0"/>
            <w:vAlign w:val="center"/>
          </w:tcPr>
          <w:p w14:paraId="6512BEEF">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每次扣1分；</w:t>
            </w:r>
          </w:p>
        </w:tc>
      </w:tr>
      <w:tr w14:paraId="67F0E77B">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540" w:hRule="atLeast"/>
          <w:jc w:val="center"/>
        </w:trPr>
        <w:tc>
          <w:tcPr>
            <w:tcW w:w="250" w:type="pct"/>
            <w:vMerge w:val="continue"/>
            <w:tcBorders>
              <w:left w:val="single" w:color="auto" w:sz="4" w:space="0"/>
              <w:right w:val="single" w:color="auto" w:sz="4" w:space="0"/>
            </w:tcBorders>
            <w:noWrap w:val="0"/>
            <w:vAlign w:val="center"/>
          </w:tcPr>
          <w:p w14:paraId="061CB394">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232" w:type="pct"/>
            <w:tcBorders>
              <w:top w:val="nil"/>
              <w:left w:val="nil"/>
              <w:bottom w:val="single" w:color="auto" w:sz="4" w:space="0"/>
              <w:right w:val="single" w:color="auto" w:sz="4" w:space="0"/>
            </w:tcBorders>
            <w:noWrap w:val="0"/>
            <w:vAlign w:val="center"/>
          </w:tcPr>
          <w:p w14:paraId="722E485E">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6</w:t>
            </w:r>
          </w:p>
        </w:tc>
        <w:tc>
          <w:tcPr>
            <w:tcW w:w="2343" w:type="pct"/>
            <w:gridSpan w:val="2"/>
            <w:tcBorders>
              <w:top w:val="nil"/>
              <w:left w:val="nil"/>
              <w:bottom w:val="single" w:color="auto" w:sz="4" w:space="0"/>
              <w:right w:val="single" w:color="auto" w:sz="4" w:space="0"/>
            </w:tcBorders>
            <w:noWrap w:val="0"/>
            <w:vAlign w:val="center"/>
          </w:tcPr>
          <w:p w14:paraId="39FCF7DF">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正常派单情况下，未</w:t>
            </w:r>
            <w:r>
              <w:rPr>
                <w:rFonts w:hint="eastAsia" w:ascii="宋体" w:hAnsi="宋体" w:eastAsia="宋体" w:cs="宋体"/>
                <w:color w:val="auto"/>
                <w:sz w:val="18"/>
                <w:szCs w:val="18"/>
                <w:highlight w:val="none"/>
                <w:lang w:val="en-US"/>
              </w:rPr>
              <w:t>按时响应新东欣派单计划。</w:t>
            </w:r>
          </w:p>
        </w:tc>
        <w:tc>
          <w:tcPr>
            <w:tcW w:w="551" w:type="pct"/>
            <w:tcBorders>
              <w:top w:val="nil"/>
              <w:left w:val="nil"/>
              <w:bottom w:val="single" w:color="auto" w:sz="4" w:space="0"/>
              <w:right w:val="single" w:color="auto" w:sz="4" w:space="0"/>
            </w:tcBorders>
            <w:noWrap w:val="0"/>
            <w:vAlign w:val="center"/>
          </w:tcPr>
          <w:p w14:paraId="3E0631A4">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tc>
        <w:tc>
          <w:tcPr>
            <w:tcW w:w="285" w:type="pct"/>
            <w:tcBorders>
              <w:top w:val="nil"/>
              <w:left w:val="nil"/>
              <w:bottom w:val="single" w:color="auto" w:sz="4" w:space="0"/>
              <w:right w:val="single" w:color="auto" w:sz="4" w:space="0"/>
            </w:tcBorders>
            <w:noWrap w:val="0"/>
            <w:vAlign w:val="center"/>
          </w:tcPr>
          <w:p w14:paraId="3AC4A989">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233" w:type="pct"/>
            <w:tcBorders>
              <w:top w:val="nil"/>
              <w:left w:val="nil"/>
              <w:bottom w:val="single" w:color="auto" w:sz="4" w:space="0"/>
              <w:right w:val="single" w:color="auto" w:sz="4" w:space="0"/>
            </w:tcBorders>
            <w:noWrap w:val="0"/>
            <w:vAlign w:val="center"/>
          </w:tcPr>
          <w:p w14:paraId="57FA173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04" w:type="pct"/>
            <w:tcBorders>
              <w:top w:val="nil"/>
              <w:left w:val="nil"/>
              <w:bottom w:val="single" w:color="auto" w:sz="4" w:space="0"/>
              <w:right w:val="single" w:color="auto" w:sz="4" w:space="0"/>
            </w:tcBorders>
            <w:noWrap w:val="0"/>
            <w:vAlign w:val="center"/>
          </w:tcPr>
          <w:p w14:paraId="31D44CE0">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不按时，每次扣0.5分；</w:t>
            </w:r>
          </w:p>
        </w:tc>
      </w:tr>
      <w:tr w14:paraId="346AB63C">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540" w:hRule="atLeast"/>
          <w:jc w:val="center"/>
        </w:trPr>
        <w:tc>
          <w:tcPr>
            <w:tcW w:w="250" w:type="pct"/>
            <w:vMerge w:val="continue"/>
            <w:tcBorders>
              <w:left w:val="single" w:color="auto" w:sz="4" w:space="0"/>
              <w:right w:val="single" w:color="auto" w:sz="4" w:space="0"/>
            </w:tcBorders>
            <w:noWrap w:val="0"/>
            <w:vAlign w:val="center"/>
          </w:tcPr>
          <w:p w14:paraId="7EDC2EF9">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232" w:type="pct"/>
            <w:tcBorders>
              <w:top w:val="nil"/>
              <w:left w:val="nil"/>
              <w:bottom w:val="single" w:color="auto" w:sz="4" w:space="0"/>
              <w:right w:val="single" w:color="auto" w:sz="4" w:space="0"/>
            </w:tcBorders>
            <w:noWrap w:val="0"/>
            <w:vAlign w:val="center"/>
          </w:tcPr>
          <w:p w14:paraId="26C4DCA9">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7</w:t>
            </w:r>
          </w:p>
        </w:tc>
        <w:tc>
          <w:tcPr>
            <w:tcW w:w="2343" w:type="pct"/>
            <w:gridSpan w:val="2"/>
            <w:tcBorders>
              <w:top w:val="nil"/>
              <w:left w:val="nil"/>
              <w:bottom w:val="single" w:color="auto" w:sz="4" w:space="0"/>
              <w:right w:val="single" w:color="auto" w:sz="4" w:space="0"/>
            </w:tcBorders>
            <w:noWrap w:val="0"/>
            <w:vAlign w:val="center"/>
          </w:tcPr>
          <w:p w14:paraId="233DB400">
            <w:pPr>
              <w:overflowPunct/>
              <w:autoSpaceDE/>
              <w:autoSpaceDN/>
              <w:adjustRightInd/>
              <w:spacing w:line="320" w:lineRule="exact"/>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未按约定时间抵达客户现场，且未与客户提供沟通取得同意，导致客户投诉的</w:t>
            </w:r>
          </w:p>
        </w:tc>
        <w:tc>
          <w:tcPr>
            <w:tcW w:w="551" w:type="pct"/>
            <w:tcBorders>
              <w:top w:val="nil"/>
              <w:left w:val="nil"/>
              <w:bottom w:val="single" w:color="auto" w:sz="4" w:space="0"/>
              <w:right w:val="single" w:color="auto" w:sz="4" w:space="0"/>
            </w:tcBorders>
            <w:noWrap w:val="0"/>
            <w:vAlign w:val="center"/>
          </w:tcPr>
          <w:p w14:paraId="0463F883">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tc>
        <w:tc>
          <w:tcPr>
            <w:tcW w:w="285" w:type="pct"/>
            <w:tcBorders>
              <w:top w:val="nil"/>
              <w:left w:val="nil"/>
              <w:bottom w:val="single" w:color="auto" w:sz="4" w:space="0"/>
              <w:right w:val="single" w:color="auto" w:sz="4" w:space="0"/>
            </w:tcBorders>
            <w:noWrap w:val="0"/>
            <w:vAlign w:val="center"/>
          </w:tcPr>
          <w:p w14:paraId="0E08C5B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233" w:type="pct"/>
            <w:tcBorders>
              <w:top w:val="nil"/>
              <w:left w:val="nil"/>
              <w:bottom w:val="single" w:color="auto" w:sz="4" w:space="0"/>
              <w:right w:val="single" w:color="auto" w:sz="4" w:space="0"/>
            </w:tcBorders>
            <w:noWrap w:val="0"/>
            <w:vAlign w:val="center"/>
          </w:tcPr>
          <w:p w14:paraId="785AE78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04" w:type="pct"/>
            <w:tcBorders>
              <w:top w:val="nil"/>
              <w:left w:val="nil"/>
              <w:bottom w:val="single" w:color="auto" w:sz="4" w:space="0"/>
              <w:right w:val="single" w:color="auto" w:sz="4" w:space="0"/>
            </w:tcBorders>
            <w:noWrap w:val="0"/>
            <w:vAlign w:val="center"/>
          </w:tcPr>
          <w:p w14:paraId="4DD45031">
            <w:pPr>
              <w:overflowPunct/>
              <w:autoSpaceDE/>
              <w:autoSpaceDN/>
              <w:adjustRightInd/>
              <w:spacing w:line="320" w:lineRule="exact"/>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造成投诉，每次扣1分；</w:t>
            </w:r>
          </w:p>
        </w:tc>
      </w:tr>
      <w:tr w14:paraId="4C6A3EF9">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540" w:hRule="atLeast"/>
          <w:jc w:val="center"/>
        </w:trPr>
        <w:tc>
          <w:tcPr>
            <w:tcW w:w="250" w:type="pct"/>
            <w:vMerge w:val="continue"/>
            <w:tcBorders>
              <w:left w:val="single" w:color="auto" w:sz="4" w:space="0"/>
              <w:right w:val="single" w:color="auto" w:sz="4" w:space="0"/>
            </w:tcBorders>
            <w:noWrap w:val="0"/>
            <w:vAlign w:val="center"/>
          </w:tcPr>
          <w:p w14:paraId="57DFEC28">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232" w:type="pct"/>
            <w:tcBorders>
              <w:top w:val="nil"/>
              <w:left w:val="nil"/>
              <w:bottom w:val="single" w:color="auto" w:sz="4" w:space="0"/>
              <w:right w:val="single" w:color="auto" w:sz="4" w:space="0"/>
            </w:tcBorders>
            <w:noWrap w:val="0"/>
            <w:vAlign w:val="center"/>
          </w:tcPr>
          <w:p w14:paraId="638EACA8">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8</w:t>
            </w:r>
          </w:p>
        </w:tc>
        <w:tc>
          <w:tcPr>
            <w:tcW w:w="2343" w:type="pct"/>
            <w:gridSpan w:val="2"/>
            <w:tcBorders>
              <w:top w:val="nil"/>
              <w:left w:val="nil"/>
              <w:bottom w:val="single" w:color="auto" w:sz="4" w:space="0"/>
              <w:right w:val="single" w:color="auto" w:sz="4" w:space="0"/>
            </w:tcBorders>
            <w:noWrap w:val="0"/>
            <w:vAlign w:val="center"/>
          </w:tcPr>
          <w:p w14:paraId="41604D88">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运输服务过程发生异常情况，</w:t>
            </w:r>
            <w:r>
              <w:rPr>
                <w:rFonts w:hint="eastAsia" w:ascii="宋体" w:hAnsi="宋体" w:eastAsia="宋体" w:cs="宋体"/>
                <w:color w:val="auto"/>
                <w:sz w:val="18"/>
                <w:szCs w:val="18"/>
                <w:highlight w:val="none"/>
                <w:lang w:val="en-US"/>
              </w:rPr>
              <w:t>未</w:t>
            </w:r>
            <w:r>
              <w:rPr>
                <w:rFonts w:hint="eastAsia" w:ascii="宋体" w:hAnsi="宋体" w:eastAsia="宋体" w:cs="宋体"/>
                <w:color w:val="auto"/>
                <w:sz w:val="18"/>
                <w:szCs w:val="18"/>
                <w:highlight w:val="none"/>
                <w:lang w:val="en-US"/>
              </w:rPr>
              <w:t>在30分钟内反馈给新东欣调度人员（包括装卸货、</w:t>
            </w:r>
            <w:r>
              <w:rPr>
                <w:rFonts w:hint="eastAsia" w:ascii="宋体" w:hAnsi="宋体" w:eastAsia="宋体" w:cs="宋体"/>
                <w:color w:val="auto"/>
                <w:sz w:val="18"/>
                <w:szCs w:val="18"/>
                <w:highlight w:val="none"/>
                <w:lang w:val="en-US"/>
              </w:rPr>
              <w:t>数量异常</w:t>
            </w:r>
            <w:r>
              <w:rPr>
                <w:rFonts w:hint="eastAsia" w:ascii="宋体" w:hAnsi="宋体" w:eastAsia="宋体" w:cs="宋体"/>
                <w:color w:val="auto"/>
                <w:sz w:val="18"/>
                <w:szCs w:val="18"/>
                <w:highlight w:val="none"/>
                <w:lang w:val="en-US"/>
              </w:rPr>
              <w:t>、废物异常、沟通异常等）。</w:t>
            </w:r>
          </w:p>
        </w:tc>
        <w:tc>
          <w:tcPr>
            <w:tcW w:w="551" w:type="pct"/>
            <w:tcBorders>
              <w:top w:val="nil"/>
              <w:left w:val="nil"/>
              <w:bottom w:val="single" w:color="auto" w:sz="4" w:space="0"/>
              <w:right w:val="single" w:color="auto" w:sz="4" w:space="0"/>
            </w:tcBorders>
            <w:noWrap w:val="0"/>
            <w:vAlign w:val="center"/>
          </w:tcPr>
          <w:p w14:paraId="4DBEB782">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tc>
        <w:tc>
          <w:tcPr>
            <w:tcW w:w="285" w:type="pct"/>
            <w:tcBorders>
              <w:top w:val="nil"/>
              <w:left w:val="nil"/>
              <w:bottom w:val="single" w:color="auto" w:sz="4" w:space="0"/>
              <w:right w:val="single" w:color="auto" w:sz="4" w:space="0"/>
            </w:tcBorders>
            <w:noWrap w:val="0"/>
            <w:vAlign w:val="center"/>
          </w:tcPr>
          <w:p w14:paraId="3E3226C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233" w:type="pct"/>
            <w:tcBorders>
              <w:top w:val="nil"/>
              <w:left w:val="nil"/>
              <w:bottom w:val="single" w:color="auto" w:sz="4" w:space="0"/>
              <w:right w:val="single" w:color="auto" w:sz="4" w:space="0"/>
            </w:tcBorders>
            <w:noWrap w:val="0"/>
            <w:vAlign w:val="center"/>
          </w:tcPr>
          <w:p w14:paraId="548516DE">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04" w:type="pct"/>
            <w:tcBorders>
              <w:top w:val="nil"/>
              <w:left w:val="nil"/>
              <w:bottom w:val="single" w:color="auto" w:sz="4" w:space="0"/>
              <w:right w:val="single" w:color="auto" w:sz="4" w:space="0"/>
            </w:tcBorders>
            <w:noWrap w:val="0"/>
            <w:vAlign w:val="center"/>
          </w:tcPr>
          <w:p w14:paraId="3572ACEA">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不及时，每次扣0.5分；不反馈，每次扣1分；</w:t>
            </w:r>
          </w:p>
        </w:tc>
      </w:tr>
      <w:tr w14:paraId="09658B83">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549" w:hRule="atLeast"/>
          <w:jc w:val="center"/>
        </w:trPr>
        <w:tc>
          <w:tcPr>
            <w:tcW w:w="250" w:type="pct"/>
            <w:vMerge w:val="continue"/>
            <w:tcBorders>
              <w:left w:val="single" w:color="auto" w:sz="4" w:space="0"/>
              <w:right w:val="single" w:color="auto" w:sz="4" w:space="0"/>
            </w:tcBorders>
            <w:noWrap w:val="0"/>
            <w:vAlign w:val="center"/>
          </w:tcPr>
          <w:p w14:paraId="45227562">
            <w:pPr>
              <w:overflowPunct/>
              <w:autoSpaceDE/>
              <w:autoSpaceDN/>
              <w:adjustRightInd/>
              <w:spacing w:line="320" w:lineRule="exact"/>
              <w:jc w:val="center"/>
              <w:textAlignment w:val="auto"/>
              <w:rPr>
                <w:rFonts w:ascii="宋体" w:hAnsi="宋体" w:eastAsia="宋体" w:cs="宋体"/>
                <w:color w:val="auto"/>
                <w:sz w:val="21"/>
                <w:szCs w:val="21"/>
                <w:highlight w:val="none"/>
                <w:lang w:val="en-US"/>
              </w:rPr>
            </w:pPr>
          </w:p>
        </w:tc>
        <w:tc>
          <w:tcPr>
            <w:tcW w:w="232" w:type="pct"/>
            <w:tcBorders>
              <w:top w:val="nil"/>
              <w:left w:val="nil"/>
              <w:bottom w:val="single" w:color="auto" w:sz="4" w:space="0"/>
              <w:right w:val="single" w:color="auto" w:sz="4" w:space="0"/>
            </w:tcBorders>
            <w:noWrap w:val="0"/>
            <w:vAlign w:val="center"/>
          </w:tcPr>
          <w:p w14:paraId="177E87C4">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9</w:t>
            </w:r>
          </w:p>
        </w:tc>
        <w:tc>
          <w:tcPr>
            <w:tcW w:w="2343" w:type="pct"/>
            <w:gridSpan w:val="2"/>
            <w:tcBorders>
              <w:top w:val="nil"/>
              <w:left w:val="nil"/>
              <w:bottom w:val="single" w:color="auto" w:sz="4" w:space="0"/>
              <w:right w:val="single" w:color="auto" w:sz="4" w:space="0"/>
            </w:tcBorders>
            <w:noWrap w:val="0"/>
            <w:vAlign w:val="center"/>
          </w:tcPr>
          <w:p w14:paraId="2760630E">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运输服务过程态度</w:t>
            </w:r>
            <w:r>
              <w:rPr>
                <w:rFonts w:hint="eastAsia" w:ascii="宋体" w:hAnsi="宋体" w:eastAsia="宋体" w:cs="宋体"/>
                <w:color w:val="auto"/>
                <w:sz w:val="18"/>
                <w:szCs w:val="18"/>
                <w:highlight w:val="none"/>
                <w:lang w:val="en-US"/>
              </w:rPr>
              <w:t>不佳</w:t>
            </w:r>
            <w:r>
              <w:rPr>
                <w:rFonts w:hint="eastAsia" w:ascii="宋体" w:hAnsi="宋体" w:eastAsia="宋体" w:cs="宋体"/>
                <w:color w:val="auto"/>
                <w:sz w:val="18"/>
                <w:szCs w:val="18"/>
                <w:highlight w:val="none"/>
                <w:lang w:val="en-US"/>
              </w:rPr>
              <w:t>，与客户或新东欣公司人员发生纠纷、冲突、或被投诉且经调查属实的情况。</w:t>
            </w:r>
          </w:p>
        </w:tc>
        <w:tc>
          <w:tcPr>
            <w:tcW w:w="551" w:type="pct"/>
            <w:tcBorders>
              <w:top w:val="nil"/>
              <w:left w:val="nil"/>
              <w:bottom w:val="single" w:color="auto" w:sz="4" w:space="0"/>
              <w:right w:val="single" w:color="auto" w:sz="4" w:space="0"/>
            </w:tcBorders>
            <w:noWrap w:val="0"/>
            <w:vAlign w:val="center"/>
          </w:tcPr>
          <w:p w14:paraId="1A7D20E1">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tc>
        <w:tc>
          <w:tcPr>
            <w:tcW w:w="285" w:type="pct"/>
            <w:tcBorders>
              <w:top w:val="nil"/>
              <w:left w:val="nil"/>
              <w:bottom w:val="single" w:color="auto" w:sz="4" w:space="0"/>
              <w:right w:val="single" w:color="auto" w:sz="4" w:space="0"/>
            </w:tcBorders>
            <w:noWrap w:val="0"/>
            <w:vAlign w:val="center"/>
          </w:tcPr>
          <w:p w14:paraId="6D01E999">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233" w:type="pct"/>
            <w:tcBorders>
              <w:top w:val="nil"/>
              <w:left w:val="nil"/>
              <w:bottom w:val="single" w:color="auto" w:sz="4" w:space="0"/>
              <w:right w:val="single" w:color="auto" w:sz="4" w:space="0"/>
            </w:tcBorders>
            <w:noWrap w:val="0"/>
            <w:vAlign w:val="center"/>
          </w:tcPr>
          <w:p w14:paraId="175B950C">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104" w:type="pct"/>
            <w:tcBorders>
              <w:top w:val="nil"/>
              <w:left w:val="nil"/>
              <w:bottom w:val="single" w:color="auto" w:sz="4" w:space="0"/>
              <w:right w:val="single" w:color="auto" w:sz="4" w:space="0"/>
            </w:tcBorders>
            <w:noWrap w:val="0"/>
            <w:vAlign w:val="center"/>
          </w:tcPr>
          <w:p w14:paraId="640D8BDE">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发生每次扣1分</w:t>
            </w:r>
          </w:p>
        </w:tc>
      </w:tr>
      <w:tr w14:paraId="7156F87F">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459" w:hRule="atLeast"/>
          <w:jc w:val="center"/>
        </w:trPr>
        <w:tc>
          <w:tcPr>
            <w:tcW w:w="250" w:type="pct"/>
            <w:vMerge w:val="continue"/>
            <w:tcBorders>
              <w:left w:val="single" w:color="auto" w:sz="4" w:space="0"/>
              <w:right w:val="single" w:color="auto" w:sz="4" w:space="0"/>
            </w:tcBorders>
            <w:noWrap w:val="0"/>
            <w:vAlign w:val="center"/>
          </w:tcPr>
          <w:p w14:paraId="4B326B89">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232" w:type="pct"/>
            <w:tcBorders>
              <w:top w:val="nil"/>
              <w:left w:val="nil"/>
              <w:bottom w:val="single" w:color="auto" w:sz="4" w:space="0"/>
              <w:right w:val="single" w:color="auto" w:sz="4" w:space="0"/>
            </w:tcBorders>
            <w:noWrap w:val="0"/>
            <w:vAlign w:val="center"/>
          </w:tcPr>
          <w:p w14:paraId="5BED4A11">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2343" w:type="pct"/>
            <w:gridSpan w:val="2"/>
            <w:tcBorders>
              <w:top w:val="nil"/>
              <w:left w:val="nil"/>
              <w:bottom w:val="single" w:color="auto" w:sz="4" w:space="0"/>
              <w:right w:val="single" w:color="auto" w:sz="4" w:space="0"/>
            </w:tcBorders>
            <w:noWrap w:val="0"/>
            <w:vAlign w:val="center"/>
          </w:tcPr>
          <w:p w14:paraId="4EE5C51E">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运输服务人员</w:t>
            </w:r>
            <w:r>
              <w:rPr>
                <w:rFonts w:hint="eastAsia" w:ascii="宋体" w:hAnsi="宋体" w:eastAsia="宋体" w:cs="宋体"/>
                <w:color w:val="auto"/>
                <w:sz w:val="18"/>
                <w:szCs w:val="18"/>
                <w:highlight w:val="none"/>
                <w:lang w:val="en-US"/>
              </w:rPr>
              <w:t>不专业</w:t>
            </w:r>
            <w:r>
              <w:rPr>
                <w:rFonts w:hint="eastAsia" w:ascii="宋体" w:hAnsi="宋体" w:eastAsia="宋体" w:cs="宋体"/>
                <w:color w:val="auto"/>
                <w:sz w:val="18"/>
                <w:szCs w:val="18"/>
                <w:highlight w:val="none"/>
                <w:lang w:val="en-US"/>
              </w:rPr>
              <w:t>，如：装车</w:t>
            </w:r>
            <w:r>
              <w:rPr>
                <w:rFonts w:hint="eastAsia" w:ascii="宋体" w:hAnsi="宋体" w:eastAsia="宋体" w:cs="宋体"/>
                <w:color w:val="auto"/>
                <w:sz w:val="18"/>
                <w:szCs w:val="18"/>
                <w:highlight w:val="none"/>
                <w:lang w:val="en-US"/>
              </w:rPr>
              <w:t>不合理</w:t>
            </w:r>
            <w:r>
              <w:rPr>
                <w:rFonts w:hint="eastAsia" w:ascii="宋体" w:hAnsi="宋体" w:eastAsia="宋体" w:cs="宋体"/>
                <w:color w:val="auto"/>
                <w:sz w:val="18"/>
                <w:szCs w:val="18"/>
                <w:highlight w:val="none"/>
                <w:lang w:val="en-US"/>
              </w:rPr>
              <w:t>、遇到废物发生异常时</w:t>
            </w:r>
            <w:r>
              <w:rPr>
                <w:rFonts w:hint="eastAsia" w:ascii="宋体" w:hAnsi="宋体" w:eastAsia="宋体" w:cs="宋体"/>
                <w:color w:val="auto"/>
                <w:sz w:val="18"/>
                <w:szCs w:val="18"/>
                <w:highlight w:val="none"/>
                <w:lang w:val="en-US"/>
              </w:rPr>
              <w:t>处置不合理</w:t>
            </w:r>
            <w:r>
              <w:rPr>
                <w:rFonts w:hint="eastAsia" w:ascii="宋体" w:hAnsi="宋体" w:eastAsia="宋体" w:cs="宋体"/>
                <w:color w:val="auto"/>
                <w:sz w:val="18"/>
                <w:szCs w:val="18"/>
                <w:highlight w:val="none"/>
                <w:lang w:val="en-US"/>
              </w:rPr>
              <w:t>、遇到车辆突发</w:t>
            </w:r>
            <w:r>
              <w:rPr>
                <w:rFonts w:hint="eastAsia" w:ascii="宋体" w:hAnsi="宋体" w:eastAsia="宋体" w:cs="宋体"/>
                <w:color w:val="auto"/>
                <w:sz w:val="18"/>
                <w:szCs w:val="18"/>
                <w:highlight w:val="none"/>
                <w:lang w:val="en-US"/>
              </w:rPr>
              <w:t>异常时处置不合理</w:t>
            </w:r>
          </w:p>
        </w:tc>
        <w:tc>
          <w:tcPr>
            <w:tcW w:w="551" w:type="pct"/>
            <w:tcBorders>
              <w:top w:val="nil"/>
              <w:left w:val="nil"/>
              <w:bottom w:val="single" w:color="auto" w:sz="4" w:space="0"/>
              <w:right w:val="single" w:color="auto" w:sz="4" w:space="0"/>
            </w:tcBorders>
            <w:noWrap w:val="0"/>
            <w:vAlign w:val="top"/>
          </w:tcPr>
          <w:p w14:paraId="49D99104">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p w14:paraId="3B540581">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物控车间</w:t>
            </w:r>
          </w:p>
          <w:p w14:paraId="676A9747">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安全环境部</w:t>
            </w:r>
          </w:p>
        </w:tc>
        <w:tc>
          <w:tcPr>
            <w:tcW w:w="285" w:type="pct"/>
            <w:tcBorders>
              <w:top w:val="nil"/>
              <w:left w:val="nil"/>
              <w:bottom w:val="single" w:color="auto" w:sz="4" w:space="0"/>
              <w:right w:val="single" w:color="auto" w:sz="4" w:space="0"/>
            </w:tcBorders>
            <w:noWrap w:val="0"/>
            <w:vAlign w:val="center"/>
          </w:tcPr>
          <w:p w14:paraId="3006E8DF">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15</w:t>
            </w:r>
          </w:p>
        </w:tc>
        <w:tc>
          <w:tcPr>
            <w:tcW w:w="233" w:type="pct"/>
            <w:tcBorders>
              <w:top w:val="nil"/>
              <w:left w:val="nil"/>
              <w:bottom w:val="single" w:color="auto" w:sz="4" w:space="0"/>
              <w:right w:val="single" w:color="auto" w:sz="4" w:space="0"/>
            </w:tcBorders>
            <w:noWrap w:val="0"/>
            <w:vAlign w:val="center"/>
          </w:tcPr>
          <w:p w14:paraId="47C47FAF">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04" w:type="pct"/>
            <w:tcBorders>
              <w:top w:val="nil"/>
              <w:left w:val="nil"/>
              <w:bottom w:val="single" w:color="auto" w:sz="4" w:space="0"/>
              <w:right w:val="single" w:color="auto" w:sz="4" w:space="0"/>
            </w:tcBorders>
            <w:noWrap w:val="0"/>
            <w:vAlign w:val="center"/>
          </w:tcPr>
          <w:p w14:paraId="47229696">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不专业造成轻微事故每次扣1分；造成严重事故的，每次扣5分</w:t>
            </w:r>
          </w:p>
        </w:tc>
      </w:tr>
      <w:tr w14:paraId="5863D11F">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492" w:hRule="atLeast"/>
          <w:jc w:val="center"/>
        </w:trPr>
        <w:tc>
          <w:tcPr>
            <w:tcW w:w="250" w:type="pct"/>
            <w:vMerge w:val="restart"/>
            <w:tcBorders>
              <w:top w:val="nil"/>
              <w:left w:val="single" w:color="auto" w:sz="4" w:space="0"/>
              <w:right w:val="single" w:color="auto" w:sz="4" w:space="0"/>
            </w:tcBorders>
            <w:noWrap w:val="0"/>
            <w:vAlign w:val="center"/>
          </w:tcPr>
          <w:p w14:paraId="0165AF9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其他</w:t>
            </w:r>
          </w:p>
        </w:tc>
        <w:tc>
          <w:tcPr>
            <w:tcW w:w="232" w:type="pct"/>
            <w:tcBorders>
              <w:top w:val="nil"/>
              <w:left w:val="nil"/>
              <w:bottom w:val="single" w:color="auto" w:sz="4" w:space="0"/>
              <w:right w:val="single" w:color="auto" w:sz="4" w:space="0"/>
            </w:tcBorders>
            <w:noWrap w:val="0"/>
            <w:vAlign w:val="center"/>
          </w:tcPr>
          <w:p w14:paraId="43AD9048">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11</w:t>
            </w:r>
          </w:p>
        </w:tc>
        <w:tc>
          <w:tcPr>
            <w:tcW w:w="2343" w:type="pct"/>
            <w:gridSpan w:val="2"/>
            <w:tcBorders>
              <w:top w:val="nil"/>
              <w:left w:val="nil"/>
              <w:bottom w:val="single" w:color="auto" w:sz="4" w:space="0"/>
              <w:right w:val="single" w:color="auto" w:sz="4" w:space="0"/>
            </w:tcBorders>
            <w:noWrap w:val="0"/>
            <w:vAlign w:val="center"/>
          </w:tcPr>
          <w:p w14:paraId="30E778BC">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现场收货的承运单</w:t>
            </w:r>
            <w:r>
              <w:rPr>
                <w:rFonts w:hint="eastAsia" w:ascii="宋体" w:hAnsi="宋体" w:eastAsia="宋体" w:cs="宋体"/>
                <w:color w:val="auto"/>
                <w:sz w:val="18"/>
                <w:szCs w:val="18"/>
                <w:highlight w:val="none"/>
                <w:lang w:val="en-US"/>
              </w:rPr>
              <w:t>未</w:t>
            </w:r>
            <w:r>
              <w:rPr>
                <w:rFonts w:hint="eastAsia" w:ascii="宋体" w:hAnsi="宋体" w:eastAsia="宋体" w:cs="宋体"/>
                <w:color w:val="auto"/>
                <w:sz w:val="18"/>
                <w:szCs w:val="18"/>
                <w:highlight w:val="none"/>
                <w:lang w:val="en-US"/>
              </w:rPr>
              <w:t>与客户确认并签字、或漏签字或代替客户签字，</w:t>
            </w:r>
            <w:r>
              <w:rPr>
                <w:rFonts w:hint="eastAsia" w:ascii="宋体" w:hAnsi="宋体" w:eastAsia="宋体" w:cs="宋体"/>
                <w:color w:val="auto"/>
                <w:sz w:val="18"/>
                <w:szCs w:val="18"/>
                <w:highlight w:val="none"/>
                <w:lang w:val="en-US"/>
              </w:rPr>
              <w:t>或运输公司人员将废物明细及数量填写错误或错扣皮重，导致</w:t>
            </w:r>
            <w:r>
              <w:rPr>
                <w:rFonts w:hint="eastAsia" w:ascii="宋体" w:hAnsi="宋体" w:eastAsia="宋体" w:cs="宋体"/>
                <w:color w:val="auto"/>
                <w:sz w:val="18"/>
                <w:szCs w:val="18"/>
                <w:highlight w:val="none"/>
                <w:lang w:val="en-US"/>
              </w:rPr>
              <w:t>新东欣入库后修改数据。</w:t>
            </w:r>
          </w:p>
        </w:tc>
        <w:tc>
          <w:tcPr>
            <w:tcW w:w="551" w:type="pct"/>
            <w:tcBorders>
              <w:top w:val="nil"/>
              <w:left w:val="nil"/>
              <w:bottom w:val="single" w:color="auto" w:sz="4" w:space="0"/>
              <w:right w:val="single" w:color="auto" w:sz="4" w:space="0"/>
            </w:tcBorders>
            <w:noWrap w:val="0"/>
            <w:vAlign w:val="center"/>
          </w:tcPr>
          <w:p w14:paraId="70A5F6AF">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p w14:paraId="49264B81">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物控车间</w:t>
            </w:r>
          </w:p>
        </w:tc>
        <w:tc>
          <w:tcPr>
            <w:tcW w:w="285" w:type="pct"/>
            <w:tcBorders>
              <w:top w:val="nil"/>
              <w:left w:val="nil"/>
              <w:bottom w:val="single" w:color="auto" w:sz="4" w:space="0"/>
              <w:right w:val="single" w:color="auto" w:sz="4" w:space="0"/>
            </w:tcBorders>
            <w:noWrap w:val="0"/>
            <w:vAlign w:val="center"/>
          </w:tcPr>
          <w:p w14:paraId="5E39DEF2">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233" w:type="pct"/>
            <w:tcBorders>
              <w:top w:val="nil"/>
              <w:left w:val="nil"/>
              <w:bottom w:val="single" w:color="auto" w:sz="4" w:space="0"/>
              <w:right w:val="single" w:color="auto" w:sz="4" w:space="0"/>
            </w:tcBorders>
            <w:noWrap w:val="0"/>
            <w:vAlign w:val="center"/>
          </w:tcPr>
          <w:p w14:paraId="25257542">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04" w:type="pct"/>
            <w:tcBorders>
              <w:top w:val="nil"/>
              <w:left w:val="nil"/>
              <w:bottom w:val="single" w:color="auto" w:sz="4" w:space="0"/>
              <w:right w:val="single" w:color="auto" w:sz="4" w:space="0"/>
            </w:tcBorders>
            <w:noWrap w:val="0"/>
            <w:vAlign w:val="center"/>
          </w:tcPr>
          <w:p w14:paraId="7BD6E642">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每次扣0.5分</w:t>
            </w:r>
          </w:p>
        </w:tc>
      </w:tr>
      <w:tr w14:paraId="5C81E845">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400" w:hRule="atLeast"/>
          <w:jc w:val="center"/>
        </w:trPr>
        <w:tc>
          <w:tcPr>
            <w:tcW w:w="250" w:type="pct"/>
            <w:vMerge w:val="continue"/>
            <w:tcBorders>
              <w:left w:val="single" w:color="auto" w:sz="4" w:space="0"/>
              <w:right w:val="single" w:color="auto" w:sz="4" w:space="0"/>
            </w:tcBorders>
            <w:noWrap w:val="0"/>
            <w:vAlign w:val="center"/>
          </w:tcPr>
          <w:p w14:paraId="44A4DB33">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232" w:type="pct"/>
            <w:tcBorders>
              <w:top w:val="nil"/>
              <w:left w:val="nil"/>
              <w:bottom w:val="single" w:color="auto" w:sz="4" w:space="0"/>
              <w:right w:val="single" w:color="auto" w:sz="4" w:space="0"/>
            </w:tcBorders>
            <w:noWrap w:val="0"/>
            <w:vAlign w:val="center"/>
          </w:tcPr>
          <w:p w14:paraId="0E5E2A4C">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12</w:t>
            </w:r>
          </w:p>
        </w:tc>
        <w:tc>
          <w:tcPr>
            <w:tcW w:w="2343" w:type="pct"/>
            <w:gridSpan w:val="2"/>
            <w:tcBorders>
              <w:top w:val="nil"/>
              <w:left w:val="nil"/>
              <w:bottom w:val="single" w:color="auto" w:sz="4" w:space="0"/>
              <w:right w:val="single" w:color="auto" w:sz="4" w:space="0"/>
            </w:tcBorders>
            <w:noWrap w:val="0"/>
            <w:vAlign w:val="center"/>
          </w:tcPr>
          <w:p w14:paraId="451E1B0B">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因运输人员原因导致</w:t>
            </w:r>
            <w:r>
              <w:rPr>
                <w:rFonts w:hint="eastAsia" w:ascii="宋体" w:hAnsi="宋体" w:eastAsia="宋体" w:cs="宋体"/>
                <w:color w:val="auto"/>
                <w:sz w:val="18"/>
                <w:szCs w:val="18"/>
                <w:highlight w:val="none"/>
                <w:lang w:val="en-US"/>
              </w:rPr>
              <w:t>漏扫联单或错扫联单</w:t>
            </w:r>
          </w:p>
        </w:tc>
        <w:tc>
          <w:tcPr>
            <w:tcW w:w="551" w:type="pct"/>
            <w:tcBorders>
              <w:top w:val="nil"/>
              <w:left w:val="nil"/>
              <w:bottom w:val="single" w:color="auto" w:sz="4" w:space="0"/>
              <w:right w:val="single" w:color="auto" w:sz="4" w:space="0"/>
            </w:tcBorders>
            <w:noWrap w:val="0"/>
            <w:vAlign w:val="center"/>
          </w:tcPr>
          <w:p w14:paraId="1E3625AF">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tc>
        <w:tc>
          <w:tcPr>
            <w:tcW w:w="285" w:type="pct"/>
            <w:tcBorders>
              <w:top w:val="nil"/>
              <w:left w:val="nil"/>
              <w:bottom w:val="single" w:color="auto" w:sz="4" w:space="0"/>
              <w:right w:val="single" w:color="auto" w:sz="4" w:space="0"/>
            </w:tcBorders>
            <w:noWrap w:val="0"/>
            <w:vAlign w:val="center"/>
          </w:tcPr>
          <w:p w14:paraId="6F0C4E4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233" w:type="pct"/>
            <w:tcBorders>
              <w:top w:val="nil"/>
              <w:left w:val="nil"/>
              <w:bottom w:val="single" w:color="auto" w:sz="4" w:space="0"/>
              <w:right w:val="single" w:color="auto" w:sz="4" w:space="0"/>
            </w:tcBorders>
            <w:noWrap w:val="0"/>
            <w:vAlign w:val="center"/>
          </w:tcPr>
          <w:p w14:paraId="6EEE9218">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04" w:type="pct"/>
            <w:tcBorders>
              <w:top w:val="nil"/>
              <w:left w:val="nil"/>
              <w:bottom w:val="single" w:color="auto" w:sz="4" w:space="0"/>
              <w:right w:val="single" w:color="auto" w:sz="4" w:space="0"/>
            </w:tcBorders>
            <w:noWrap w:val="0"/>
            <w:vAlign w:val="center"/>
          </w:tcPr>
          <w:p w14:paraId="14511BD3">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每次扣1分</w:t>
            </w:r>
          </w:p>
        </w:tc>
      </w:tr>
      <w:tr w14:paraId="1BC289E5">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579" w:hRule="atLeast"/>
          <w:jc w:val="center"/>
        </w:trPr>
        <w:tc>
          <w:tcPr>
            <w:tcW w:w="250" w:type="pct"/>
            <w:vMerge w:val="continue"/>
            <w:tcBorders>
              <w:left w:val="single" w:color="auto" w:sz="4" w:space="0"/>
              <w:right w:val="single" w:color="auto" w:sz="4" w:space="0"/>
            </w:tcBorders>
            <w:noWrap w:val="0"/>
            <w:vAlign w:val="center"/>
          </w:tcPr>
          <w:p w14:paraId="66225BEC">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232" w:type="pct"/>
            <w:tcBorders>
              <w:top w:val="nil"/>
              <w:left w:val="nil"/>
              <w:bottom w:val="single" w:color="auto" w:sz="4" w:space="0"/>
              <w:right w:val="single" w:color="auto" w:sz="4" w:space="0"/>
            </w:tcBorders>
            <w:noWrap w:val="0"/>
            <w:vAlign w:val="center"/>
          </w:tcPr>
          <w:p w14:paraId="5EE1919B">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13</w:t>
            </w:r>
          </w:p>
        </w:tc>
        <w:tc>
          <w:tcPr>
            <w:tcW w:w="2343" w:type="pct"/>
            <w:gridSpan w:val="2"/>
            <w:tcBorders>
              <w:top w:val="nil"/>
              <w:left w:val="nil"/>
              <w:bottom w:val="single" w:color="auto" w:sz="4" w:space="0"/>
              <w:right w:val="single" w:color="auto" w:sz="4" w:space="0"/>
            </w:tcBorders>
            <w:noWrap w:val="0"/>
            <w:vAlign w:val="center"/>
          </w:tcPr>
          <w:p w14:paraId="1A226A74">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运输费对账资料和发票未按时提交，数据存在反复修改</w:t>
            </w:r>
          </w:p>
        </w:tc>
        <w:tc>
          <w:tcPr>
            <w:tcW w:w="551" w:type="pct"/>
            <w:tcBorders>
              <w:top w:val="nil"/>
              <w:left w:val="nil"/>
              <w:bottom w:val="single" w:color="auto" w:sz="4" w:space="0"/>
              <w:right w:val="single" w:color="auto" w:sz="4" w:space="0"/>
            </w:tcBorders>
            <w:noWrap w:val="0"/>
            <w:vAlign w:val="center"/>
          </w:tcPr>
          <w:p w14:paraId="5AC729F7">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tc>
        <w:tc>
          <w:tcPr>
            <w:tcW w:w="285" w:type="pct"/>
            <w:tcBorders>
              <w:top w:val="nil"/>
              <w:left w:val="nil"/>
              <w:bottom w:val="single" w:color="auto" w:sz="4" w:space="0"/>
              <w:right w:val="single" w:color="auto" w:sz="4" w:space="0"/>
            </w:tcBorders>
            <w:noWrap w:val="0"/>
            <w:vAlign w:val="center"/>
          </w:tcPr>
          <w:p w14:paraId="5DD2A030">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2</w:t>
            </w:r>
          </w:p>
        </w:tc>
        <w:tc>
          <w:tcPr>
            <w:tcW w:w="233" w:type="pct"/>
            <w:tcBorders>
              <w:top w:val="nil"/>
              <w:left w:val="nil"/>
              <w:bottom w:val="single" w:color="auto" w:sz="4" w:space="0"/>
              <w:right w:val="single" w:color="auto" w:sz="4" w:space="0"/>
            </w:tcBorders>
            <w:noWrap w:val="0"/>
            <w:vAlign w:val="center"/>
          </w:tcPr>
          <w:p w14:paraId="4DEBCC7C">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104" w:type="pct"/>
            <w:tcBorders>
              <w:top w:val="nil"/>
              <w:left w:val="nil"/>
              <w:bottom w:val="single" w:color="auto" w:sz="4" w:space="0"/>
              <w:right w:val="single" w:color="auto" w:sz="4" w:space="0"/>
            </w:tcBorders>
            <w:noWrap w:val="0"/>
            <w:vAlign w:val="center"/>
          </w:tcPr>
          <w:p w14:paraId="456E7518">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延迟提交一次扣0.2分；反复修改扣0.5分</w:t>
            </w:r>
          </w:p>
        </w:tc>
      </w:tr>
      <w:tr w14:paraId="78F01EE6">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486" w:hRule="atLeast"/>
          <w:jc w:val="center"/>
        </w:trPr>
        <w:tc>
          <w:tcPr>
            <w:tcW w:w="250" w:type="pct"/>
            <w:vMerge w:val="continue"/>
            <w:tcBorders>
              <w:left w:val="single" w:color="auto" w:sz="4" w:space="0"/>
              <w:right w:val="single" w:color="auto" w:sz="4" w:space="0"/>
            </w:tcBorders>
            <w:noWrap w:val="0"/>
            <w:vAlign w:val="center"/>
          </w:tcPr>
          <w:p w14:paraId="5D70FB36">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232" w:type="pct"/>
            <w:tcBorders>
              <w:top w:val="nil"/>
              <w:left w:val="nil"/>
              <w:bottom w:val="single" w:color="auto" w:sz="4" w:space="0"/>
              <w:right w:val="single" w:color="auto" w:sz="4" w:space="0"/>
            </w:tcBorders>
            <w:noWrap w:val="0"/>
            <w:vAlign w:val="center"/>
          </w:tcPr>
          <w:p w14:paraId="7379CEF6">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14</w:t>
            </w:r>
          </w:p>
        </w:tc>
        <w:tc>
          <w:tcPr>
            <w:tcW w:w="2343" w:type="pct"/>
            <w:gridSpan w:val="2"/>
            <w:tcBorders>
              <w:top w:val="nil"/>
              <w:left w:val="nil"/>
              <w:bottom w:val="single" w:color="auto" w:sz="4" w:space="0"/>
              <w:right w:val="single" w:color="auto" w:sz="4" w:space="0"/>
            </w:tcBorders>
            <w:noWrap w:val="0"/>
            <w:vAlign w:val="center"/>
          </w:tcPr>
          <w:p w14:paraId="5D710798">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整改报告未按时提交，整改措施不合理且无效</w:t>
            </w:r>
          </w:p>
        </w:tc>
        <w:tc>
          <w:tcPr>
            <w:tcW w:w="551" w:type="pct"/>
            <w:tcBorders>
              <w:top w:val="nil"/>
              <w:left w:val="nil"/>
              <w:bottom w:val="single" w:color="auto" w:sz="4" w:space="0"/>
              <w:right w:val="single" w:color="auto" w:sz="4" w:space="0"/>
            </w:tcBorders>
            <w:noWrap w:val="0"/>
            <w:vAlign w:val="center"/>
          </w:tcPr>
          <w:p w14:paraId="08613A71">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tc>
        <w:tc>
          <w:tcPr>
            <w:tcW w:w="285" w:type="pct"/>
            <w:tcBorders>
              <w:top w:val="nil"/>
              <w:left w:val="nil"/>
              <w:bottom w:val="single" w:color="auto" w:sz="4" w:space="0"/>
              <w:right w:val="single" w:color="auto" w:sz="4" w:space="0"/>
            </w:tcBorders>
            <w:noWrap w:val="0"/>
            <w:vAlign w:val="center"/>
          </w:tcPr>
          <w:p w14:paraId="7270FFD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3</w:t>
            </w:r>
          </w:p>
        </w:tc>
        <w:tc>
          <w:tcPr>
            <w:tcW w:w="233" w:type="pct"/>
            <w:tcBorders>
              <w:top w:val="nil"/>
              <w:left w:val="nil"/>
              <w:bottom w:val="single" w:color="auto" w:sz="4" w:space="0"/>
              <w:right w:val="single" w:color="auto" w:sz="4" w:space="0"/>
            </w:tcBorders>
            <w:noWrap w:val="0"/>
            <w:vAlign w:val="center"/>
          </w:tcPr>
          <w:p w14:paraId="71AB0CCF">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104" w:type="pct"/>
            <w:tcBorders>
              <w:top w:val="nil"/>
              <w:left w:val="nil"/>
              <w:bottom w:val="single" w:color="auto" w:sz="4" w:space="0"/>
              <w:right w:val="single" w:color="auto" w:sz="4" w:space="0"/>
            </w:tcBorders>
            <w:noWrap w:val="0"/>
            <w:vAlign w:val="center"/>
          </w:tcPr>
          <w:p w14:paraId="1A4CAAAF">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不符合一次扣0.5分</w:t>
            </w:r>
          </w:p>
        </w:tc>
      </w:tr>
      <w:tr w14:paraId="727B38F5">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397" w:hRule="exact"/>
          <w:jc w:val="center"/>
        </w:trPr>
        <w:tc>
          <w:tcPr>
            <w:tcW w:w="3377" w:type="pct"/>
            <w:gridSpan w:val="5"/>
            <w:tcBorders>
              <w:top w:val="single" w:color="auto" w:sz="4" w:space="0"/>
              <w:left w:val="single" w:color="auto" w:sz="4" w:space="0"/>
              <w:bottom w:val="single" w:color="auto" w:sz="4" w:space="0"/>
              <w:right w:val="nil"/>
            </w:tcBorders>
            <w:noWrap w:val="0"/>
            <w:vAlign w:val="center"/>
          </w:tcPr>
          <w:p w14:paraId="175D3758">
            <w:pPr>
              <w:overflowPunct/>
              <w:autoSpaceDE/>
              <w:autoSpaceDN/>
              <w:adjustRightInd/>
              <w:spacing w:line="320" w:lineRule="exact"/>
              <w:jc w:val="center"/>
              <w:textAlignment w:val="auto"/>
              <w:rPr>
                <w:rFonts w:ascii="宋体" w:hAnsi="宋体" w:eastAsia="宋体" w:cs="宋体"/>
                <w:b/>
                <w:color w:val="auto"/>
                <w:sz w:val="18"/>
                <w:szCs w:val="18"/>
                <w:highlight w:val="none"/>
                <w:lang w:val="en-US"/>
              </w:rPr>
            </w:pPr>
            <w:r>
              <w:rPr>
                <w:rFonts w:hint="eastAsia" w:ascii="宋体" w:hAnsi="宋体" w:eastAsia="宋体" w:cs="宋体"/>
                <w:b/>
                <w:color w:val="auto"/>
                <w:sz w:val="18"/>
                <w:szCs w:val="18"/>
                <w:highlight w:val="none"/>
                <w:lang w:val="en-US"/>
              </w:rPr>
              <w:t>合计</w:t>
            </w:r>
          </w:p>
        </w:tc>
        <w:tc>
          <w:tcPr>
            <w:tcW w:w="285" w:type="pct"/>
            <w:tcBorders>
              <w:top w:val="nil"/>
              <w:left w:val="single" w:color="auto" w:sz="4" w:space="0"/>
              <w:bottom w:val="single" w:color="auto" w:sz="4" w:space="0"/>
              <w:right w:val="single" w:color="auto" w:sz="4" w:space="0"/>
            </w:tcBorders>
            <w:noWrap w:val="0"/>
            <w:vAlign w:val="center"/>
          </w:tcPr>
          <w:p w14:paraId="16DBC97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100</w:t>
            </w:r>
          </w:p>
        </w:tc>
        <w:tc>
          <w:tcPr>
            <w:tcW w:w="233" w:type="pct"/>
            <w:tcBorders>
              <w:top w:val="nil"/>
              <w:left w:val="nil"/>
              <w:bottom w:val="single" w:color="auto" w:sz="4" w:space="0"/>
              <w:right w:val="single" w:color="auto" w:sz="4" w:space="0"/>
            </w:tcBorders>
            <w:noWrap w:val="0"/>
            <w:vAlign w:val="center"/>
          </w:tcPr>
          <w:p w14:paraId="475D67AD">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04" w:type="pct"/>
            <w:tcBorders>
              <w:top w:val="nil"/>
              <w:left w:val="nil"/>
              <w:bottom w:val="single" w:color="auto" w:sz="4" w:space="0"/>
              <w:right w:val="single" w:color="auto" w:sz="4" w:space="0"/>
            </w:tcBorders>
            <w:noWrap w:val="0"/>
            <w:vAlign w:val="center"/>
          </w:tcPr>
          <w:p w14:paraId="2C9A68D9">
            <w:pPr>
              <w:overflowPunct/>
              <w:autoSpaceDE/>
              <w:autoSpaceDN/>
              <w:adjustRightInd/>
              <w:spacing w:line="320" w:lineRule="exact"/>
              <w:textAlignment w:val="auto"/>
              <w:rPr>
                <w:rFonts w:ascii="宋体" w:hAnsi="宋体" w:eastAsia="宋体" w:cs="宋体"/>
                <w:color w:val="auto"/>
                <w:sz w:val="18"/>
                <w:szCs w:val="18"/>
                <w:highlight w:val="none"/>
                <w:lang w:val="en-US"/>
              </w:rPr>
            </w:pPr>
          </w:p>
        </w:tc>
      </w:tr>
    </w:tbl>
    <w:p w14:paraId="7C1E9869">
      <w:pPr>
        <w:tabs>
          <w:tab w:val="left" w:pos="8090"/>
        </w:tabs>
        <w:rPr>
          <w:rFonts w:hint="eastAsia" w:ascii="宋体" w:hAnsi="宋体" w:eastAsia="宋体"/>
          <w:color w:val="auto"/>
          <w:sz w:val="21"/>
          <w:szCs w:val="21"/>
          <w:highlight w:val="none"/>
          <w:lang w:val="en-US" w:eastAsia="zh-CN"/>
        </w:rPr>
      </w:pPr>
      <w:bookmarkStart w:id="74" w:name="_Toc9724"/>
      <w:bookmarkStart w:id="75" w:name="_Toc6933"/>
    </w:p>
    <w:p w14:paraId="32A57059">
      <w:pPr>
        <w:tabs>
          <w:tab w:val="left" w:pos="8090"/>
        </w:tabs>
        <w:rPr>
          <w:rFonts w:hint="eastAsia" w:ascii="宋体" w:hAnsi="宋体" w:eastAsia="宋体"/>
          <w:color w:val="auto"/>
          <w:sz w:val="21"/>
          <w:szCs w:val="21"/>
          <w:highlight w:val="none"/>
          <w:lang w:val="en-US"/>
        </w:rPr>
      </w:pPr>
      <w:r>
        <w:rPr>
          <w:rFonts w:hint="eastAsia" w:ascii="宋体" w:hAnsi="宋体" w:eastAsia="宋体"/>
          <w:color w:val="auto"/>
          <w:sz w:val="21"/>
          <w:szCs w:val="21"/>
          <w:highlight w:val="none"/>
          <w:lang w:val="en-US" w:eastAsia="zh-CN"/>
        </w:rPr>
        <w:t>市场中心</w:t>
      </w:r>
      <w:r>
        <w:rPr>
          <w:rFonts w:hint="eastAsia" w:ascii="宋体" w:hAnsi="宋体" w:eastAsia="宋体"/>
          <w:color w:val="auto"/>
          <w:sz w:val="21"/>
          <w:szCs w:val="21"/>
          <w:highlight w:val="none"/>
          <w:lang w:val="en-US"/>
        </w:rPr>
        <w:t>签字：</w:t>
      </w:r>
    </w:p>
    <w:p w14:paraId="0BC00D8B">
      <w:pPr>
        <w:outlineLvl w:val="9"/>
        <w:rPr>
          <w:rFonts w:ascii="宋体" w:hAnsi="宋体" w:eastAsia="宋体"/>
          <w:color w:val="auto"/>
          <w:sz w:val="21"/>
          <w:szCs w:val="21"/>
          <w:highlight w:val="none"/>
          <w:lang w:val="en-US"/>
        </w:rPr>
      </w:pPr>
      <w:r>
        <w:rPr>
          <w:rFonts w:ascii="宋体" w:hAnsi="宋体" w:eastAsia="宋体"/>
          <w:color w:val="auto"/>
          <w:sz w:val="21"/>
          <w:szCs w:val="21"/>
          <w:highlight w:val="none"/>
          <w:lang w:val="en-US"/>
        </w:rPr>
        <w:br w:type="page"/>
      </w:r>
    </w:p>
    <w:p w14:paraId="12BC1860">
      <w:pPr>
        <w:keepNext w:val="0"/>
        <w:keepLines w:val="0"/>
        <w:pageBreakBefore w:val="0"/>
        <w:widowControl w:val="0"/>
        <w:kinsoku/>
        <w:wordWrap/>
        <w:overflowPunct/>
        <w:topLinePunct w:val="0"/>
        <w:autoSpaceDE/>
        <w:autoSpaceDN/>
        <w:bidi w:val="0"/>
        <w:adjustRightInd/>
        <w:snapToGrid/>
        <w:spacing w:line="360" w:lineRule="auto"/>
        <w:jc w:val="left"/>
        <w:textAlignment w:val="auto"/>
        <w:outlineLvl w:val="9"/>
        <w:rPr>
          <w:rFonts w:hint="eastAsia" w:ascii="宋体" w:hAnsi="宋体" w:eastAsia="宋体" w:cs="宋体"/>
          <w:color w:val="auto"/>
          <w:sz w:val="21"/>
          <w:szCs w:val="21"/>
          <w:highlight w:val="none"/>
          <w:lang w:val="en-US"/>
        </w:rPr>
      </w:pPr>
      <w:bookmarkStart w:id="76" w:name="_Toc25465"/>
      <w:bookmarkStart w:id="77" w:name="_Toc18890"/>
      <w:bookmarkStart w:id="78" w:name="_Toc11092"/>
      <w:bookmarkStart w:id="79" w:name="_Toc14514"/>
      <w:bookmarkStart w:id="80" w:name="_Toc8642"/>
      <w:bookmarkStart w:id="81" w:name="_Toc7535"/>
      <w:bookmarkStart w:id="82" w:name="_Toc7676"/>
      <w:bookmarkStart w:id="83" w:name="_Toc3352"/>
      <w:r>
        <w:rPr>
          <w:rFonts w:hint="eastAsia" w:ascii="宋体" w:hAnsi="宋体" w:eastAsia="宋体" w:cs="宋体"/>
          <w:b/>
          <w:color w:val="auto"/>
          <w:sz w:val="21"/>
          <w:szCs w:val="21"/>
          <w:highlight w:val="none"/>
        </w:rPr>
        <w:t>技术需求书附件</w:t>
      </w:r>
      <w:r>
        <w:rPr>
          <w:rFonts w:hint="eastAsia" w:ascii="宋体" w:hAnsi="宋体" w:eastAsia="宋体" w:cs="宋体"/>
          <w:b/>
          <w:color w:val="auto"/>
          <w:sz w:val="21"/>
          <w:szCs w:val="21"/>
          <w:highlight w:val="none"/>
          <w:lang w:val="en-US" w:eastAsia="zh-CN"/>
        </w:rPr>
        <w:t>7：</w:t>
      </w:r>
      <w:r>
        <w:rPr>
          <w:rFonts w:hint="eastAsia" w:ascii="宋体" w:hAnsi="宋体" w:eastAsia="宋体" w:cs="宋体"/>
          <w:b/>
          <w:color w:val="auto"/>
          <w:sz w:val="21"/>
          <w:szCs w:val="21"/>
          <w:highlight w:val="none"/>
        </w:rPr>
        <w:t>《</w:t>
      </w:r>
      <w:r>
        <w:rPr>
          <w:rFonts w:hint="eastAsia" w:ascii="宋体" w:hAnsi="宋体" w:eastAsia="宋体" w:cs="宋体"/>
          <w:b/>
          <w:color w:val="auto"/>
          <w:sz w:val="21"/>
          <w:szCs w:val="21"/>
          <w:highlight w:val="none"/>
          <w:lang w:val="en-US" w:eastAsia="zh-CN"/>
        </w:rPr>
        <w:t>运输单位搬运费分级标准》</w:t>
      </w:r>
      <w:bookmarkEnd w:id="74"/>
      <w:bookmarkEnd w:id="75"/>
      <w:bookmarkEnd w:id="76"/>
      <w:bookmarkEnd w:id="77"/>
      <w:bookmarkEnd w:id="78"/>
      <w:bookmarkEnd w:id="79"/>
      <w:bookmarkEnd w:id="80"/>
      <w:bookmarkEnd w:id="81"/>
      <w:bookmarkEnd w:id="82"/>
      <w:bookmarkEnd w:id="83"/>
    </w:p>
    <w:tbl>
      <w:tblPr>
        <w:tblStyle w:val="3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59"/>
        <w:gridCol w:w="6237"/>
        <w:gridCol w:w="1326"/>
      </w:tblGrid>
      <w:tr w14:paraId="285995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tcPr>
          <w:p w14:paraId="0BFDB92A">
            <w:pPr>
              <w:spacing w:line="240" w:lineRule="auto"/>
              <w:jc w:val="center"/>
              <w:rPr>
                <w:rFonts w:hint="eastAsia" w:ascii="宋体" w:hAnsi="宋体" w:eastAsia="宋体" w:cs="宋体"/>
                <w:b/>
                <w:color w:val="auto"/>
                <w:sz w:val="20"/>
                <w:szCs w:val="20"/>
                <w:highlight w:val="none"/>
                <w:lang w:eastAsia="zh-CN"/>
              </w:rPr>
            </w:pPr>
            <w:r>
              <w:rPr>
                <w:rFonts w:hint="eastAsia" w:ascii="宋体" w:hAnsi="宋体" w:eastAsia="宋体" w:cs="宋体"/>
                <w:b/>
                <w:color w:val="auto"/>
                <w:sz w:val="20"/>
                <w:szCs w:val="20"/>
                <w:highlight w:val="none"/>
                <w:lang w:val="en-US" w:eastAsia="zh-CN"/>
              </w:rPr>
              <w:t>类别</w:t>
            </w:r>
          </w:p>
        </w:tc>
        <w:tc>
          <w:tcPr>
            <w:tcW w:w="6237" w:type="dxa"/>
          </w:tcPr>
          <w:p w14:paraId="115A88A6">
            <w:pPr>
              <w:spacing w:line="240" w:lineRule="auto"/>
              <w:jc w:val="center"/>
              <w:rPr>
                <w:rFonts w:hint="eastAsia" w:ascii="宋体" w:hAnsi="宋体" w:eastAsia="宋体" w:cs="宋体"/>
                <w:b/>
                <w:color w:val="auto"/>
                <w:sz w:val="20"/>
                <w:szCs w:val="20"/>
                <w:highlight w:val="none"/>
              </w:rPr>
            </w:pPr>
            <w:r>
              <w:rPr>
                <w:rFonts w:hint="eastAsia" w:ascii="宋体" w:hAnsi="宋体" w:eastAsia="宋体" w:cs="宋体"/>
                <w:b/>
                <w:color w:val="auto"/>
                <w:sz w:val="20"/>
                <w:szCs w:val="20"/>
                <w:highlight w:val="none"/>
              </w:rPr>
              <w:t>标准</w:t>
            </w:r>
          </w:p>
        </w:tc>
        <w:tc>
          <w:tcPr>
            <w:tcW w:w="1326" w:type="dxa"/>
          </w:tcPr>
          <w:p w14:paraId="3C89F0F3">
            <w:pPr>
              <w:spacing w:line="240" w:lineRule="auto"/>
              <w:jc w:val="center"/>
              <w:rPr>
                <w:rFonts w:hint="eastAsia" w:ascii="宋体" w:hAnsi="宋体" w:eastAsia="宋体" w:cs="宋体"/>
                <w:b/>
                <w:color w:val="auto"/>
                <w:sz w:val="20"/>
                <w:szCs w:val="20"/>
                <w:highlight w:val="none"/>
              </w:rPr>
            </w:pPr>
            <w:r>
              <w:rPr>
                <w:rFonts w:hint="eastAsia" w:ascii="宋体" w:hAnsi="宋体" w:eastAsia="宋体" w:cs="宋体"/>
                <w:b/>
                <w:color w:val="auto"/>
                <w:sz w:val="20"/>
                <w:szCs w:val="20"/>
                <w:highlight w:val="none"/>
                <w:lang w:val="en-US" w:eastAsia="zh-CN"/>
              </w:rPr>
              <w:t>打包费</w:t>
            </w:r>
          </w:p>
        </w:tc>
      </w:tr>
      <w:tr w14:paraId="74EA4D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tcPr>
          <w:p w14:paraId="19DBA598">
            <w:pPr>
              <w:tabs>
                <w:tab w:val="left" w:pos="358"/>
              </w:tabs>
              <w:spacing w:line="240" w:lineRule="auto"/>
              <w:jc w:val="center"/>
              <w:rPr>
                <w:rFonts w:hint="eastAsia" w:ascii="宋体" w:hAnsi="宋体" w:eastAsia="宋体" w:cs="宋体"/>
                <w:b/>
                <w:color w:val="auto"/>
                <w:sz w:val="20"/>
                <w:szCs w:val="20"/>
                <w:highlight w:val="none"/>
                <w:lang w:val="en-US" w:eastAsia="zh-CN"/>
              </w:rPr>
            </w:pPr>
            <w:r>
              <w:rPr>
                <w:rFonts w:hint="eastAsia" w:ascii="宋体" w:hAnsi="宋体" w:eastAsia="宋体" w:cs="宋体"/>
                <w:b/>
                <w:color w:val="auto"/>
                <w:sz w:val="20"/>
                <w:szCs w:val="20"/>
                <w:highlight w:val="none"/>
                <w:lang w:val="en-US" w:eastAsia="zh-CN"/>
              </w:rPr>
              <w:t>正常</w:t>
            </w:r>
          </w:p>
          <w:p w14:paraId="2792C895">
            <w:pPr>
              <w:tabs>
                <w:tab w:val="left" w:pos="358"/>
              </w:tabs>
              <w:spacing w:line="240" w:lineRule="auto"/>
              <w:jc w:val="center"/>
              <w:rPr>
                <w:rFonts w:hint="eastAsia" w:ascii="宋体" w:hAnsi="宋体" w:eastAsia="宋体" w:cs="宋体"/>
                <w:b/>
                <w:color w:val="auto"/>
                <w:sz w:val="20"/>
                <w:szCs w:val="20"/>
                <w:highlight w:val="none"/>
                <w:lang w:val="en-US" w:eastAsia="zh-CN"/>
              </w:rPr>
            </w:pPr>
            <w:r>
              <w:rPr>
                <w:rFonts w:hint="eastAsia" w:ascii="宋体" w:hAnsi="宋体" w:eastAsia="宋体" w:cs="宋体"/>
                <w:b/>
                <w:color w:val="auto"/>
                <w:sz w:val="20"/>
                <w:szCs w:val="20"/>
                <w:highlight w:val="none"/>
                <w:lang w:val="en-US" w:eastAsia="zh-CN"/>
              </w:rPr>
              <w:t>服务</w:t>
            </w:r>
          </w:p>
        </w:tc>
        <w:tc>
          <w:tcPr>
            <w:tcW w:w="6237" w:type="dxa"/>
          </w:tcPr>
          <w:p w14:paraId="731E761C">
            <w:pPr>
              <w:spacing w:line="240" w:lineRule="auto"/>
              <w:jc w:val="left"/>
              <w:rPr>
                <w:rFonts w:hint="eastAsia" w:ascii="宋体" w:hAnsi="宋体" w:eastAsia="宋体" w:cs="宋体"/>
                <w:bCs/>
                <w:color w:val="auto"/>
                <w:sz w:val="20"/>
                <w:szCs w:val="20"/>
                <w:highlight w:val="none"/>
                <w:lang w:val="en-US" w:eastAsia="zh-CN"/>
              </w:rPr>
            </w:pPr>
            <w:r>
              <w:rPr>
                <w:rFonts w:hint="eastAsia" w:ascii="宋体" w:hAnsi="宋体" w:eastAsia="宋体" w:cs="宋体"/>
                <w:color w:val="auto"/>
                <w:sz w:val="20"/>
                <w:szCs w:val="20"/>
                <w:highlight w:val="none"/>
                <w:lang w:val="en-US" w:eastAsia="zh-CN"/>
              </w:rPr>
              <w:t>收运现场废物已码好卡板，</w:t>
            </w:r>
            <w:r>
              <w:rPr>
                <w:rFonts w:hint="eastAsia" w:ascii="宋体" w:hAnsi="宋体" w:eastAsia="宋体" w:cs="宋体"/>
                <w:bCs/>
                <w:color w:val="auto"/>
                <w:sz w:val="20"/>
                <w:szCs w:val="20"/>
                <w:highlight w:val="none"/>
              </w:rPr>
              <w:t>仅</w:t>
            </w:r>
            <w:r>
              <w:rPr>
                <w:rFonts w:hint="eastAsia" w:ascii="宋体" w:hAnsi="宋体" w:eastAsia="宋体" w:cs="宋体"/>
                <w:bCs/>
                <w:color w:val="auto"/>
                <w:sz w:val="20"/>
                <w:szCs w:val="20"/>
                <w:highlight w:val="none"/>
                <w:lang w:val="en-US" w:eastAsia="zh-CN"/>
              </w:rPr>
              <w:t>需要缠膜固定（采购人提供拉伸膜）和</w:t>
            </w:r>
            <w:r>
              <w:rPr>
                <w:rFonts w:hint="eastAsia" w:ascii="宋体" w:hAnsi="宋体" w:eastAsia="宋体" w:cs="宋体"/>
                <w:bCs/>
                <w:color w:val="auto"/>
                <w:sz w:val="20"/>
                <w:szCs w:val="20"/>
                <w:highlight w:val="none"/>
              </w:rPr>
              <w:t>使用手叉车上车，</w:t>
            </w:r>
            <w:r>
              <w:rPr>
                <w:rFonts w:hint="eastAsia" w:ascii="宋体" w:hAnsi="宋体" w:eastAsia="宋体" w:cs="宋体"/>
                <w:bCs/>
                <w:color w:val="auto"/>
                <w:sz w:val="20"/>
                <w:szCs w:val="20"/>
                <w:highlight w:val="none"/>
                <w:lang w:val="en-US" w:eastAsia="zh-CN"/>
              </w:rPr>
              <w:t>或者机动叉车装货时需要运输人员协助挂耳操作，属于正常服务，不额外支付装卸服务费。</w:t>
            </w:r>
          </w:p>
        </w:tc>
        <w:tc>
          <w:tcPr>
            <w:tcW w:w="1326" w:type="dxa"/>
            <w:vAlign w:val="center"/>
          </w:tcPr>
          <w:p w14:paraId="2F57A057">
            <w:pPr>
              <w:spacing w:line="240" w:lineRule="auto"/>
              <w:jc w:val="center"/>
              <w:rPr>
                <w:rFonts w:hint="eastAsia" w:ascii="宋体" w:hAnsi="宋体" w:eastAsia="宋体" w:cs="宋体"/>
                <w:bCs/>
                <w:color w:val="auto"/>
                <w:sz w:val="20"/>
                <w:szCs w:val="20"/>
                <w:highlight w:val="none"/>
                <w:lang w:val="en-US" w:eastAsia="zh-CN"/>
              </w:rPr>
            </w:pPr>
            <w:r>
              <w:rPr>
                <w:rFonts w:hint="eastAsia" w:ascii="宋体" w:hAnsi="宋体" w:eastAsia="宋体" w:cs="宋体"/>
                <w:bCs/>
                <w:color w:val="auto"/>
                <w:sz w:val="20"/>
                <w:szCs w:val="20"/>
                <w:highlight w:val="none"/>
                <w:lang w:val="en-US" w:eastAsia="zh-CN"/>
              </w:rPr>
              <w:t>0元</w:t>
            </w:r>
          </w:p>
        </w:tc>
      </w:tr>
      <w:tr w14:paraId="0EDE9A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vAlign w:val="center"/>
          </w:tcPr>
          <w:p w14:paraId="5C2EF8D7">
            <w:pPr>
              <w:spacing w:line="240" w:lineRule="auto"/>
              <w:jc w:val="center"/>
              <w:rPr>
                <w:rFonts w:hint="eastAsia" w:ascii="宋体" w:hAnsi="宋体" w:eastAsia="宋体" w:cs="宋体"/>
                <w:b/>
                <w:color w:val="auto"/>
                <w:sz w:val="20"/>
                <w:szCs w:val="20"/>
                <w:highlight w:val="none"/>
                <w:lang w:val="en-US" w:eastAsia="zh-CN"/>
              </w:rPr>
            </w:pPr>
            <w:r>
              <w:rPr>
                <w:rFonts w:hint="eastAsia" w:ascii="宋体" w:hAnsi="宋体" w:eastAsia="宋体" w:cs="宋体"/>
                <w:b/>
                <w:color w:val="auto"/>
                <w:sz w:val="20"/>
                <w:szCs w:val="20"/>
                <w:highlight w:val="none"/>
                <w:lang w:val="en-US" w:eastAsia="zh-CN"/>
              </w:rPr>
              <w:t>属于</w:t>
            </w:r>
          </w:p>
          <w:p w14:paraId="25B27B4A">
            <w:pPr>
              <w:spacing w:line="240" w:lineRule="auto"/>
              <w:jc w:val="center"/>
              <w:rPr>
                <w:rFonts w:hint="eastAsia" w:ascii="宋体" w:hAnsi="宋体" w:eastAsia="宋体" w:cs="宋体"/>
                <w:b/>
                <w:color w:val="auto"/>
                <w:sz w:val="20"/>
                <w:szCs w:val="20"/>
                <w:highlight w:val="none"/>
                <w:lang w:val="en-US" w:eastAsia="zh-CN"/>
              </w:rPr>
            </w:pPr>
            <w:r>
              <w:rPr>
                <w:rFonts w:hint="eastAsia" w:ascii="宋体" w:hAnsi="宋体" w:eastAsia="宋体" w:cs="宋体"/>
                <w:b/>
                <w:color w:val="auto"/>
                <w:sz w:val="20"/>
                <w:szCs w:val="20"/>
                <w:highlight w:val="none"/>
                <w:lang w:val="en-US" w:eastAsia="zh-CN"/>
              </w:rPr>
              <w:t>搬运</w:t>
            </w:r>
          </w:p>
          <w:p w14:paraId="02E1A40B">
            <w:pPr>
              <w:spacing w:line="240" w:lineRule="auto"/>
              <w:jc w:val="center"/>
              <w:rPr>
                <w:rFonts w:hint="eastAsia" w:ascii="宋体" w:hAnsi="宋体" w:eastAsia="宋体" w:cs="宋体"/>
                <w:b/>
                <w:color w:val="auto"/>
                <w:sz w:val="20"/>
                <w:szCs w:val="20"/>
                <w:highlight w:val="none"/>
                <w:lang w:val="en-US" w:eastAsia="zh-CN"/>
              </w:rPr>
            </w:pPr>
            <w:r>
              <w:rPr>
                <w:rFonts w:hint="eastAsia" w:ascii="宋体" w:hAnsi="宋体" w:eastAsia="宋体" w:cs="宋体"/>
                <w:b/>
                <w:color w:val="auto"/>
                <w:sz w:val="20"/>
                <w:szCs w:val="20"/>
                <w:highlight w:val="none"/>
                <w:lang w:val="en-US" w:eastAsia="zh-CN"/>
              </w:rPr>
              <w:t>打包</w:t>
            </w:r>
          </w:p>
          <w:p w14:paraId="41A70CA1">
            <w:pPr>
              <w:spacing w:line="240" w:lineRule="auto"/>
              <w:jc w:val="center"/>
              <w:rPr>
                <w:rFonts w:hint="eastAsia" w:ascii="宋体" w:hAnsi="宋体" w:eastAsia="宋体" w:cs="宋体"/>
                <w:b/>
                <w:color w:val="auto"/>
                <w:sz w:val="20"/>
                <w:szCs w:val="20"/>
                <w:highlight w:val="none"/>
                <w:lang w:val="en-US" w:eastAsia="zh-CN"/>
              </w:rPr>
            </w:pPr>
            <w:r>
              <w:rPr>
                <w:rFonts w:hint="eastAsia" w:ascii="宋体" w:hAnsi="宋体" w:eastAsia="宋体" w:cs="宋体"/>
                <w:b/>
                <w:color w:val="auto"/>
                <w:sz w:val="20"/>
                <w:szCs w:val="20"/>
                <w:highlight w:val="none"/>
                <w:lang w:val="en-US" w:eastAsia="zh-CN"/>
              </w:rPr>
              <w:t>服务</w:t>
            </w:r>
          </w:p>
          <w:p w14:paraId="0523B489">
            <w:pPr>
              <w:spacing w:line="240" w:lineRule="auto"/>
              <w:jc w:val="center"/>
              <w:rPr>
                <w:rFonts w:hint="eastAsia" w:ascii="宋体" w:hAnsi="宋体" w:eastAsia="宋体" w:cs="宋体"/>
                <w:b/>
                <w:color w:val="auto"/>
                <w:sz w:val="20"/>
                <w:szCs w:val="20"/>
                <w:highlight w:val="none"/>
                <w:lang w:val="en-US" w:eastAsia="zh-CN"/>
              </w:rPr>
            </w:pPr>
            <w:r>
              <w:rPr>
                <w:rFonts w:hint="eastAsia" w:ascii="宋体" w:hAnsi="宋体" w:eastAsia="宋体" w:cs="宋体"/>
                <w:b/>
                <w:color w:val="auto"/>
                <w:sz w:val="20"/>
                <w:szCs w:val="20"/>
                <w:highlight w:val="none"/>
                <w:lang w:val="en-US" w:eastAsia="zh-CN"/>
              </w:rPr>
              <w:t>的</w:t>
            </w:r>
          </w:p>
          <w:p w14:paraId="64211DBA">
            <w:pPr>
              <w:spacing w:line="240" w:lineRule="auto"/>
              <w:jc w:val="center"/>
              <w:rPr>
                <w:rFonts w:hint="eastAsia" w:ascii="宋体" w:hAnsi="宋体" w:eastAsia="宋体" w:cs="宋体"/>
                <w:b/>
                <w:color w:val="auto"/>
                <w:sz w:val="20"/>
                <w:szCs w:val="20"/>
                <w:highlight w:val="none"/>
                <w:lang w:val="en-US" w:eastAsia="zh-CN"/>
              </w:rPr>
            </w:pPr>
            <w:r>
              <w:rPr>
                <w:rFonts w:hint="eastAsia" w:ascii="宋体" w:hAnsi="宋体" w:eastAsia="宋体" w:cs="宋体"/>
                <w:b/>
                <w:color w:val="auto"/>
                <w:sz w:val="20"/>
                <w:szCs w:val="20"/>
                <w:highlight w:val="none"/>
                <w:lang w:val="en-US" w:eastAsia="zh-CN"/>
              </w:rPr>
              <w:t>类型</w:t>
            </w:r>
          </w:p>
        </w:tc>
        <w:tc>
          <w:tcPr>
            <w:tcW w:w="6237" w:type="dxa"/>
          </w:tcPr>
          <w:p w14:paraId="7053E82E">
            <w:pPr>
              <w:numPr>
                <w:ilvl w:val="0"/>
                <w:numId w:val="0"/>
              </w:numPr>
              <w:spacing w:line="240" w:lineRule="auto"/>
              <w:jc w:val="left"/>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lang w:val="en-US" w:eastAsia="zh-CN" w:bidi="ar-SA"/>
              </w:rPr>
              <w:t>1、</w:t>
            </w:r>
            <w:r>
              <w:rPr>
                <w:rFonts w:hint="eastAsia" w:ascii="宋体" w:hAnsi="宋体" w:eastAsia="宋体" w:cs="宋体"/>
                <w:bCs/>
                <w:color w:val="auto"/>
                <w:sz w:val="20"/>
                <w:szCs w:val="20"/>
                <w:highlight w:val="none"/>
                <w:lang w:val="en-US" w:eastAsia="zh-CN"/>
              </w:rPr>
              <w:t>客户</w:t>
            </w:r>
            <w:r>
              <w:rPr>
                <w:rFonts w:hint="eastAsia" w:ascii="宋体" w:hAnsi="宋体" w:eastAsia="宋体" w:cs="宋体"/>
                <w:color w:val="auto"/>
                <w:sz w:val="20"/>
                <w:szCs w:val="20"/>
                <w:highlight w:val="none"/>
              </w:rPr>
              <w:t>废物码放不规范，需运输人员重新拆包并重新码板打包的。</w:t>
            </w:r>
          </w:p>
          <w:p w14:paraId="6C5A6160">
            <w:pPr>
              <w:numPr>
                <w:ilvl w:val="0"/>
                <w:numId w:val="0"/>
              </w:numPr>
              <w:spacing w:line="240" w:lineRule="auto"/>
              <w:jc w:val="left"/>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lang w:val="en-US" w:eastAsia="zh-CN" w:bidi="ar-SA"/>
              </w:rPr>
              <w:t>2、</w:t>
            </w:r>
            <w:r>
              <w:rPr>
                <w:rFonts w:hint="eastAsia" w:ascii="宋体" w:hAnsi="宋体" w:eastAsia="宋体" w:cs="宋体"/>
                <w:color w:val="auto"/>
                <w:sz w:val="20"/>
                <w:szCs w:val="20"/>
                <w:highlight w:val="none"/>
              </w:rPr>
              <w:t>桶装液体类废物，客户未提前码板，需运输人员搬上卡板的</w:t>
            </w:r>
            <w:r>
              <w:rPr>
                <w:rFonts w:hint="eastAsia" w:ascii="宋体" w:hAnsi="宋体" w:eastAsia="宋体" w:cs="宋体"/>
                <w:color w:val="auto"/>
                <w:sz w:val="20"/>
                <w:szCs w:val="20"/>
                <w:highlight w:val="none"/>
                <w:lang w:eastAsia="zh-CN"/>
              </w:rPr>
              <w:t>。</w:t>
            </w:r>
          </w:p>
          <w:p w14:paraId="3DCE7F71">
            <w:pPr>
              <w:numPr>
                <w:ilvl w:val="0"/>
                <w:numId w:val="0"/>
              </w:numPr>
              <w:spacing w:line="240" w:lineRule="auto"/>
              <w:jc w:val="left"/>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lang w:val="en-US" w:eastAsia="zh-CN" w:bidi="ar-SA"/>
              </w:rPr>
              <w:t>3、</w:t>
            </w:r>
            <w:r>
              <w:rPr>
                <w:rFonts w:hint="eastAsia" w:ascii="宋体" w:hAnsi="宋体" w:eastAsia="宋体" w:cs="宋体"/>
                <w:color w:val="auto"/>
                <w:sz w:val="20"/>
                <w:szCs w:val="20"/>
                <w:highlight w:val="none"/>
                <w:lang w:val="en-US" w:eastAsia="zh-CN"/>
              </w:rPr>
              <w:t>小袋装的固体废物，</w:t>
            </w:r>
            <w:r>
              <w:rPr>
                <w:rFonts w:hint="eastAsia" w:ascii="宋体" w:hAnsi="宋体" w:eastAsia="宋体" w:cs="宋体"/>
                <w:color w:val="auto"/>
                <w:sz w:val="20"/>
                <w:szCs w:val="20"/>
                <w:highlight w:val="none"/>
              </w:rPr>
              <w:t>客户未提前码板，需运输人员搬上卡板的</w:t>
            </w:r>
            <w:r>
              <w:rPr>
                <w:rFonts w:hint="eastAsia" w:ascii="宋体" w:hAnsi="宋体" w:eastAsia="宋体" w:cs="宋体"/>
                <w:color w:val="auto"/>
                <w:sz w:val="20"/>
                <w:szCs w:val="20"/>
                <w:highlight w:val="none"/>
                <w:lang w:eastAsia="zh-CN"/>
              </w:rPr>
              <w:t>。</w:t>
            </w:r>
          </w:p>
          <w:p w14:paraId="05183A02">
            <w:pPr>
              <w:numPr>
                <w:ilvl w:val="0"/>
                <w:numId w:val="0"/>
              </w:numPr>
              <w:spacing w:line="240" w:lineRule="auto"/>
              <w:jc w:val="left"/>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lang w:val="en-US" w:eastAsia="zh-CN" w:bidi="ar-SA"/>
              </w:rPr>
              <w:t>4、</w:t>
            </w:r>
            <w:r>
              <w:rPr>
                <w:rFonts w:hint="eastAsia" w:ascii="宋体" w:hAnsi="宋体" w:eastAsia="宋体" w:cs="宋体"/>
                <w:color w:val="auto"/>
                <w:sz w:val="20"/>
                <w:szCs w:val="20"/>
                <w:highlight w:val="none"/>
                <w:lang w:val="en-US" w:eastAsia="zh-CN"/>
              </w:rPr>
              <w:t>散装的粉末状或污泥状固体废物，客户未提前装桶或装吨袋的，需要运输人员装桶或者装袋的。</w:t>
            </w:r>
          </w:p>
          <w:p w14:paraId="7D90D647">
            <w:pPr>
              <w:numPr>
                <w:ilvl w:val="0"/>
                <w:numId w:val="0"/>
              </w:numPr>
              <w:spacing w:line="240" w:lineRule="auto"/>
              <w:jc w:val="left"/>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lang w:val="en-US" w:eastAsia="zh-CN" w:bidi="ar-SA"/>
              </w:rPr>
              <w:t>5、</w:t>
            </w:r>
            <w:r>
              <w:rPr>
                <w:rFonts w:hint="eastAsia" w:ascii="宋体" w:hAnsi="宋体" w:eastAsia="宋体" w:cs="宋体"/>
                <w:color w:val="auto"/>
                <w:sz w:val="20"/>
                <w:szCs w:val="20"/>
                <w:highlight w:val="none"/>
                <w:lang w:val="en-US" w:eastAsia="zh-CN"/>
              </w:rPr>
              <w:t>装货现场条件限制，无法使用</w:t>
            </w:r>
            <w:r>
              <w:rPr>
                <w:rFonts w:hint="eastAsia" w:ascii="宋体" w:hAnsi="宋体" w:eastAsia="宋体" w:cs="宋体"/>
                <w:color w:val="auto"/>
                <w:sz w:val="20"/>
                <w:szCs w:val="20"/>
                <w:highlight w:val="none"/>
              </w:rPr>
              <w:t>手动叉车</w:t>
            </w:r>
            <w:r>
              <w:rPr>
                <w:rFonts w:hint="eastAsia" w:ascii="宋体" w:hAnsi="宋体" w:eastAsia="宋体" w:cs="宋体"/>
                <w:color w:val="auto"/>
                <w:sz w:val="20"/>
                <w:szCs w:val="20"/>
                <w:highlight w:val="none"/>
                <w:lang w:val="en-US" w:eastAsia="zh-CN"/>
              </w:rPr>
              <w:t>装货（例如台阶，无电梯的楼层），需要人工搬动转移货物的。</w:t>
            </w:r>
          </w:p>
          <w:p w14:paraId="2CA31058">
            <w:pPr>
              <w:numPr>
                <w:ilvl w:val="0"/>
                <w:numId w:val="0"/>
              </w:numPr>
              <w:spacing w:line="240" w:lineRule="auto"/>
              <w:jc w:val="left"/>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lang w:val="en-US" w:eastAsia="zh-CN"/>
              </w:rPr>
              <w:t>6、现场抽取废液的操作环境十分不便，需要人工反复上下或者管线超长</w:t>
            </w:r>
          </w:p>
        </w:tc>
        <w:tc>
          <w:tcPr>
            <w:tcW w:w="1326" w:type="dxa"/>
            <w:vAlign w:val="center"/>
          </w:tcPr>
          <w:p w14:paraId="76FA0AE6">
            <w:pPr>
              <w:spacing w:line="240" w:lineRule="auto"/>
              <w:jc w:val="center"/>
              <w:rPr>
                <w:rFonts w:hint="eastAsia" w:ascii="宋体" w:hAnsi="宋体" w:eastAsia="宋体" w:cs="宋体"/>
                <w:bCs/>
                <w:color w:val="auto"/>
                <w:sz w:val="20"/>
                <w:szCs w:val="20"/>
                <w:highlight w:val="none"/>
                <w:lang w:val="en-US" w:eastAsia="zh-CN"/>
              </w:rPr>
            </w:pPr>
            <w:r>
              <w:rPr>
                <w:rFonts w:hint="eastAsia" w:ascii="宋体" w:hAnsi="宋体" w:eastAsia="宋体" w:cs="宋体"/>
                <w:bCs/>
                <w:color w:val="auto"/>
                <w:sz w:val="20"/>
                <w:szCs w:val="20"/>
                <w:highlight w:val="none"/>
                <w:lang w:val="en-US" w:eastAsia="zh-CN"/>
              </w:rPr>
              <w:t>按本表的</w:t>
            </w:r>
          </w:p>
          <w:p w14:paraId="3FEEE440">
            <w:pPr>
              <w:spacing w:line="240" w:lineRule="auto"/>
              <w:jc w:val="center"/>
              <w:rPr>
                <w:rFonts w:hint="eastAsia" w:ascii="宋体" w:hAnsi="宋体" w:eastAsia="宋体" w:cs="宋体"/>
                <w:bCs/>
                <w:color w:val="auto"/>
                <w:sz w:val="20"/>
                <w:szCs w:val="20"/>
                <w:highlight w:val="none"/>
                <w:lang w:val="en-US" w:eastAsia="zh-CN"/>
              </w:rPr>
            </w:pPr>
            <w:r>
              <w:rPr>
                <w:rFonts w:hint="eastAsia" w:ascii="宋体" w:hAnsi="宋体" w:eastAsia="宋体" w:cs="宋体"/>
                <w:bCs/>
                <w:color w:val="auto"/>
                <w:sz w:val="20"/>
                <w:szCs w:val="20"/>
                <w:highlight w:val="none"/>
                <w:lang w:val="en-US" w:eastAsia="zh-CN"/>
              </w:rPr>
              <w:t>标准付费</w:t>
            </w:r>
          </w:p>
        </w:tc>
      </w:tr>
      <w:tr w14:paraId="187DFA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4" w:hRule="atLeast"/>
        </w:trPr>
        <w:tc>
          <w:tcPr>
            <w:tcW w:w="959" w:type="dxa"/>
            <w:vMerge w:val="restart"/>
            <w:vAlign w:val="center"/>
          </w:tcPr>
          <w:p w14:paraId="138A1320">
            <w:pPr>
              <w:spacing w:line="240" w:lineRule="auto"/>
              <w:jc w:val="center"/>
              <w:rPr>
                <w:rFonts w:hint="eastAsia" w:ascii="宋体" w:hAnsi="宋体" w:eastAsia="宋体" w:cs="宋体"/>
                <w:b/>
                <w:color w:val="auto"/>
                <w:sz w:val="20"/>
                <w:szCs w:val="20"/>
                <w:highlight w:val="none"/>
                <w:lang w:val="en-US" w:eastAsia="zh-CN"/>
              </w:rPr>
            </w:pPr>
            <w:r>
              <w:rPr>
                <w:rFonts w:hint="eastAsia" w:ascii="宋体" w:hAnsi="宋体" w:eastAsia="宋体" w:cs="宋体"/>
                <w:b/>
                <w:color w:val="auto"/>
                <w:sz w:val="20"/>
                <w:szCs w:val="20"/>
                <w:highlight w:val="none"/>
                <w:lang w:val="en-US" w:eastAsia="zh-CN"/>
              </w:rPr>
              <w:t>5-6米</w:t>
            </w:r>
          </w:p>
          <w:p w14:paraId="1A64A0F4">
            <w:pPr>
              <w:spacing w:line="240" w:lineRule="auto"/>
              <w:jc w:val="center"/>
              <w:rPr>
                <w:rFonts w:hint="eastAsia" w:ascii="宋体" w:hAnsi="宋体" w:eastAsia="宋体" w:cs="宋体"/>
                <w:b/>
                <w:color w:val="auto"/>
                <w:sz w:val="20"/>
                <w:szCs w:val="20"/>
                <w:highlight w:val="none"/>
                <w:lang w:val="en-US" w:eastAsia="zh-CN"/>
              </w:rPr>
            </w:pPr>
            <w:r>
              <w:rPr>
                <w:rFonts w:hint="eastAsia" w:ascii="宋体" w:hAnsi="宋体" w:eastAsia="宋体" w:cs="宋体"/>
                <w:b/>
                <w:color w:val="auto"/>
                <w:sz w:val="20"/>
                <w:szCs w:val="20"/>
                <w:highlight w:val="none"/>
                <w:lang w:val="en-US" w:eastAsia="zh-CN"/>
              </w:rPr>
              <w:t>厢车</w:t>
            </w:r>
          </w:p>
        </w:tc>
        <w:tc>
          <w:tcPr>
            <w:tcW w:w="6237" w:type="dxa"/>
            <w:vAlign w:val="center"/>
          </w:tcPr>
          <w:p w14:paraId="65F7C2F5">
            <w:pPr>
              <w:spacing w:line="240" w:lineRule="auto"/>
              <w:jc w:val="left"/>
              <w:rPr>
                <w:rFonts w:hint="eastAsia" w:ascii="宋体" w:hAnsi="宋体" w:eastAsia="宋体" w:cs="宋体"/>
                <w:color w:val="auto"/>
                <w:sz w:val="20"/>
                <w:szCs w:val="20"/>
                <w:highlight w:val="none"/>
                <w:lang w:val="en-US" w:eastAsia="zh-CN"/>
              </w:rPr>
            </w:pPr>
            <w:r>
              <w:rPr>
                <w:rFonts w:hint="eastAsia" w:ascii="宋体" w:hAnsi="宋体" w:eastAsia="宋体" w:cs="宋体"/>
                <w:color w:val="auto"/>
                <w:sz w:val="20"/>
                <w:szCs w:val="20"/>
                <w:highlight w:val="none"/>
                <w:lang w:val="en-US" w:eastAsia="zh-CN"/>
              </w:rPr>
              <w:t>符合上述类型</w:t>
            </w:r>
          </w:p>
        </w:tc>
        <w:tc>
          <w:tcPr>
            <w:tcW w:w="1326" w:type="dxa"/>
            <w:vMerge w:val="restart"/>
            <w:vAlign w:val="center"/>
          </w:tcPr>
          <w:p w14:paraId="0C0119C6">
            <w:pPr>
              <w:spacing w:line="240" w:lineRule="auto"/>
              <w:jc w:val="center"/>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100元/车</w:t>
            </w:r>
          </w:p>
        </w:tc>
      </w:tr>
      <w:tr w14:paraId="3065F5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959" w:type="dxa"/>
            <w:vAlign w:val="center"/>
          </w:tcPr>
          <w:p w14:paraId="14604E83">
            <w:pPr>
              <w:spacing w:line="240" w:lineRule="auto"/>
              <w:jc w:val="center"/>
              <w:rPr>
                <w:rFonts w:hint="eastAsia" w:ascii="宋体" w:hAnsi="宋体" w:eastAsia="宋体" w:cs="宋体"/>
                <w:b/>
                <w:color w:val="auto"/>
                <w:sz w:val="20"/>
                <w:szCs w:val="20"/>
                <w:highlight w:val="none"/>
                <w:lang w:val="en-US" w:eastAsia="zh-CN"/>
              </w:rPr>
            </w:pPr>
            <w:r>
              <w:rPr>
                <w:rFonts w:hint="eastAsia" w:ascii="宋体" w:hAnsi="宋体" w:eastAsia="宋体" w:cs="宋体"/>
                <w:b/>
                <w:color w:val="auto"/>
                <w:sz w:val="20"/>
                <w:szCs w:val="20"/>
                <w:highlight w:val="none"/>
                <w:lang w:val="en-US" w:eastAsia="zh-CN"/>
              </w:rPr>
              <w:t>7-8米</w:t>
            </w:r>
          </w:p>
          <w:p w14:paraId="2468B3F1">
            <w:pPr>
              <w:spacing w:line="240" w:lineRule="auto"/>
              <w:jc w:val="center"/>
              <w:rPr>
                <w:rFonts w:hint="eastAsia" w:ascii="宋体" w:hAnsi="宋体" w:eastAsia="宋体" w:cs="宋体"/>
                <w:b/>
                <w:color w:val="auto"/>
                <w:sz w:val="20"/>
                <w:szCs w:val="20"/>
                <w:highlight w:val="none"/>
              </w:rPr>
            </w:pPr>
            <w:r>
              <w:rPr>
                <w:rFonts w:hint="eastAsia" w:ascii="宋体" w:hAnsi="宋体" w:eastAsia="宋体" w:cs="宋体"/>
                <w:b/>
                <w:color w:val="auto"/>
                <w:sz w:val="20"/>
                <w:szCs w:val="20"/>
                <w:highlight w:val="none"/>
                <w:lang w:val="en-US" w:eastAsia="zh-CN"/>
              </w:rPr>
              <w:t>厢车</w:t>
            </w:r>
          </w:p>
        </w:tc>
        <w:tc>
          <w:tcPr>
            <w:tcW w:w="6237" w:type="dxa"/>
            <w:vAlign w:val="center"/>
          </w:tcPr>
          <w:p w14:paraId="6485463B">
            <w:pPr>
              <w:spacing w:line="240" w:lineRule="auto"/>
              <w:jc w:val="left"/>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lang w:val="en-US" w:eastAsia="zh-CN"/>
              </w:rPr>
              <w:t>符合上述类型</w:t>
            </w:r>
          </w:p>
        </w:tc>
        <w:tc>
          <w:tcPr>
            <w:tcW w:w="1326" w:type="dxa"/>
            <w:vAlign w:val="center"/>
          </w:tcPr>
          <w:p w14:paraId="665F0989">
            <w:pPr>
              <w:spacing w:line="240" w:lineRule="auto"/>
              <w:jc w:val="center"/>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150元/车</w:t>
            </w:r>
          </w:p>
        </w:tc>
      </w:tr>
      <w:tr w14:paraId="14E9C8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1" w:hRule="atLeast"/>
        </w:trPr>
        <w:tc>
          <w:tcPr>
            <w:tcW w:w="959" w:type="dxa"/>
            <w:vAlign w:val="center"/>
          </w:tcPr>
          <w:p w14:paraId="3C1EAE79">
            <w:pPr>
              <w:spacing w:line="240" w:lineRule="auto"/>
              <w:jc w:val="center"/>
              <w:rPr>
                <w:rFonts w:hint="eastAsia" w:ascii="宋体" w:hAnsi="宋体" w:eastAsia="宋体" w:cs="宋体"/>
                <w:b/>
                <w:color w:val="auto"/>
                <w:sz w:val="20"/>
                <w:szCs w:val="20"/>
                <w:highlight w:val="none"/>
                <w:lang w:val="en-US" w:eastAsia="zh-CN"/>
              </w:rPr>
            </w:pPr>
            <w:r>
              <w:rPr>
                <w:rFonts w:hint="eastAsia" w:ascii="宋体" w:hAnsi="宋体" w:eastAsia="宋体" w:cs="宋体"/>
                <w:b/>
                <w:color w:val="auto"/>
                <w:sz w:val="20"/>
                <w:szCs w:val="20"/>
                <w:highlight w:val="none"/>
                <w:lang w:val="en-US" w:eastAsia="zh-CN"/>
              </w:rPr>
              <w:t>9-10米</w:t>
            </w:r>
          </w:p>
          <w:p w14:paraId="6412B6E1">
            <w:pPr>
              <w:spacing w:line="240" w:lineRule="auto"/>
              <w:jc w:val="center"/>
              <w:rPr>
                <w:rFonts w:hint="eastAsia" w:ascii="宋体" w:hAnsi="宋体" w:eastAsia="宋体" w:cs="宋体"/>
                <w:b/>
                <w:color w:val="auto"/>
                <w:sz w:val="20"/>
                <w:szCs w:val="20"/>
                <w:highlight w:val="none"/>
              </w:rPr>
            </w:pPr>
            <w:r>
              <w:rPr>
                <w:rFonts w:hint="eastAsia" w:ascii="宋体" w:hAnsi="宋体" w:eastAsia="宋体" w:cs="宋体"/>
                <w:b/>
                <w:color w:val="auto"/>
                <w:sz w:val="20"/>
                <w:szCs w:val="20"/>
                <w:highlight w:val="none"/>
                <w:lang w:val="en-US" w:eastAsia="zh-CN"/>
              </w:rPr>
              <w:t>厢车</w:t>
            </w:r>
          </w:p>
        </w:tc>
        <w:tc>
          <w:tcPr>
            <w:tcW w:w="6237" w:type="dxa"/>
            <w:vAlign w:val="center"/>
          </w:tcPr>
          <w:p w14:paraId="57739928">
            <w:pPr>
              <w:spacing w:line="240" w:lineRule="auto"/>
              <w:jc w:val="left"/>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lang w:val="en-US" w:eastAsia="zh-CN"/>
              </w:rPr>
              <w:t>符合上述类型</w:t>
            </w:r>
          </w:p>
        </w:tc>
        <w:tc>
          <w:tcPr>
            <w:tcW w:w="1326" w:type="dxa"/>
            <w:vAlign w:val="center"/>
          </w:tcPr>
          <w:p w14:paraId="4188298E">
            <w:pPr>
              <w:spacing w:line="240" w:lineRule="auto"/>
              <w:jc w:val="center"/>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250元/车</w:t>
            </w:r>
          </w:p>
        </w:tc>
      </w:tr>
      <w:tr w14:paraId="32228D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vAlign w:val="center"/>
          </w:tcPr>
          <w:p w14:paraId="771CC1A1">
            <w:pPr>
              <w:spacing w:line="240" w:lineRule="auto"/>
              <w:jc w:val="center"/>
              <w:rPr>
                <w:rFonts w:hint="eastAsia" w:ascii="宋体" w:hAnsi="宋体" w:eastAsia="宋体" w:cs="宋体"/>
                <w:b/>
                <w:color w:val="auto"/>
                <w:sz w:val="20"/>
                <w:szCs w:val="20"/>
                <w:highlight w:val="none"/>
                <w:lang w:val="en-US" w:eastAsia="zh-CN"/>
              </w:rPr>
            </w:pPr>
            <w:r>
              <w:rPr>
                <w:rFonts w:hint="eastAsia" w:ascii="宋体" w:hAnsi="宋体" w:eastAsia="宋体" w:cs="宋体"/>
                <w:b/>
                <w:color w:val="auto"/>
                <w:sz w:val="20"/>
                <w:szCs w:val="20"/>
                <w:highlight w:val="none"/>
                <w:lang w:val="en-US" w:eastAsia="zh-CN"/>
              </w:rPr>
              <w:t>槽车</w:t>
            </w:r>
          </w:p>
        </w:tc>
        <w:tc>
          <w:tcPr>
            <w:tcW w:w="6237" w:type="dxa"/>
            <w:vAlign w:val="center"/>
          </w:tcPr>
          <w:p w14:paraId="071DEE52">
            <w:pPr>
              <w:spacing w:line="240" w:lineRule="auto"/>
              <w:jc w:val="left"/>
              <w:rPr>
                <w:rFonts w:hint="eastAsia" w:ascii="宋体" w:hAnsi="宋体" w:eastAsia="宋体" w:cs="宋体"/>
                <w:color w:val="auto"/>
                <w:sz w:val="20"/>
                <w:szCs w:val="20"/>
                <w:highlight w:val="none"/>
                <w:lang w:val="en-US"/>
              </w:rPr>
            </w:pPr>
            <w:r>
              <w:rPr>
                <w:rFonts w:hint="eastAsia" w:ascii="宋体" w:hAnsi="宋体" w:eastAsia="宋体" w:cs="宋体"/>
                <w:color w:val="auto"/>
                <w:sz w:val="20"/>
                <w:szCs w:val="20"/>
                <w:highlight w:val="none"/>
                <w:lang w:val="en-US" w:eastAsia="zh-CN"/>
              </w:rPr>
              <w:t>符合上述第6点</w:t>
            </w:r>
          </w:p>
        </w:tc>
        <w:tc>
          <w:tcPr>
            <w:tcW w:w="1326" w:type="dxa"/>
            <w:vAlign w:val="center"/>
          </w:tcPr>
          <w:p w14:paraId="28D1D7AA">
            <w:pPr>
              <w:spacing w:line="240" w:lineRule="auto"/>
              <w:jc w:val="center"/>
              <w:rPr>
                <w:rFonts w:hint="eastAsia" w:ascii="宋体" w:hAnsi="宋体" w:eastAsia="宋体" w:cs="宋体"/>
                <w:color w:val="auto"/>
                <w:sz w:val="20"/>
                <w:szCs w:val="20"/>
                <w:highlight w:val="none"/>
                <w:lang w:val="en-US" w:eastAsia="zh-CN"/>
              </w:rPr>
            </w:pPr>
            <w:r>
              <w:rPr>
                <w:rFonts w:hint="eastAsia" w:ascii="宋体" w:hAnsi="宋体" w:eastAsia="宋体" w:cs="宋体"/>
                <w:color w:val="auto"/>
                <w:sz w:val="20"/>
                <w:szCs w:val="20"/>
                <w:highlight w:val="none"/>
                <w:lang w:val="en-US" w:eastAsia="zh-CN"/>
              </w:rPr>
              <w:t>100元/车</w:t>
            </w:r>
          </w:p>
        </w:tc>
      </w:tr>
      <w:tr w14:paraId="4660F4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vAlign w:val="center"/>
          </w:tcPr>
          <w:p w14:paraId="7F27B70C">
            <w:pPr>
              <w:spacing w:line="240" w:lineRule="auto"/>
              <w:jc w:val="center"/>
              <w:rPr>
                <w:rFonts w:hint="eastAsia" w:ascii="宋体" w:hAnsi="宋体" w:eastAsia="宋体" w:cs="宋体"/>
                <w:b/>
                <w:color w:val="auto"/>
                <w:sz w:val="20"/>
                <w:szCs w:val="20"/>
                <w:highlight w:val="none"/>
              </w:rPr>
            </w:pPr>
            <w:r>
              <w:rPr>
                <w:rFonts w:hint="eastAsia" w:ascii="宋体" w:hAnsi="宋体" w:eastAsia="宋体" w:cs="宋体"/>
                <w:b/>
                <w:color w:val="auto"/>
                <w:sz w:val="20"/>
                <w:szCs w:val="20"/>
                <w:highlight w:val="none"/>
              </w:rPr>
              <w:t>特殊</w:t>
            </w:r>
          </w:p>
        </w:tc>
        <w:tc>
          <w:tcPr>
            <w:tcW w:w="6237" w:type="dxa"/>
            <w:vAlign w:val="center"/>
          </w:tcPr>
          <w:p w14:paraId="5E687267">
            <w:pPr>
              <w:spacing w:line="240" w:lineRule="auto"/>
              <w:jc w:val="left"/>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现场</w:t>
            </w:r>
            <w:r>
              <w:rPr>
                <w:rFonts w:hint="eastAsia" w:ascii="宋体" w:hAnsi="宋体" w:eastAsia="宋体" w:cs="宋体"/>
                <w:color w:val="auto"/>
                <w:sz w:val="20"/>
                <w:szCs w:val="20"/>
                <w:highlight w:val="none"/>
                <w:lang w:val="en-US" w:eastAsia="zh-CN"/>
              </w:rPr>
              <w:t>打包工作量巨大，</w:t>
            </w:r>
            <w:r>
              <w:rPr>
                <w:rFonts w:hint="eastAsia" w:ascii="宋体" w:hAnsi="宋体" w:eastAsia="宋体" w:cs="宋体"/>
                <w:color w:val="auto"/>
                <w:sz w:val="20"/>
                <w:szCs w:val="20"/>
                <w:highlight w:val="none"/>
              </w:rPr>
              <w:t>不适用按车次支付搬运费，</w:t>
            </w:r>
            <w:r>
              <w:rPr>
                <w:rFonts w:hint="eastAsia" w:ascii="宋体" w:hAnsi="宋体" w:eastAsia="宋体" w:cs="宋体"/>
                <w:color w:val="auto"/>
                <w:sz w:val="20"/>
                <w:szCs w:val="20"/>
                <w:highlight w:val="none"/>
                <w:lang w:val="en-US" w:eastAsia="zh-CN"/>
              </w:rPr>
              <w:t>提供凭证，可</w:t>
            </w:r>
            <w:r>
              <w:rPr>
                <w:rFonts w:hint="eastAsia" w:ascii="宋体" w:hAnsi="宋体" w:eastAsia="宋体" w:cs="宋体"/>
                <w:color w:val="auto"/>
                <w:sz w:val="20"/>
                <w:szCs w:val="20"/>
                <w:highlight w:val="none"/>
              </w:rPr>
              <w:t>按吨支付搬运费。</w:t>
            </w:r>
          </w:p>
        </w:tc>
        <w:tc>
          <w:tcPr>
            <w:tcW w:w="1326" w:type="dxa"/>
            <w:vAlign w:val="center"/>
          </w:tcPr>
          <w:p w14:paraId="7DE3B386">
            <w:pPr>
              <w:spacing w:line="240" w:lineRule="auto"/>
              <w:jc w:val="center"/>
              <w:rPr>
                <w:rFonts w:hint="eastAsia" w:ascii="宋体" w:hAnsi="宋体" w:eastAsia="宋体" w:cs="宋体"/>
                <w:color w:val="auto"/>
                <w:sz w:val="20"/>
                <w:szCs w:val="20"/>
                <w:highlight w:val="none"/>
                <w:lang w:val="en-US" w:eastAsia="zh-CN"/>
              </w:rPr>
            </w:pPr>
            <w:r>
              <w:rPr>
                <w:rFonts w:hint="eastAsia" w:ascii="宋体" w:hAnsi="宋体" w:eastAsia="宋体" w:cs="宋体"/>
                <w:color w:val="auto"/>
                <w:sz w:val="20"/>
                <w:szCs w:val="20"/>
                <w:highlight w:val="none"/>
                <w:lang w:val="en-US" w:eastAsia="zh-CN"/>
              </w:rPr>
              <w:t>50元/吨</w:t>
            </w:r>
          </w:p>
        </w:tc>
      </w:tr>
      <w:tr w14:paraId="72B723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vAlign w:val="center"/>
          </w:tcPr>
          <w:p w14:paraId="693D1CA1">
            <w:pPr>
              <w:spacing w:line="240" w:lineRule="auto"/>
              <w:jc w:val="center"/>
              <w:rPr>
                <w:rFonts w:hint="eastAsia" w:ascii="宋体" w:hAnsi="宋体" w:eastAsia="宋体" w:cs="宋体"/>
                <w:b/>
                <w:color w:val="auto"/>
                <w:sz w:val="20"/>
                <w:szCs w:val="20"/>
                <w:highlight w:val="none"/>
              </w:rPr>
            </w:pPr>
            <w:r>
              <w:rPr>
                <w:rFonts w:hint="eastAsia" w:ascii="宋体" w:hAnsi="宋体" w:eastAsia="宋体" w:cs="宋体"/>
                <w:b/>
                <w:color w:val="auto"/>
                <w:sz w:val="20"/>
                <w:szCs w:val="20"/>
                <w:highlight w:val="none"/>
              </w:rPr>
              <w:t>备注</w:t>
            </w:r>
          </w:p>
        </w:tc>
        <w:tc>
          <w:tcPr>
            <w:tcW w:w="7563" w:type="dxa"/>
            <w:gridSpan w:val="2"/>
            <w:vAlign w:val="center"/>
          </w:tcPr>
          <w:p w14:paraId="27BC3E44">
            <w:pPr>
              <w:spacing w:line="240" w:lineRule="auto"/>
              <w:jc w:val="left"/>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lang w:val="en-US" w:eastAsia="zh-CN"/>
              </w:rPr>
              <w:t>费用的申请</w:t>
            </w:r>
            <w:r>
              <w:rPr>
                <w:rFonts w:hint="eastAsia" w:ascii="宋体" w:hAnsi="宋体" w:eastAsia="宋体" w:cs="宋体"/>
                <w:color w:val="auto"/>
                <w:sz w:val="20"/>
                <w:szCs w:val="20"/>
                <w:highlight w:val="none"/>
              </w:rPr>
              <w:t>：</w:t>
            </w:r>
          </w:p>
          <w:p w14:paraId="4DB418A7">
            <w:pPr>
              <w:numPr>
                <w:ilvl w:val="0"/>
                <w:numId w:val="2"/>
              </w:numPr>
              <w:spacing w:line="240" w:lineRule="auto"/>
              <w:jc w:val="left"/>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每月制作搬运</w:t>
            </w:r>
            <w:r>
              <w:rPr>
                <w:rFonts w:hint="eastAsia" w:ascii="宋体" w:hAnsi="宋体" w:eastAsia="宋体" w:cs="宋体"/>
                <w:color w:val="auto"/>
                <w:sz w:val="20"/>
                <w:szCs w:val="20"/>
                <w:highlight w:val="none"/>
                <w:lang w:val="en-US" w:eastAsia="zh-CN"/>
              </w:rPr>
              <w:t>打包</w:t>
            </w:r>
            <w:r>
              <w:rPr>
                <w:rFonts w:hint="eastAsia" w:ascii="宋体" w:hAnsi="宋体" w:eastAsia="宋体" w:cs="宋体"/>
                <w:color w:val="auto"/>
                <w:sz w:val="20"/>
                <w:szCs w:val="20"/>
                <w:highlight w:val="none"/>
              </w:rPr>
              <w:t>费申请表，表内必须</w:t>
            </w:r>
            <w:r>
              <w:rPr>
                <w:rFonts w:hint="eastAsia" w:ascii="宋体" w:hAnsi="宋体" w:eastAsia="宋体" w:cs="宋体"/>
                <w:color w:val="auto"/>
                <w:sz w:val="20"/>
                <w:szCs w:val="20"/>
                <w:highlight w:val="none"/>
                <w:lang w:val="en-US" w:eastAsia="zh-CN"/>
              </w:rPr>
              <w:t>包含收运</w:t>
            </w:r>
            <w:r>
              <w:rPr>
                <w:rFonts w:hint="eastAsia" w:ascii="宋体" w:hAnsi="宋体" w:eastAsia="宋体" w:cs="宋体"/>
                <w:color w:val="auto"/>
                <w:sz w:val="20"/>
                <w:szCs w:val="20"/>
                <w:highlight w:val="none"/>
              </w:rPr>
              <w:t>日期、客户名称、搬运废物的重量</w:t>
            </w:r>
            <w:r>
              <w:rPr>
                <w:rFonts w:hint="eastAsia" w:ascii="宋体" w:hAnsi="宋体" w:eastAsia="宋体" w:cs="宋体"/>
                <w:color w:val="auto"/>
                <w:sz w:val="20"/>
                <w:szCs w:val="20"/>
                <w:highlight w:val="none"/>
                <w:lang w:eastAsia="zh-CN"/>
              </w:rPr>
              <w:t>，</w:t>
            </w:r>
            <w:r>
              <w:rPr>
                <w:rFonts w:hint="eastAsia" w:ascii="宋体" w:hAnsi="宋体" w:eastAsia="宋体" w:cs="宋体"/>
                <w:color w:val="auto"/>
                <w:sz w:val="20"/>
                <w:szCs w:val="20"/>
                <w:highlight w:val="none"/>
                <w:lang w:val="en-US" w:eastAsia="zh-CN"/>
              </w:rPr>
              <w:t>同时提供对应客户现场能体现打包服务的水印照片和短</w:t>
            </w:r>
            <w:r>
              <w:rPr>
                <w:rFonts w:hint="eastAsia" w:ascii="宋体" w:hAnsi="宋体" w:eastAsia="宋体" w:cs="宋体"/>
                <w:color w:val="auto"/>
                <w:sz w:val="20"/>
                <w:szCs w:val="20"/>
                <w:highlight w:val="none"/>
              </w:rPr>
              <w:t>视频</w:t>
            </w:r>
            <w:r>
              <w:rPr>
                <w:rFonts w:hint="eastAsia" w:ascii="宋体" w:hAnsi="宋体" w:eastAsia="宋体" w:cs="宋体"/>
                <w:color w:val="auto"/>
                <w:sz w:val="20"/>
                <w:szCs w:val="20"/>
                <w:highlight w:val="none"/>
                <w:lang w:eastAsia="zh-CN"/>
              </w:rPr>
              <w:t>，</w:t>
            </w:r>
            <w:r>
              <w:rPr>
                <w:rFonts w:hint="eastAsia" w:ascii="宋体" w:hAnsi="宋体" w:eastAsia="宋体" w:cs="宋体"/>
                <w:color w:val="auto"/>
                <w:sz w:val="20"/>
                <w:szCs w:val="20"/>
                <w:highlight w:val="none"/>
                <w:lang w:val="en-US" w:eastAsia="zh-CN"/>
              </w:rPr>
              <w:t>视频及照片文件名须按</w:t>
            </w:r>
            <w:r>
              <w:rPr>
                <w:rFonts w:hint="eastAsia" w:ascii="宋体" w:hAnsi="宋体" w:eastAsia="宋体" w:cs="宋体"/>
                <w:color w:val="auto"/>
                <w:sz w:val="20"/>
                <w:szCs w:val="20"/>
                <w:highlight w:val="none"/>
              </w:rPr>
              <w:t>“日期+客户+重量”</w:t>
            </w:r>
            <w:r>
              <w:rPr>
                <w:rFonts w:hint="eastAsia" w:ascii="宋体" w:hAnsi="宋体" w:eastAsia="宋体" w:cs="宋体"/>
                <w:color w:val="auto"/>
                <w:sz w:val="20"/>
                <w:szCs w:val="20"/>
                <w:highlight w:val="none"/>
                <w:lang w:val="en-US" w:eastAsia="zh-CN"/>
              </w:rPr>
              <w:t>格式命名，并电子版</w:t>
            </w:r>
            <w:r>
              <w:rPr>
                <w:rFonts w:hint="eastAsia" w:ascii="宋体" w:hAnsi="宋体" w:eastAsia="宋体" w:cs="宋体"/>
                <w:color w:val="auto"/>
                <w:sz w:val="20"/>
                <w:szCs w:val="20"/>
                <w:highlight w:val="none"/>
              </w:rPr>
              <w:t>打包发至</w:t>
            </w:r>
            <w:r>
              <w:rPr>
                <w:rFonts w:hint="eastAsia" w:ascii="宋体" w:hAnsi="宋体" w:eastAsia="宋体" w:cs="宋体"/>
                <w:color w:val="auto"/>
                <w:sz w:val="20"/>
                <w:szCs w:val="20"/>
                <w:highlight w:val="none"/>
                <w:lang w:val="en-US" w:eastAsia="zh-CN"/>
              </w:rPr>
              <w:t>采购人</w:t>
            </w:r>
            <w:r>
              <w:rPr>
                <w:rFonts w:hint="eastAsia" w:ascii="宋体" w:hAnsi="宋体" w:eastAsia="宋体" w:cs="宋体"/>
                <w:color w:val="auto"/>
                <w:sz w:val="20"/>
                <w:szCs w:val="20"/>
                <w:highlight w:val="none"/>
              </w:rPr>
              <w:t>留存。</w:t>
            </w:r>
          </w:p>
          <w:p w14:paraId="3613ABC3">
            <w:pPr>
              <w:numPr>
                <w:ilvl w:val="0"/>
                <w:numId w:val="2"/>
              </w:numPr>
              <w:spacing w:line="240" w:lineRule="auto"/>
              <w:jc w:val="left"/>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lang w:val="en-US" w:eastAsia="zh-CN"/>
              </w:rPr>
              <w:t>提供对账单纸质时，须将对应的水印照片打印出来作为结算凭证，对账纸质资料每页盖章。</w:t>
            </w:r>
          </w:p>
          <w:p w14:paraId="05CAB10D">
            <w:pPr>
              <w:numPr>
                <w:ilvl w:val="0"/>
                <w:numId w:val="0"/>
              </w:numPr>
              <w:spacing w:line="240" w:lineRule="auto"/>
              <w:jc w:val="left"/>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lang w:val="en-US" w:eastAsia="zh-CN"/>
              </w:rPr>
              <w:t>3、无法提供上述资料的不予支付打包费用（客户现场不允许携带手机的，可与客户沟通协助拍摄，协商不成的需要提前告知采购人，以便采购人与客户确认打包服务属实）</w:t>
            </w:r>
            <w:r>
              <w:rPr>
                <w:rFonts w:hint="eastAsia" w:ascii="宋体" w:hAnsi="宋体" w:eastAsia="宋体" w:cs="宋体"/>
                <w:color w:val="auto"/>
                <w:sz w:val="20"/>
                <w:szCs w:val="20"/>
                <w:highlight w:val="none"/>
              </w:rPr>
              <w:t>。</w:t>
            </w:r>
          </w:p>
        </w:tc>
      </w:tr>
    </w:tbl>
    <w:p w14:paraId="4E06D3AC">
      <w:pPr>
        <w:outlineLvl w:val="9"/>
        <w:rPr>
          <w:rFonts w:hint="eastAsia" w:ascii="宋体" w:hAnsi="宋体" w:eastAsia="宋体" w:cs="宋体"/>
          <w:b/>
          <w:color w:val="auto"/>
          <w:sz w:val="21"/>
          <w:szCs w:val="21"/>
          <w:highlight w:val="none"/>
        </w:rPr>
      </w:pPr>
    </w:p>
    <w:p w14:paraId="0A1192D7">
      <w:pPr>
        <w:outlineLvl w:val="9"/>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br w:type="page"/>
      </w:r>
    </w:p>
    <w:p w14:paraId="71DD7E88">
      <w:pPr>
        <w:keepNext w:val="0"/>
        <w:keepLines w:val="0"/>
        <w:pageBreakBefore w:val="0"/>
        <w:widowControl w:val="0"/>
        <w:kinsoku/>
        <w:wordWrap/>
        <w:overflowPunct/>
        <w:topLinePunct w:val="0"/>
        <w:autoSpaceDE/>
        <w:autoSpaceDN/>
        <w:bidi w:val="0"/>
        <w:adjustRightInd/>
        <w:snapToGrid/>
        <w:spacing w:line="360" w:lineRule="auto"/>
        <w:textAlignment w:val="auto"/>
        <w:outlineLvl w:val="9"/>
        <w:rPr>
          <w:rFonts w:hint="eastAsia" w:ascii="宋体" w:hAnsi="宋体" w:eastAsia="宋体" w:cs="宋体"/>
          <w:b/>
          <w:color w:val="auto"/>
          <w:sz w:val="21"/>
          <w:szCs w:val="21"/>
          <w:highlight w:val="none"/>
        </w:rPr>
      </w:pPr>
      <w:bookmarkStart w:id="84" w:name="_Toc23989"/>
      <w:bookmarkStart w:id="85" w:name="_Toc5074"/>
      <w:bookmarkStart w:id="86" w:name="_Toc1897"/>
      <w:bookmarkStart w:id="87" w:name="_Toc12277"/>
      <w:bookmarkStart w:id="88" w:name="_Toc2153"/>
      <w:bookmarkStart w:id="89" w:name="_Toc145"/>
      <w:bookmarkStart w:id="90" w:name="_Toc11449"/>
      <w:bookmarkStart w:id="91" w:name="_Toc4565"/>
      <w:bookmarkStart w:id="92" w:name="_Toc31602"/>
      <w:bookmarkStart w:id="93" w:name="_Toc25396"/>
      <w:bookmarkStart w:id="94" w:name="_Toc19064"/>
      <w:bookmarkStart w:id="95" w:name="_Toc28533"/>
      <w:r>
        <w:rPr>
          <w:rFonts w:hint="eastAsia" w:ascii="宋体" w:hAnsi="宋体" w:eastAsia="宋体" w:cs="宋体"/>
          <w:b/>
          <w:color w:val="auto"/>
          <w:sz w:val="21"/>
          <w:szCs w:val="21"/>
          <w:highlight w:val="none"/>
        </w:rPr>
        <w:t>技术需求书附件</w:t>
      </w:r>
      <w:r>
        <w:rPr>
          <w:rFonts w:hint="eastAsia" w:ascii="宋体" w:hAnsi="宋体" w:eastAsia="宋体" w:cs="宋体"/>
          <w:b/>
          <w:color w:val="auto"/>
          <w:sz w:val="21"/>
          <w:szCs w:val="21"/>
          <w:highlight w:val="none"/>
          <w:lang w:val="en-US" w:eastAsia="zh-CN"/>
        </w:rPr>
        <w:t>8</w:t>
      </w:r>
      <w:r>
        <w:rPr>
          <w:rFonts w:hint="eastAsia" w:ascii="宋体" w:hAnsi="宋体" w:eastAsia="宋体" w:cs="宋体"/>
          <w:b/>
          <w:color w:val="auto"/>
          <w:sz w:val="21"/>
          <w:szCs w:val="21"/>
          <w:highlight w:val="none"/>
        </w:rPr>
        <w:t>：《承运单》</w:t>
      </w:r>
      <w:bookmarkEnd w:id="84"/>
      <w:bookmarkEnd w:id="85"/>
      <w:bookmarkEnd w:id="86"/>
      <w:bookmarkEnd w:id="87"/>
      <w:bookmarkEnd w:id="88"/>
      <w:bookmarkEnd w:id="89"/>
      <w:bookmarkEnd w:id="90"/>
      <w:bookmarkEnd w:id="91"/>
      <w:bookmarkEnd w:id="92"/>
      <w:bookmarkEnd w:id="93"/>
      <w:bookmarkEnd w:id="94"/>
      <w:bookmarkEnd w:id="95"/>
    </w:p>
    <w:tbl>
      <w:tblPr>
        <w:tblStyle w:val="30"/>
        <w:tblW w:w="4999" w:type="pct"/>
        <w:jc w:val="center"/>
        <w:tblLayout w:type="fixed"/>
        <w:tblCellMar>
          <w:top w:w="0" w:type="dxa"/>
          <w:left w:w="108" w:type="dxa"/>
          <w:bottom w:w="0" w:type="dxa"/>
          <w:right w:w="108" w:type="dxa"/>
        </w:tblCellMar>
      </w:tblPr>
      <w:tblGrid>
        <w:gridCol w:w="765"/>
        <w:gridCol w:w="1100"/>
        <w:gridCol w:w="870"/>
        <w:gridCol w:w="790"/>
        <w:gridCol w:w="1180"/>
        <w:gridCol w:w="997"/>
        <w:gridCol w:w="1303"/>
        <w:gridCol w:w="850"/>
        <w:gridCol w:w="666"/>
      </w:tblGrid>
      <w:tr w14:paraId="14080692">
        <w:tblPrEx>
          <w:tblCellMar>
            <w:top w:w="0" w:type="dxa"/>
            <w:left w:w="108" w:type="dxa"/>
            <w:bottom w:w="0" w:type="dxa"/>
            <w:right w:w="108" w:type="dxa"/>
          </w:tblCellMar>
        </w:tblPrEx>
        <w:trPr>
          <w:trHeight w:val="500" w:hRule="atLeast"/>
          <w:jc w:val="center"/>
        </w:trPr>
        <w:tc>
          <w:tcPr>
            <w:tcW w:w="5000" w:type="pct"/>
            <w:gridSpan w:val="9"/>
            <w:tcBorders>
              <w:top w:val="nil"/>
              <w:left w:val="nil"/>
              <w:bottom w:val="nil"/>
              <w:right w:val="nil"/>
            </w:tcBorders>
            <w:noWrap/>
            <w:vAlign w:val="center"/>
          </w:tcPr>
          <w:p w14:paraId="56928F48">
            <w:pPr>
              <w:jc w:val="both"/>
              <w:textAlignment w:val="center"/>
              <w:outlineLvl w:val="9"/>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 xml:space="preserve">承  运  单                                               </w:t>
            </w:r>
            <w:r>
              <w:rPr>
                <w:rStyle w:val="85"/>
                <w:rFonts w:hint="eastAsia" w:ascii="宋体" w:hAnsi="宋体" w:eastAsia="宋体" w:cs="宋体"/>
                <w:color w:val="auto"/>
                <w:sz w:val="21"/>
                <w:szCs w:val="21"/>
                <w:highlight w:val="none"/>
              </w:rPr>
              <w:t xml:space="preserve"> 编号：  XXXXXXXXX   </w:t>
            </w:r>
          </w:p>
        </w:tc>
      </w:tr>
      <w:tr w14:paraId="001DA811">
        <w:tblPrEx>
          <w:tblCellMar>
            <w:top w:w="0" w:type="dxa"/>
            <w:left w:w="108" w:type="dxa"/>
            <w:bottom w:w="0" w:type="dxa"/>
            <w:right w:w="108" w:type="dxa"/>
          </w:tblCellMar>
        </w:tblPrEx>
        <w:trPr>
          <w:trHeight w:val="54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7BE95313">
            <w:pPr>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产废单位：</w:t>
            </w:r>
          </w:p>
        </w:tc>
        <w:tc>
          <w:tcPr>
            <w:tcW w:w="1619" w:type="pct"/>
            <w:gridSpan w:val="3"/>
            <w:tcBorders>
              <w:top w:val="single" w:color="000000" w:sz="4" w:space="0"/>
              <w:left w:val="single" w:color="000000" w:sz="4" w:space="0"/>
              <w:bottom w:val="single" w:color="000000" w:sz="4" w:space="0"/>
              <w:right w:val="single" w:color="000000" w:sz="4" w:space="0"/>
            </w:tcBorders>
            <w:noWrap/>
            <w:vAlign w:val="center"/>
          </w:tcPr>
          <w:p w14:paraId="14BB13DD">
            <w:pPr>
              <w:outlineLvl w:val="9"/>
              <w:rPr>
                <w:rFonts w:hint="eastAsia" w:ascii="宋体" w:hAnsi="宋体" w:eastAsia="宋体" w:cs="宋体"/>
                <w:color w:val="auto"/>
                <w:sz w:val="20"/>
                <w:szCs w:val="20"/>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496424DF">
            <w:pPr>
              <w:jc w:val="both"/>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收运日期：</w:t>
            </w:r>
          </w:p>
        </w:tc>
        <w:tc>
          <w:tcPr>
            <w:tcW w:w="2239" w:type="pct"/>
            <w:gridSpan w:val="4"/>
            <w:tcBorders>
              <w:top w:val="single" w:color="000000" w:sz="4" w:space="0"/>
              <w:left w:val="single" w:color="000000" w:sz="4" w:space="0"/>
              <w:bottom w:val="single" w:color="000000" w:sz="4" w:space="0"/>
              <w:right w:val="single" w:color="000000" w:sz="4" w:space="0"/>
            </w:tcBorders>
            <w:noWrap/>
            <w:vAlign w:val="center"/>
          </w:tcPr>
          <w:p w14:paraId="1325C408">
            <w:pP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XX年XX月XX日</w:t>
            </w:r>
          </w:p>
        </w:tc>
      </w:tr>
      <w:tr w14:paraId="5684BCD1">
        <w:tblPrEx>
          <w:tblCellMar>
            <w:top w:w="0" w:type="dxa"/>
            <w:left w:w="108" w:type="dxa"/>
            <w:bottom w:w="0" w:type="dxa"/>
            <w:right w:w="108" w:type="dxa"/>
          </w:tblCellMar>
        </w:tblPrEx>
        <w:trPr>
          <w:trHeight w:val="500"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147F6B76">
            <w:pPr>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运输单位：</w:t>
            </w:r>
          </w:p>
        </w:tc>
        <w:tc>
          <w:tcPr>
            <w:tcW w:w="1619" w:type="pct"/>
            <w:gridSpan w:val="3"/>
            <w:tcBorders>
              <w:top w:val="single" w:color="000000" w:sz="4" w:space="0"/>
              <w:left w:val="single" w:color="000000" w:sz="4" w:space="0"/>
              <w:bottom w:val="single" w:color="000000" w:sz="4" w:space="0"/>
              <w:right w:val="single" w:color="000000" w:sz="4" w:space="0"/>
            </w:tcBorders>
            <w:noWrap/>
            <w:vAlign w:val="center"/>
          </w:tcPr>
          <w:p w14:paraId="3F0D08E3">
            <w:pPr>
              <w:outlineLvl w:val="9"/>
              <w:rPr>
                <w:rFonts w:hint="eastAsia" w:ascii="宋体" w:hAnsi="宋体" w:eastAsia="宋体" w:cs="宋体"/>
                <w:color w:val="auto"/>
                <w:sz w:val="20"/>
                <w:szCs w:val="20"/>
                <w:highlight w:val="none"/>
              </w:rPr>
            </w:pPr>
          </w:p>
        </w:tc>
        <w:tc>
          <w:tcPr>
            <w:tcW w:w="692" w:type="pct"/>
            <w:vMerge w:val="restart"/>
            <w:tcBorders>
              <w:top w:val="single" w:color="000000" w:sz="4" w:space="0"/>
              <w:left w:val="single" w:color="000000" w:sz="4" w:space="0"/>
              <w:bottom w:val="single" w:color="000000" w:sz="4" w:space="0"/>
              <w:right w:val="single" w:color="000000" w:sz="4" w:space="0"/>
            </w:tcBorders>
            <w:vAlign w:val="center"/>
          </w:tcPr>
          <w:p w14:paraId="1727760C">
            <w:pPr>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收运地址</w:t>
            </w:r>
          </w:p>
          <w:p w14:paraId="03E828DC">
            <w:pPr>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所属区域</w:t>
            </w:r>
          </w:p>
        </w:tc>
        <w:tc>
          <w:tcPr>
            <w:tcW w:w="2239" w:type="pct"/>
            <w:gridSpan w:val="4"/>
            <w:vMerge w:val="restart"/>
            <w:tcBorders>
              <w:top w:val="single" w:color="000000" w:sz="4" w:space="0"/>
              <w:left w:val="single" w:color="000000" w:sz="4" w:space="0"/>
              <w:bottom w:val="single" w:color="000000" w:sz="4" w:space="0"/>
              <w:right w:val="single" w:color="000000" w:sz="4" w:space="0"/>
            </w:tcBorders>
            <w:vAlign w:val="center"/>
          </w:tcPr>
          <w:p w14:paraId="18E6898A">
            <w:pPr>
              <w:jc w:val="both"/>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□东莞 □广州 □深圳 □惠州 □中山</w:t>
            </w:r>
          </w:p>
          <w:p w14:paraId="78EB7703">
            <w:pPr>
              <w:jc w:val="both"/>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□佛山 □珠海 □江门 □肇庆 □云浮</w:t>
            </w:r>
          </w:p>
          <w:p w14:paraId="0CF7D066">
            <w:pPr>
              <w:jc w:val="both"/>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□清远 □茂名 □湛江 □阳江 □汕尾</w:t>
            </w:r>
          </w:p>
          <w:p w14:paraId="11BCAC04">
            <w:pPr>
              <w:jc w:val="both"/>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□韶关 □揭阳 □河源 □梅州 □潮州</w:t>
            </w:r>
          </w:p>
          <w:p w14:paraId="588106D0">
            <w:pPr>
              <w:jc w:val="both"/>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□汕头</w:t>
            </w:r>
          </w:p>
        </w:tc>
      </w:tr>
      <w:tr w14:paraId="42F3A213">
        <w:tblPrEx>
          <w:tblCellMar>
            <w:top w:w="0" w:type="dxa"/>
            <w:left w:w="108" w:type="dxa"/>
            <w:bottom w:w="0" w:type="dxa"/>
            <w:right w:w="108" w:type="dxa"/>
          </w:tblCellMar>
        </w:tblPrEx>
        <w:trPr>
          <w:trHeight w:val="500"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20BBE496">
            <w:pPr>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处置单位：</w:t>
            </w:r>
          </w:p>
        </w:tc>
        <w:tc>
          <w:tcPr>
            <w:tcW w:w="1619" w:type="pct"/>
            <w:gridSpan w:val="3"/>
            <w:tcBorders>
              <w:top w:val="single" w:color="000000" w:sz="4" w:space="0"/>
              <w:left w:val="single" w:color="000000" w:sz="4" w:space="0"/>
              <w:bottom w:val="single" w:color="000000" w:sz="4" w:space="0"/>
              <w:right w:val="single" w:color="000000" w:sz="4" w:space="0"/>
            </w:tcBorders>
            <w:noWrap/>
            <w:vAlign w:val="center"/>
          </w:tcPr>
          <w:p w14:paraId="6C7F45A1">
            <w:pP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东莞市新东欣环保投资有限公司</w:t>
            </w:r>
          </w:p>
        </w:tc>
        <w:tc>
          <w:tcPr>
            <w:tcW w:w="692" w:type="pct"/>
            <w:vMerge w:val="continue"/>
            <w:tcBorders>
              <w:top w:val="single" w:color="000000" w:sz="4" w:space="0"/>
              <w:left w:val="single" w:color="000000" w:sz="4" w:space="0"/>
              <w:bottom w:val="single" w:color="000000" w:sz="4" w:space="0"/>
              <w:right w:val="single" w:color="000000" w:sz="4" w:space="0"/>
            </w:tcBorders>
            <w:vAlign w:val="center"/>
          </w:tcPr>
          <w:p w14:paraId="0D7DDECC">
            <w:pPr>
              <w:jc w:val="center"/>
              <w:outlineLvl w:val="9"/>
              <w:rPr>
                <w:rFonts w:hint="eastAsia" w:ascii="宋体" w:hAnsi="宋体" w:eastAsia="宋体" w:cs="宋体"/>
                <w:color w:val="auto"/>
                <w:sz w:val="20"/>
                <w:szCs w:val="20"/>
                <w:highlight w:val="none"/>
              </w:rPr>
            </w:pPr>
          </w:p>
        </w:tc>
        <w:tc>
          <w:tcPr>
            <w:tcW w:w="2239" w:type="pct"/>
            <w:gridSpan w:val="4"/>
            <w:vMerge w:val="continue"/>
            <w:tcBorders>
              <w:top w:val="single" w:color="000000" w:sz="4" w:space="0"/>
              <w:left w:val="single" w:color="000000" w:sz="4" w:space="0"/>
              <w:bottom w:val="single" w:color="000000" w:sz="4" w:space="0"/>
              <w:right w:val="single" w:color="000000" w:sz="4" w:space="0"/>
            </w:tcBorders>
            <w:vAlign w:val="center"/>
          </w:tcPr>
          <w:p w14:paraId="6A506BD7">
            <w:pPr>
              <w:jc w:val="both"/>
              <w:outlineLvl w:val="9"/>
              <w:rPr>
                <w:rFonts w:hint="eastAsia" w:ascii="宋体" w:hAnsi="宋体" w:eastAsia="宋体" w:cs="宋体"/>
                <w:color w:val="auto"/>
                <w:sz w:val="20"/>
                <w:szCs w:val="20"/>
                <w:highlight w:val="none"/>
              </w:rPr>
            </w:pPr>
          </w:p>
        </w:tc>
      </w:tr>
      <w:tr w14:paraId="4A72B289">
        <w:tblPrEx>
          <w:tblCellMar>
            <w:top w:w="0" w:type="dxa"/>
            <w:left w:w="108" w:type="dxa"/>
            <w:bottom w:w="0" w:type="dxa"/>
            <w:right w:w="108" w:type="dxa"/>
          </w:tblCellMar>
        </w:tblPrEx>
        <w:trPr>
          <w:trHeight w:val="810"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2AD07DAF">
            <w:pPr>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序号</w:t>
            </w:r>
          </w:p>
        </w:tc>
        <w:tc>
          <w:tcPr>
            <w:tcW w:w="645" w:type="pct"/>
            <w:tcBorders>
              <w:top w:val="single" w:color="000000" w:sz="4" w:space="0"/>
              <w:left w:val="single" w:color="000000" w:sz="4" w:space="0"/>
              <w:bottom w:val="single" w:color="000000" w:sz="4" w:space="0"/>
              <w:right w:val="single" w:color="000000" w:sz="4" w:space="0"/>
            </w:tcBorders>
            <w:vAlign w:val="center"/>
          </w:tcPr>
          <w:p w14:paraId="7EB312C2">
            <w:pPr>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废物名称</w:t>
            </w:r>
          </w:p>
          <w:p w14:paraId="03528BFA">
            <w:pPr>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（按合同废物名称，每种废物写一行）</w:t>
            </w:r>
          </w:p>
        </w:tc>
        <w:tc>
          <w:tcPr>
            <w:tcW w:w="510" w:type="pct"/>
            <w:tcBorders>
              <w:top w:val="single" w:color="000000" w:sz="4" w:space="0"/>
              <w:left w:val="single" w:color="000000" w:sz="4" w:space="0"/>
              <w:bottom w:val="single" w:color="000000" w:sz="4" w:space="0"/>
              <w:right w:val="single" w:color="000000" w:sz="4" w:space="0"/>
            </w:tcBorders>
            <w:vAlign w:val="center"/>
          </w:tcPr>
          <w:p w14:paraId="4BEB7F50">
            <w:pPr>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包装方式</w:t>
            </w:r>
          </w:p>
          <w:p w14:paraId="7E3C1836">
            <w:pPr>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（桶/袋/散装）</w:t>
            </w:r>
          </w:p>
        </w:tc>
        <w:tc>
          <w:tcPr>
            <w:tcW w:w="463" w:type="pct"/>
            <w:tcBorders>
              <w:top w:val="single" w:color="000000" w:sz="4" w:space="0"/>
              <w:left w:val="single" w:color="000000" w:sz="4" w:space="0"/>
              <w:bottom w:val="single" w:color="000000" w:sz="4" w:space="0"/>
              <w:right w:val="single" w:color="000000" w:sz="4" w:space="0"/>
            </w:tcBorders>
            <w:vAlign w:val="center"/>
          </w:tcPr>
          <w:p w14:paraId="0AF86C06">
            <w:pPr>
              <w:jc w:val="both"/>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包装物规格</w:t>
            </w:r>
          </w:p>
          <w:p w14:paraId="4A7FEF3B">
            <w:pPr>
              <w:jc w:val="both"/>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(L/KG)</w:t>
            </w:r>
          </w:p>
        </w:tc>
        <w:tc>
          <w:tcPr>
            <w:tcW w:w="692" w:type="pct"/>
            <w:tcBorders>
              <w:top w:val="single" w:color="000000" w:sz="4" w:space="0"/>
              <w:left w:val="single" w:color="000000" w:sz="4" w:space="0"/>
              <w:bottom w:val="single" w:color="000000" w:sz="4" w:space="0"/>
              <w:right w:val="single" w:color="000000" w:sz="4" w:space="0"/>
            </w:tcBorders>
            <w:vAlign w:val="center"/>
          </w:tcPr>
          <w:p w14:paraId="799526E5">
            <w:pPr>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数量</w:t>
            </w:r>
          </w:p>
          <w:p w14:paraId="54DF5F69">
            <w:pPr>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（个）</w:t>
            </w: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4DCE7517">
            <w:pPr>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废物毛重</w:t>
            </w:r>
          </w:p>
          <w:p w14:paraId="18B20362">
            <w:pPr>
              <w:jc w:val="center"/>
              <w:textAlignment w:val="center"/>
              <w:outlineLvl w:val="9"/>
              <w:rPr>
                <w:rFonts w:hint="eastAsia" w:ascii="宋体" w:hAnsi="宋体" w:eastAsia="宋体" w:cs="宋体"/>
                <w:b/>
                <w:bCs/>
                <w:color w:val="auto"/>
                <w:sz w:val="20"/>
                <w:szCs w:val="20"/>
                <w:highlight w:val="none"/>
              </w:rPr>
            </w:pPr>
            <w:r>
              <w:rPr>
                <w:rFonts w:hint="eastAsia" w:ascii="宋体" w:hAnsi="宋体" w:eastAsia="宋体" w:cs="宋体"/>
                <w:color w:val="auto"/>
                <w:sz w:val="20"/>
                <w:szCs w:val="20"/>
                <w:highlight w:val="none"/>
              </w:rPr>
              <w:t>（KG）</w:t>
            </w: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2178CFE6">
            <w:pPr>
              <w:jc w:val="both"/>
              <w:textAlignment w:val="center"/>
              <w:outlineLvl w:val="9"/>
              <w:rPr>
                <w:rStyle w:val="86"/>
                <w:rFonts w:hint="eastAsia" w:ascii="宋体" w:hAnsi="宋体" w:eastAsia="宋体" w:cs="宋体"/>
                <w:b w:val="0"/>
                <w:bCs w:val="0"/>
                <w:color w:val="auto"/>
                <w:sz w:val="20"/>
                <w:szCs w:val="20"/>
                <w:highlight w:val="none"/>
              </w:rPr>
            </w:pPr>
            <w:r>
              <w:rPr>
                <w:rStyle w:val="86"/>
                <w:rFonts w:hint="eastAsia" w:ascii="宋体" w:hAnsi="宋体" w:eastAsia="宋体" w:cs="宋体"/>
                <w:b w:val="0"/>
                <w:bCs w:val="0"/>
                <w:color w:val="auto"/>
                <w:sz w:val="20"/>
                <w:szCs w:val="20"/>
                <w:highlight w:val="none"/>
              </w:rPr>
              <w:t>（卡板/桶）皮重</w:t>
            </w:r>
          </w:p>
          <w:p w14:paraId="56C05C7D">
            <w:pPr>
              <w:jc w:val="center"/>
              <w:textAlignment w:val="center"/>
              <w:outlineLvl w:val="9"/>
              <w:rPr>
                <w:rFonts w:hint="eastAsia" w:ascii="宋体" w:hAnsi="宋体" w:eastAsia="宋体" w:cs="宋体"/>
                <w:b/>
                <w:bCs/>
                <w:color w:val="auto"/>
                <w:sz w:val="20"/>
                <w:szCs w:val="20"/>
                <w:highlight w:val="none"/>
              </w:rPr>
            </w:pPr>
            <w:r>
              <w:rPr>
                <w:rFonts w:hint="eastAsia" w:ascii="宋体" w:hAnsi="宋体" w:eastAsia="宋体" w:cs="宋体"/>
                <w:color w:val="auto"/>
                <w:sz w:val="20"/>
                <w:szCs w:val="20"/>
                <w:highlight w:val="none"/>
              </w:rPr>
              <w:t>（KG）</w:t>
            </w: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7833E404">
            <w:pPr>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废物净重</w:t>
            </w:r>
          </w:p>
          <w:p w14:paraId="75F085B1">
            <w:pPr>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（KG）</w:t>
            </w:r>
          </w:p>
        </w:tc>
        <w:tc>
          <w:tcPr>
            <w:tcW w:w="390" w:type="pct"/>
            <w:tcBorders>
              <w:top w:val="single" w:color="000000" w:sz="4" w:space="0"/>
              <w:left w:val="single" w:color="000000" w:sz="4" w:space="0"/>
              <w:bottom w:val="single" w:color="000000" w:sz="4" w:space="0"/>
              <w:right w:val="single" w:color="000000" w:sz="4" w:space="0"/>
            </w:tcBorders>
            <w:vAlign w:val="center"/>
          </w:tcPr>
          <w:p w14:paraId="52CDF51E">
            <w:pPr>
              <w:jc w:val="both"/>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扣皮个数说明或其他备注</w:t>
            </w:r>
          </w:p>
        </w:tc>
      </w:tr>
      <w:tr w14:paraId="68EB42A1">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4498C80F">
            <w:pPr>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1</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5C77211B">
            <w:pPr>
              <w:jc w:val="center"/>
              <w:outlineLvl w:val="9"/>
              <w:rPr>
                <w:rFonts w:hint="eastAsia" w:ascii="宋体" w:hAnsi="宋体" w:eastAsia="宋体" w:cs="宋体"/>
                <w:color w:val="auto"/>
                <w:sz w:val="20"/>
                <w:szCs w:val="20"/>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5C81ACAC">
            <w:pPr>
              <w:jc w:val="center"/>
              <w:outlineLvl w:val="9"/>
              <w:rPr>
                <w:rFonts w:hint="eastAsia" w:ascii="宋体" w:hAnsi="宋体" w:eastAsia="宋体" w:cs="宋体"/>
                <w:color w:val="auto"/>
                <w:sz w:val="20"/>
                <w:szCs w:val="20"/>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4A780058">
            <w:pPr>
              <w:jc w:val="center"/>
              <w:outlineLvl w:val="9"/>
              <w:rPr>
                <w:rFonts w:hint="eastAsia" w:ascii="宋体" w:hAnsi="宋体" w:eastAsia="宋体" w:cs="宋体"/>
                <w:color w:val="auto"/>
                <w:sz w:val="20"/>
                <w:szCs w:val="20"/>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203D38F0">
            <w:pPr>
              <w:jc w:val="center"/>
              <w:outlineLvl w:val="9"/>
              <w:rPr>
                <w:rFonts w:hint="eastAsia" w:ascii="宋体" w:hAnsi="宋体" w:eastAsia="宋体" w:cs="宋体"/>
                <w:color w:val="auto"/>
                <w:sz w:val="20"/>
                <w:szCs w:val="20"/>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52F72A71">
            <w:pPr>
              <w:jc w:val="center"/>
              <w:outlineLvl w:val="9"/>
              <w:rPr>
                <w:rFonts w:hint="eastAsia" w:ascii="宋体" w:hAnsi="宋体" w:eastAsia="宋体" w:cs="宋体"/>
                <w:color w:val="auto"/>
                <w:sz w:val="20"/>
                <w:szCs w:val="20"/>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203D023F">
            <w:pPr>
              <w:jc w:val="center"/>
              <w:outlineLvl w:val="9"/>
              <w:rPr>
                <w:rFonts w:hint="eastAsia" w:ascii="宋体" w:hAnsi="宋体" w:eastAsia="宋体" w:cs="宋体"/>
                <w:color w:val="auto"/>
                <w:sz w:val="20"/>
                <w:szCs w:val="20"/>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3B93FFBD">
            <w:pPr>
              <w:jc w:val="center"/>
              <w:outlineLvl w:val="9"/>
              <w:rPr>
                <w:rFonts w:hint="eastAsia" w:ascii="宋体" w:hAnsi="宋体" w:eastAsia="宋体" w:cs="宋体"/>
                <w:color w:val="auto"/>
                <w:sz w:val="20"/>
                <w:szCs w:val="20"/>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1A5B2DDB">
            <w:pPr>
              <w:jc w:val="center"/>
              <w:outlineLvl w:val="9"/>
              <w:rPr>
                <w:rFonts w:hint="eastAsia" w:ascii="宋体" w:hAnsi="宋体" w:eastAsia="宋体" w:cs="宋体"/>
                <w:color w:val="auto"/>
                <w:sz w:val="20"/>
                <w:szCs w:val="20"/>
                <w:highlight w:val="none"/>
              </w:rPr>
            </w:pPr>
          </w:p>
        </w:tc>
      </w:tr>
      <w:tr w14:paraId="5F87F321">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4AA64812">
            <w:pPr>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2</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00149247">
            <w:pPr>
              <w:jc w:val="center"/>
              <w:outlineLvl w:val="9"/>
              <w:rPr>
                <w:rFonts w:hint="eastAsia" w:ascii="宋体" w:hAnsi="宋体" w:eastAsia="宋体" w:cs="宋体"/>
                <w:color w:val="auto"/>
                <w:sz w:val="20"/>
                <w:szCs w:val="20"/>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754B2C9F">
            <w:pPr>
              <w:jc w:val="center"/>
              <w:outlineLvl w:val="9"/>
              <w:rPr>
                <w:rFonts w:hint="eastAsia" w:ascii="宋体" w:hAnsi="宋体" w:eastAsia="宋体" w:cs="宋体"/>
                <w:color w:val="auto"/>
                <w:sz w:val="20"/>
                <w:szCs w:val="20"/>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6FD83014">
            <w:pPr>
              <w:jc w:val="center"/>
              <w:outlineLvl w:val="9"/>
              <w:rPr>
                <w:rFonts w:hint="eastAsia" w:ascii="宋体" w:hAnsi="宋体" w:eastAsia="宋体" w:cs="宋体"/>
                <w:color w:val="auto"/>
                <w:sz w:val="20"/>
                <w:szCs w:val="20"/>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5A856300">
            <w:pPr>
              <w:jc w:val="center"/>
              <w:outlineLvl w:val="9"/>
              <w:rPr>
                <w:rFonts w:hint="eastAsia" w:ascii="宋体" w:hAnsi="宋体" w:eastAsia="宋体" w:cs="宋体"/>
                <w:color w:val="auto"/>
                <w:sz w:val="20"/>
                <w:szCs w:val="20"/>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57DFF768">
            <w:pPr>
              <w:jc w:val="center"/>
              <w:outlineLvl w:val="9"/>
              <w:rPr>
                <w:rFonts w:hint="eastAsia" w:ascii="宋体" w:hAnsi="宋体" w:eastAsia="宋体" w:cs="宋体"/>
                <w:color w:val="auto"/>
                <w:sz w:val="20"/>
                <w:szCs w:val="20"/>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038693E0">
            <w:pPr>
              <w:jc w:val="center"/>
              <w:outlineLvl w:val="9"/>
              <w:rPr>
                <w:rFonts w:hint="eastAsia" w:ascii="宋体" w:hAnsi="宋体" w:eastAsia="宋体" w:cs="宋体"/>
                <w:color w:val="auto"/>
                <w:sz w:val="20"/>
                <w:szCs w:val="20"/>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1BBBDD9A">
            <w:pPr>
              <w:jc w:val="center"/>
              <w:outlineLvl w:val="9"/>
              <w:rPr>
                <w:rFonts w:hint="eastAsia" w:ascii="宋体" w:hAnsi="宋体" w:eastAsia="宋体" w:cs="宋体"/>
                <w:color w:val="auto"/>
                <w:sz w:val="20"/>
                <w:szCs w:val="20"/>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465817DD">
            <w:pPr>
              <w:jc w:val="center"/>
              <w:outlineLvl w:val="9"/>
              <w:rPr>
                <w:rFonts w:hint="eastAsia" w:ascii="宋体" w:hAnsi="宋体" w:eastAsia="宋体" w:cs="宋体"/>
                <w:color w:val="auto"/>
                <w:sz w:val="20"/>
                <w:szCs w:val="20"/>
                <w:highlight w:val="none"/>
              </w:rPr>
            </w:pPr>
          </w:p>
        </w:tc>
      </w:tr>
      <w:tr w14:paraId="4C3B9002">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57DE3A46">
            <w:pPr>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3</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0FDA3B57">
            <w:pPr>
              <w:jc w:val="center"/>
              <w:outlineLvl w:val="9"/>
              <w:rPr>
                <w:rFonts w:hint="eastAsia" w:ascii="宋体" w:hAnsi="宋体" w:eastAsia="宋体" w:cs="宋体"/>
                <w:color w:val="auto"/>
                <w:sz w:val="20"/>
                <w:szCs w:val="20"/>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463BCEB4">
            <w:pPr>
              <w:jc w:val="center"/>
              <w:outlineLvl w:val="9"/>
              <w:rPr>
                <w:rFonts w:hint="eastAsia" w:ascii="宋体" w:hAnsi="宋体" w:eastAsia="宋体" w:cs="宋体"/>
                <w:color w:val="auto"/>
                <w:sz w:val="20"/>
                <w:szCs w:val="20"/>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713D1F4D">
            <w:pPr>
              <w:jc w:val="center"/>
              <w:outlineLvl w:val="9"/>
              <w:rPr>
                <w:rFonts w:hint="eastAsia" w:ascii="宋体" w:hAnsi="宋体" w:eastAsia="宋体" w:cs="宋体"/>
                <w:color w:val="auto"/>
                <w:sz w:val="20"/>
                <w:szCs w:val="20"/>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33F4E5A4">
            <w:pPr>
              <w:jc w:val="center"/>
              <w:outlineLvl w:val="9"/>
              <w:rPr>
                <w:rFonts w:hint="eastAsia" w:ascii="宋体" w:hAnsi="宋体" w:eastAsia="宋体" w:cs="宋体"/>
                <w:color w:val="auto"/>
                <w:sz w:val="20"/>
                <w:szCs w:val="20"/>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3DAB5394">
            <w:pPr>
              <w:jc w:val="center"/>
              <w:outlineLvl w:val="9"/>
              <w:rPr>
                <w:rFonts w:hint="eastAsia" w:ascii="宋体" w:hAnsi="宋体" w:eastAsia="宋体" w:cs="宋体"/>
                <w:color w:val="auto"/>
                <w:sz w:val="20"/>
                <w:szCs w:val="20"/>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7DCA4B79">
            <w:pPr>
              <w:jc w:val="center"/>
              <w:outlineLvl w:val="9"/>
              <w:rPr>
                <w:rFonts w:hint="eastAsia" w:ascii="宋体" w:hAnsi="宋体" w:eastAsia="宋体" w:cs="宋体"/>
                <w:color w:val="auto"/>
                <w:sz w:val="20"/>
                <w:szCs w:val="20"/>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469AAD87">
            <w:pPr>
              <w:jc w:val="center"/>
              <w:outlineLvl w:val="9"/>
              <w:rPr>
                <w:rFonts w:hint="eastAsia" w:ascii="宋体" w:hAnsi="宋体" w:eastAsia="宋体" w:cs="宋体"/>
                <w:color w:val="auto"/>
                <w:sz w:val="20"/>
                <w:szCs w:val="20"/>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162C0638">
            <w:pPr>
              <w:jc w:val="center"/>
              <w:outlineLvl w:val="9"/>
              <w:rPr>
                <w:rFonts w:hint="eastAsia" w:ascii="宋体" w:hAnsi="宋体" w:eastAsia="宋体" w:cs="宋体"/>
                <w:color w:val="auto"/>
                <w:sz w:val="20"/>
                <w:szCs w:val="20"/>
                <w:highlight w:val="none"/>
              </w:rPr>
            </w:pPr>
          </w:p>
        </w:tc>
      </w:tr>
      <w:tr w14:paraId="1C377D22">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5E4E77A3">
            <w:pPr>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4</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256EFA92">
            <w:pPr>
              <w:jc w:val="center"/>
              <w:outlineLvl w:val="9"/>
              <w:rPr>
                <w:rFonts w:hint="eastAsia" w:ascii="宋体" w:hAnsi="宋体" w:eastAsia="宋体" w:cs="宋体"/>
                <w:color w:val="auto"/>
                <w:sz w:val="20"/>
                <w:szCs w:val="20"/>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04D617E2">
            <w:pPr>
              <w:jc w:val="center"/>
              <w:outlineLvl w:val="9"/>
              <w:rPr>
                <w:rFonts w:hint="eastAsia" w:ascii="宋体" w:hAnsi="宋体" w:eastAsia="宋体" w:cs="宋体"/>
                <w:color w:val="auto"/>
                <w:sz w:val="20"/>
                <w:szCs w:val="20"/>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7B98CF18">
            <w:pPr>
              <w:jc w:val="center"/>
              <w:outlineLvl w:val="9"/>
              <w:rPr>
                <w:rFonts w:hint="eastAsia" w:ascii="宋体" w:hAnsi="宋体" w:eastAsia="宋体" w:cs="宋体"/>
                <w:color w:val="auto"/>
                <w:sz w:val="20"/>
                <w:szCs w:val="20"/>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54FB77CD">
            <w:pPr>
              <w:jc w:val="center"/>
              <w:outlineLvl w:val="9"/>
              <w:rPr>
                <w:rFonts w:hint="eastAsia" w:ascii="宋体" w:hAnsi="宋体" w:eastAsia="宋体" w:cs="宋体"/>
                <w:color w:val="auto"/>
                <w:sz w:val="20"/>
                <w:szCs w:val="20"/>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2FE14CA3">
            <w:pPr>
              <w:jc w:val="center"/>
              <w:outlineLvl w:val="9"/>
              <w:rPr>
                <w:rFonts w:hint="eastAsia" w:ascii="宋体" w:hAnsi="宋体" w:eastAsia="宋体" w:cs="宋体"/>
                <w:color w:val="auto"/>
                <w:sz w:val="20"/>
                <w:szCs w:val="20"/>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591300AF">
            <w:pPr>
              <w:jc w:val="center"/>
              <w:outlineLvl w:val="9"/>
              <w:rPr>
                <w:rFonts w:hint="eastAsia" w:ascii="宋体" w:hAnsi="宋体" w:eastAsia="宋体" w:cs="宋体"/>
                <w:color w:val="auto"/>
                <w:sz w:val="20"/>
                <w:szCs w:val="20"/>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7782CCF4">
            <w:pPr>
              <w:jc w:val="center"/>
              <w:outlineLvl w:val="9"/>
              <w:rPr>
                <w:rFonts w:hint="eastAsia" w:ascii="宋体" w:hAnsi="宋体" w:eastAsia="宋体" w:cs="宋体"/>
                <w:color w:val="auto"/>
                <w:sz w:val="20"/>
                <w:szCs w:val="20"/>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3B2F5946">
            <w:pPr>
              <w:jc w:val="center"/>
              <w:outlineLvl w:val="9"/>
              <w:rPr>
                <w:rFonts w:hint="eastAsia" w:ascii="宋体" w:hAnsi="宋体" w:eastAsia="宋体" w:cs="宋体"/>
                <w:color w:val="auto"/>
                <w:sz w:val="20"/>
                <w:szCs w:val="20"/>
                <w:highlight w:val="none"/>
              </w:rPr>
            </w:pPr>
          </w:p>
        </w:tc>
      </w:tr>
      <w:tr w14:paraId="52A2D6C1">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722FC167">
            <w:pPr>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5</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1C9F5029">
            <w:pPr>
              <w:jc w:val="center"/>
              <w:outlineLvl w:val="9"/>
              <w:rPr>
                <w:rFonts w:hint="eastAsia" w:ascii="宋体" w:hAnsi="宋体" w:eastAsia="宋体" w:cs="宋体"/>
                <w:color w:val="auto"/>
                <w:sz w:val="20"/>
                <w:szCs w:val="20"/>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5F94B2EB">
            <w:pPr>
              <w:jc w:val="center"/>
              <w:outlineLvl w:val="9"/>
              <w:rPr>
                <w:rFonts w:hint="eastAsia" w:ascii="宋体" w:hAnsi="宋体" w:eastAsia="宋体" w:cs="宋体"/>
                <w:color w:val="auto"/>
                <w:sz w:val="20"/>
                <w:szCs w:val="20"/>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596236D0">
            <w:pPr>
              <w:jc w:val="center"/>
              <w:outlineLvl w:val="9"/>
              <w:rPr>
                <w:rFonts w:hint="eastAsia" w:ascii="宋体" w:hAnsi="宋体" w:eastAsia="宋体" w:cs="宋体"/>
                <w:color w:val="auto"/>
                <w:sz w:val="20"/>
                <w:szCs w:val="20"/>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63F9325B">
            <w:pPr>
              <w:jc w:val="center"/>
              <w:outlineLvl w:val="9"/>
              <w:rPr>
                <w:rFonts w:hint="eastAsia" w:ascii="宋体" w:hAnsi="宋体" w:eastAsia="宋体" w:cs="宋体"/>
                <w:color w:val="auto"/>
                <w:sz w:val="20"/>
                <w:szCs w:val="20"/>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2523904A">
            <w:pPr>
              <w:jc w:val="center"/>
              <w:outlineLvl w:val="9"/>
              <w:rPr>
                <w:rFonts w:hint="eastAsia" w:ascii="宋体" w:hAnsi="宋体" w:eastAsia="宋体" w:cs="宋体"/>
                <w:color w:val="auto"/>
                <w:sz w:val="20"/>
                <w:szCs w:val="20"/>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5914A0CA">
            <w:pPr>
              <w:jc w:val="center"/>
              <w:outlineLvl w:val="9"/>
              <w:rPr>
                <w:rFonts w:hint="eastAsia" w:ascii="宋体" w:hAnsi="宋体" w:eastAsia="宋体" w:cs="宋体"/>
                <w:color w:val="auto"/>
                <w:sz w:val="20"/>
                <w:szCs w:val="20"/>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6737CED8">
            <w:pPr>
              <w:jc w:val="center"/>
              <w:outlineLvl w:val="9"/>
              <w:rPr>
                <w:rFonts w:hint="eastAsia" w:ascii="宋体" w:hAnsi="宋体" w:eastAsia="宋体" w:cs="宋体"/>
                <w:color w:val="auto"/>
                <w:sz w:val="20"/>
                <w:szCs w:val="20"/>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060FACB8">
            <w:pPr>
              <w:jc w:val="center"/>
              <w:outlineLvl w:val="9"/>
              <w:rPr>
                <w:rFonts w:hint="eastAsia" w:ascii="宋体" w:hAnsi="宋体" w:eastAsia="宋体" w:cs="宋体"/>
                <w:color w:val="auto"/>
                <w:sz w:val="20"/>
                <w:szCs w:val="20"/>
                <w:highlight w:val="none"/>
              </w:rPr>
            </w:pPr>
          </w:p>
        </w:tc>
      </w:tr>
      <w:tr w14:paraId="0AEB55DB">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490D6E94">
            <w:pPr>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6</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7A23B65C">
            <w:pPr>
              <w:jc w:val="center"/>
              <w:outlineLvl w:val="9"/>
              <w:rPr>
                <w:rFonts w:hint="eastAsia" w:ascii="宋体" w:hAnsi="宋体" w:eastAsia="宋体" w:cs="宋体"/>
                <w:color w:val="auto"/>
                <w:sz w:val="20"/>
                <w:szCs w:val="20"/>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6779A348">
            <w:pPr>
              <w:jc w:val="center"/>
              <w:outlineLvl w:val="9"/>
              <w:rPr>
                <w:rFonts w:hint="eastAsia" w:ascii="宋体" w:hAnsi="宋体" w:eastAsia="宋体" w:cs="宋体"/>
                <w:color w:val="auto"/>
                <w:sz w:val="20"/>
                <w:szCs w:val="20"/>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38586836">
            <w:pPr>
              <w:jc w:val="center"/>
              <w:outlineLvl w:val="9"/>
              <w:rPr>
                <w:rFonts w:hint="eastAsia" w:ascii="宋体" w:hAnsi="宋体" w:eastAsia="宋体" w:cs="宋体"/>
                <w:color w:val="auto"/>
                <w:sz w:val="20"/>
                <w:szCs w:val="20"/>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588FD0D9">
            <w:pPr>
              <w:jc w:val="center"/>
              <w:outlineLvl w:val="9"/>
              <w:rPr>
                <w:rFonts w:hint="eastAsia" w:ascii="宋体" w:hAnsi="宋体" w:eastAsia="宋体" w:cs="宋体"/>
                <w:color w:val="auto"/>
                <w:sz w:val="20"/>
                <w:szCs w:val="20"/>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4A5D1CE8">
            <w:pPr>
              <w:jc w:val="center"/>
              <w:outlineLvl w:val="9"/>
              <w:rPr>
                <w:rFonts w:hint="eastAsia" w:ascii="宋体" w:hAnsi="宋体" w:eastAsia="宋体" w:cs="宋体"/>
                <w:color w:val="auto"/>
                <w:sz w:val="20"/>
                <w:szCs w:val="20"/>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384A504A">
            <w:pPr>
              <w:jc w:val="center"/>
              <w:outlineLvl w:val="9"/>
              <w:rPr>
                <w:rFonts w:hint="eastAsia" w:ascii="宋体" w:hAnsi="宋体" w:eastAsia="宋体" w:cs="宋体"/>
                <w:color w:val="auto"/>
                <w:sz w:val="20"/>
                <w:szCs w:val="20"/>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5685D84E">
            <w:pPr>
              <w:jc w:val="center"/>
              <w:outlineLvl w:val="9"/>
              <w:rPr>
                <w:rFonts w:hint="eastAsia" w:ascii="宋体" w:hAnsi="宋体" w:eastAsia="宋体" w:cs="宋体"/>
                <w:color w:val="auto"/>
                <w:sz w:val="20"/>
                <w:szCs w:val="20"/>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42C43D90">
            <w:pPr>
              <w:jc w:val="center"/>
              <w:outlineLvl w:val="9"/>
              <w:rPr>
                <w:rFonts w:hint="eastAsia" w:ascii="宋体" w:hAnsi="宋体" w:eastAsia="宋体" w:cs="宋体"/>
                <w:color w:val="auto"/>
                <w:sz w:val="20"/>
                <w:szCs w:val="20"/>
                <w:highlight w:val="none"/>
              </w:rPr>
            </w:pPr>
          </w:p>
        </w:tc>
      </w:tr>
      <w:tr w14:paraId="22843D6C">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49D1BA45">
            <w:pPr>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7</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3B1D6043">
            <w:pPr>
              <w:jc w:val="center"/>
              <w:outlineLvl w:val="9"/>
              <w:rPr>
                <w:rFonts w:hint="eastAsia" w:ascii="宋体" w:hAnsi="宋体" w:eastAsia="宋体" w:cs="宋体"/>
                <w:color w:val="auto"/>
                <w:sz w:val="20"/>
                <w:szCs w:val="20"/>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6AEB75D5">
            <w:pPr>
              <w:jc w:val="center"/>
              <w:outlineLvl w:val="9"/>
              <w:rPr>
                <w:rFonts w:hint="eastAsia" w:ascii="宋体" w:hAnsi="宋体" w:eastAsia="宋体" w:cs="宋体"/>
                <w:color w:val="auto"/>
                <w:sz w:val="20"/>
                <w:szCs w:val="20"/>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07E95128">
            <w:pPr>
              <w:jc w:val="center"/>
              <w:outlineLvl w:val="9"/>
              <w:rPr>
                <w:rFonts w:hint="eastAsia" w:ascii="宋体" w:hAnsi="宋体" w:eastAsia="宋体" w:cs="宋体"/>
                <w:color w:val="auto"/>
                <w:sz w:val="20"/>
                <w:szCs w:val="20"/>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7600CEC1">
            <w:pPr>
              <w:jc w:val="center"/>
              <w:outlineLvl w:val="9"/>
              <w:rPr>
                <w:rFonts w:hint="eastAsia" w:ascii="宋体" w:hAnsi="宋体" w:eastAsia="宋体" w:cs="宋体"/>
                <w:color w:val="auto"/>
                <w:sz w:val="20"/>
                <w:szCs w:val="20"/>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61946667">
            <w:pPr>
              <w:jc w:val="center"/>
              <w:outlineLvl w:val="9"/>
              <w:rPr>
                <w:rFonts w:hint="eastAsia" w:ascii="宋体" w:hAnsi="宋体" w:eastAsia="宋体" w:cs="宋体"/>
                <w:color w:val="auto"/>
                <w:sz w:val="20"/>
                <w:szCs w:val="20"/>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1BA6253B">
            <w:pPr>
              <w:jc w:val="center"/>
              <w:outlineLvl w:val="9"/>
              <w:rPr>
                <w:rFonts w:hint="eastAsia" w:ascii="宋体" w:hAnsi="宋体" w:eastAsia="宋体" w:cs="宋体"/>
                <w:color w:val="auto"/>
                <w:sz w:val="20"/>
                <w:szCs w:val="20"/>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0329CF39">
            <w:pPr>
              <w:jc w:val="center"/>
              <w:outlineLvl w:val="9"/>
              <w:rPr>
                <w:rFonts w:hint="eastAsia" w:ascii="宋体" w:hAnsi="宋体" w:eastAsia="宋体" w:cs="宋体"/>
                <w:color w:val="auto"/>
                <w:sz w:val="20"/>
                <w:szCs w:val="20"/>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03B9CA6C">
            <w:pPr>
              <w:jc w:val="center"/>
              <w:outlineLvl w:val="9"/>
              <w:rPr>
                <w:rFonts w:hint="eastAsia" w:ascii="宋体" w:hAnsi="宋体" w:eastAsia="宋体" w:cs="宋体"/>
                <w:color w:val="auto"/>
                <w:sz w:val="20"/>
                <w:szCs w:val="20"/>
                <w:highlight w:val="none"/>
              </w:rPr>
            </w:pPr>
          </w:p>
        </w:tc>
      </w:tr>
      <w:tr w14:paraId="46797D58">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22F65A5C">
            <w:pPr>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8</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35B90411">
            <w:pPr>
              <w:jc w:val="center"/>
              <w:outlineLvl w:val="9"/>
              <w:rPr>
                <w:rFonts w:hint="eastAsia" w:ascii="宋体" w:hAnsi="宋体" w:eastAsia="宋体" w:cs="宋体"/>
                <w:color w:val="auto"/>
                <w:sz w:val="20"/>
                <w:szCs w:val="20"/>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17442DC6">
            <w:pPr>
              <w:jc w:val="center"/>
              <w:outlineLvl w:val="9"/>
              <w:rPr>
                <w:rFonts w:hint="eastAsia" w:ascii="宋体" w:hAnsi="宋体" w:eastAsia="宋体" w:cs="宋体"/>
                <w:color w:val="auto"/>
                <w:sz w:val="20"/>
                <w:szCs w:val="20"/>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7CEC3859">
            <w:pPr>
              <w:jc w:val="center"/>
              <w:outlineLvl w:val="9"/>
              <w:rPr>
                <w:rFonts w:hint="eastAsia" w:ascii="宋体" w:hAnsi="宋体" w:eastAsia="宋体" w:cs="宋体"/>
                <w:color w:val="auto"/>
                <w:sz w:val="20"/>
                <w:szCs w:val="20"/>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61682B4C">
            <w:pPr>
              <w:jc w:val="center"/>
              <w:outlineLvl w:val="9"/>
              <w:rPr>
                <w:rFonts w:hint="eastAsia" w:ascii="宋体" w:hAnsi="宋体" w:eastAsia="宋体" w:cs="宋体"/>
                <w:color w:val="auto"/>
                <w:sz w:val="20"/>
                <w:szCs w:val="20"/>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72B9147E">
            <w:pPr>
              <w:jc w:val="center"/>
              <w:outlineLvl w:val="9"/>
              <w:rPr>
                <w:rFonts w:hint="eastAsia" w:ascii="宋体" w:hAnsi="宋体" w:eastAsia="宋体" w:cs="宋体"/>
                <w:color w:val="auto"/>
                <w:sz w:val="20"/>
                <w:szCs w:val="20"/>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56D34E23">
            <w:pPr>
              <w:jc w:val="center"/>
              <w:outlineLvl w:val="9"/>
              <w:rPr>
                <w:rFonts w:hint="eastAsia" w:ascii="宋体" w:hAnsi="宋体" w:eastAsia="宋体" w:cs="宋体"/>
                <w:color w:val="auto"/>
                <w:sz w:val="20"/>
                <w:szCs w:val="20"/>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30AF59B3">
            <w:pPr>
              <w:jc w:val="center"/>
              <w:outlineLvl w:val="9"/>
              <w:rPr>
                <w:rFonts w:hint="eastAsia" w:ascii="宋体" w:hAnsi="宋体" w:eastAsia="宋体" w:cs="宋体"/>
                <w:color w:val="auto"/>
                <w:sz w:val="20"/>
                <w:szCs w:val="20"/>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4A1A5BA4">
            <w:pPr>
              <w:jc w:val="center"/>
              <w:outlineLvl w:val="9"/>
              <w:rPr>
                <w:rFonts w:hint="eastAsia" w:ascii="宋体" w:hAnsi="宋体" w:eastAsia="宋体" w:cs="宋体"/>
                <w:color w:val="auto"/>
                <w:sz w:val="20"/>
                <w:szCs w:val="20"/>
                <w:highlight w:val="none"/>
              </w:rPr>
            </w:pPr>
          </w:p>
        </w:tc>
      </w:tr>
      <w:tr w14:paraId="4FE3EF26">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3BE2A74B">
            <w:pPr>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9</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6BC6F487">
            <w:pPr>
              <w:jc w:val="center"/>
              <w:outlineLvl w:val="9"/>
              <w:rPr>
                <w:rFonts w:hint="eastAsia" w:ascii="宋体" w:hAnsi="宋体" w:eastAsia="宋体" w:cs="宋体"/>
                <w:color w:val="auto"/>
                <w:sz w:val="20"/>
                <w:szCs w:val="20"/>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3751D127">
            <w:pPr>
              <w:jc w:val="center"/>
              <w:outlineLvl w:val="9"/>
              <w:rPr>
                <w:rFonts w:hint="eastAsia" w:ascii="宋体" w:hAnsi="宋体" w:eastAsia="宋体" w:cs="宋体"/>
                <w:color w:val="auto"/>
                <w:sz w:val="20"/>
                <w:szCs w:val="20"/>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59015537">
            <w:pPr>
              <w:jc w:val="center"/>
              <w:outlineLvl w:val="9"/>
              <w:rPr>
                <w:rFonts w:hint="eastAsia" w:ascii="宋体" w:hAnsi="宋体" w:eastAsia="宋体" w:cs="宋体"/>
                <w:color w:val="auto"/>
                <w:sz w:val="20"/>
                <w:szCs w:val="20"/>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74733DEC">
            <w:pPr>
              <w:jc w:val="center"/>
              <w:outlineLvl w:val="9"/>
              <w:rPr>
                <w:rFonts w:hint="eastAsia" w:ascii="宋体" w:hAnsi="宋体" w:eastAsia="宋体" w:cs="宋体"/>
                <w:color w:val="auto"/>
                <w:sz w:val="20"/>
                <w:szCs w:val="20"/>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4B37FE5A">
            <w:pPr>
              <w:jc w:val="center"/>
              <w:outlineLvl w:val="9"/>
              <w:rPr>
                <w:rFonts w:hint="eastAsia" w:ascii="宋体" w:hAnsi="宋体" w:eastAsia="宋体" w:cs="宋体"/>
                <w:color w:val="auto"/>
                <w:sz w:val="20"/>
                <w:szCs w:val="20"/>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198FE056">
            <w:pPr>
              <w:jc w:val="center"/>
              <w:outlineLvl w:val="9"/>
              <w:rPr>
                <w:rFonts w:hint="eastAsia" w:ascii="宋体" w:hAnsi="宋体" w:eastAsia="宋体" w:cs="宋体"/>
                <w:color w:val="auto"/>
                <w:sz w:val="20"/>
                <w:szCs w:val="20"/>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4D8BF044">
            <w:pPr>
              <w:jc w:val="center"/>
              <w:outlineLvl w:val="9"/>
              <w:rPr>
                <w:rFonts w:hint="eastAsia" w:ascii="宋体" w:hAnsi="宋体" w:eastAsia="宋体" w:cs="宋体"/>
                <w:color w:val="auto"/>
                <w:sz w:val="20"/>
                <w:szCs w:val="20"/>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0B36BF54">
            <w:pPr>
              <w:jc w:val="center"/>
              <w:outlineLvl w:val="9"/>
              <w:rPr>
                <w:rFonts w:hint="eastAsia" w:ascii="宋体" w:hAnsi="宋体" w:eastAsia="宋体" w:cs="宋体"/>
                <w:color w:val="auto"/>
                <w:sz w:val="20"/>
                <w:szCs w:val="20"/>
                <w:highlight w:val="none"/>
              </w:rPr>
            </w:pPr>
          </w:p>
        </w:tc>
      </w:tr>
      <w:tr w14:paraId="503BB531">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67E06FF9">
            <w:pPr>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10</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0E921951">
            <w:pPr>
              <w:jc w:val="center"/>
              <w:outlineLvl w:val="9"/>
              <w:rPr>
                <w:rFonts w:hint="eastAsia" w:ascii="宋体" w:hAnsi="宋体" w:eastAsia="宋体" w:cs="宋体"/>
                <w:color w:val="auto"/>
                <w:sz w:val="20"/>
                <w:szCs w:val="20"/>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3D3F0B76">
            <w:pPr>
              <w:jc w:val="center"/>
              <w:outlineLvl w:val="9"/>
              <w:rPr>
                <w:rFonts w:hint="eastAsia" w:ascii="宋体" w:hAnsi="宋体" w:eastAsia="宋体" w:cs="宋体"/>
                <w:color w:val="auto"/>
                <w:sz w:val="20"/>
                <w:szCs w:val="20"/>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0BC48B94">
            <w:pPr>
              <w:jc w:val="center"/>
              <w:outlineLvl w:val="9"/>
              <w:rPr>
                <w:rFonts w:hint="eastAsia" w:ascii="宋体" w:hAnsi="宋体" w:eastAsia="宋体" w:cs="宋体"/>
                <w:color w:val="auto"/>
                <w:sz w:val="20"/>
                <w:szCs w:val="20"/>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2D324B21">
            <w:pPr>
              <w:jc w:val="center"/>
              <w:outlineLvl w:val="9"/>
              <w:rPr>
                <w:rFonts w:hint="eastAsia" w:ascii="宋体" w:hAnsi="宋体" w:eastAsia="宋体" w:cs="宋体"/>
                <w:color w:val="auto"/>
                <w:sz w:val="20"/>
                <w:szCs w:val="20"/>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00653A25">
            <w:pPr>
              <w:jc w:val="center"/>
              <w:outlineLvl w:val="9"/>
              <w:rPr>
                <w:rFonts w:hint="eastAsia" w:ascii="宋体" w:hAnsi="宋体" w:eastAsia="宋体" w:cs="宋体"/>
                <w:color w:val="auto"/>
                <w:sz w:val="20"/>
                <w:szCs w:val="20"/>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3E3497A2">
            <w:pPr>
              <w:jc w:val="center"/>
              <w:outlineLvl w:val="9"/>
              <w:rPr>
                <w:rFonts w:hint="eastAsia" w:ascii="宋体" w:hAnsi="宋体" w:eastAsia="宋体" w:cs="宋体"/>
                <w:color w:val="auto"/>
                <w:sz w:val="20"/>
                <w:szCs w:val="20"/>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082B04D5">
            <w:pPr>
              <w:jc w:val="center"/>
              <w:outlineLvl w:val="9"/>
              <w:rPr>
                <w:rFonts w:hint="eastAsia" w:ascii="宋体" w:hAnsi="宋体" w:eastAsia="宋体" w:cs="宋体"/>
                <w:color w:val="auto"/>
                <w:sz w:val="20"/>
                <w:szCs w:val="20"/>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3E314A81">
            <w:pPr>
              <w:jc w:val="center"/>
              <w:outlineLvl w:val="9"/>
              <w:rPr>
                <w:rFonts w:hint="eastAsia" w:ascii="宋体" w:hAnsi="宋体" w:eastAsia="宋体" w:cs="宋体"/>
                <w:color w:val="auto"/>
                <w:sz w:val="20"/>
                <w:szCs w:val="20"/>
                <w:highlight w:val="none"/>
              </w:rPr>
            </w:pPr>
          </w:p>
        </w:tc>
      </w:tr>
      <w:tr w14:paraId="4AEF1F12">
        <w:tblPrEx>
          <w:tblCellMar>
            <w:top w:w="0" w:type="dxa"/>
            <w:left w:w="108" w:type="dxa"/>
            <w:bottom w:w="0" w:type="dxa"/>
            <w:right w:w="108" w:type="dxa"/>
          </w:tblCellMar>
        </w:tblPrEx>
        <w:trPr>
          <w:trHeight w:val="860" w:hRule="atLeast"/>
          <w:jc w:val="center"/>
        </w:trPr>
        <w:tc>
          <w:tcPr>
            <w:tcW w:w="5000" w:type="pct"/>
            <w:gridSpan w:val="9"/>
            <w:tcBorders>
              <w:top w:val="single" w:color="000000" w:sz="4" w:space="0"/>
              <w:left w:val="single" w:color="000000" w:sz="4" w:space="0"/>
              <w:bottom w:val="single" w:color="000000" w:sz="4" w:space="0"/>
              <w:right w:val="single" w:color="000000" w:sz="4" w:space="0"/>
            </w:tcBorders>
            <w:vAlign w:val="center"/>
          </w:tcPr>
          <w:p w14:paraId="51C694DA">
            <w:pPr>
              <w:spacing w:line="240" w:lineRule="auto"/>
              <w:jc w:val="both"/>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备注：</w:t>
            </w:r>
          </w:p>
          <w:p w14:paraId="6531524B">
            <w:pPr>
              <w:spacing w:line="240" w:lineRule="auto"/>
              <w:jc w:val="both"/>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1、此承运单一式四联，白联存根，其余三联三方各执一联；</w:t>
            </w:r>
          </w:p>
          <w:p w14:paraId="59585F50">
            <w:pPr>
              <w:spacing w:line="240" w:lineRule="auto"/>
              <w:jc w:val="both"/>
              <w:textAlignment w:val="center"/>
              <w:outlineLvl w:val="9"/>
              <w:rPr>
                <w:rFonts w:hint="eastAsia" w:ascii="宋体" w:hAnsi="宋体" w:eastAsia="宋体" w:cs="宋体"/>
                <w:color w:val="auto"/>
                <w:sz w:val="20"/>
                <w:szCs w:val="20"/>
                <w:highlight w:val="none"/>
              </w:rPr>
            </w:pPr>
            <w:r>
              <w:rPr>
                <w:rFonts w:hint="eastAsia" w:ascii="宋体" w:hAnsi="宋体" w:eastAsia="宋体" w:cs="宋体"/>
                <w:b/>
                <w:bCs/>
                <w:color w:val="auto"/>
                <w:sz w:val="20"/>
                <w:szCs w:val="20"/>
                <w:highlight w:val="none"/>
              </w:rPr>
              <w:t>2、袋装不扣皮，200L以下桶不扣皮，卡板和200L及以上桶按实际情况扣皮。</w:t>
            </w:r>
          </w:p>
        </w:tc>
      </w:tr>
      <w:tr w14:paraId="0411EAD0">
        <w:tblPrEx>
          <w:tblCellMar>
            <w:top w:w="0" w:type="dxa"/>
            <w:left w:w="108" w:type="dxa"/>
            <w:bottom w:w="0" w:type="dxa"/>
            <w:right w:w="108" w:type="dxa"/>
          </w:tblCellMar>
        </w:tblPrEx>
        <w:trPr>
          <w:trHeight w:val="493"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152EC86C">
            <w:pPr>
              <w:spacing w:line="240" w:lineRule="auto"/>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车牌号：</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07433DB2">
            <w:pPr>
              <w:spacing w:line="240" w:lineRule="auto"/>
              <w:jc w:val="center"/>
              <w:outlineLvl w:val="9"/>
              <w:rPr>
                <w:rFonts w:hint="eastAsia" w:ascii="宋体" w:hAnsi="宋体" w:eastAsia="宋体" w:cs="宋体"/>
                <w:color w:val="auto"/>
                <w:sz w:val="20"/>
                <w:szCs w:val="20"/>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7DE22E7E">
            <w:pPr>
              <w:spacing w:line="240" w:lineRule="auto"/>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司机/押运：</w:t>
            </w: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3BA872C7">
            <w:pPr>
              <w:spacing w:line="240" w:lineRule="auto"/>
              <w:jc w:val="center"/>
              <w:outlineLvl w:val="9"/>
              <w:rPr>
                <w:rFonts w:hint="eastAsia" w:ascii="宋体" w:hAnsi="宋体" w:eastAsia="宋体" w:cs="宋体"/>
                <w:color w:val="auto"/>
                <w:sz w:val="20"/>
                <w:szCs w:val="20"/>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19A2187D">
            <w:pPr>
              <w:spacing w:line="240" w:lineRule="auto"/>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产废单位签名：</w:t>
            </w: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24DF9822">
            <w:pPr>
              <w:spacing w:line="240" w:lineRule="auto"/>
              <w:jc w:val="center"/>
              <w:outlineLvl w:val="9"/>
              <w:rPr>
                <w:rFonts w:hint="eastAsia" w:ascii="宋体" w:hAnsi="宋体" w:eastAsia="宋体" w:cs="宋体"/>
                <w:color w:val="auto"/>
                <w:sz w:val="20"/>
                <w:szCs w:val="20"/>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670B0192">
            <w:pPr>
              <w:spacing w:line="240" w:lineRule="auto"/>
              <w:jc w:val="center"/>
              <w:textAlignment w:val="center"/>
              <w:outlineLvl w:val="9"/>
              <w:rPr>
                <w:rFonts w:hint="eastAsia" w:ascii="宋体" w:hAnsi="宋体" w:eastAsia="宋体" w:cs="宋体"/>
                <w:color w:val="auto"/>
                <w:sz w:val="20"/>
                <w:szCs w:val="20"/>
                <w:highlight w:val="none"/>
              </w:rPr>
            </w:pPr>
            <w:r>
              <w:rPr>
                <w:rFonts w:hint="eastAsia" w:ascii="宋体" w:hAnsi="宋体" w:eastAsia="宋体" w:cs="宋体"/>
                <w:color w:val="auto"/>
                <w:sz w:val="20"/>
                <w:szCs w:val="20"/>
                <w:highlight w:val="none"/>
              </w:rPr>
              <w:t>处置单位签字/日期：</w:t>
            </w:r>
          </w:p>
        </w:tc>
        <w:tc>
          <w:tcPr>
            <w:tcW w:w="889" w:type="pct"/>
            <w:gridSpan w:val="2"/>
            <w:tcBorders>
              <w:top w:val="single" w:color="000000" w:sz="4" w:space="0"/>
              <w:left w:val="single" w:color="000000" w:sz="4" w:space="0"/>
              <w:bottom w:val="single" w:color="000000" w:sz="4" w:space="0"/>
              <w:right w:val="single" w:color="000000" w:sz="4" w:space="0"/>
            </w:tcBorders>
            <w:noWrap/>
            <w:vAlign w:val="center"/>
          </w:tcPr>
          <w:p w14:paraId="1012AE1A">
            <w:pPr>
              <w:spacing w:line="240" w:lineRule="auto"/>
              <w:jc w:val="center"/>
              <w:outlineLvl w:val="9"/>
              <w:rPr>
                <w:rFonts w:hint="eastAsia" w:ascii="宋体" w:hAnsi="宋体" w:eastAsia="宋体" w:cs="宋体"/>
                <w:color w:val="auto"/>
                <w:sz w:val="20"/>
                <w:szCs w:val="20"/>
                <w:highlight w:val="none"/>
              </w:rPr>
            </w:pPr>
          </w:p>
        </w:tc>
      </w:tr>
    </w:tbl>
    <w:p w14:paraId="70EF8E8C">
      <w:pPr>
        <w:outlineLvl w:val="9"/>
        <w:rPr>
          <w:rFonts w:ascii="黑体" w:eastAsia="黑体"/>
          <w:color w:val="auto"/>
          <w:sz w:val="28"/>
          <w:szCs w:val="28"/>
          <w:highlight w:val="none"/>
        </w:rPr>
      </w:pPr>
    </w:p>
    <w:p w14:paraId="033FF0EF">
      <w:pPr>
        <w:rPr>
          <w:color w:val="auto"/>
          <w:sz w:val="28"/>
          <w:szCs w:val="28"/>
          <w:highlight w:val="none"/>
        </w:rPr>
      </w:pPr>
      <w:r>
        <w:rPr>
          <w:rFonts w:hint="eastAsia"/>
          <w:color w:val="auto"/>
          <w:sz w:val="28"/>
          <w:szCs w:val="28"/>
          <w:highlight w:val="none"/>
        </w:rPr>
        <w:br w:type="page"/>
      </w:r>
    </w:p>
    <w:p w14:paraId="233CA0D3">
      <w:pPr>
        <w:pStyle w:val="4"/>
        <w:spacing w:before="0" w:after="0" w:line="240" w:lineRule="auto"/>
        <w:rPr>
          <w:color w:val="auto"/>
          <w:sz w:val="24"/>
          <w:szCs w:val="24"/>
          <w:highlight w:val="none"/>
        </w:rPr>
      </w:pPr>
      <w:bookmarkStart w:id="96" w:name="_Toc20293"/>
      <w:r>
        <w:rPr>
          <w:rFonts w:hint="eastAsia"/>
          <w:color w:val="auto"/>
          <w:sz w:val="28"/>
          <w:szCs w:val="28"/>
          <w:highlight w:val="none"/>
        </w:rPr>
        <w:t>第四部分投标人须知</w:t>
      </w:r>
      <w:bookmarkEnd w:id="96"/>
    </w:p>
    <w:p w14:paraId="404F19B9">
      <w:pPr>
        <w:pStyle w:val="5"/>
        <w:numPr>
          <w:ilvl w:val="0"/>
          <w:numId w:val="3"/>
        </w:numPr>
        <w:spacing w:before="0" w:after="0" w:line="480" w:lineRule="auto"/>
        <w:jc w:val="center"/>
        <w:rPr>
          <w:rFonts w:ascii="宋体" w:hAnsi="宋体"/>
          <w:color w:val="auto"/>
          <w:highlight w:val="none"/>
        </w:rPr>
      </w:pPr>
      <w:bookmarkStart w:id="97" w:name="_Toc3120"/>
      <w:r>
        <w:rPr>
          <w:rFonts w:hint="eastAsia" w:ascii="宋体" w:hAnsi="宋体"/>
          <w:color w:val="auto"/>
          <w:highlight w:val="none"/>
        </w:rPr>
        <w:t>说明</w:t>
      </w:r>
      <w:bookmarkEnd w:id="97"/>
    </w:p>
    <w:p w14:paraId="0DFA49A7">
      <w:pPr>
        <w:pStyle w:val="6"/>
        <w:widowControl w:val="0"/>
        <w:numPr>
          <w:ilvl w:val="0"/>
          <w:numId w:val="4"/>
        </w:numPr>
        <w:overflowPunct w:val="0"/>
        <w:rPr>
          <w:rFonts w:ascii="宋体" w:hAnsi="宋体" w:cs="宋体"/>
          <w:color w:val="auto"/>
          <w:sz w:val="21"/>
          <w:szCs w:val="21"/>
          <w:highlight w:val="none"/>
        </w:rPr>
      </w:pPr>
      <w:bookmarkStart w:id="98" w:name="_Toc3054"/>
      <w:bookmarkStart w:id="99" w:name="_Toc3534"/>
      <w:r>
        <w:rPr>
          <w:rFonts w:hint="eastAsia" w:ascii="宋体" w:hAnsi="宋体" w:cs="宋体"/>
          <w:color w:val="auto"/>
          <w:sz w:val="21"/>
          <w:szCs w:val="21"/>
          <w:highlight w:val="none"/>
        </w:rPr>
        <w:t>适用范围</w:t>
      </w:r>
      <w:bookmarkEnd w:id="98"/>
      <w:bookmarkEnd w:id="99"/>
    </w:p>
    <w:p w14:paraId="468D5F26">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采购范围：见本文件《用户需求书》</w:t>
      </w:r>
    </w:p>
    <w:p w14:paraId="549FFEF8">
      <w:pPr>
        <w:rPr>
          <w:rFonts w:ascii="宋体" w:hAnsi="宋体" w:cs="宋体"/>
          <w:color w:val="auto"/>
          <w:highlight w:val="none"/>
        </w:rPr>
      </w:pPr>
    </w:p>
    <w:p w14:paraId="796E14D5">
      <w:pPr>
        <w:pStyle w:val="6"/>
        <w:widowControl w:val="0"/>
        <w:numPr>
          <w:ilvl w:val="0"/>
          <w:numId w:val="4"/>
        </w:numPr>
        <w:overflowPunct w:val="0"/>
        <w:rPr>
          <w:rFonts w:ascii="宋体" w:hAnsi="宋体" w:cs="宋体"/>
          <w:color w:val="auto"/>
          <w:sz w:val="21"/>
          <w:szCs w:val="21"/>
          <w:highlight w:val="none"/>
        </w:rPr>
      </w:pPr>
      <w:bookmarkStart w:id="100" w:name="_Toc298847174"/>
      <w:bookmarkStart w:id="101" w:name="_Toc382049092"/>
      <w:bookmarkStart w:id="102" w:name="_Toc20286"/>
      <w:bookmarkStart w:id="103" w:name="_Toc303084246"/>
      <w:bookmarkStart w:id="104" w:name="_Toc5540"/>
      <w:bookmarkStart w:id="105" w:name="_Toc1530"/>
      <w:r>
        <w:rPr>
          <w:rFonts w:hint="eastAsia" w:ascii="宋体" w:hAnsi="宋体" w:cs="宋体"/>
          <w:color w:val="auto"/>
          <w:sz w:val="21"/>
          <w:szCs w:val="21"/>
          <w:highlight w:val="none"/>
        </w:rPr>
        <w:t>定义</w:t>
      </w:r>
      <w:bookmarkEnd w:id="100"/>
      <w:bookmarkEnd w:id="101"/>
      <w:bookmarkEnd w:id="102"/>
      <w:bookmarkEnd w:id="103"/>
      <w:bookmarkEnd w:id="104"/>
      <w:bookmarkEnd w:id="105"/>
    </w:p>
    <w:p w14:paraId="7C4D7FEA">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采购人：见投标邀请书。</w:t>
      </w:r>
    </w:p>
    <w:p w14:paraId="09167BD2">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投标人：响应采购并且符合采购文件规定资格条件和参加投标竞争的法人、其他组织或者自然人。</w:t>
      </w:r>
    </w:p>
    <w:p w14:paraId="2161E7BC">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法人：法人是依法在国内进行注册并具有民事权利能力和民事行为能力，依法独立享有民事权利和承担民事义务的组织。</w:t>
      </w:r>
    </w:p>
    <w:p w14:paraId="493F5DCF">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：指经评标委员会评审推荐、采购人确认的获得本项目中标资格的投标人。</w:t>
      </w:r>
    </w:p>
    <w:p w14:paraId="0E9DC0DC">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采购代理机构：见投标邀请书。</w:t>
      </w:r>
    </w:p>
    <w:p w14:paraId="4DC0FFCC">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评标委员会：评标委员会是依据相关规定组建的专门负责本次采购评标工作的临时性机构。</w:t>
      </w:r>
    </w:p>
    <w:p w14:paraId="3778624B">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合同：指由本次采购所产生的合同或合约文件。</w:t>
      </w:r>
    </w:p>
    <w:p w14:paraId="149AE506">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公章：公章是指经过正规的法定程序并备案的法人公章与投标专用章。（投标人如在投标文件中使用“投标专用章”，应提供法定代表人签字或加盖公章说明该“投标专用章”与法人公章具备同等效力的证明文件，且投标当天应携带相关原件到现场，以供核查。因投标文件未提供相关手续复印件和无法核查投标专用章的真实性而导致的后果由投标人自行承担。）</w:t>
      </w:r>
    </w:p>
    <w:p w14:paraId="75968A0A">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时间：本文件规定按日计算期间的，开始当天不计入，从次日开始计算。期限的最后一日是国家法定节假日的，顺延到节假日后的次日为期限的最后一日。</w:t>
      </w:r>
    </w:p>
    <w:p w14:paraId="1496AD9D">
      <w:pPr>
        <w:rPr>
          <w:rFonts w:ascii="宋体" w:hAnsi="宋体" w:cs="宋体"/>
          <w:color w:val="auto"/>
          <w:highlight w:val="none"/>
        </w:rPr>
      </w:pPr>
    </w:p>
    <w:p w14:paraId="6E82584D">
      <w:pPr>
        <w:pStyle w:val="6"/>
        <w:widowControl w:val="0"/>
        <w:numPr>
          <w:ilvl w:val="0"/>
          <w:numId w:val="4"/>
        </w:numPr>
        <w:overflowPunct w:val="0"/>
        <w:rPr>
          <w:rFonts w:ascii="宋体" w:hAnsi="宋体" w:cs="宋体"/>
          <w:color w:val="auto"/>
          <w:sz w:val="21"/>
          <w:szCs w:val="21"/>
          <w:highlight w:val="none"/>
        </w:rPr>
      </w:pPr>
      <w:bookmarkStart w:id="106" w:name="_Toc11624"/>
      <w:bookmarkStart w:id="107" w:name="_Toc6245"/>
      <w:r>
        <w:rPr>
          <w:rFonts w:hint="eastAsia" w:ascii="宋体" w:hAnsi="宋体" w:cs="宋体"/>
          <w:color w:val="auto"/>
          <w:sz w:val="21"/>
          <w:szCs w:val="21"/>
          <w:highlight w:val="none"/>
        </w:rPr>
        <w:t>货物和服务</w:t>
      </w:r>
      <w:bookmarkEnd w:id="106"/>
      <w:bookmarkEnd w:id="107"/>
    </w:p>
    <w:p w14:paraId="6078A707">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货物是指各种形态和种类的物品，包括原材料、燃料、设备、产品等。</w:t>
      </w:r>
    </w:p>
    <w:p w14:paraId="6FB21C27">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服务是指除货物和工程以外的其他采购对象。</w:t>
      </w:r>
    </w:p>
    <w:p w14:paraId="379AAA8D">
      <w:pPr>
        <w:rPr>
          <w:rFonts w:ascii="宋体" w:hAnsi="宋体" w:cs="宋体"/>
          <w:color w:val="auto"/>
          <w:highlight w:val="none"/>
        </w:rPr>
      </w:pPr>
    </w:p>
    <w:p w14:paraId="4387FF42">
      <w:pPr>
        <w:pStyle w:val="6"/>
        <w:widowControl w:val="0"/>
        <w:numPr>
          <w:ilvl w:val="0"/>
          <w:numId w:val="4"/>
        </w:numPr>
        <w:overflowPunct w:val="0"/>
        <w:rPr>
          <w:rFonts w:ascii="宋体" w:hAnsi="宋体" w:cs="宋体"/>
          <w:color w:val="auto"/>
          <w:sz w:val="21"/>
          <w:szCs w:val="21"/>
          <w:highlight w:val="none"/>
        </w:rPr>
      </w:pPr>
      <w:bookmarkStart w:id="108" w:name="_Toc15719"/>
      <w:bookmarkStart w:id="109" w:name="_Toc16486"/>
      <w:r>
        <w:rPr>
          <w:rFonts w:hint="eastAsia" w:ascii="宋体" w:hAnsi="宋体" w:cs="宋体"/>
          <w:color w:val="auto"/>
          <w:sz w:val="21"/>
          <w:szCs w:val="21"/>
          <w:highlight w:val="none"/>
        </w:rPr>
        <w:t>投标费用</w:t>
      </w:r>
      <w:bookmarkEnd w:id="108"/>
      <w:bookmarkEnd w:id="109"/>
    </w:p>
    <w:p w14:paraId="5C23EF0C">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投标人应承担所有与编写投标文件和参加投标有关的自身的所有费用，不论投标的结果如何，采购代理机构和采购人在任何情况下均无义务和责任承担这些费用。</w:t>
      </w:r>
    </w:p>
    <w:p w14:paraId="7326A4B3">
      <w:pPr>
        <w:widowControl w:val="0"/>
        <w:adjustRightInd/>
        <w:snapToGrid/>
        <w:jc w:val="both"/>
        <w:rPr>
          <w:rFonts w:ascii="宋体" w:hAnsi="宋体" w:cs="宋体"/>
          <w:color w:val="auto"/>
          <w:szCs w:val="21"/>
          <w:highlight w:val="none"/>
        </w:rPr>
      </w:pPr>
    </w:p>
    <w:p w14:paraId="0784A1D6">
      <w:pPr>
        <w:pStyle w:val="6"/>
        <w:widowControl w:val="0"/>
        <w:numPr>
          <w:ilvl w:val="0"/>
          <w:numId w:val="4"/>
        </w:numPr>
        <w:overflowPunct w:val="0"/>
        <w:rPr>
          <w:rFonts w:ascii="宋体" w:hAnsi="宋体" w:cs="宋体"/>
          <w:color w:val="auto"/>
          <w:sz w:val="21"/>
          <w:szCs w:val="21"/>
          <w:highlight w:val="none"/>
        </w:rPr>
      </w:pPr>
      <w:bookmarkStart w:id="110" w:name="_Toc6180"/>
      <w:bookmarkStart w:id="111" w:name="_Toc18369"/>
      <w:r>
        <w:rPr>
          <w:rFonts w:hint="eastAsia" w:ascii="宋体" w:hAnsi="宋体" w:cs="宋体"/>
          <w:color w:val="auto"/>
          <w:sz w:val="21"/>
          <w:szCs w:val="21"/>
          <w:highlight w:val="none"/>
        </w:rPr>
        <w:t>知识产权</w:t>
      </w:r>
      <w:bookmarkEnd w:id="110"/>
      <w:bookmarkEnd w:id="111"/>
    </w:p>
    <w:p w14:paraId="29077D42">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投标人应保证在本项目使用的任何产品和服务（包括部分使用）时，不会产生因第三方提出侵犯其专利权、商标权或其它知识产权而引起的法律和经济纠纷，如因专利权、商标权或其它知识产权而引起法律和经济纠纷，由投标人承担所有相关责任。</w:t>
      </w:r>
    </w:p>
    <w:p w14:paraId="7C0086DD">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采购人享有本项目实施过程中产生的知识成果及知识产权。</w:t>
      </w:r>
    </w:p>
    <w:p w14:paraId="1E24D065">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投标人如欲在项目实施过程中采用自有知识成果，需在投标文件中声明，并提供相关知识产权证明文件。使用该知识成果后，投标人需提供开发接口和开发手册等技术文档。</w:t>
      </w:r>
    </w:p>
    <w:p w14:paraId="01511138">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采购货物为计算机办公设备时，投标人提供的产品必须是预装正版操作系统软件的计算机产品。</w:t>
      </w:r>
    </w:p>
    <w:p w14:paraId="5B91A44E">
      <w:pPr>
        <w:widowControl w:val="0"/>
        <w:adjustRightInd/>
        <w:snapToGrid/>
        <w:ind w:left="567"/>
        <w:jc w:val="both"/>
        <w:rPr>
          <w:rFonts w:ascii="宋体" w:hAnsi="宋体" w:cs="宋体"/>
          <w:color w:val="auto"/>
          <w:szCs w:val="21"/>
          <w:highlight w:val="none"/>
        </w:rPr>
      </w:pPr>
    </w:p>
    <w:p w14:paraId="4ECA6A9A">
      <w:pPr>
        <w:pStyle w:val="6"/>
        <w:widowControl w:val="0"/>
        <w:numPr>
          <w:ilvl w:val="0"/>
          <w:numId w:val="4"/>
        </w:numPr>
        <w:overflowPunct w:val="0"/>
        <w:rPr>
          <w:rFonts w:ascii="宋体" w:hAnsi="宋体" w:cs="宋体"/>
          <w:color w:val="auto"/>
          <w:sz w:val="21"/>
          <w:szCs w:val="21"/>
          <w:highlight w:val="none"/>
        </w:rPr>
      </w:pPr>
      <w:bookmarkStart w:id="112" w:name="_Toc2352"/>
      <w:bookmarkStart w:id="113" w:name="_Toc17160"/>
      <w:r>
        <w:rPr>
          <w:rFonts w:hint="eastAsia" w:ascii="宋体" w:hAnsi="宋体" w:cs="宋体"/>
          <w:color w:val="auto"/>
          <w:sz w:val="21"/>
          <w:szCs w:val="21"/>
          <w:highlight w:val="none"/>
        </w:rPr>
        <w:t>关于联合体投标</w:t>
      </w:r>
      <w:bookmarkEnd w:id="112"/>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lang w:val="en-US" w:eastAsia="zh-CN"/>
        </w:rPr>
        <w:t>本项目不接受联合体投标</w:t>
      </w:r>
      <w:r>
        <w:rPr>
          <w:rFonts w:hint="eastAsia" w:ascii="宋体" w:hAnsi="宋体" w:cs="宋体"/>
          <w:color w:val="auto"/>
          <w:sz w:val="21"/>
          <w:szCs w:val="21"/>
          <w:highlight w:val="none"/>
          <w:lang w:eastAsia="zh-CN"/>
        </w:rPr>
        <w:t>）</w:t>
      </w:r>
      <w:bookmarkEnd w:id="113"/>
    </w:p>
    <w:p w14:paraId="1A5A7926">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对接受联合体投标的项目：两个以上的自然人、法人或者其他组织可以组成一个联合体，以一个投标人的身份共同参加采购活动。</w:t>
      </w:r>
    </w:p>
    <w:p w14:paraId="42F4364D">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以联合体形式参与项目的供应商在领购采购文件时，应提供所有联合体组成成员的营业执照复印件，并加盖各联合体组成成员的公章。</w:t>
      </w:r>
    </w:p>
    <w:p w14:paraId="63790B56">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联合体各方均应具有独立承担民事责任能力的法人或其他组织。</w:t>
      </w:r>
    </w:p>
    <w:p w14:paraId="3E653669">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两个以上的自然人、法人或者其他组织组成一个联合体，以一个供应商的身份共同参加采购活动的，应当对所有联合体成员进行信用记录查询，联合体成员存在不良信用记录的，视同联合体存在不良信用记录。</w:t>
      </w:r>
    </w:p>
    <w:p w14:paraId="25504D90">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采购文件对投标人资格条件有规定的，联合体各方均应当具备规定的相应资格条件。由同一专业的单位组成的联合体，按照资质等级较低的单位确定资质等级。</w:t>
      </w:r>
    </w:p>
    <w:p w14:paraId="699000BC">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联合体各方之间应当签订共同投标协议并在投标文件内提交，明确约定联合体各方承担的工作和相应的责任。联合体各方签订共同投标协议后，不得再以自己名义单独在同一项目中投标，也不得组成新的联合体参加同一项目投标。</w:t>
      </w:r>
    </w:p>
    <w:p w14:paraId="026D714C">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供应商为联合体的，可以由联合体中的任意一方交纳保证金，其交纳的保证金对联合体各方均具有约束力。</w:t>
      </w:r>
    </w:p>
    <w:p w14:paraId="31D3B259">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除联合体协议明确授权盖章单位外，联合体投标时投标文件中所有要求盖章的地方均须加盖联合体所有组成成员的公章，否则该处盖章无效。</w:t>
      </w:r>
    </w:p>
    <w:p w14:paraId="48A6DF99">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联合体进行评分时，业绩、奖项等的认定和评分根据共同投标协议约定的各方承担的工作和相应责任，确定一方打分，不累加打分；评审标准不明确或难以明确以哪一方计算评分情况时，则按主体方情况评分。</w:t>
      </w:r>
    </w:p>
    <w:p w14:paraId="252BC59F">
      <w:pPr>
        <w:widowControl w:val="0"/>
        <w:adjustRightInd/>
        <w:snapToGrid/>
        <w:ind w:left="567"/>
        <w:jc w:val="both"/>
        <w:rPr>
          <w:rFonts w:ascii="宋体" w:hAnsi="宋体" w:cs="宋体"/>
          <w:color w:val="auto"/>
          <w:szCs w:val="21"/>
          <w:highlight w:val="none"/>
        </w:rPr>
      </w:pPr>
    </w:p>
    <w:p w14:paraId="5CF71FAF">
      <w:pPr>
        <w:pStyle w:val="6"/>
        <w:widowControl w:val="0"/>
        <w:numPr>
          <w:ilvl w:val="0"/>
          <w:numId w:val="4"/>
        </w:numPr>
        <w:overflowPunct w:val="0"/>
        <w:rPr>
          <w:rFonts w:ascii="宋体" w:hAnsi="宋体" w:cs="宋体"/>
          <w:color w:val="auto"/>
          <w:sz w:val="21"/>
          <w:szCs w:val="21"/>
          <w:highlight w:val="none"/>
        </w:rPr>
      </w:pPr>
      <w:bookmarkStart w:id="114" w:name="_Toc11994"/>
      <w:bookmarkStart w:id="115" w:name="_Toc3572"/>
      <w:r>
        <w:rPr>
          <w:rFonts w:hint="eastAsia" w:ascii="宋体" w:hAnsi="宋体" w:cs="宋体"/>
          <w:color w:val="auto"/>
          <w:sz w:val="21"/>
          <w:szCs w:val="21"/>
          <w:highlight w:val="none"/>
        </w:rPr>
        <w:t>关于分支机构投标</w:t>
      </w:r>
      <w:bookmarkEnd w:id="114"/>
      <w:bookmarkEnd w:id="115"/>
    </w:p>
    <w:p w14:paraId="6560F809">
      <w:pPr>
        <w:widowControl w:val="0"/>
        <w:numPr>
          <w:ilvl w:val="1"/>
          <w:numId w:val="4"/>
        </w:numPr>
        <w:overflowPunct w:val="0"/>
        <w:rPr>
          <w:rFonts w:ascii="宋体" w:hAnsi="宋体" w:cs="宋体"/>
          <w:color w:val="auto"/>
          <w:szCs w:val="21"/>
          <w:highlight w:val="none"/>
        </w:rPr>
      </w:pPr>
      <w:bookmarkStart w:id="116" w:name="EB389f116341dd4693875bc7987e7327f3"/>
      <w:r>
        <w:rPr>
          <w:rFonts w:hint="eastAsia" w:ascii="宋体" w:hAnsi="宋体" w:cs="宋体"/>
          <w:color w:val="auto"/>
          <w:szCs w:val="21"/>
          <w:highlight w:val="none"/>
        </w:rPr>
        <w:t>对可接受分支机构投标的项目，分支机构投标的，需提供具有法人资格的总公司的营业执照原件扫描件及授权书，授权书须加盖总公司公章。总公司可就本项目或此类项目在一定范围或时间内出具授权书。已由总公司授权的，总公司取得的相关资质证书对分公司有效，法律法规或者行业另有规定的除外。</w:t>
      </w:r>
      <w:bookmarkEnd w:id="116"/>
    </w:p>
    <w:p w14:paraId="015B7F78">
      <w:pPr>
        <w:widowControl w:val="0"/>
        <w:adjustRightInd/>
        <w:snapToGrid/>
        <w:ind w:left="567"/>
        <w:jc w:val="both"/>
        <w:rPr>
          <w:rFonts w:ascii="宋体" w:hAnsi="宋体" w:cs="宋体"/>
          <w:color w:val="auto"/>
          <w:szCs w:val="21"/>
          <w:highlight w:val="none"/>
        </w:rPr>
      </w:pPr>
    </w:p>
    <w:p w14:paraId="6308BEA1">
      <w:pPr>
        <w:pStyle w:val="6"/>
        <w:widowControl w:val="0"/>
        <w:numPr>
          <w:ilvl w:val="0"/>
          <w:numId w:val="4"/>
        </w:numPr>
        <w:overflowPunct w:val="0"/>
        <w:rPr>
          <w:rFonts w:ascii="宋体" w:hAnsi="宋体" w:cs="宋体"/>
          <w:color w:val="auto"/>
          <w:sz w:val="21"/>
          <w:szCs w:val="21"/>
          <w:highlight w:val="none"/>
        </w:rPr>
      </w:pPr>
      <w:bookmarkStart w:id="117" w:name="_Toc23907"/>
      <w:r>
        <w:rPr>
          <w:rFonts w:hint="eastAsia" w:ascii="宋体" w:hAnsi="宋体" w:cs="宋体"/>
          <w:color w:val="auto"/>
          <w:sz w:val="21"/>
          <w:szCs w:val="21"/>
          <w:highlight w:val="none"/>
        </w:rPr>
        <w:t>踏勘现场</w:t>
      </w:r>
      <w:bookmarkEnd w:id="117"/>
    </w:p>
    <w:p w14:paraId="6C6B516E">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《投标资料表》规定组织踏勘现场的，采购人按《投标资料表》规定的时间、地点组织</w:t>
      </w:r>
      <w:r>
        <w:rPr>
          <w:rFonts w:hint="eastAsia" w:ascii="宋体" w:hAnsi="宋体" w:cs="宋体"/>
          <w:color w:val="auto"/>
          <w:szCs w:val="21"/>
          <w:highlight w:val="none"/>
          <w:lang w:eastAsia="zh-CN"/>
        </w:rPr>
        <w:t>投标人</w:t>
      </w:r>
      <w:r>
        <w:rPr>
          <w:rFonts w:hint="eastAsia" w:ascii="宋体" w:hAnsi="宋体" w:cs="宋体"/>
          <w:color w:val="auto"/>
          <w:szCs w:val="21"/>
          <w:highlight w:val="none"/>
        </w:rPr>
        <w:t>踏勘项目现场；</w:t>
      </w:r>
    </w:p>
    <w:p w14:paraId="1E8C4DBC">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lang w:eastAsia="zh-CN"/>
        </w:rPr>
        <w:t>投标人</w:t>
      </w:r>
      <w:r>
        <w:rPr>
          <w:rFonts w:hint="eastAsia" w:ascii="宋体" w:hAnsi="宋体" w:cs="宋体"/>
          <w:color w:val="auto"/>
          <w:szCs w:val="21"/>
          <w:highlight w:val="none"/>
        </w:rPr>
        <w:t>踏勘现场发生的费用自理；</w:t>
      </w:r>
    </w:p>
    <w:p w14:paraId="28B8CB33">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除采购人的原因外，</w:t>
      </w:r>
      <w:r>
        <w:rPr>
          <w:rFonts w:hint="eastAsia" w:ascii="宋体" w:hAnsi="宋体" w:cs="宋体"/>
          <w:color w:val="auto"/>
          <w:szCs w:val="21"/>
          <w:highlight w:val="none"/>
          <w:lang w:eastAsia="zh-CN"/>
        </w:rPr>
        <w:t>投标人</w:t>
      </w:r>
      <w:r>
        <w:rPr>
          <w:rFonts w:hint="eastAsia" w:ascii="宋体" w:hAnsi="宋体" w:cs="宋体"/>
          <w:color w:val="auto"/>
          <w:szCs w:val="21"/>
          <w:highlight w:val="none"/>
        </w:rPr>
        <w:t>自行负责在踏勘现场中所发生的人员伤亡和财产损失；</w:t>
      </w:r>
    </w:p>
    <w:p w14:paraId="68C7231B">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采购人在踏勘现场中介绍的实施地点和相关的周边环境情况，供</w:t>
      </w:r>
      <w:r>
        <w:rPr>
          <w:rFonts w:hint="eastAsia" w:ascii="宋体" w:hAnsi="宋体" w:cs="宋体"/>
          <w:color w:val="auto"/>
          <w:szCs w:val="21"/>
          <w:highlight w:val="none"/>
          <w:lang w:eastAsia="zh-CN"/>
        </w:rPr>
        <w:t>投标人</w:t>
      </w:r>
      <w:r>
        <w:rPr>
          <w:rFonts w:hint="eastAsia" w:ascii="宋体" w:hAnsi="宋体" w:cs="宋体"/>
          <w:color w:val="auto"/>
          <w:szCs w:val="21"/>
          <w:highlight w:val="none"/>
        </w:rPr>
        <w:t>在编制响应文件时参考，采购人不对</w:t>
      </w:r>
      <w:r>
        <w:rPr>
          <w:rFonts w:hint="eastAsia" w:ascii="宋体" w:hAnsi="宋体" w:cs="宋体"/>
          <w:color w:val="auto"/>
          <w:szCs w:val="21"/>
          <w:highlight w:val="none"/>
          <w:lang w:eastAsia="zh-CN"/>
        </w:rPr>
        <w:t>投标人</w:t>
      </w:r>
      <w:r>
        <w:rPr>
          <w:rFonts w:hint="eastAsia" w:ascii="宋体" w:hAnsi="宋体" w:cs="宋体"/>
          <w:color w:val="auto"/>
          <w:szCs w:val="21"/>
          <w:highlight w:val="none"/>
        </w:rPr>
        <w:t>据此作出的判断和决策负责；</w:t>
      </w:r>
    </w:p>
    <w:p w14:paraId="00EA5A44">
      <w:pPr>
        <w:rPr>
          <w:rFonts w:ascii="宋体" w:hAnsi="宋体" w:cs="宋体"/>
          <w:color w:val="auto"/>
          <w:highlight w:val="none"/>
        </w:rPr>
      </w:pPr>
    </w:p>
    <w:p w14:paraId="1471ECCB">
      <w:pPr>
        <w:pStyle w:val="5"/>
        <w:numPr>
          <w:ilvl w:val="0"/>
          <w:numId w:val="3"/>
        </w:numPr>
        <w:spacing w:before="0" w:after="0" w:line="360" w:lineRule="auto"/>
        <w:jc w:val="center"/>
        <w:rPr>
          <w:rFonts w:ascii="宋体" w:hAnsi="宋体" w:cs="宋体"/>
          <w:color w:val="auto"/>
          <w:highlight w:val="none"/>
        </w:rPr>
      </w:pPr>
      <w:bookmarkStart w:id="118" w:name="_Toc9444"/>
      <w:bookmarkStart w:id="119" w:name="_Toc6908"/>
      <w:r>
        <w:rPr>
          <w:rFonts w:hint="eastAsia" w:ascii="宋体" w:hAnsi="宋体" w:cs="宋体"/>
          <w:color w:val="auto"/>
          <w:highlight w:val="none"/>
        </w:rPr>
        <w:t>采购文件</w:t>
      </w:r>
      <w:bookmarkEnd w:id="118"/>
      <w:bookmarkEnd w:id="119"/>
    </w:p>
    <w:p w14:paraId="59277A84">
      <w:pPr>
        <w:pStyle w:val="6"/>
        <w:widowControl w:val="0"/>
        <w:numPr>
          <w:ilvl w:val="0"/>
          <w:numId w:val="4"/>
        </w:numPr>
        <w:overflowPunct w:val="0"/>
        <w:rPr>
          <w:rFonts w:ascii="宋体" w:hAnsi="宋体" w:cs="宋体"/>
          <w:color w:val="auto"/>
          <w:sz w:val="21"/>
          <w:szCs w:val="21"/>
          <w:highlight w:val="none"/>
        </w:rPr>
      </w:pPr>
      <w:bookmarkStart w:id="120" w:name="_Toc26880"/>
      <w:bookmarkStart w:id="121" w:name="_Toc10638"/>
      <w:r>
        <w:rPr>
          <w:rFonts w:hint="eastAsia" w:ascii="宋体" w:hAnsi="宋体" w:cs="宋体"/>
          <w:color w:val="auto"/>
          <w:sz w:val="21"/>
          <w:szCs w:val="21"/>
          <w:highlight w:val="none"/>
        </w:rPr>
        <w:t>采购文件的组成</w:t>
      </w:r>
      <w:bookmarkEnd w:id="120"/>
      <w:bookmarkEnd w:id="121"/>
    </w:p>
    <w:p w14:paraId="64472C4D">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采购文件包括：</w:t>
      </w:r>
    </w:p>
    <w:p w14:paraId="265DCA0D">
      <w:pPr>
        <w:widowControl w:val="0"/>
        <w:adjustRightInd/>
        <w:snapToGrid/>
        <w:jc w:val="both"/>
        <w:rPr>
          <w:rFonts w:ascii="宋体" w:hAnsi="宋体" w:cs="宋体"/>
          <w:color w:val="auto"/>
          <w:szCs w:val="21"/>
          <w:highlight w:val="none"/>
        </w:rPr>
      </w:pPr>
      <w:r>
        <w:rPr>
          <w:rFonts w:hint="eastAsia" w:ascii="宋体" w:hAnsi="宋体" w:cs="宋体"/>
          <w:color w:val="auto"/>
          <w:szCs w:val="21"/>
          <w:highlight w:val="none"/>
        </w:rPr>
        <w:t>（1）投标邀请书；</w:t>
      </w:r>
    </w:p>
    <w:p w14:paraId="3D088494">
      <w:pPr>
        <w:widowControl w:val="0"/>
        <w:adjustRightInd/>
        <w:snapToGrid/>
        <w:jc w:val="both"/>
        <w:rPr>
          <w:rFonts w:ascii="宋体" w:hAnsi="宋体" w:cs="宋体"/>
          <w:color w:val="auto"/>
          <w:szCs w:val="21"/>
          <w:highlight w:val="none"/>
        </w:rPr>
      </w:pPr>
      <w:r>
        <w:rPr>
          <w:rFonts w:hint="eastAsia" w:ascii="宋体" w:hAnsi="宋体" w:cs="宋体"/>
          <w:color w:val="auto"/>
          <w:szCs w:val="21"/>
          <w:highlight w:val="none"/>
        </w:rPr>
        <w:t>（2）投标资料表；</w:t>
      </w:r>
    </w:p>
    <w:p w14:paraId="20D1003F">
      <w:pPr>
        <w:widowControl w:val="0"/>
        <w:adjustRightInd/>
        <w:snapToGrid/>
        <w:jc w:val="both"/>
        <w:rPr>
          <w:rFonts w:ascii="宋体" w:hAnsi="宋体" w:cs="宋体"/>
          <w:color w:val="auto"/>
          <w:szCs w:val="21"/>
          <w:highlight w:val="none"/>
        </w:rPr>
      </w:pPr>
      <w:r>
        <w:rPr>
          <w:rFonts w:hint="eastAsia" w:ascii="宋体" w:hAnsi="宋体" w:cs="宋体"/>
          <w:color w:val="auto"/>
          <w:szCs w:val="21"/>
          <w:highlight w:val="none"/>
        </w:rPr>
        <w:t>（3）用户需求书；</w:t>
      </w:r>
    </w:p>
    <w:p w14:paraId="77E6F4C7">
      <w:pPr>
        <w:widowControl w:val="0"/>
        <w:adjustRightInd/>
        <w:snapToGrid/>
        <w:jc w:val="both"/>
        <w:rPr>
          <w:rFonts w:ascii="宋体" w:hAnsi="宋体" w:cs="宋体"/>
          <w:color w:val="auto"/>
          <w:szCs w:val="21"/>
          <w:highlight w:val="none"/>
        </w:rPr>
      </w:pPr>
      <w:r>
        <w:rPr>
          <w:rFonts w:hint="eastAsia" w:ascii="宋体" w:hAnsi="宋体" w:cs="宋体"/>
          <w:color w:val="auto"/>
          <w:szCs w:val="21"/>
          <w:highlight w:val="none"/>
        </w:rPr>
        <w:t>（4）投标人须知；</w:t>
      </w:r>
    </w:p>
    <w:p w14:paraId="1DB11A8A">
      <w:pPr>
        <w:widowControl w:val="0"/>
        <w:adjustRightInd/>
        <w:snapToGrid/>
        <w:jc w:val="both"/>
        <w:rPr>
          <w:rFonts w:ascii="宋体" w:hAnsi="宋体" w:cs="宋体"/>
          <w:color w:val="auto"/>
          <w:szCs w:val="21"/>
          <w:highlight w:val="none"/>
        </w:rPr>
      </w:pPr>
      <w:r>
        <w:rPr>
          <w:rFonts w:hint="eastAsia" w:ascii="宋体" w:hAnsi="宋体" w:cs="宋体"/>
          <w:color w:val="auto"/>
          <w:szCs w:val="21"/>
          <w:highlight w:val="none"/>
        </w:rPr>
        <w:t>（5）拟签订的合同文本；</w:t>
      </w:r>
    </w:p>
    <w:p w14:paraId="71B93B11">
      <w:pPr>
        <w:widowControl w:val="0"/>
        <w:adjustRightInd/>
        <w:snapToGrid/>
        <w:jc w:val="both"/>
        <w:rPr>
          <w:rFonts w:ascii="宋体" w:hAnsi="宋体" w:cs="宋体"/>
          <w:color w:val="auto"/>
          <w:szCs w:val="21"/>
          <w:highlight w:val="none"/>
        </w:rPr>
      </w:pPr>
      <w:r>
        <w:rPr>
          <w:rFonts w:hint="eastAsia" w:ascii="宋体" w:hAnsi="宋体" w:cs="宋体"/>
          <w:color w:val="auto"/>
          <w:szCs w:val="21"/>
          <w:highlight w:val="none"/>
        </w:rPr>
        <w:t>（6）投标文件格式；</w:t>
      </w:r>
    </w:p>
    <w:p w14:paraId="38AB4961">
      <w:pPr>
        <w:widowControl w:val="0"/>
        <w:adjustRightInd/>
        <w:snapToGrid/>
        <w:jc w:val="both"/>
        <w:rPr>
          <w:rFonts w:ascii="宋体" w:hAnsi="宋体" w:cs="宋体"/>
          <w:color w:val="auto"/>
          <w:szCs w:val="21"/>
          <w:highlight w:val="none"/>
        </w:rPr>
      </w:pPr>
      <w:r>
        <w:rPr>
          <w:rFonts w:hint="eastAsia" w:ascii="宋体" w:hAnsi="宋体" w:cs="宋体"/>
          <w:color w:val="auto"/>
          <w:szCs w:val="21"/>
          <w:highlight w:val="none"/>
        </w:rPr>
        <w:t>（7）在采购过程中由采购代理机构发出的澄清更正文件等。</w:t>
      </w:r>
    </w:p>
    <w:p w14:paraId="7BD0007C">
      <w:pPr>
        <w:rPr>
          <w:rFonts w:ascii="宋体" w:hAnsi="宋体" w:cs="宋体"/>
          <w:color w:val="auto"/>
          <w:highlight w:val="none"/>
        </w:rPr>
      </w:pPr>
    </w:p>
    <w:p w14:paraId="594F8ECD">
      <w:pPr>
        <w:pStyle w:val="6"/>
        <w:widowControl w:val="0"/>
        <w:numPr>
          <w:ilvl w:val="0"/>
          <w:numId w:val="4"/>
        </w:numPr>
        <w:overflowPunct w:val="0"/>
        <w:rPr>
          <w:rFonts w:ascii="宋体" w:hAnsi="宋体" w:cs="宋体"/>
          <w:color w:val="auto"/>
          <w:sz w:val="21"/>
          <w:szCs w:val="21"/>
          <w:highlight w:val="none"/>
        </w:rPr>
      </w:pPr>
      <w:bookmarkStart w:id="122" w:name="_Toc21392"/>
      <w:bookmarkStart w:id="123" w:name="_Toc824"/>
      <w:r>
        <w:rPr>
          <w:rFonts w:hint="eastAsia" w:ascii="宋体" w:hAnsi="宋体" w:cs="宋体"/>
          <w:color w:val="auto"/>
          <w:sz w:val="21"/>
          <w:szCs w:val="21"/>
          <w:highlight w:val="none"/>
        </w:rPr>
        <w:t>采购文件的澄清或修改</w:t>
      </w:r>
      <w:bookmarkEnd w:id="122"/>
      <w:bookmarkEnd w:id="123"/>
    </w:p>
    <w:p w14:paraId="6463410D">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采购人或者采购代理机构可以对已发出的采购文件、资格预审文件、投标邀请书进行必要的澄清或者修改。澄清或者修改的内容为采购文件、资格预审文件、投标邀请书的组成部分，具有约束作用。当采购文件、采购文件的澄清或修改等在同一内容的表述上不一致时，以最后发出的书面文件及公告为准。</w:t>
      </w:r>
    </w:p>
    <w:p w14:paraId="171EB3F0">
      <w:pPr>
        <w:widowControl w:val="0"/>
        <w:numPr>
          <w:ilvl w:val="1"/>
          <w:numId w:val="4"/>
        </w:numPr>
        <w:overflowPunct w:val="0"/>
        <w:rPr>
          <w:rFonts w:ascii="宋体" w:hAnsi="宋体" w:cs="宋体"/>
          <w:b/>
          <w:bCs/>
          <w:color w:val="auto"/>
          <w:szCs w:val="21"/>
          <w:highlight w:val="none"/>
        </w:rPr>
      </w:pPr>
      <w:r>
        <w:rPr>
          <w:rFonts w:hint="eastAsia" w:ascii="宋体" w:hAnsi="宋体" w:cs="宋体"/>
          <w:b/>
          <w:bCs/>
          <w:color w:val="auto"/>
          <w:szCs w:val="21"/>
          <w:highlight w:val="none"/>
        </w:rPr>
        <w:t>采购期间，投标人有义务上网查看，公告一经上网发布，即视为送达。因投标人未及时上网查看而造成的所有后果，由投标人自行承担。</w:t>
      </w:r>
    </w:p>
    <w:p w14:paraId="22858054">
      <w:pPr>
        <w:widowControl w:val="0"/>
        <w:adjustRightInd/>
        <w:snapToGrid/>
        <w:ind w:left="567"/>
        <w:jc w:val="both"/>
        <w:rPr>
          <w:rFonts w:ascii="宋体" w:hAnsi="宋体" w:cs="宋体"/>
          <w:color w:val="auto"/>
          <w:szCs w:val="21"/>
          <w:highlight w:val="none"/>
        </w:rPr>
      </w:pPr>
    </w:p>
    <w:p w14:paraId="3B243C7C">
      <w:pPr>
        <w:pStyle w:val="5"/>
        <w:numPr>
          <w:ilvl w:val="0"/>
          <w:numId w:val="3"/>
        </w:numPr>
        <w:spacing w:before="0" w:after="0" w:line="360" w:lineRule="auto"/>
        <w:jc w:val="center"/>
        <w:rPr>
          <w:rFonts w:ascii="宋体" w:hAnsi="宋体" w:cs="宋体"/>
          <w:color w:val="auto"/>
          <w:highlight w:val="none"/>
        </w:rPr>
      </w:pPr>
      <w:bookmarkStart w:id="124" w:name="_Toc12343"/>
      <w:bookmarkStart w:id="125" w:name="_Toc7603"/>
      <w:r>
        <w:rPr>
          <w:rFonts w:hint="eastAsia" w:ascii="宋体" w:hAnsi="宋体" w:cs="宋体"/>
          <w:color w:val="auto"/>
          <w:highlight w:val="none"/>
        </w:rPr>
        <w:t>投标文件的编制</w:t>
      </w:r>
      <w:bookmarkEnd w:id="124"/>
      <w:bookmarkEnd w:id="125"/>
    </w:p>
    <w:p w14:paraId="70D24DC9">
      <w:pPr>
        <w:pStyle w:val="6"/>
        <w:widowControl w:val="0"/>
        <w:numPr>
          <w:ilvl w:val="0"/>
          <w:numId w:val="4"/>
        </w:numPr>
        <w:overflowPunct w:val="0"/>
        <w:rPr>
          <w:rFonts w:ascii="宋体" w:hAnsi="宋体" w:cs="宋体"/>
          <w:color w:val="auto"/>
          <w:sz w:val="21"/>
          <w:szCs w:val="21"/>
          <w:highlight w:val="none"/>
        </w:rPr>
      </w:pPr>
      <w:bookmarkStart w:id="126" w:name="_Toc28939"/>
      <w:bookmarkStart w:id="127" w:name="_Toc16938"/>
      <w:r>
        <w:rPr>
          <w:rFonts w:hint="eastAsia" w:ascii="宋体" w:hAnsi="宋体" w:cs="宋体"/>
          <w:color w:val="auto"/>
          <w:sz w:val="21"/>
          <w:szCs w:val="21"/>
          <w:highlight w:val="none"/>
        </w:rPr>
        <w:t>投标文件的语言及度量衡单位</w:t>
      </w:r>
      <w:bookmarkEnd w:id="126"/>
      <w:bookmarkEnd w:id="127"/>
    </w:p>
    <w:p w14:paraId="31015779">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投标人提交的投标文件以及投标人与采购代理机构就有关投标的所有来往函件均应使用简体中文书写。投标人提交的支持资料和已印刷的文献可以用另一种语言，但相应内容应附有中文翻译本（中文译本应由翻译机构盖章或者翻译人员签名确认，否则按无效处理），在解释投标文件的修改内容时以中文翻译本为准。</w:t>
      </w:r>
    </w:p>
    <w:p w14:paraId="7B79B2AC">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除非采购文件在技术规格中另有规定，投标人在投标文件中及其与采购代理机构和采购人所有往来文件中的所有计量单位均应采用中华人民共和国法定计量单位。</w:t>
      </w:r>
    </w:p>
    <w:p w14:paraId="1A534244">
      <w:pPr>
        <w:widowControl w:val="0"/>
        <w:adjustRightInd/>
        <w:snapToGrid/>
        <w:ind w:left="567"/>
        <w:jc w:val="both"/>
        <w:rPr>
          <w:rFonts w:ascii="宋体" w:hAnsi="宋体" w:cs="宋体"/>
          <w:color w:val="auto"/>
          <w:szCs w:val="21"/>
          <w:highlight w:val="none"/>
        </w:rPr>
      </w:pPr>
    </w:p>
    <w:p w14:paraId="0BE9F07E">
      <w:pPr>
        <w:pStyle w:val="6"/>
        <w:widowControl w:val="0"/>
        <w:numPr>
          <w:ilvl w:val="0"/>
          <w:numId w:val="4"/>
        </w:numPr>
        <w:overflowPunct w:val="0"/>
        <w:rPr>
          <w:rFonts w:ascii="宋体" w:hAnsi="宋体" w:cs="宋体"/>
          <w:color w:val="auto"/>
          <w:sz w:val="21"/>
          <w:szCs w:val="21"/>
          <w:highlight w:val="none"/>
        </w:rPr>
      </w:pPr>
      <w:bookmarkStart w:id="128" w:name="_Toc307934854"/>
      <w:bookmarkStart w:id="129" w:name="_Toc13332"/>
      <w:bookmarkStart w:id="130" w:name="_Toc303084256"/>
      <w:bookmarkStart w:id="131" w:name="_Toc28866"/>
      <w:bookmarkStart w:id="132" w:name="_Toc382049103"/>
      <w:bookmarkStart w:id="133" w:name="_Toc11466"/>
      <w:r>
        <w:rPr>
          <w:rFonts w:hint="eastAsia" w:ascii="宋体" w:hAnsi="宋体" w:cs="宋体"/>
          <w:color w:val="auto"/>
          <w:sz w:val="21"/>
          <w:szCs w:val="21"/>
          <w:highlight w:val="none"/>
        </w:rPr>
        <w:t>投标文件的组成</w:t>
      </w:r>
      <w:bookmarkEnd w:id="128"/>
      <w:bookmarkEnd w:id="129"/>
      <w:bookmarkEnd w:id="130"/>
      <w:bookmarkEnd w:id="131"/>
      <w:bookmarkEnd w:id="132"/>
      <w:bookmarkEnd w:id="133"/>
    </w:p>
    <w:p w14:paraId="37A95CF6">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包括但不限于采购文件附件格式中要求提供的表格。</w:t>
      </w:r>
    </w:p>
    <w:p w14:paraId="75A739AE">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上述文件须按顺序装订成册，并编制投标文件目录。除上述文件资料外投标人还须按投标人须知的要求制作“唱标信封”。“唱标信封”作为投标文件的一部分，但须单独密封。</w:t>
      </w:r>
    </w:p>
    <w:p w14:paraId="5D7FDBEA">
      <w:pPr>
        <w:rPr>
          <w:rFonts w:ascii="宋体" w:hAnsi="宋体" w:cs="宋体"/>
          <w:color w:val="auto"/>
          <w:highlight w:val="none"/>
        </w:rPr>
      </w:pPr>
    </w:p>
    <w:p w14:paraId="53F58B18">
      <w:pPr>
        <w:pStyle w:val="6"/>
        <w:widowControl w:val="0"/>
        <w:numPr>
          <w:ilvl w:val="0"/>
          <w:numId w:val="4"/>
        </w:numPr>
        <w:overflowPunct w:val="0"/>
        <w:rPr>
          <w:rFonts w:ascii="宋体" w:hAnsi="宋体" w:cs="宋体"/>
          <w:color w:val="auto"/>
          <w:sz w:val="21"/>
          <w:szCs w:val="21"/>
          <w:highlight w:val="none"/>
        </w:rPr>
      </w:pPr>
      <w:bookmarkStart w:id="134" w:name="_Toc889"/>
      <w:bookmarkStart w:id="135" w:name="_Toc755"/>
      <w:r>
        <w:rPr>
          <w:rFonts w:hint="eastAsia" w:ascii="宋体" w:hAnsi="宋体" w:cs="宋体"/>
          <w:color w:val="auto"/>
          <w:sz w:val="21"/>
          <w:szCs w:val="21"/>
          <w:highlight w:val="none"/>
        </w:rPr>
        <w:t>投标文件编制</w:t>
      </w:r>
      <w:bookmarkEnd w:id="134"/>
      <w:bookmarkEnd w:id="135"/>
    </w:p>
    <w:p w14:paraId="7BF1E828">
      <w:pPr>
        <w:widowControl w:val="0"/>
        <w:numPr>
          <w:ilvl w:val="1"/>
          <w:numId w:val="4"/>
        </w:numPr>
        <w:overflowPunct w:val="0"/>
        <w:rPr>
          <w:rFonts w:ascii="宋体" w:hAnsi="宋体" w:cs="宋体"/>
          <w:color w:val="auto"/>
          <w:szCs w:val="21"/>
          <w:highlight w:val="none"/>
        </w:rPr>
      </w:pPr>
      <w:bookmarkStart w:id="136" w:name="_Toc303084258"/>
      <w:r>
        <w:rPr>
          <w:rFonts w:hint="eastAsia" w:ascii="宋体" w:hAnsi="宋体" w:cs="宋体"/>
          <w:color w:val="auto"/>
          <w:szCs w:val="21"/>
          <w:highlight w:val="none"/>
        </w:rPr>
        <w:t>投标人应按采购文件的规定以及附件要求的内容和格式完整地填写（表格可以按同样格式扩展）和提供资料，投标人必须对投标文件所提供的全部材料的真实性承担法律责任，并无条件接受采购人或采购代理机构对其中任何资料进行核实的要求。</w:t>
      </w:r>
    </w:p>
    <w:p w14:paraId="35A64A0B">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因投标文件编制存在歧义对投标人产生负面影响的，投标人自行承担后果。</w:t>
      </w:r>
    </w:p>
    <w:p w14:paraId="3680EA70">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投标单位名称与投标人公章不一致，若投标单位名称已进行变更，应在投标文件中提供相应的证明材料并加盖公章，否则投标文件无效。</w:t>
      </w:r>
    </w:p>
    <w:p w14:paraId="045CD838">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投标文件密封、标记及内容与本项目采购信息不符，导致无法分辨所投项目为本项目的，投标文件无效。</w:t>
      </w:r>
    </w:p>
    <w:p w14:paraId="37C7E124">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投标人须客观撰写投标人简介（格式自理，并提供相关证明）以及所投的产品或服务说明。</w:t>
      </w:r>
    </w:p>
    <w:p w14:paraId="54678E87">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投标文件若出现以下内容，经评标委员会认定有可能间接影响评审秩序，作废标处理。</w:t>
      </w:r>
    </w:p>
    <w:p w14:paraId="193C6286">
      <w:pPr>
        <w:pStyle w:val="41"/>
        <w:widowControl w:val="0"/>
        <w:numPr>
          <w:ilvl w:val="0"/>
          <w:numId w:val="5"/>
        </w:numPr>
        <w:adjustRightInd/>
        <w:snapToGrid/>
        <w:ind w:firstLineChars="0"/>
        <w:jc w:val="both"/>
        <w:rPr>
          <w:rFonts w:ascii="宋体" w:hAnsi="宋体" w:cs="宋体"/>
          <w:color w:val="auto"/>
          <w:szCs w:val="21"/>
          <w:highlight w:val="none"/>
        </w:rPr>
      </w:pPr>
      <w:r>
        <w:rPr>
          <w:rFonts w:hint="eastAsia" w:ascii="宋体" w:hAnsi="宋体" w:cs="宋体"/>
          <w:color w:val="auto"/>
          <w:szCs w:val="21"/>
          <w:highlight w:val="none"/>
        </w:rPr>
        <w:t>投标文件内出现无官方证明文件的行业地域排名或使用“国家级”、“最高级”、“最佳”等用语字眼的。</w:t>
      </w:r>
    </w:p>
    <w:p w14:paraId="659B39CE">
      <w:pPr>
        <w:pStyle w:val="41"/>
        <w:widowControl w:val="0"/>
        <w:numPr>
          <w:ilvl w:val="0"/>
          <w:numId w:val="5"/>
        </w:numPr>
        <w:adjustRightInd/>
        <w:snapToGrid/>
        <w:ind w:firstLineChars="0"/>
        <w:jc w:val="both"/>
        <w:rPr>
          <w:rFonts w:ascii="宋体" w:hAnsi="宋体" w:cs="宋体"/>
          <w:color w:val="auto"/>
          <w:szCs w:val="21"/>
          <w:highlight w:val="none"/>
        </w:rPr>
      </w:pPr>
      <w:r>
        <w:rPr>
          <w:rFonts w:hint="eastAsia" w:ascii="宋体" w:hAnsi="宋体" w:cs="宋体"/>
          <w:color w:val="auto"/>
          <w:szCs w:val="21"/>
          <w:highlight w:val="none"/>
        </w:rPr>
        <w:t>投标文件内出现恶意诋毁、贬低其他生产经营者的商品或者服务的内容。</w:t>
      </w:r>
    </w:p>
    <w:p w14:paraId="1EE7BC62">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有下列情形之一的，视为投标人串通投标，其投标无效：</w:t>
      </w:r>
    </w:p>
    <w:p w14:paraId="3D427130">
      <w:pPr>
        <w:widowControl w:val="0"/>
        <w:adjustRightInd/>
        <w:snapToGrid/>
        <w:ind w:firstLine="420" w:firstLineChars="200"/>
        <w:jc w:val="both"/>
        <w:rPr>
          <w:rFonts w:ascii="宋体" w:hAnsi="宋体" w:cs="宋体"/>
          <w:color w:val="auto"/>
          <w:szCs w:val="21"/>
          <w:highlight w:val="none"/>
        </w:rPr>
      </w:pPr>
      <w:r>
        <w:rPr>
          <w:rFonts w:hint="eastAsia" w:ascii="宋体" w:hAnsi="宋体" w:cs="宋体"/>
          <w:color w:val="auto"/>
          <w:szCs w:val="21"/>
          <w:highlight w:val="none"/>
        </w:rPr>
        <w:t>（1）不同投标人的投标文件由同一单位或者个人编制；</w:t>
      </w:r>
    </w:p>
    <w:p w14:paraId="2BC409FB">
      <w:pPr>
        <w:widowControl w:val="0"/>
        <w:adjustRightInd/>
        <w:snapToGrid/>
        <w:ind w:firstLine="420" w:firstLineChars="200"/>
        <w:jc w:val="both"/>
        <w:rPr>
          <w:rFonts w:ascii="宋体" w:hAnsi="宋体" w:cs="宋体"/>
          <w:color w:val="auto"/>
          <w:szCs w:val="21"/>
          <w:highlight w:val="none"/>
        </w:rPr>
      </w:pPr>
      <w:r>
        <w:rPr>
          <w:rFonts w:hint="eastAsia" w:ascii="宋体" w:hAnsi="宋体" w:cs="宋体"/>
          <w:color w:val="auto"/>
          <w:szCs w:val="21"/>
          <w:highlight w:val="none"/>
        </w:rPr>
        <w:t>（2）不同投标人委托同一单位或者个人办理投标事宜；</w:t>
      </w:r>
    </w:p>
    <w:p w14:paraId="393F5594">
      <w:pPr>
        <w:widowControl w:val="0"/>
        <w:adjustRightInd/>
        <w:snapToGrid/>
        <w:ind w:firstLine="420" w:firstLineChars="200"/>
        <w:jc w:val="both"/>
        <w:rPr>
          <w:rFonts w:ascii="宋体" w:hAnsi="宋体" w:cs="宋体"/>
          <w:color w:val="auto"/>
          <w:szCs w:val="21"/>
          <w:highlight w:val="none"/>
        </w:rPr>
      </w:pPr>
      <w:r>
        <w:rPr>
          <w:rFonts w:hint="eastAsia" w:ascii="宋体" w:hAnsi="宋体" w:cs="宋体"/>
          <w:color w:val="auto"/>
          <w:szCs w:val="21"/>
          <w:highlight w:val="none"/>
        </w:rPr>
        <w:t>（3）不同投标人的投标文件载明的项目管理成员或者联系人员为同一人；</w:t>
      </w:r>
    </w:p>
    <w:p w14:paraId="402A6146">
      <w:pPr>
        <w:widowControl w:val="0"/>
        <w:adjustRightInd/>
        <w:snapToGrid/>
        <w:ind w:firstLine="420" w:firstLineChars="200"/>
        <w:jc w:val="both"/>
        <w:rPr>
          <w:rFonts w:ascii="宋体" w:hAnsi="宋体" w:cs="宋体"/>
          <w:color w:val="auto"/>
          <w:szCs w:val="21"/>
          <w:highlight w:val="none"/>
        </w:rPr>
      </w:pPr>
      <w:r>
        <w:rPr>
          <w:rFonts w:hint="eastAsia" w:ascii="宋体" w:hAnsi="宋体" w:cs="宋体"/>
          <w:color w:val="auto"/>
          <w:szCs w:val="21"/>
          <w:highlight w:val="none"/>
        </w:rPr>
        <w:t>（4）不同投标人的投标文件异常一致或者投标报价呈规律性差异；</w:t>
      </w:r>
    </w:p>
    <w:p w14:paraId="03931C91">
      <w:pPr>
        <w:widowControl w:val="0"/>
        <w:adjustRightInd/>
        <w:snapToGrid/>
        <w:ind w:firstLine="420" w:firstLineChars="200"/>
        <w:jc w:val="both"/>
        <w:rPr>
          <w:rFonts w:ascii="宋体" w:hAnsi="宋体" w:cs="宋体"/>
          <w:color w:val="auto"/>
          <w:szCs w:val="21"/>
          <w:highlight w:val="none"/>
        </w:rPr>
      </w:pPr>
      <w:r>
        <w:rPr>
          <w:rFonts w:hint="eastAsia" w:ascii="宋体" w:hAnsi="宋体" w:cs="宋体"/>
          <w:color w:val="auto"/>
          <w:szCs w:val="21"/>
          <w:highlight w:val="none"/>
        </w:rPr>
        <w:t>（5）不同投标人的投标文件相互混装；</w:t>
      </w:r>
    </w:p>
    <w:p w14:paraId="1D552619">
      <w:pPr>
        <w:widowControl w:val="0"/>
        <w:adjustRightInd/>
        <w:snapToGrid/>
        <w:ind w:firstLine="420" w:firstLineChars="200"/>
        <w:jc w:val="both"/>
        <w:rPr>
          <w:rFonts w:ascii="宋体" w:hAnsi="宋体" w:cs="宋体"/>
          <w:color w:val="auto"/>
          <w:szCs w:val="21"/>
          <w:highlight w:val="none"/>
        </w:rPr>
      </w:pPr>
      <w:r>
        <w:rPr>
          <w:rFonts w:hint="eastAsia" w:ascii="宋体" w:hAnsi="宋体" w:cs="宋体"/>
          <w:color w:val="auto"/>
          <w:szCs w:val="21"/>
          <w:highlight w:val="none"/>
        </w:rPr>
        <w:t>（6）不同投标人的投标保证金从同一单位或者个人的账户转出。</w:t>
      </w:r>
    </w:p>
    <w:bookmarkEnd w:id="136"/>
    <w:p w14:paraId="00C4E4E0">
      <w:pPr>
        <w:rPr>
          <w:rFonts w:ascii="宋体" w:hAnsi="宋体" w:cs="宋体"/>
          <w:color w:val="auto"/>
          <w:highlight w:val="none"/>
        </w:rPr>
      </w:pPr>
    </w:p>
    <w:p w14:paraId="45BD83EA">
      <w:pPr>
        <w:pStyle w:val="6"/>
        <w:widowControl w:val="0"/>
        <w:numPr>
          <w:ilvl w:val="0"/>
          <w:numId w:val="4"/>
        </w:numPr>
        <w:overflowPunct w:val="0"/>
        <w:rPr>
          <w:rFonts w:ascii="宋体" w:hAnsi="宋体" w:cs="宋体"/>
          <w:color w:val="auto"/>
          <w:sz w:val="21"/>
          <w:szCs w:val="21"/>
          <w:highlight w:val="none"/>
        </w:rPr>
      </w:pPr>
      <w:bookmarkStart w:id="137" w:name="_Toc6154"/>
      <w:bookmarkStart w:id="138" w:name="_Toc7355"/>
      <w:r>
        <w:rPr>
          <w:rFonts w:hint="eastAsia" w:ascii="宋体" w:hAnsi="宋体" w:cs="宋体"/>
          <w:color w:val="auto"/>
          <w:sz w:val="21"/>
          <w:szCs w:val="21"/>
          <w:highlight w:val="none"/>
        </w:rPr>
        <w:t>投标报价说明</w:t>
      </w:r>
      <w:bookmarkEnd w:id="137"/>
      <w:bookmarkEnd w:id="138"/>
    </w:p>
    <w:p w14:paraId="0B4D0F5A">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本次采购，投标人应按用户需求中的要求进行投标报价，少报无效。</w:t>
      </w:r>
    </w:p>
    <w:p w14:paraId="05763C40">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投标人所提供的货物或服务均以人民币（或相关费率）报价。</w:t>
      </w:r>
    </w:p>
    <w:p w14:paraId="4117F6BD">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投标报价应包含完成本次采购所有服务内容的费用，包含各种税务费及合同实施过程中的全部费用和售后服务费等。</w:t>
      </w:r>
    </w:p>
    <w:p w14:paraId="0641D62F">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14:paraId="457A215E">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中标后开出的所有发票必须与</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的名称一致。</w:t>
      </w:r>
    </w:p>
    <w:p w14:paraId="552125C6">
      <w:pPr>
        <w:rPr>
          <w:rFonts w:ascii="宋体" w:hAnsi="宋体" w:cs="宋体"/>
          <w:color w:val="auto"/>
          <w:highlight w:val="none"/>
        </w:rPr>
      </w:pPr>
    </w:p>
    <w:p w14:paraId="4AC66635">
      <w:pPr>
        <w:pStyle w:val="6"/>
        <w:widowControl w:val="0"/>
        <w:numPr>
          <w:ilvl w:val="0"/>
          <w:numId w:val="4"/>
        </w:numPr>
        <w:overflowPunct w:val="0"/>
        <w:rPr>
          <w:rFonts w:ascii="宋体" w:hAnsi="宋体" w:cs="宋体"/>
          <w:color w:val="auto"/>
          <w:sz w:val="21"/>
          <w:szCs w:val="21"/>
          <w:highlight w:val="none"/>
        </w:rPr>
      </w:pPr>
      <w:bookmarkStart w:id="139" w:name="_Toc17669"/>
      <w:bookmarkStart w:id="140" w:name="_Toc2001"/>
      <w:r>
        <w:rPr>
          <w:rFonts w:hint="eastAsia" w:ascii="宋体" w:hAnsi="宋体" w:cs="宋体"/>
          <w:color w:val="auto"/>
          <w:sz w:val="21"/>
          <w:szCs w:val="21"/>
          <w:highlight w:val="none"/>
        </w:rPr>
        <w:t>投标人所提供的服务或货物的证明文件</w:t>
      </w:r>
      <w:bookmarkEnd w:id="139"/>
      <w:bookmarkEnd w:id="140"/>
    </w:p>
    <w:p w14:paraId="33F698AC">
      <w:pPr>
        <w:widowControl w:val="0"/>
        <w:numPr>
          <w:ilvl w:val="1"/>
          <w:numId w:val="4"/>
        </w:numPr>
        <w:overflowPunct w:val="0"/>
        <w:rPr>
          <w:rFonts w:ascii="宋体" w:hAnsi="宋体" w:cs="宋体"/>
          <w:color w:val="auto"/>
          <w:szCs w:val="21"/>
          <w:highlight w:val="none"/>
        </w:rPr>
      </w:pPr>
      <w:bookmarkStart w:id="141" w:name="_Hlt107925668"/>
      <w:bookmarkEnd w:id="141"/>
      <w:bookmarkStart w:id="142" w:name="_Hlt107925638"/>
      <w:bookmarkEnd w:id="142"/>
      <w:r>
        <w:rPr>
          <w:rFonts w:hint="eastAsia" w:ascii="宋体" w:hAnsi="宋体" w:cs="宋体"/>
          <w:color w:val="auto"/>
          <w:szCs w:val="21"/>
          <w:highlight w:val="none"/>
        </w:rPr>
        <w:t>证明服务或货物的文件，它可以是文字资料、图纸和数据包括但不限于：服务主要内容、标准、质量、人员资质、计划安排、报告审核等的详细说明；对采购文件第三部分《用户需求书》中规定的要求进行详细应答和说明。</w:t>
      </w:r>
    </w:p>
    <w:p w14:paraId="6E031015">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有下列情形之一的，视为投标人弄虚作假，其投标无效：</w:t>
      </w:r>
    </w:p>
    <w:p w14:paraId="26A08D11">
      <w:pPr>
        <w:pStyle w:val="41"/>
        <w:widowControl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1、使用通过受让或者租借等方式获取的资格、资质证书投标的，属于以他人名义投标。</w:t>
      </w:r>
    </w:p>
    <w:p w14:paraId="20509EC6">
      <w:pPr>
        <w:pStyle w:val="41"/>
        <w:widowControl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2、投标人有下列情形之一的，属于以其他方式弄虚作假的行为：</w:t>
      </w:r>
    </w:p>
    <w:p w14:paraId="3A3AD871">
      <w:pPr>
        <w:pStyle w:val="41"/>
        <w:widowControl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（1）使用伪造、变造的许可证件；</w:t>
      </w:r>
    </w:p>
    <w:p w14:paraId="761696EB">
      <w:pPr>
        <w:pStyle w:val="41"/>
        <w:widowControl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（2）提供虚假的财务状况或者业绩；</w:t>
      </w:r>
    </w:p>
    <w:p w14:paraId="6C8ECB16">
      <w:pPr>
        <w:pStyle w:val="41"/>
        <w:widowControl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（3）提供虚假的项目负责人或者主要技术人员简历、劳动关系证明；</w:t>
      </w:r>
    </w:p>
    <w:p w14:paraId="2A2F1A86">
      <w:pPr>
        <w:pStyle w:val="41"/>
        <w:widowControl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（4）提供虚假的信用状况；</w:t>
      </w:r>
    </w:p>
    <w:p w14:paraId="3A9A2113">
      <w:pPr>
        <w:pStyle w:val="41"/>
        <w:widowControl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（5）其他弄虚作假的行为。</w:t>
      </w:r>
    </w:p>
    <w:p w14:paraId="5BDB586A">
      <w:pPr>
        <w:pStyle w:val="6"/>
        <w:widowControl w:val="0"/>
        <w:numPr>
          <w:ilvl w:val="0"/>
          <w:numId w:val="4"/>
        </w:numPr>
        <w:overflowPunct w:val="0"/>
        <w:rPr>
          <w:rFonts w:ascii="宋体" w:hAnsi="宋体" w:cs="宋体"/>
          <w:color w:val="auto"/>
          <w:sz w:val="21"/>
          <w:szCs w:val="21"/>
          <w:highlight w:val="none"/>
        </w:rPr>
      </w:pPr>
      <w:bookmarkStart w:id="143" w:name="_Toc31342"/>
      <w:bookmarkStart w:id="144" w:name="_Toc8324"/>
      <w:r>
        <w:rPr>
          <w:rFonts w:hint="eastAsia" w:ascii="宋体" w:hAnsi="宋体" w:cs="宋体"/>
          <w:color w:val="auto"/>
          <w:sz w:val="21"/>
          <w:szCs w:val="21"/>
          <w:highlight w:val="none"/>
        </w:rPr>
        <w:t>投标有效期</w:t>
      </w:r>
      <w:bookmarkEnd w:id="143"/>
      <w:bookmarkEnd w:id="144"/>
    </w:p>
    <w:p w14:paraId="30FDB8B4">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投标文件应根据投标人须知的规定在投标截止日后的90天内保持有效。</w:t>
      </w:r>
    </w:p>
    <w:p w14:paraId="6B622985">
      <w:pPr>
        <w:widowControl w:val="0"/>
        <w:adjustRightInd/>
        <w:snapToGrid/>
        <w:ind w:left="567"/>
        <w:jc w:val="both"/>
        <w:rPr>
          <w:rFonts w:ascii="宋体" w:hAnsi="宋体" w:cs="宋体"/>
          <w:color w:val="auto"/>
          <w:highlight w:val="none"/>
        </w:rPr>
      </w:pPr>
    </w:p>
    <w:p w14:paraId="3D8677BD">
      <w:pPr>
        <w:pStyle w:val="6"/>
        <w:widowControl w:val="0"/>
        <w:numPr>
          <w:ilvl w:val="0"/>
          <w:numId w:val="4"/>
        </w:numPr>
        <w:overflowPunct w:val="0"/>
        <w:rPr>
          <w:rFonts w:ascii="宋体" w:hAnsi="宋体" w:cs="宋体"/>
          <w:color w:val="auto"/>
          <w:sz w:val="21"/>
          <w:szCs w:val="21"/>
          <w:highlight w:val="none"/>
        </w:rPr>
      </w:pPr>
      <w:bookmarkStart w:id="145" w:name="_Toc12582"/>
      <w:bookmarkStart w:id="146" w:name="_Toc15789"/>
      <w:r>
        <w:rPr>
          <w:rFonts w:hint="eastAsia" w:ascii="宋体" w:hAnsi="宋体" w:cs="宋体"/>
          <w:color w:val="auto"/>
          <w:sz w:val="21"/>
          <w:szCs w:val="21"/>
          <w:highlight w:val="none"/>
        </w:rPr>
        <w:t>投标保证金</w:t>
      </w:r>
      <w:bookmarkEnd w:id="145"/>
      <w:bookmarkEnd w:id="146"/>
    </w:p>
    <w:p w14:paraId="13874E74">
      <w:pPr>
        <w:keepNext w:val="0"/>
        <w:keepLines w:val="0"/>
        <w:pageBreakBefore w:val="0"/>
        <w:widowControl w:val="0"/>
        <w:numPr>
          <w:ilvl w:val="1"/>
          <w:numId w:val="4"/>
        </w:numPr>
        <w:kinsoku/>
        <w:wordWrap/>
        <w:overflowPunct w:val="0"/>
        <w:topLinePunct w:val="0"/>
        <w:autoSpaceDE/>
        <w:autoSpaceDN/>
        <w:bidi w:val="0"/>
        <w:spacing w:line="460" w:lineRule="exact"/>
        <w:textAlignment w:val="auto"/>
        <w:rPr>
          <w:rFonts w:ascii="宋体" w:hAnsi="宋体" w:cs="宋体"/>
          <w:color w:val="auto"/>
          <w:szCs w:val="21"/>
          <w:highlight w:val="none"/>
        </w:rPr>
      </w:pPr>
      <w:bookmarkStart w:id="147" w:name="_Ref179619405"/>
      <w:r>
        <w:rPr>
          <w:rFonts w:hint="eastAsia" w:ascii="宋体" w:hAnsi="宋体" w:cs="宋体"/>
          <w:color w:val="auto"/>
          <w:szCs w:val="21"/>
          <w:highlight w:val="none"/>
        </w:rPr>
        <w:t>投标人应在投标文件递交截止前提交相应的投标保证金，并作为其投标的一部分。</w:t>
      </w:r>
      <w:bookmarkEnd w:id="147"/>
    </w:p>
    <w:p w14:paraId="2E90CA67">
      <w:pPr>
        <w:keepNext w:val="0"/>
        <w:keepLines w:val="0"/>
        <w:pageBreakBefore w:val="0"/>
        <w:widowControl w:val="0"/>
        <w:numPr>
          <w:ilvl w:val="1"/>
          <w:numId w:val="4"/>
        </w:numPr>
        <w:kinsoku/>
        <w:wordWrap/>
        <w:overflowPunct w:val="0"/>
        <w:topLinePunct w:val="0"/>
        <w:autoSpaceDE/>
        <w:autoSpaceDN/>
        <w:bidi w:val="0"/>
        <w:spacing w:line="460" w:lineRule="exact"/>
        <w:textAlignment w:val="auto"/>
        <w:rPr>
          <w:rFonts w:ascii="宋体" w:hAnsi="宋体" w:cs="宋体"/>
          <w:color w:val="auto"/>
          <w:szCs w:val="21"/>
          <w:highlight w:val="none"/>
        </w:rPr>
      </w:pPr>
      <w:r>
        <w:rPr>
          <w:rFonts w:hint="eastAsia" w:ascii="宋体" w:hAnsi="宋体" w:cs="宋体"/>
          <w:color w:val="auto"/>
          <w:szCs w:val="21"/>
          <w:highlight w:val="none"/>
        </w:rPr>
        <w:t>投标保证金是为了保护采购代理机构和采购人免遭因投标人的行为而蒙受的损失。采购代理机构和采购人在因投标人的行为受到损害时可根据本须知（17.7）的规定没收投标人的投标保证金。</w:t>
      </w:r>
    </w:p>
    <w:p w14:paraId="5BDBD4E2">
      <w:pPr>
        <w:keepNext w:val="0"/>
        <w:keepLines w:val="0"/>
        <w:pageBreakBefore w:val="0"/>
        <w:widowControl w:val="0"/>
        <w:numPr>
          <w:ilvl w:val="1"/>
          <w:numId w:val="4"/>
        </w:numPr>
        <w:kinsoku/>
        <w:wordWrap/>
        <w:overflowPunct w:val="0"/>
        <w:topLinePunct w:val="0"/>
        <w:autoSpaceDE/>
        <w:autoSpaceDN/>
        <w:bidi w:val="0"/>
        <w:spacing w:line="460" w:lineRule="exact"/>
        <w:textAlignment w:val="auto"/>
        <w:rPr>
          <w:rFonts w:ascii="宋体" w:hAnsi="宋体" w:cs="宋体"/>
          <w:color w:val="auto"/>
          <w:szCs w:val="21"/>
          <w:highlight w:val="none"/>
        </w:rPr>
      </w:pPr>
      <w:r>
        <w:rPr>
          <w:rFonts w:hint="eastAsia" w:ascii="宋体" w:hAnsi="宋体" w:cs="宋体"/>
          <w:color w:val="auto"/>
          <w:szCs w:val="21"/>
          <w:highlight w:val="none"/>
        </w:rPr>
        <w:t>投标保证金采用转账、电汇方式提交，应符合以下要求：采用银行转账、电汇方式提交的，保证金汇入《投标资料表》中投标保证金专用账户，不接收由投标人分支机构、私人账户和其他单位转入的保证金。投标保证金必须在投标文件递交截止前到账，投标保证金未按规定时间到达指定账户或提交金额不足的，将被视为无效投标。且在备注或用途中注明本项目的项目编号。</w:t>
      </w:r>
    </w:p>
    <w:p w14:paraId="4FA8F527">
      <w:pPr>
        <w:keepNext w:val="0"/>
        <w:keepLines w:val="0"/>
        <w:pageBreakBefore w:val="0"/>
        <w:widowControl w:val="0"/>
        <w:numPr>
          <w:ilvl w:val="1"/>
          <w:numId w:val="4"/>
        </w:numPr>
        <w:kinsoku/>
        <w:wordWrap/>
        <w:overflowPunct w:val="0"/>
        <w:topLinePunct w:val="0"/>
        <w:autoSpaceDE/>
        <w:autoSpaceDN/>
        <w:bidi w:val="0"/>
        <w:spacing w:line="460" w:lineRule="exact"/>
        <w:textAlignment w:val="auto"/>
        <w:rPr>
          <w:rFonts w:ascii="宋体" w:hAnsi="宋体" w:cs="宋体"/>
          <w:color w:val="auto"/>
          <w:szCs w:val="21"/>
          <w:highlight w:val="none"/>
        </w:rPr>
      </w:pPr>
      <w:r>
        <w:rPr>
          <w:rFonts w:hint="eastAsia" w:ascii="宋体" w:hAnsi="宋体" w:cs="宋体"/>
          <w:color w:val="auto"/>
          <w:szCs w:val="21"/>
          <w:highlight w:val="none"/>
        </w:rPr>
        <w:t>凡没有根据本须知（17.1和17.3）的规定随附有效的投标保证金的投标，将被视为非响应性投标予以拒绝。</w:t>
      </w:r>
    </w:p>
    <w:p w14:paraId="6DB560A5">
      <w:pPr>
        <w:keepNext w:val="0"/>
        <w:keepLines w:val="0"/>
        <w:pageBreakBefore w:val="0"/>
        <w:widowControl w:val="0"/>
        <w:numPr>
          <w:ilvl w:val="1"/>
          <w:numId w:val="4"/>
        </w:numPr>
        <w:kinsoku/>
        <w:wordWrap/>
        <w:overflowPunct w:val="0"/>
        <w:topLinePunct w:val="0"/>
        <w:autoSpaceDE/>
        <w:autoSpaceDN/>
        <w:bidi w:val="0"/>
        <w:spacing w:line="460" w:lineRule="exact"/>
        <w:textAlignment w:val="auto"/>
        <w:rPr>
          <w:rFonts w:ascii="宋体" w:hAnsi="宋体" w:cs="宋体"/>
          <w:color w:val="auto"/>
          <w:szCs w:val="21"/>
          <w:highlight w:val="none"/>
        </w:rPr>
      </w:pPr>
      <w:r>
        <w:rPr>
          <w:rFonts w:hint="eastAsia" w:ascii="宋体" w:hAnsi="宋体" w:cs="宋体"/>
          <w:color w:val="auto"/>
          <w:szCs w:val="21"/>
          <w:highlight w:val="none"/>
        </w:rPr>
        <w:t>投标保证金有效期应当与投标有效期一致。采购人如果按照采购文件另外规定延长了投标文件有效期，则投标担保的有效期也相应延长。</w:t>
      </w:r>
    </w:p>
    <w:p w14:paraId="0ECA369A">
      <w:pPr>
        <w:keepNext w:val="0"/>
        <w:keepLines w:val="0"/>
        <w:pageBreakBefore w:val="0"/>
        <w:widowControl w:val="0"/>
        <w:numPr>
          <w:ilvl w:val="1"/>
          <w:numId w:val="4"/>
        </w:numPr>
        <w:kinsoku/>
        <w:wordWrap/>
        <w:overflowPunct w:val="0"/>
        <w:topLinePunct w:val="0"/>
        <w:autoSpaceDE/>
        <w:autoSpaceDN/>
        <w:bidi w:val="0"/>
        <w:spacing w:line="460" w:lineRule="exact"/>
        <w:textAlignment w:val="auto"/>
        <w:rPr>
          <w:rFonts w:ascii="宋体" w:hAnsi="宋体" w:cs="宋体"/>
          <w:color w:val="auto"/>
          <w:szCs w:val="21"/>
          <w:highlight w:val="none"/>
        </w:rPr>
      </w:pPr>
      <w:r>
        <w:rPr>
          <w:rFonts w:hint="eastAsia" w:ascii="宋体" w:hAnsi="宋体" w:cs="宋体"/>
          <w:color w:val="auto"/>
          <w:szCs w:val="21"/>
          <w:highlight w:val="none"/>
          <w:lang w:val="en-US" w:eastAsia="zh-CN"/>
        </w:rPr>
        <w:t>未中标的投标人的保证金应当在中标通知书发出后退还，中标的投标人的保证金在采购合同签订后转为履约保证金。为方便退还未中标的投标人的保证金，投标人应制作《投标保证金汇入情况说明》随唱标信封一并递交。</w:t>
      </w:r>
    </w:p>
    <w:p w14:paraId="1B74F1EB">
      <w:pPr>
        <w:keepNext w:val="0"/>
        <w:keepLines w:val="0"/>
        <w:pageBreakBefore w:val="0"/>
        <w:widowControl w:val="0"/>
        <w:numPr>
          <w:ilvl w:val="1"/>
          <w:numId w:val="4"/>
        </w:numPr>
        <w:kinsoku/>
        <w:wordWrap/>
        <w:overflowPunct w:val="0"/>
        <w:topLinePunct w:val="0"/>
        <w:autoSpaceDE/>
        <w:autoSpaceDN/>
        <w:bidi w:val="0"/>
        <w:spacing w:line="460" w:lineRule="exact"/>
        <w:textAlignment w:val="auto"/>
        <w:rPr>
          <w:rFonts w:ascii="宋体" w:hAnsi="宋体" w:cs="宋体"/>
          <w:color w:val="auto"/>
          <w:szCs w:val="21"/>
          <w:highlight w:val="none"/>
        </w:rPr>
      </w:pPr>
      <w:r>
        <w:rPr>
          <w:rFonts w:hint="eastAsia" w:ascii="宋体" w:hAnsi="宋体" w:cs="宋体"/>
          <w:color w:val="auto"/>
          <w:szCs w:val="21"/>
          <w:highlight w:val="none"/>
        </w:rPr>
        <w:t>下列任何情况发生时，投标保证金将不予退还：</w:t>
      </w:r>
    </w:p>
    <w:p w14:paraId="12582261">
      <w:pPr>
        <w:keepNext w:val="0"/>
        <w:keepLines w:val="0"/>
        <w:pageBreakBefore w:val="0"/>
        <w:widowControl w:val="0"/>
        <w:kinsoku/>
        <w:wordWrap/>
        <w:topLinePunct w:val="0"/>
        <w:autoSpaceDE/>
        <w:autoSpaceDN/>
        <w:bidi w:val="0"/>
        <w:adjustRightInd/>
        <w:snapToGrid/>
        <w:spacing w:line="460" w:lineRule="exact"/>
        <w:ind w:left="540" w:leftChars="257"/>
        <w:jc w:val="both"/>
        <w:textAlignment w:val="auto"/>
        <w:rPr>
          <w:rFonts w:ascii="宋体" w:hAnsi="宋体" w:cs="宋体"/>
          <w:color w:val="auto"/>
          <w:szCs w:val="21"/>
          <w:highlight w:val="none"/>
        </w:rPr>
      </w:pPr>
      <w:r>
        <w:rPr>
          <w:rFonts w:hint="eastAsia" w:ascii="宋体" w:hAnsi="宋体" w:cs="宋体"/>
          <w:color w:val="auto"/>
          <w:szCs w:val="21"/>
          <w:highlight w:val="none"/>
        </w:rPr>
        <w:t>（1）投标人在采购文件中规定的投标有效期内撤回其投标；</w:t>
      </w:r>
    </w:p>
    <w:p w14:paraId="0011E224">
      <w:pPr>
        <w:keepNext w:val="0"/>
        <w:keepLines w:val="0"/>
        <w:pageBreakBefore w:val="0"/>
        <w:widowControl w:val="0"/>
        <w:kinsoku/>
        <w:wordWrap/>
        <w:topLinePunct w:val="0"/>
        <w:autoSpaceDE/>
        <w:autoSpaceDN/>
        <w:bidi w:val="0"/>
        <w:adjustRightInd/>
        <w:snapToGrid/>
        <w:spacing w:line="460" w:lineRule="exact"/>
        <w:ind w:left="540" w:leftChars="257"/>
        <w:jc w:val="both"/>
        <w:textAlignment w:val="auto"/>
        <w:rPr>
          <w:rFonts w:ascii="宋体" w:hAnsi="宋体" w:cs="宋体"/>
          <w:color w:val="auto"/>
          <w:szCs w:val="21"/>
          <w:highlight w:val="none"/>
        </w:rPr>
      </w:pPr>
      <w:r>
        <w:rPr>
          <w:rFonts w:hint="eastAsia" w:ascii="宋体" w:hAnsi="宋体" w:cs="宋体"/>
          <w:color w:val="auto"/>
          <w:szCs w:val="21"/>
          <w:highlight w:val="none"/>
        </w:rPr>
        <w:t>（2）</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无正当理由不与采购人订立合同，在签订合同时向采购人提出附加条件，或者不按照采购文件要求提交履约保证金的；</w:t>
      </w:r>
    </w:p>
    <w:p w14:paraId="0BB87002">
      <w:pPr>
        <w:keepNext w:val="0"/>
        <w:keepLines w:val="0"/>
        <w:pageBreakBefore w:val="0"/>
        <w:widowControl w:val="0"/>
        <w:kinsoku/>
        <w:wordWrap/>
        <w:topLinePunct w:val="0"/>
        <w:autoSpaceDE/>
        <w:autoSpaceDN/>
        <w:bidi w:val="0"/>
        <w:adjustRightInd/>
        <w:snapToGrid/>
        <w:spacing w:line="460" w:lineRule="exact"/>
        <w:ind w:left="540" w:leftChars="257"/>
        <w:jc w:val="both"/>
        <w:textAlignment w:val="auto"/>
        <w:rPr>
          <w:rFonts w:ascii="宋体" w:hAnsi="宋体" w:cs="宋体"/>
          <w:color w:val="auto"/>
          <w:szCs w:val="21"/>
          <w:highlight w:val="none"/>
        </w:rPr>
      </w:pPr>
      <w:r>
        <w:rPr>
          <w:rFonts w:hint="eastAsia" w:ascii="宋体" w:hAnsi="宋体" w:cs="宋体"/>
          <w:color w:val="auto"/>
          <w:szCs w:val="21"/>
          <w:highlight w:val="none"/>
        </w:rPr>
        <w:t>（3）</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将本项目转让给他人，或者在投标文件中未说明，且未经采购人同意，将中标项目分包给他人的；</w:t>
      </w:r>
    </w:p>
    <w:p w14:paraId="09A68079">
      <w:pPr>
        <w:keepNext w:val="0"/>
        <w:keepLines w:val="0"/>
        <w:pageBreakBefore w:val="0"/>
        <w:widowControl w:val="0"/>
        <w:kinsoku/>
        <w:wordWrap/>
        <w:topLinePunct w:val="0"/>
        <w:autoSpaceDE/>
        <w:autoSpaceDN/>
        <w:bidi w:val="0"/>
        <w:adjustRightInd/>
        <w:snapToGrid/>
        <w:spacing w:line="460" w:lineRule="exact"/>
        <w:ind w:left="540" w:leftChars="257"/>
        <w:jc w:val="both"/>
        <w:textAlignment w:val="auto"/>
        <w:rPr>
          <w:rFonts w:ascii="宋体" w:hAnsi="宋体" w:cs="宋体"/>
          <w:color w:val="auto"/>
          <w:szCs w:val="21"/>
          <w:highlight w:val="none"/>
        </w:rPr>
      </w:pPr>
      <w:r>
        <w:rPr>
          <w:rFonts w:hint="eastAsia" w:ascii="宋体" w:hAnsi="宋体" w:cs="宋体"/>
          <w:color w:val="auto"/>
          <w:szCs w:val="21"/>
          <w:highlight w:val="none"/>
        </w:rPr>
        <w:t>（4）投标人提供虚假投标文件或虚假补充文件的。</w:t>
      </w:r>
    </w:p>
    <w:p w14:paraId="069A1E02">
      <w:pPr>
        <w:keepNext w:val="0"/>
        <w:keepLines w:val="0"/>
        <w:pageBreakBefore w:val="0"/>
        <w:widowControl w:val="0"/>
        <w:numPr>
          <w:ilvl w:val="1"/>
          <w:numId w:val="4"/>
        </w:numPr>
        <w:kinsoku/>
        <w:wordWrap/>
        <w:overflowPunct w:val="0"/>
        <w:topLinePunct w:val="0"/>
        <w:autoSpaceDE/>
        <w:autoSpaceDN/>
        <w:bidi w:val="0"/>
        <w:spacing w:line="460" w:lineRule="exact"/>
        <w:textAlignment w:val="auto"/>
        <w:rPr>
          <w:rFonts w:ascii="宋体" w:hAnsi="宋体" w:cs="宋体"/>
          <w:color w:val="auto"/>
          <w:szCs w:val="21"/>
          <w:highlight w:val="none"/>
        </w:rPr>
      </w:pPr>
      <w:r>
        <w:rPr>
          <w:rFonts w:hint="eastAsia" w:ascii="宋体" w:hAnsi="宋体" w:cs="宋体"/>
          <w:color w:val="auto"/>
          <w:szCs w:val="21"/>
          <w:highlight w:val="none"/>
        </w:rPr>
        <w:t>在中标通知书发出后，未中标投标人的投标保证金，由采购人自行返还至投标人的原转出账户。</w:t>
      </w:r>
    </w:p>
    <w:p w14:paraId="6D9C0CE8">
      <w:pPr>
        <w:rPr>
          <w:rFonts w:ascii="宋体" w:hAnsi="宋体" w:cs="宋体"/>
          <w:color w:val="auto"/>
          <w:highlight w:val="none"/>
        </w:rPr>
      </w:pPr>
    </w:p>
    <w:p w14:paraId="5B4D87A2">
      <w:pPr>
        <w:pStyle w:val="5"/>
        <w:numPr>
          <w:ilvl w:val="0"/>
          <w:numId w:val="3"/>
        </w:numPr>
        <w:spacing w:before="0" w:after="0" w:line="360" w:lineRule="auto"/>
        <w:jc w:val="center"/>
        <w:rPr>
          <w:rFonts w:ascii="宋体" w:hAnsi="宋体" w:cs="宋体"/>
          <w:color w:val="auto"/>
          <w:highlight w:val="none"/>
        </w:rPr>
      </w:pPr>
      <w:bookmarkStart w:id="148" w:name="_Toc16028"/>
      <w:bookmarkStart w:id="149" w:name="_Toc30352"/>
      <w:r>
        <w:rPr>
          <w:rFonts w:hint="eastAsia" w:ascii="宋体" w:hAnsi="宋体" w:cs="宋体"/>
          <w:color w:val="auto"/>
          <w:highlight w:val="none"/>
        </w:rPr>
        <w:t>投标文件的递交</w:t>
      </w:r>
      <w:bookmarkEnd w:id="148"/>
      <w:bookmarkEnd w:id="149"/>
    </w:p>
    <w:p w14:paraId="57D334B5">
      <w:pPr>
        <w:pStyle w:val="6"/>
        <w:widowControl w:val="0"/>
        <w:numPr>
          <w:ilvl w:val="0"/>
          <w:numId w:val="4"/>
        </w:numPr>
        <w:overflowPunct w:val="0"/>
        <w:rPr>
          <w:rFonts w:ascii="宋体" w:hAnsi="宋体" w:cs="宋体"/>
          <w:color w:val="auto"/>
          <w:sz w:val="21"/>
          <w:szCs w:val="21"/>
          <w:highlight w:val="none"/>
        </w:rPr>
      </w:pPr>
      <w:bookmarkStart w:id="150" w:name="_Toc24150"/>
      <w:bookmarkStart w:id="151" w:name="_Toc18423"/>
      <w:bookmarkStart w:id="152" w:name="_Toc382049111"/>
      <w:bookmarkStart w:id="153" w:name="_Toc303084264"/>
      <w:bookmarkStart w:id="154" w:name="_Toc24997"/>
      <w:r>
        <w:rPr>
          <w:rFonts w:hint="eastAsia" w:ascii="宋体" w:hAnsi="宋体" w:cs="宋体"/>
          <w:color w:val="auto"/>
          <w:sz w:val="21"/>
          <w:szCs w:val="21"/>
          <w:highlight w:val="none"/>
        </w:rPr>
        <w:t>投标文件的装订，签署，密封和标记</w:t>
      </w:r>
      <w:bookmarkEnd w:id="150"/>
      <w:bookmarkEnd w:id="151"/>
      <w:bookmarkEnd w:id="152"/>
      <w:bookmarkEnd w:id="153"/>
      <w:bookmarkEnd w:id="154"/>
    </w:p>
    <w:p w14:paraId="34BEB1B1">
      <w:pPr>
        <w:widowControl w:val="0"/>
        <w:numPr>
          <w:ilvl w:val="1"/>
          <w:numId w:val="4"/>
        </w:numPr>
        <w:overflowPunct w:val="0"/>
        <w:rPr>
          <w:rFonts w:ascii="宋体" w:hAnsi="宋体" w:cs="宋体"/>
          <w:color w:val="auto"/>
          <w:szCs w:val="21"/>
          <w:highlight w:val="none"/>
        </w:rPr>
      </w:pPr>
      <w:r>
        <w:rPr>
          <w:rFonts w:hint="eastAsia" w:ascii="宋体" w:hAnsi="宋体"/>
          <w:color w:val="auto"/>
          <w:szCs w:val="21"/>
          <w:highlight w:val="none"/>
        </w:rPr>
        <w:t>投标人应按《投标资料表》的份数准备价格文件、商务文件、技术文件、唱标信封和电子文件（</w:t>
      </w:r>
      <w:r>
        <w:rPr>
          <w:rFonts w:hint="eastAsia" w:ascii="宋体" w:hAnsi="宋体"/>
          <w:b/>
          <w:color w:val="auto"/>
          <w:szCs w:val="21"/>
          <w:highlight w:val="none"/>
        </w:rPr>
        <w:t>价格文件、商务文件、技术文件分别单独装订成册</w:t>
      </w:r>
      <w:r>
        <w:rPr>
          <w:rFonts w:hint="eastAsia" w:ascii="宋体" w:hAnsi="宋体"/>
          <w:color w:val="auto"/>
          <w:szCs w:val="21"/>
          <w:highlight w:val="none"/>
        </w:rPr>
        <w:t>），每一份投标文件均需编上页次，装订成册（不允许使用活页夹，否则由此产生的风险由投标人自行承担）。所有投标文件必须封入密封完好的信封或包装，封口加盖公章</w:t>
      </w:r>
      <w:r>
        <w:rPr>
          <w:rFonts w:hint="eastAsia" w:ascii="宋体" w:hAnsi="宋体" w:cs="宋体"/>
          <w:color w:val="auto"/>
          <w:szCs w:val="21"/>
          <w:highlight w:val="none"/>
        </w:rPr>
        <w:t>。</w:t>
      </w:r>
    </w:p>
    <w:p w14:paraId="1925C92E">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投标文件正本均须用不褪色墨水书写或打印。投标文件的副本可采用投标文件的正本复印件，每套投标文件应当标明“正本”、“副本”的字样。投标文件的</w:t>
      </w:r>
      <w:r>
        <w:rPr>
          <w:rFonts w:hint="eastAsia" w:ascii="宋体" w:hAnsi="宋体" w:cs="宋体"/>
          <w:color w:val="auto"/>
          <w:szCs w:val="21"/>
          <w:highlight w:val="none"/>
        </w:rPr>
        <w:t>【正本】及所有【副本】的封面及骑缝均须加盖投标人公章（文件每页盖章等同于盖骑缝章）。若正本与副本不符，以正本为准。</w:t>
      </w:r>
    </w:p>
    <w:p w14:paraId="0E786CC0">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联合体投标文件的【正本】及【副本】的封面及骑缝均须加盖所有联合体组成成员的公章。（文件每页盖章等同于盖骑缝章）</w:t>
      </w:r>
    </w:p>
    <w:p w14:paraId="14F85755">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电子文件内容包括：由投标人自行制作的与正本文件一致的所有文件。电子文件由光盘或U盘储存，并注明投标人名称及项目名称、采购项目编号，随投标文件一同密封提交。</w:t>
      </w:r>
    </w:p>
    <w:p w14:paraId="4585F4C5">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除投标人对错误处修改外，全套投标文件应无涂改或行间插字和增删。如有修改，修改处须由法定代表人或其正式授权代表在旁边签字及盖章。</w:t>
      </w:r>
    </w:p>
    <w:p w14:paraId="42407154">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投标人应将投标文件进行非透明的封装，以防止投标文件内容的</w:t>
      </w:r>
      <w:r>
        <w:rPr>
          <w:rFonts w:hint="eastAsia" w:ascii="宋体" w:hAnsi="宋体" w:cs="宋体"/>
          <w:color w:val="auto"/>
          <w:szCs w:val="21"/>
          <w:highlight w:val="none"/>
          <w:lang w:eastAsia="zh-CN"/>
        </w:rPr>
        <w:t>泄漏</w:t>
      </w:r>
      <w:r>
        <w:rPr>
          <w:rFonts w:hint="eastAsia" w:ascii="宋体" w:hAnsi="宋体" w:cs="宋体"/>
          <w:color w:val="auto"/>
          <w:szCs w:val="21"/>
          <w:highlight w:val="none"/>
        </w:rPr>
        <w:t>。采购代理机构将拒绝接收采用透明包装进行密封的投标文件。</w:t>
      </w:r>
    </w:p>
    <w:p w14:paraId="11D4E07F">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密封破损导致投标文件内容直接或间接</w:t>
      </w:r>
      <w:r>
        <w:rPr>
          <w:rFonts w:hint="eastAsia" w:ascii="宋体" w:hAnsi="宋体" w:cs="宋体"/>
          <w:color w:val="auto"/>
          <w:szCs w:val="21"/>
          <w:highlight w:val="none"/>
          <w:lang w:eastAsia="zh-CN"/>
        </w:rPr>
        <w:t>泄漏</w:t>
      </w:r>
      <w:r>
        <w:rPr>
          <w:rFonts w:hint="eastAsia" w:ascii="宋体" w:hAnsi="宋体" w:cs="宋体"/>
          <w:color w:val="auto"/>
          <w:szCs w:val="21"/>
          <w:highlight w:val="none"/>
        </w:rPr>
        <w:t>的投标文件，采购代理机构将拒绝接收。</w:t>
      </w:r>
    </w:p>
    <w:p w14:paraId="3F2F07C9">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为方便开标唱标，投标人应将开标一览表和授权委托书单独密封提交，并在信封上标明“唱标信封”字样。唱标信封内还须包括并不限于：投标保证金支付凭证银行汇款底单（复印件加盖公章，原件随身携带，以备查核）和投标保证金汇入情况说明（加盖公章）。投标人的法定代表人参加投标时，须开具法定代表人证明书，按上述要求与开标一览表一并密封提交。“唱标信封”份数及签章等要求与投标文件正本相同（1份）。</w:t>
      </w:r>
    </w:p>
    <w:p w14:paraId="4813F596">
      <w:pPr>
        <w:widowControl w:val="0"/>
        <w:numPr>
          <w:ilvl w:val="1"/>
          <w:numId w:val="4"/>
        </w:numPr>
        <w:overflowPunct w:val="0"/>
        <w:rPr>
          <w:rFonts w:ascii="宋体" w:hAnsi="宋体" w:cs="宋体"/>
          <w:b/>
          <w:bCs/>
          <w:color w:val="auto"/>
          <w:szCs w:val="21"/>
          <w:highlight w:val="none"/>
        </w:rPr>
      </w:pPr>
      <w:r>
        <w:rPr>
          <w:rFonts w:hint="eastAsia" w:ascii="宋体" w:hAnsi="宋体" w:cs="宋体"/>
          <w:b/>
          <w:bCs/>
          <w:color w:val="auto"/>
          <w:szCs w:val="21"/>
          <w:highlight w:val="none"/>
        </w:rPr>
        <w:t>未单独提交唱标信封的投标人投标文件不进行唱标，投标文件作无效处理。</w:t>
      </w:r>
    </w:p>
    <w:p w14:paraId="3DCD3AAE">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 xml:space="preserve">所有的信封均应注明： </w:t>
      </w:r>
    </w:p>
    <w:p w14:paraId="42D19185">
      <w:pPr>
        <w:widowControl w:val="0"/>
        <w:numPr>
          <w:ilvl w:val="0"/>
          <w:numId w:val="6"/>
        </w:numPr>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 xml:space="preserve">收件人： </w:t>
      </w:r>
    </w:p>
    <w:p w14:paraId="137E14BD">
      <w:pPr>
        <w:widowControl w:val="0"/>
        <w:numPr>
          <w:ilvl w:val="0"/>
          <w:numId w:val="6"/>
        </w:numPr>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投标单位名称：</w:t>
      </w:r>
    </w:p>
    <w:p w14:paraId="7F038D73">
      <w:pPr>
        <w:widowControl w:val="0"/>
        <w:numPr>
          <w:ilvl w:val="0"/>
          <w:numId w:val="6"/>
        </w:numPr>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项目名称：</w:t>
      </w:r>
    </w:p>
    <w:p w14:paraId="3261237F">
      <w:pPr>
        <w:widowControl w:val="0"/>
        <w:numPr>
          <w:ilvl w:val="0"/>
          <w:numId w:val="6"/>
        </w:numPr>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项目采购项目编号：</w:t>
      </w:r>
    </w:p>
    <w:p w14:paraId="44263701">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密封信封上的项目编号错误或项目名称出现严重歧义的（包括采购内容不符），采购代理机构将拒绝接收。</w:t>
      </w:r>
    </w:p>
    <w:p w14:paraId="627A02C5">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采购代理机构对所有投标文件的误投或提前启封概不负责。</w:t>
      </w:r>
    </w:p>
    <w:p w14:paraId="02317A08">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投标人同时参加几个包投标时必须按采购文件要求按包号分别制作投标文件，分别密封递交。</w:t>
      </w:r>
    </w:p>
    <w:p w14:paraId="02131D95">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传真、电传的投标文件将被拒绝。</w:t>
      </w:r>
    </w:p>
    <w:p w14:paraId="2C0AD1B5">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递交的投标文件中所提供的通讯方式应保持联络畅通，因联系不上而导致的所有后果由投标人自行承担。</w:t>
      </w:r>
    </w:p>
    <w:p w14:paraId="46EA1EA7">
      <w:pPr>
        <w:rPr>
          <w:rFonts w:ascii="宋体" w:hAnsi="宋体" w:cs="宋体"/>
          <w:color w:val="auto"/>
          <w:highlight w:val="none"/>
        </w:rPr>
      </w:pPr>
    </w:p>
    <w:p w14:paraId="04771CBE">
      <w:pPr>
        <w:pStyle w:val="6"/>
        <w:widowControl w:val="0"/>
        <w:numPr>
          <w:ilvl w:val="0"/>
          <w:numId w:val="4"/>
        </w:numPr>
        <w:overflowPunct w:val="0"/>
        <w:rPr>
          <w:rFonts w:ascii="宋体" w:hAnsi="宋体" w:cs="宋体"/>
          <w:color w:val="auto"/>
          <w:sz w:val="21"/>
          <w:szCs w:val="21"/>
          <w:highlight w:val="none"/>
        </w:rPr>
      </w:pPr>
      <w:bookmarkStart w:id="155" w:name="_Toc736"/>
      <w:bookmarkStart w:id="156" w:name="_Toc25895"/>
      <w:r>
        <w:rPr>
          <w:rFonts w:hint="eastAsia" w:ascii="宋体" w:hAnsi="宋体" w:cs="宋体"/>
          <w:color w:val="auto"/>
          <w:sz w:val="21"/>
          <w:szCs w:val="21"/>
          <w:highlight w:val="none"/>
        </w:rPr>
        <w:t>迟交的投标文件</w:t>
      </w:r>
      <w:bookmarkEnd w:id="155"/>
      <w:bookmarkEnd w:id="156"/>
    </w:p>
    <w:p w14:paraId="030E6ED2">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投标人在投标截止时间之后提交的投标文件，采购代理机构将拒绝接收。</w:t>
      </w:r>
    </w:p>
    <w:p w14:paraId="139C938F">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有违反其他法律规定情形的，采购代理机构将拒绝接收。</w:t>
      </w:r>
    </w:p>
    <w:p w14:paraId="771CB0CA">
      <w:pPr>
        <w:rPr>
          <w:rFonts w:ascii="宋体" w:hAnsi="宋体" w:cs="宋体"/>
          <w:color w:val="auto"/>
          <w:highlight w:val="none"/>
        </w:rPr>
      </w:pPr>
    </w:p>
    <w:p w14:paraId="14E4141D">
      <w:pPr>
        <w:pStyle w:val="6"/>
        <w:widowControl w:val="0"/>
        <w:numPr>
          <w:ilvl w:val="0"/>
          <w:numId w:val="4"/>
        </w:numPr>
        <w:overflowPunct w:val="0"/>
        <w:rPr>
          <w:rFonts w:ascii="宋体" w:hAnsi="宋体" w:cs="宋体"/>
          <w:color w:val="auto"/>
          <w:sz w:val="21"/>
          <w:szCs w:val="21"/>
          <w:highlight w:val="none"/>
        </w:rPr>
      </w:pPr>
      <w:bookmarkStart w:id="157" w:name="_Toc6893"/>
      <w:bookmarkStart w:id="158" w:name="_Toc9143"/>
      <w:r>
        <w:rPr>
          <w:rFonts w:hint="eastAsia" w:ascii="宋体" w:hAnsi="宋体" w:cs="宋体"/>
          <w:color w:val="auto"/>
          <w:sz w:val="21"/>
          <w:szCs w:val="21"/>
          <w:highlight w:val="none"/>
        </w:rPr>
        <w:t>投标样品</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lang w:val="en-US" w:eastAsia="zh-CN"/>
        </w:rPr>
        <w:t>本项目无需</w:t>
      </w:r>
      <w:r>
        <w:rPr>
          <w:rFonts w:hint="eastAsia" w:ascii="宋体" w:hAnsi="宋体" w:cs="宋体"/>
          <w:color w:val="auto"/>
          <w:sz w:val="21"/>
          <w:szCs w:val="21"/>
          <w:highlight w:val="none"/>
        </w:rPr>
        <w:t>提交）</w:t>
      </w:r>
      <w:bookmarkEnd w:id="157"/>
      <w:bookmarkEnd w:id="158"/>
    </w:p>
    <w:p w14:paraId="109448B1">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如有必要，采购代理机构可以要求投标人提供本服务项目涉及的部分设备或产品样品，投标人在投标时应提交《样品清单》。</w:t>
      </w:r>
    </w:p>
    <w:p w14:paraId="7AD8761C">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为方便评标，投标人在提供样品时，应在所提供的样品表面显著位置标注投标人的名称、包号、样品名称、采购文件规定的服务或货物编号。</w:t>
      </w:r>
    </w:p>
    <w:p w14:paraId="14338C36">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样品作为投标文件的一部分，除非另有说明，中标单位的样品将作为履约验收标准的参考不再退还，未中标单位须在中标公告发布后五个工作日内，前往采购代理机构领取投标样品，逾期不领，采购代理机构将不承担样品的保管责任，由此引发的样品丢失、毁损，采购代理机构不予负责。</w:t>
      </w:r>
    </w:p>
    <w:p w14:paraId="568FDEBF">
      <w:pPr>
        <w:rPr>
          <w:rFonts w:ascii="宋体" w:hAnsi="宋体" w:cs="宋体"/>
          <w:color w:val="auto"/>
          <w:highlight w:val="none"/>
        </w:rPr>
      </w:pPr>
    </w:p>
    <w:p w14:paraId="7FDA12BA">
      <w:pPr>
        <w:pStyle w:val="6"/>
        <w:widowControl w:val="0"/>
        <w:numPr>
          <w:ilvl w:val="0"/>
          <w:numId w:val="4"/>
        </w:numPr>
        <w:overflowPunct w:val="0"/>
        <w:rPr>
          <w:rFonts w:ascii="宋体" w:hAnsi="宋体" w:cs="宋体"/>
          <w:color w:val="auto"/>
          <w:sz w:val="21"/>
          <w:szCs w:val="21"/>
          <w:highlight w:val="none"/>
        </w:rPr>
      </w:pPr>
      <w:bookmarkStart w:id="159" w:name="_Toc1712"/>
      <w:bookmarkStart w:id="160" w:name="_Toc20315"/>
      <w:bookmarkStart w:id="161" w:name="_Toc382049112"/>
      <w:bookmarkStart w:id="162" w:name="_Toc303084265"/>
      <w:bookmarkStart w:id="163" w:name="_Toc9777"/>
      <w:r>
        <w:rPr>
          <w:rFonts w:hint="eastAsia" w:ascii="宋体" w:hAnsi="宋体" w:cs="宋体"/>
          <w:color w:val="auto"/>
          <w:sz w:val="21"/>
          <w:szCs w:val="21"/>
          <w:highlight w:val="none"/>
        </w:rPr>
        <w:t>投标截止期</w:t>
      </w:r>
      <w:bookmarkEnd w:id="159"/>
      <w:bookmarkEnd w:id="160"/>
      <w:bookmarkEnd w:id="161"/>
      <w:bookmarkEnd w:id="162"/>
      <w:bookmarkEnd w:id="163"/>
    </w:p>
    <w:p w14:paraId="1C775FAF">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投标人应在采购文件规定的截止日期和时间内，将投标文件送达到指定地点。</w:t>
      </w:r>
    </w:p>
    <w:p w14:paraId="7D457DAE">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采购代理机构可按本须知规定以澄清或修改通知的方式，酌情延长递交投标文件的截止时间。在此情况下，投标人的所有权利和义务以及投标人受制约的截止时间，均以延长后新的投标截止时间为准。</w:t>
      </w:r>
    </w:p>
    <w:p w14:paraId="6987D171">
      <w:pPr>
        <w:rPr>
          <w:rFonts w:ascii="宋体" w:hAnsi="宋体" w:cs="宋体"/>
          <w:color w:val="auto"/>
          <w:highlight w:val="none"/>
        </w:rPr>
      </w:pPr>
    </w:p>
    <w:p w14:paraId="73CA2A30">
      <w:pPr>
        <w:pStyle w:val="6"/>
        <w:widowControl w:val="0"/>
        <w:numPr>
          <w:ilvl w:val="0"/>
          <w:numId w:val="4"/>
        </w:numPr>
        <w:overflowPunct w:val="0"/>
        <w:rPr>
          <w:rFonts w:ascii="宋体" w:hAnsi="宋体" w:cs="宋体"/>
          <w:color w:val="auto"/>
          <w:sz w:val="21"/>
          <w:szCs w:val="21"/>
          <w:highlight w:val="none"/>
        </w:rPr>
      </w:pPr>
      <w:bookmarkStart w:id="164" w:name="_Toc30595"/>
      <w:bookmarkStart w:id="165" w:name="_Toc31417"/>
      <w:r>
        <w:rPr>
          <w:rFonts w:hint="eastAsia" w:ascii="宋体" w:hAnsi="宋体" w:cs="宋体"/>
          <w:color w:val="auto"/>
          <w:sz w:val="21"/>
          <w:szCs w:val="21"/>
          <w:highlight w:val="none"/>
        </w:rPr>
        <w:t>投标文件的补充、修改与撤回</w:t>
      </w:r>
      <w:bookmarkEnd w:id="164"/>
      <w:bookmarkEnd w:id="165"/>
    </w:p>
    <w:p w14:paraId="1428FFA1">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投标人在提交投标文件截止时间前，可以对所提交的投标文件进行补充、修改或撤回，并以纸质版形式通知采购代理机构。在提交投标文件截止时间之后，投标人不得对其投标文件做出任何的补充和修改。</w:t>
      </w:r>
    </w:p>
    <w:p w14:paraId="7F3FA60C">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投标人对投标文件的补充、修改的内容应当按采购文件的要求签署、盖章、密封后，作为投标文件的组成部分。并按照采购文件规定密封和标记的要求提交，并在投标文件密封袋上标明“补充、修改”字样。</w:t>
      </w:r>
    </w:p>
    <w:p w14:paraId="7DBBBDBE">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投标文件一经递交不予退还。</w:t>
      </w:r>
    </w:p>
    <w:p w14:paraId="1FBDB59E">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在提交投标文件截止时间至投标有效期满之前，投标人不得撤回其投标，否则其投标保证金将不予退还。</w:t>
      </w:r>
    </w:p>
    <w:p w14:paraId="28985D66">
      <w:pPr>
        <w:pStyle w:val="10"/>
        <w:rPr>
          <w:color w:val="auto"/>
          <w:highlight w:val="none"/>
        </w:rPr>
      </w:pPr>
    </w:p>
    <w:p w14:paraId="2ED28808">
      <w:pPr>
        <w:pStyle w:val="5"/>
        <w:numPr>
          <w:ilvl w:val="0"/>
          <w:numId w:val="3"/>
        </w:numPr>
        <w:spacing w:before="0" w:after="0" w:line="360" w:lineRule="auto"/>
        <w:jc w:val="center"/>
        <w:rPr>
          <w:rFonts w:ascii="宋体" w:hAnsi="宋体" w:cs="宋体"/>
          <w:color w:val="auto"/>
          <w:highlight w:val="none"/>
        </w:rPr>
      </w:pPr>
      <w:bookmarkStart w:id="166" w:name="_Toc7410"/>
      <w:bookmarkStart w:id="167" w:name="_Toc15656"/>
      <w:r>
        <w:rPr>
          <w:rFonts w:hint="eastAsia" w:ascii="宋体" w:hAnsi="宋体" w:cs="宋体"/>
          <w:color w:val="auto"/>
          <w:highlight w:val="none"/>
        </w:rPr>
        <w:t>开标与评标</w:t>
      </w:r>
      <w:bookmarkEnd w:id="166"/>
      <w:bookmarkEnd w:id="167"/>
    </w:p>
    <w:p w14:paraId="22705A08">
      <w:pPr>
        <w:pStyle w:val="6"/>
        <w:widowControl w:val="0"/>
        <w:numPr>
          <w:ilvl w:val="0"/>
          <w:numId w:val="4"/>
        </w:numPr>
        <w:overflowPunct w:val="0"/>
        <w:rPr>
          <w:rFonts w:ascii="宋体" w:hAnsi="宋体" w:cs="宋体"/>
          <w:color w:val="auto"/>
          <w:sz w:val="21"/>
          <w:szCs w:val="21"/>
          <w:highlight w:val="none"/>
        </w:rPr>
      </w:pPr>
      <w:bookmarkStart w:id="168" w:name="_Toc31671"/>
      <w:bookmarkStart w:id="169" w:name="_Toc18065"/>
      <w:r>
        <w:rPr>
          <w:rFonts w:hint="eastAsia" w:ascii="宋体" w:hAnsi="宋体" w:cs="宋体"/>
          <w:color w:val="auto"/>
          <w:sz w:val="21"/>
          <w:szCs w:val="21"/>
          <w:highlight w:val="none"/>
        </w:rPr>
        <w:t>开标</w:t>
      </w:r>
      <w:bookmarkEnd w:id="168"/>
      <w:bookmarkEnd w:id="169"/>
    </w:p>
    <w:p w14:paraId="3B851E88">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采购代理机构按本采购文件所规定的时间和地点公开开标，并邀请所有投标人代表参加。</w:t>
      </w:r>
    </w:p>
    <w:p w14:paraId="1C443888">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开标程序：</w:t>
      </w:r>
    </w:p>
    <w:p w14:paraId="1BFF3AE4">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开标会由采购代理机构主持，投标人的法定代表人或其授权代表携带有效身份证明准时参加开标会并签名报到。</w:t>
      </w:r>
    </w:p>
    <w:p w14:paraId="7D2D92FC">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开标时，由投标人或者其推选的代表检查投标文件的密封情况；经确认无误后，由采购人或者采购代理机构工作人员当众拆封，宣布投标人名称、投标价格和采购文件规定的需要宣布的其他内容；</w:t>
      </w:r>
    </w:p>
    <w:p w14:paraId="58CE8A4D">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投标人代表对开标过程和开标记录有异议，以及认为采购人、采购代理机构相关工作人员有需要回避的情形的，应当场提出询问或者回避申请。开标现场未提出异议的视为认同开标结果。开标结束后，投标人对开标过程和开标记录不得再提出异议。</w:t>
      </w:r>
    </w:p>
    <w:p w14:paraId="1A48D651">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投标人未参加开标的，视同认可开标结果。</w:t>
      </w:r>
    </w:p>
    <w:p w14:paraId="0EFBC252">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合格投标人不足3家的，不得开标；</w:t>
      </w:r>
    </w:p>
    <w:p w14:paraId="68FBC64F">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开标过程应当由采购人或者采购代理机构负责记录，由参加开标的各投标人代表和相关工作人员签字确认。</w:t>
      </w:r>
    </w:p>
    <w:p w14:paraId="5AB11682">
      <w:pPr>
        <w:widowControl w:val="0"/>
        <w:adjustRightInd/>
        <w:snapToGrid/>
        <w:ind w:left="567"/>
        <w:jc w:val="both"/>
        <w:rPr>
          <w:rFonts w:ascii="宋体" w:hAnsi="宋体" w:cs="宋体"/>
          <w:color w:val="auto"/>
          <w:highlight w:val="none"/>
        </w:rPr>
      </w:pPr>
    </w:p>
    <w:p w14:paraId="329A6B07">
      <w:pPr>
        <w:pStyle w:val="6"/>
        <w:widowControl w:val="0"/>
        <w:numPr>
          <w:ilvl w:val="0"/>
          <w:numId w:val="4"/>
        </w:numPr>
        <w:overflowPunct w:val="0"/>
        <w:rPr>
          <w:rFonts w:ascii="宋体" w:hAnsi="宋体" w:cs="宋体"/>
          <w:color w:val="auto"/>
          <w:sz w:val="21"/>
          <w:szCs w:val="21"/>
          <w:highlight w:val="none"/>
        </w:rPr>
      </w:pPr>
      <w:bookmarkStart w:id="170" w:name="_Toc7486"/>
      <w:bookmarkStart w:id="171" w:name="_Toc3528"/>
      <w:r>
        <w:rPr>
          <w:rFonts w:hint="eastAsia" w:ascii="宋体" w:hAnsi="宋体" w:cs="宋体"/>
          <w:color w:val="auto"/>
          <w:sz w:val="21"/>
          <w:szCs w:val="21"/>
          <w:highlight w:val="none"/>
        </w:rPr>
        <w:t>评标委员会及评标方法</w:t>
      </w:r>
      <w:bookmarkEnd w:id="170"/>
      <w:bookmarkEnd w:id="171"/>
    </w:p>
    <w:p w14:paraId="03A69199">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依法组成评标委员会，评标委员会由采购人和有关技术、经济等方面的专家组成，成员人数为五人或五人以上单数，其中技术、经济等方面的专家不少于成员总数的三分之二，并负责评标工作。</w:t>
      </w:r>
    </w:p>
    <w:p w14:paraId="7D585AFA">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评审方法：本次采购的评审方法采用综合评分法。</w:t>
      </w:r>
    </w:p>
    <w:p w14:paraId="576CFB37">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定标原则：在最大限度满足采购文件实质性要求前提下，按照采购文件规定的各项评价因素进行量化打分，以评标总得分最高的投标人作为中标候选人或</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w:t>
      </w:r>
    </w:p>
    <w:p w14:paraId="5DB59F48">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评标委员会对投标文件的评审内容，分为商务评议、技术评议和价格评议。评审流程包括符合性检查、澄清问题、比较与评价、推荐中标候选人或确定</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、编写评标报告等步骤。</w:t>
      </w:r>
    </w:p>
    <w:p w14:paraId="003CB4AC">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在评标期间，评标委员会可要求投标人对其投标文件进行澄清，但不得寻求、提供或允许对投标价格等实质性内容做任何更改。有关澄清的要求和答复均应以纸质版形式提交，如投标人拒绝评标委员会要求对其投标文件进行澄清的要求，所造成的后果由投标人自行承担。</w:t>
      </w:r>
    </w:p>
    <w:p w14:paraId="3DE6AB2D">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评标委员会和采购人在评审过程中有权核对投标文件中相关材料的原件，投标人在接到通知后应在评标委员会规定的时间内提交原件核查。</w:t>
      </w:r>
    </w:p>
    <w:p w14:paraId="5AB9DDB3">
      <w:pPr>
        <w:rPr>
          <w:rFonts w:ascii="宋体" w:hAnsi="宋体" w:cs="宋体"/>
          <w:color w:val="auto"/>
          <w:highlight w:val="none"/>
        </w:rPr>
      </w:pPr>
    </w:p>
    <w:p w14:paraId="264498E9">
      <w:pPr>
        <w:pStyle w:val="6"/>
        <w:widowControl w:val="0"/>
        <w:numPr>
          <w:ilvl w:val="0"/>
          <w:numId w:val="4"/>
        </w:numPr>
        <w:overflowPunct w:val="0"/>
        <w:rPr>
          <w:rFonts w:ascii="宋体" w:hAnsi="宋体" w:cs="宋体"/>
          <w:color w:val="auto"/>
          <w:sz w:val="21"/>
          <w:szCs w:val="21"/>
          <w:highlight w:val="none"/>
        </w:rPr>
      </w:pPr>
      <w:bookmarkStart w:id="172" w:name="_Toc31404"/>
      <w:bookmarkStart w:id="173" w:name="_Toc4198"/>
      <w:r>
        <w:rPr>
          <w:rFonts w:hint="eastAsia" w:ascii="宋体" w:hAnsi="宋体" w:cs="宋体"/>
          <w:color w:val="auto"/>
          <w:sz w:val="21"/>
          <w:szCs w:val="21"/>
          <w:highlight w:val="none"/>
        </w:rPr>
        <w:t>评审原则及评标过程的保密</w:t>
      </w:r>
      <w:bookmarkEnd w:id="172"/>
      <w:bookmarkEnd w:id="173"/>
    </w:p>
    <w:p w14:paraId="467A1C2C">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评审的基本原则：评标委员会将依据采购文件的规定，遵循“公开、公平、公正、择优、信用”的原则进行评审工作。</w:t>
      </w:r>
    </w:p>
    <w:p w14:paraId="0B05DE4E">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从公开开标到签订合同，凡与审查、澄清、评审和投标有关的资料以及定标意见相关的事项，均不得向投标人及与评标无关的其他人透露。</w:t>
      </w:r>
    </w:p>
    <w:p w14:paraId="31D69B1F">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任何单位和个人不得非法干预、影响评标的过程和结果。</w:t>
      </w:r>
    </w:p>
    <w:p w14:paraId="6D60DB2C">
      <w:pPr>
        <w:rPr>
          <w:rFonts w:ascii="宋体" w:hAnsi="宋体" w:cs="宋体"/>
          <w:color w:val="auto"/>
          <w:highlight w:val="none"/>
        </w:rPr>
      </w:pPr>
    </w:p>
    <w:p w14:paraId="2DDCF727">
      <w:pPr>
        <w:pStyle w:val="6"/>
        <w:widowControl w:val="0"/>
        <w:numPr>
          <w:ilvl w:val="0"/>
          <w:numId w:val="4"/>
        </w:numPr>
        <w:overflowPunct w:val="0"/>
        <w:rPr>
          <w:rFonts w:ascii="宋体" w:hAnsi="宋体" w:cs="宋体"/>
          <w:color w:val="auto"/>
          <w:sz w:val="21"/>
          <w:szCs w:val="21"/>
          <w:highlight w:val="none"/>
        </w:rPr>
      </w:pPr>
      <w:bookmarkStart w:id="174" w:name="_Toc20338"/>
      <w:r>
        <w:rPr>
          <w:rFonts w:hint="eastAsia" w:ascii="宋体" w:hAnsi="宋体" w:cs="宋体"/>
          <w:color w:val="auto"/>
          <w:sz w:val="21"/>
          <w:szCs w:val="21"/>
          <w:highlight w:val="none"/>
        </w:rPr>
        <w:t>评标程序</w:t>
      </w:r>
      <w:bookmarkEnd w:id="174"/>
    </w:p>
    <w:p w14:paraId="1F8C3048">
      <w:pPr>
        <w:widowControl w:val="0"/>
        <w:numPr>
          <w:ilvl w:val="1"/>
          <w:numId w:val="4"/>
        </w:numPr>
        <w:overflowPunct w:val="0"/>
        <w:rPr>
          <w:rFonts w:ascii="宋体" w:hAnsi="宋体" w:cs="宋体"/>
          <w:b/>
          <w:bCs/>
          <w:color w:val="auto"/>
          <w:szCs w:val="21"/>
          <w:highlight w:val="none"/>
        </w:rPr>
      </w:pPr>
      <w:r>
        <w:rPr>
          <w:rFonts w:hint="eastAsia" w:ascii="宋体" w:hAnsi="宋体" w:cs="宋体"/>
          <w:b/>
          <w:bCs/>
          <w:color w:val="auto"/>
          <w:szCs w:val="21"/>
          <w:highlight w:val="none"/>
        </w:rPr>
        <w:t>资格性、符合性审查</w:t>
      </w:r>
    </w:p>
    <w:p w14:paraId="72854E77">
      <w:pPr>
        <w:widowControl w:val="0"/>
        <w:overflowPunct w:val="0"/>
        <w:ind w:firstLine="420" w:firstLineChars="200"/>
        <w:rPr>
          <w:rFonts w:ascii="宋体" w:hAnsi="宋体" w:cs="宋体"/>
          <w:color w:val="auto"/>
          <w:szCs w:val="21"/>
          <w:highlight w:val="none"/>
        </w:rPr>
      </w:pPr>
      <w:r>
        <w:rPr>
          <w:rFonts w:hint="eastAsia" w:ascii="宋体" w:hAnsi="宋体" w:cs="宋体"/>
          <w:color w:val="auto"/>
          <w:szCs w:val="21"/>
          <w:highlight w:val="none"/>
        </w:rPr>
        <w:t>公开采购项目开标结束后，评标委员会根据《资格性、符合性审查表》将依法对投标人进行资格性、符合性审查。投标人必须严格按照《资格性、符合性审查表》的评审内容的要求如实提供证明材料并应加盖投标人公章，对缺漏或不符合项将直接导致无效投标。合格投标人不足3家的，不得评标。未通过资格性、符合性审查的投标人不进入</w:t>
      </w:r>
      <w:r>
        <w:rPr>
          <w:rFonts w:hint="eastAsia" w:hAnsi="宋体" w:cs="宋体"/>
          <w:color w:val="auto"/>
          <w:szCs w:val="21"/>
          <w:highlight w:val="none"/>
        </w:rPr>
        <w:t>评标阶段</w:t>
      </w:r>
      <w:r>
        <w:rPr>
          <w:rFonts w:hint="eastAsia" w:ascii="宋体" w:hAnsi="宋体" w:cs="宋体"/>
          <w:color w:val="auto"/>
          <w:szCs w:val="21"/>
          <w:highlight w:val="none"/>
        </w:rPr>
        <w:t>的评审。</w:t>
      </w:r>
    </w:p>
    <w:p w14:paraId="5018DBA1">
      <w:pPr>
        <w:jc w:val="center"/>
        <w:rPr>
          <w:b/>
          <w:bCs/>
          <w:color w:val="auto"/>
          <w:highlight w:val="none"/>
        </w:rPr>
      </w:pPr>
      <w:r>
        <w:rPr>
          <w:b/>
          <w:bCs/>
          <w:color w:val="auto"/>
          <w:highlight w:val="none"/>
        </w:rPr>
        <w:t>《资格性</w:t>
      </w:r>
      <w:r>
        <w:rPr>
          <w:rFonts w:hint="eastAsia"/>
          <w:b/>
          <w:bCs/>
          <w:color w:val="auto"/>
          <w:highlight w:val="none"/>
        </w:rPr>
        <w:t>、符合性</w:t>
      </w:r>
      <w:r>
        <w:rPr>
          <w:b/>
          <w:bCs/>
          <w:color w:val="auto"/>
          <w:highlight w:val="none"/>
        </w:rPr>
        <w:t>审查表》</w:t>
      </w:r>
    </w:p>
    <w:tbl>
      <w:tblPr>
        <w:tblStyle w:val="3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99"/>
        <w:gridCol w:w="7823"/>
      </w:tblGrid>
      <w:tr w14:paraId="6C514D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0" w:type="pct"/>
            <w:tcBorders>
              <w:top w:val="single" w:color="auto" w:sz="4" w:space="0"/>
              <w:left w:val="single" w:color="auto" w:sz="4" w:space="0"/>
              <w:bottom w:val="single" w:color="auto" w:sz="4" w:space="0"/>
              <w:right w:val="single" w:color="auto" w:sz="4" w:space="0"/>
              <w:tl2br w:val="nil"/>
              <w:tr2bl w:val="nil"/>
            </w:tcBorders>
            <w:vAlign w:val="center"/>
          </w:tcPr>
          <w:p w14:paraId="0FF9E208">
            <w:pPr>
              <w:keepNext w:val="0"/>
              <w:keepLines w:val="0"/>
              <w:pageBreakBefore w:val="0"/>
              <w:widowControl/>
              <w:kinsoku/>
              <w:wordWrap/>
              <w:overflowPunct/>
              <w:topLinePunct w:val="0"/>
              <w:autoSpaceDE/>
              <w:autoSpaceDN/>
              <w:bidi w:val="0"/>
              <w:adjustRightInd w:val="0"/>
              <w:snapToGrid w:val="0"/>
              <w:spacing w:line="240" w:lineRule="auto"/>
              <w:ind w:left="0"/>
              <w:jc w:val="center"/>
              <w:rPr>
                <w:rFonts w:ascii="宋体" w:hAnsi="宋体" w:cs="宋体"/>
                <w:b/>
                <w:color w:val="auto"/>
                <w:szCs w:val="21"/>
                <w:highlight w:val="none"/>
              </w:rPr>
            </w:pPr>
            <w:r>
              <w:rPr>
                <w:rFonts w:hint="eastAsia" w:ascii="宋体" w:hAnsi="宋体" w:cs="宋体"/>
                <w:b/>
                <w:color w:val="auto"/>
                <w:szCs w:val="21"/>
                <w:highlight w:val="none"/>
              </w:rPr>
              <w:t>序号</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1BEAC4B9">
            <w:pPr>
              <w:keepNext w:val="0"/>
              <w:keepLines w:val="0"/>
              <w:pageBreakBefore w:val="0"/>
              <w:widowControl/>
              <w:kinsoku/>
              <w:wordWrap/>
              <w:overflowPunct/>
              <w:topLinePunct w:val="0"/>
              <w:autoSpaceDE/>
              <w:autoSpaceDN/>
              <w:bidi w:val="0"/>
              <w:adjustRightInd w:val="0"/>
              <w:snapToGrid w:val="0"/>
              <w:spacing w:line="240" w:lineRule="auto"/>
              <w:ind w:left="0"/>
              <w:jc w:val="center"/>
              <w:rPr>
                <w:rFonts w:ascii="宋体" w:hAnsi="宋体" w:cs="宋体"/>
                <w:b/>
                <w:color w:val="auto"/>
                <w:szCs w:val="21"/>
                <w:highlight w:val="none"/>
              </w:rPr>
            </w:pPr>
            <w:r>
              <w:rPr>
                <w:rFonts w:hint="eastAsia" w:ascii="宋体" w:hAnsi="宋体" w:cs="宋体"/>
                <w:b/>
                <w:color w:val="auto"/>
                <w:szCs w:val="21"/>
                <w:highlight w:val="none"/>
              </w:rPr>
              <w:t>评 审 内 容</w:t>
            </w:r>
          </w:p>
        </w:tc>
      </w:tr>
      <w:tr w14:paraId="52C73B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0" w:type="pct"/>
            <w:vMerge w:val="restart"/>
            <w:tcBorders>
              <w:top w:val="single" w:color="auto" w:sz="4" w:space="0"/>
              <w:left w:val="single" w:color="auto" w:sz="4" w:space="0"/>
              <w:right w:val="single" w:color="auto" w:sz="4" w:space="0"/>
              <w:tl2br w:val="nil"/>
              <w:tr2bl w:val="nil"/>
            </w:tcBorders>
            <w:vAlign w:val="center"/>
          </w:tcPr>
          <w:p w14:paraId="4793D180">
            <w:pPr>
              <w:keepNext w:val="0"/>
              <w:keepLines w:val="0"/>
              <w:pageBreakBefore w:val="0"/>
              <w:widowControl/>
              <w:numPr>
                <w:ilvl w:val="0"/>
                <w:numId w:val="0"/>
              </w:numPr>
              <w:tabs>
                <w:tab w:val="left" w:pos="176"/>
                <w:tab w:val="left" w:pos="612"/>
              </w:tabs>
              <w:kinsoku/>
              <w:wordWrap/>
              <w:overflowPunct/>
              <w:topLinePunct w:val="0"/>
              <w:autoSpaceDE/>
              <w:autoSpaceDN/>
              <w:bidi w:val="0"/>
              <w:adjustRightInd w:val="0"/>
              <w:snapToGrid w:val="0"/>
              <w:spacing w:line="240" w:lineRule="auto"/>
              <w:ind w:left="0" w:leftChars="0"/>
              <w:jc w:val="center"/>
              <w:rPr>
                <w:rFonts w:hint="default"/>
                <w:color w:val="auto"/>
                <w:highlight w:val="none"/>
                <w:lang w:val="en-US" w:eastAsia="zh-CN"/>
              </w:rPr>
            </w:pPr>
            <w:r>
              <w:rPr>
                <w:rFonts w:hint="eastAsia"/>
                <w:color w:val="auto"/>
                <w:highlight w:val="none"/>
                <w:lang w:val="en-US" w:eastAsia="zh-CN"/>
              </w:rPr>
              <w:t>1</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70D48910">
            <w:pPr>
              <w:keepNext w:val="0"/>
              <w:keepLines w:val="0"/>
              <w:pageBreakBefore w:val="0"/>
              <w:widowControl/>
              <w:tabs>
                <w:tab w:val="left" w:pos="612"/>
              </w:tabs>
              <w:kinsoku/>
              <w:wordWrap/>
              <w:overflowPunct/>
              <w:topLinePunct w:val="0"/>
              <w:autoSpaceDE/>
              <w:autoSpaceDN/>
              <w:bidi w:val="0"/>
              <w:adjustRightInd w:val="0"/>
              <w:snapToGrid w:val="0"/>
              <w:spacing w:line="240" w:lineRule="auto"/>
              <w:ind w:left="0"/>
              <w:jc w:val="both"/>
              <w:rPr>
                <w:rFonts w:ascii="宋体" w:hAnsi="宋体" w:cs="宋体"/>
                <w:color w:val="auto"/>
                <w:szCs w:val="21"/>
                <w:highlight w:val="none"/>
              </w:rPr>
            </w:pPr>
            <w:r>
              <w:rPr>
                <w:rFonts w:hint="eastAsia" w:ascii="宋体" w:hAnsi="宋体" w:cs="宋体"/>
                <w:color w:val="auto"/>
                <w:szCs w:val="21"/>
                <w:highlight w:val="none"/>
              </w:rPr>
              <w:t>（1）投标人须为在中华人民共和国境内登记注册的具有独立承担民事责任能力的法人或其他组织【提供《营业执照》复印件（加盖公章）或《事业单位法人证书》复印件（加盖公章）或其他主体证书复印件（加盖公章）】；</w:t>
            </w:r>
          </w:p>
        </w:tc>
      </w:tr>
      <w:tr w14:paraId="308D79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0" w:type="pct"/>
            <w:vMerge w:val="continue"/>
            <w:tcBorders>
              <w:left w:val="single" w:color="auto" w:sz="4" w:space="0"/>
              <w:right w:val="single" w:color="auto" w:sz="4" w:space="0"/>
              <w:tl2br w:val="nil"/>
              <w:tr2bl w:val="nil"/>
            </w:tcBorders>
            <w:vAlign w:val="center"/>
          </w:tcPr>
          <w:p w14:paraId="45B5C0F9">
            <w:pPr>
              <w:keepNext w:val="0"/>
              <w:keepLines w:val="0"/>
              <w:pageBreakBefore w:val="0"/>
              <w:widowControl/>
              <w:tabs>
                <w:tab w:val="left" w:pos="176"/>
                <w:tab w:val="left" w:pos="420"/>
                <w:tab w:val="left" w:pos="612"/>
              </w:tabs>
              <w:kinsoku/>
              <w:wordWrap/>
              <w:overflowPunct/>
              <w:topLinePunct w:val="0"/>
              <w:autoSpaceDE/>
              <w:autoSpaceDN/>
              <w:bidi w:val="0"/>
              <w:adjustRightInd w:val="0"/>
              <w:snapToGrid w:val="0"/>
              <w:spacing w:line="240" w:lineRule="auto"/>
              <w:ind w:left="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6C7962A8">
            <w:pPr>
              <w:keepNext w:val="0"/>
              <w:keepLines w:val="0"/>
              <w:pageBreakBefore w:val="0"/>
              <w:widowControl/>
              <w:tabs>
                <w:tab w:val="left" w:pos="612"/>
              </w:tabs>
              <w:kinsoku/>
              <w:wordWrap/>
              <w:overflowPunct/>
              <w:topLinePunct w:val="0"/>
              <w:autoSpaceDE/>
              <w:autoSpaceDN/>
              <w:bidi w:val="0"/>
              <w:adjustRightInd w:val="0"/>
              <w:snapToGrid w:val="0"/>
              <w:spacing w:line="240" w:lineRule="auto"/>
              <w:ind w:left="0"/>
              <w:jc w:val="both"/>
              <w:rPr>
                <w:rFonts w:ascii="宋体" w:hAnsi="宋体" w:cs="宋体"/>
                <w:color w:val="auto"/>
                <w:szCs w:val="21"/>
                <w:highlight w:val="none"/>
              </w:rPr>
            </w:pPr>
            <w:r>
              <w:rPr>
                <w:rFonts w:hint="eastAsia" w:ascii="宋体" w:hAnsi="宋体" w:cs="宋体"/>
                <w:color w:val="auto"/>
                <w:szCs w:val="21"/>
                <w:highlight w:val="none"/>
              </w:rPr>
              <w:t>（2）</w:t>
            </w:r>
            <w:r>
              <w:rPr>
                <w:rFonts w:hint="eastAsia" w:ascii="宋体" w:hAnsi="宋体"/>
                <w:color w:val="auto"/>
                <w:szCs w:val="21"/>
                <w:highlight w:val="none"/>
              </w:rPr>
              <w:t>参加采购活动前三年内，</w:t>
            </w:r>
            <w:r>
              <w:rPr>
                <w:rFonts w:hint="eastAsia" w:ascii="宋体" w:hAnsi="宋体"/>
                <w:color w:val="auto"/>
                <w:szCs w:val="21"/>
                <w:highlight w:val="none"/>
              </w:rPr>
              <w:t>在经营活动中没有重大违法记录（</w:t>
            </w:r>
            <w:r>
              <w:rPr>
                <w:rFonts w:hint="eastAsia" w:ascii="宋体" w:hAnsi="宋体"/>
                <w:b/>
                <w:bCs/>
                <w:color w:val="auto"/>
                <w:szCs w:val="21"/>
                <w:highlight w:val="none"/>
              </w:rPr>
              <w:t>须提供书面声明</w:t>
            </w:r>
            <w:r>
              <w:rPr>
                <w:rFonts w:hint="eastAsia" w:ascii="宋体" w:hAnsi="宋体"/>
                <w:color w:val="auto"/>
                <w:szCs w:val="21"/>
                <w:highlight w:val="none"/>
                <w:lang w:eastAsia="zh-CN"/>
              </w:rPr>
              <w:t>，</w:t>
            </w:r>
            <w:r>
              <w:rPr>
                <w:rFonts w:hint="eastAsia" w:ascii="宋体" w:hAnsi="宋体"/>
                <w:b/>
                <w:bCs/>
                <w:color w:val="auto"/>
                <w:szCs w:val="21"/>
                <w:highlight w:val="none"/>
                <w:lang w:val="en-US" w:eastAsia="zh-CN"/>
              </w:rPr>
              <w:t>详见附件</w:t>
            </w:r>
            <w:r>
              <w:rPr>
                <w:rFonts w:hint="eastAsia" w:ascii="宋体" w:hAnsi="宋体"/>
                <w:color w:val="auto"/>
                <w:szCs w:val="21"/>
                <w:highlight w:val="none"/>
              </w:rPr>
              <w:t>）。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如有最新发文通知，按最新文件执行）。</w:t>
            </w:r>
          </w:p>
        </w:tc>
      </w:tr>
      <w:tr w14:paraId="1E07F1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0" w:type="pct"/>
            <w:vMerge w:val="continue"/>
            <w:tcBorders>
              <w:left w:val="single" w:color="auto" w:sz="4" w:space="0"/>
              <w:right w:val="single" w:color="auto" w:sz="4" w:space="0"/>
              <w:tl2br w:val="nil"/>
              <w:tr2bl w:val="nil"/>
            </w:tcBorders>
            <w:vAlign w:val="center"/>
          </w:tcPr>
          <w:p w14:paraId="12918EFC">
            <w:pPr>
              <w:keepNext w:val="0"/>
              <w:keepLines w:val="0"/>
              <w:pageBreakBefore w:val="0"/>
              <w:widowControl/>
              <w:tabs>
                <w:tab w:val="left" w:pos="176"/>
                <w:tab w:val="left" w:pos="420"/>
                <w:tab w:val="left" w:pos="612"/>
              </w:tabs>
              <w:kinsoku/>
              <w:wordWrap/>
              <w:overflowPunct/>
              <w:topLinePunct w:val="0"/>
              <w:autoSpaceDE/>
              <w:autoSpaceDN/>
              <w:bidi w:val="0"/>
              <w:adjustRightInd w:val="0"/>
              <w:snapToGrid w:val="0"/>
              <w:spacing w:line="240" w:lineRule="auto"/>
              <w:ind w:left="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118C9B7C">
            <w:pPr>
              <w:keepNext w:val="0"/>
              <w:keepLines w:val="0"/>
              <w:pageBreakBefore w:val="0"/>
              <w:widowControl/>
              <w:tabs>
                <w:tab w:val="left" w:pos="612"/>
              </w:tabs>
              <w:kinsoku/>
              <w:wordWrap/>
              <w:overflowPunct/>
              <w:topLinePunct w:val="0"/>
              <w:autoSpaceDE/>
              <w:autoSpaceDN/>
              <w:bidi w:val="0"/>
              <w:adjustRightInd w:val="0"/>
              <w:snapToGrid w:val="0"/>
              <w:spacing w:line="240" w:lineRule="auto"/>
              <w:ind w:left="0"/>
              <w:jc w:val="both"/>
              <w:rPr>
                <w:rFonts w:ascii="宋体" w:hAnsi="宋体" w:cs="宋体"/>
                <w:color w:val="auto"/>
                <w:szCs w:val="21"/>
                <w:highlight w:val="none"/>
              </w:rPr>
            </w:pPr>
            <w:r>
              <w:rPr>
                <w:rFonts w:hint="eastAsia" w:ascii="宋体" w:hAnsi="宋体" w:cs="宋体"/>
                <w:color w:val="auto"/>
                <w:szCs w:val="21"/>
                <w:highlight w:val="none"/>
              </w:rPr>
              <w:t>（3）</w:t>
            </w:r>
            <w:r>
              <w:rPr>
                <w:rFonts w:hint="eastAsia" w:ascii="宋体" w:hAnsi="宋体"/>
                <w:color w:val="auto"/>
                <w:szCs w:val="21"/>
                <w:highlight w:val="none"/>
              </w:rPr>
              <w:t>投标人的单位负责人为同一人或者存在直接控股、管理关系的不同投标人，不得参加同一合同项下的采购活动。</w:t>
            </w:r>
          </w:p>
        </w:tc>
      </w:tr>
      <w:tr w14:paraId="090AD4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0" w:type="pct"/>
            <w:vMerge w:val="continue"/>
            <w:tcBorders>
              <w:left w:val="single" w:color="auto" w:sz="4" w:space="0"/>
              <w:right w:val="single" w:color="auto" w:sz="4" w:space="0"/>
              <w:tl2br w:val="nil"/>
              <w:tr2bl w:val="nil"/>
            </w:tcBorders>
            <w:vAlign w:val="center"/>
          </w:tcPr>
          <w:p w14:paraId="4515A9DD">
            <w:pPr>
              <w:keepNext w:val="0"/>
              <w:keepLines w:val="0"/>
              <w:pageBreakBefore w:val="0"/>
              <w:widowControl/>
              <w:tabs>
                <w:tab w:val="left" w:pos="176"/>
                <w:tab w:val="left" w:pos="420"/>
                <w:tab w:val="left" w:pos="612"/>
              </w:tabs>
              <w:kinsoku/>
              <w:wordWrap/>
              <w:overflowPunct/>
              <w:topLinePunct w:val="0"/>
              <w:autoSpaceDE/>
              <w:autoSpaceDN/>
              <w:bidi w:val="0"/>
              <w:adjustRightInd w:val="0"/>
              <w:snapToGrid w:val="0"/>
              <w:spacing w:line="240" w:lineRule="auto"/>
              <w:ind w:left="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68DA5086">
            <w:pPr>
              <w:keepNext w:val="0"/>
              <w:keepLines w:val="0"/>
              <w:pageBreakBefore w:val="0"/>
              <w:widowControl/>
              <w:tabs>
                <w:tab w:val="left" w:pos="612"/>
              </w:tabs>
              <w:kinsoku/>
              <w:wordWrap/>
              <w:overflowPunct/>
              <w:topLinePunct w:val="0"/>
              <w:autoSpaceDE/>
              <w:autoSpaceDN/>
              <w:bidi w:val="0"/>
              <w:adjustRightInd w:val="0"/>
              <w:snapToGrid w:val="0"/>
              <w:spacing w:line="240" w:lineRule="auto"/>
              <w:ind w:left="0"/>
              <w:jc w:val="both"/>
              <w:rPr>
                <w:rFonts w:ascii="宋体" w:hAnsi="宋体" w:cs="宋体"/>
                <w:color w:val="auto"/>
                <w:szCs w:val="21"/>
                <w:highlight w:val="none"/>
              </w:rPr>
            </w:pPr>
            <w:r>
              <w:rPr>
                <w:rFonts w:hint="eastAsia" w:ascii="宋体" w:hAnsi="宋体" w:cs="宋体"/>
                <w:color w:val="auto"/>
                <w:szCs w:val="21"/>
                <w:highlight w:val="none"/>
              </w:rPr>
              <w:t>（4）</w:t>
            </w:r>
            <w:r>
              <w:rPr>
                <w:rFonts w:hint="eastAsia" w:ascii="宋体" w:hAnsi="宋体"/>
                <w:color w:val="auto"/>
                <w:szCs w:val="21"/>
                <w:highlight w:val="none"/>
              </w:rPr>
              <w:t>未被列入“信用中国”网站(www.creditchina.gov.cn )“记录失信被执行人或</w:t>
            </w:r>
            <w:r>
              <w:rPr>
                <w:rFonts w:hint="eastAsia"/>
                <w:color w:val="auto"/>
                <w:highlight w:val="none"/>
              </w:rPr>
              <w:t>重大税收违法失信主体</w:t>
            </w:r>
            <w:r>
              <w:rPr>
                <w:rFonts w:hint="eastAsia" w:ascii="宋体" w:hAnsi="宋体"/>
                <w:color w:val="auto"/>
                <w:szCs w:val="21"/>
                <w:highlight w:val="none"/>
              </w:rPr>
              <w:t>或政府采购严重违法失信行为”记录名单。以代理机构于投标截止日当天在“信用中国”网站查询结果为准，如相关失信记录已失效，投标人需提供相关证明资料。</w:t>
            </w:r>
          </w:p>
        </w:tc>
      </w:tr>
      <w:tr w14:paraId="1A64EF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0" w:type="pct"/>
            <w:vMerge w:val="continue"/>
            <w:tcBorders>
              <w:left w:val="single" w:color="auto" w:sz="4" w:space="0"/>
              <w:right w:val="single" w:color="auto" w:sz="4" w:space="0"/>
              <w:tl2br w:val="nil"/>
              <w:tr2bl w:val="nil"/>
            </w:tcBorders>
            <w:vAlign w:val="center"/>
          </w:tcPr>
          <w:p w14:paraId="580787FB">
            <w:pPr>
              <w:keepNext w:val="0"/>
              <w:keepLines w:val="0"/>
              <w:pageBreakBefore w:val="0"/>
              <w:widowControl/>
              <w:tabs>
                <w:tab w:val="left" w:pos="176"/>
                <w:tab w:val="left" w:pos="420"/>
                <w:tab w:val="left" w:pos="612"/>
              </w:tabs>
              <w:kinsoku/>
              <w:wordWrap/>
              <w:overflowPunct/>
              <w:topLinePunct w:val="0"/>
              <w:autoSpaceDE/>
              <w:autoSpaceDN/>
              <w:bidi w:val="0"/>
              <w:adjustRightInd w:val="0"/>
              <w:snapToGrid w:val="0"/>
              <w:spacing w:line="240" w:lineRule="auto"/>
              <w:ind w:left="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25FC4838">
            <w:pPr>
              <w:keepNext w:val="0"/>
              <w:keepLines w:val="0"/>
              <w:pageBreakBefore w:val="0"/>
              <w:widowControl/>
              <w:tabs>
                <w:tab w:val="left" w:pos="612"/>
              </w:tabs>
              <w:kinsoku/>
              <w:wordWrap/>
              <w:overflowPunct/>
              <w:topLinePunct w:val="0"/>
              <w:autoSpaceDE/>
              <w:autoSpaceDN/>
              <w:bidi w:val="0"/>
              <w:adjustRightInd w:val="0"/>
              <w:snapToGrid w:val="0"/>
              <w:spacing w:line="240" w:lineRule="auto"/>
              <w:ind w:left="0"/>
              <w:jc w:val="both"/>
              <w:rPr>
                <w:rFonts w:ascii="宋体" w:hAnsi="宋体" w:cs="宋体"/>
                <w:color w:val="auto"/>
                <w:szCs w:val="21"/>
                <w:highlight w:val="none"/>
              </w:rPr>
            </w:pPr>
            <w:r>
              <w:rPr>
                <w:rFonts w:hint="eastAsia" w:ascii="宋体" w:hAnsi="宋体" w:cs="宋体"/>
                <w:color w:val="auto"/>
                <w:szCs w:val="21"/>
                <w:highlight w:val="none"/>
              </w:rPr>
              <w:t>（5）</w:t>
            </w:r>
            <w:r>
              <w:rPr>
                <w:rFonts w:hint="eastAsia" w:ascii="宋体" w:hAnsi="宋体"/>
                <w:color w:val="auto"/>
                <w:szCs w:val="21"/>
                <w:highlight w:val="none"/>
              </w:rPr>
              <w:t>报价人须提供投标截止日前6个月内任意1个月依法缴纳税收的证明材料及无欠税的证明材料。如依法免税的，须提供相应证明材料（</w:t>
            </w:r>
            <w:r>
              <w:rPr>
                <w:rFonts w:hint="eastAsia" w:ascii="宋体" w:hAnsi="宋体"/>
                <w:b/>
                <w:bCs/>
                <w:color w:val="auto"/>
                <w:szCs w:val="21"/>
                <w:highlight w:val="none"/>
              </w:rPr>
              <w:t>提供依法缴纳税收的证明材料及无欠税的证明材料，</w:t>
            </w:r>
            <w:r>
              <w:rPr>
                <w:rFonts w:hint="eastAsia" w:ascii="宋体" w:hAnsi="宋体"/>
                <w:b/>
                <w:bCs/>
                <w:color w:val="auto"/>
                <w:szCs w:val="21"/>
                <w:highlight w:val="none"/>
                <w:lang w:val="en-US" w:eastAsia="zh-CN"/>
              </w:rPr>
              <w:t>详见附件</w:t>
            </w:r>
            <w:r>
              <w:rPr>
                <w:rFonts w:hint="eastAsia" w:ascii="宋体" w:hAnsi="宋体"/>
                <w:color w:val="auto"/>
                <w:szCs w:val="21"/>
                <w:highlight w:val="none"/>
                <w:lang w:eastAsia="zh-CN"/>
              </w:rPr>
              <w:t>，</w:t>
            </w:r>
            <w:r>
              <w:rPr>
                <w:rFonts w:hint="eastAsia" w:ascii="宋体" w:hAnsi="宋体"/>
                <w:color w:val="auto"/>
                <w:szCs w:val="21"/>
                <w:highlight w:val="none"/>
              </w:rPr>
              <w:t>证明材料须加盖公章）。</w:t>
            </w:r>
          </w:p>
        </w:tc>
      </w:tr>
      <w:tr w14:paraId="7A695C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0" w:type="pct"/>
            <w:vMerge w:val="continue"/>
            <w:tcBorders>
              <w:left w:val="single" w:color="auto" w:sz="4" w:space="0"/>
              <w:right w:val="single" w:color="auto" w:sz="4" w:space="0"/>
              <w:tl2br w:val="nil"/>
              <w:tr2bl w:val="nil"/>
            </w:tcBorders>
            <w:vAlign w:val="center"/>
          </w:tcPr>
          <w:p w14:paraId="5869C0A0">
            <w:pPr>
              <w:keepNext w:val="0"/>
              <w:keepLines w:val="0"/>
              <w:pageBreakBefore w:val="0"/>
              <w:widowControl/>
              <w:tabs>
                <w:tab w:val="left" w:pos="176"/>
                <w:tab w:val="left" w:pos="420"/>
                <w:tab w:val="left" w:pos="612"/>
              </w:tabs>
              <w:kinsoku/>
              <w:wordWrap/>
              <w:overflowPunct/>
              <w:topLinePunct w:val="0"/>
              <w:autoSpaceDE/>
              <w:autoSpaceDN/>
              <w:bidi w:val="0"/>
              <w:adjustRightInd w:val="0"/>
              <w:snapToGrid w:val="0"/>
              <w:spacing w:line="240" w:lineRule="auto"/>
              <w:ind w:left="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0EBF7B79">
            <w:pPr>
              <w:keepNext w:val="0"/>
              <w:keepLines w:val="0"/>
              <w:pageBreakBefore w:val="0"/>
              <w:widowControl/>
              <w:tabs>
                <w:tab w:val="left" w:pos="612"/>
              </w:tabs>
              <w:kinsoku/>
              <w:wordWrap/>
              <w:overflowPunct/>
              <w:topLinePunct w:val="0"/>
              <w:autoSpaceDE/>
              <w:autoSpaceDN/>
              <w:bidi w:val="0"/>
              <w:adjustRightInd w:val="0"/>
              <w:snapToGrid w:val="0"/>
              <w:spacing w:line="240" w:lineRule="auto"/>
              <w:ind w:left="0"/>
              <w:jc w:val="both"/>
              <w:rPr>
                <w:rFonts w:hint="eastAsia" w:ascii="宋体" w:hAnsi="宋体" w:eastAsia="宋体" w:cs="宋体"/>
                <w:color w:val="auto"/>
                <w:szCs w:val="21"/>
                <w:highlight w:val="none"/>
                <w:lang w:eastAsia="zh-CN"/>
              </w:rPr>
            </w:pPr>
            <w:r>
              <w:rPr>
                <w:rFonts w:hint="eastAsia" w:ascii="宋体" w:hAnsi="宋体" w:cs="宋体"/>
                <w:color w:val="auto"/>
                <w:szCs w:val="21"/>
                <w:highlight w:val="none"/>
              </w:rPr>
              <w:t>（6）</w:t>
            </w:r>
            <w:r>
              <w:rPr>
                <w:rFonts w:hint="eastAsia" w:ascii="宋体" w:hAnsi="宋体"/>
                <w:color w:val="auto"/>
                <w:szCs w:val="21"/>
                <w:highlight w:val="none"/>
              </w:rPr>
              <w:t>未被列入东实环境及下属企业相关领域黑名单</w:t>
            </w:r>
            <w:r>
              <w:rPr>
                <w:rFonts w:hint="eastAsia" w:ascii="宋体" w:hAnsi="宋体"/>
                <w:color w:val="auto"/>
                <w:szCs w:val="21"/>
                <w:highlight w:val="none"/>
                <w:lang w:eastAsia="zh-CN"/>
              </w:rPr>
              <w:t>。</w:t>
            </w:r>
          </w:p>
        </w:tc>
      </w:tr>
      <w:tr w14:paraId="606D5B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0" w:type="pct"/>
            <w:vMerge w:val="continue"/>
            <w:tcBorders>
              <w:left w:val="single" w:color="auto" w:sz="4" w:space="0"/>
              <w:right w:val="single" w:color="auto" w:sz="4" w:space="0"/>
              <w:tl2br w:val="nil"/>
              <w:tr2bl w:val="nil"/>
            </w:tcBorders>
            <w:vAlign w:val="center"/>
          </w:tcPr>
          <w:p w14:paraId="2234B79F">
            <w:pPr>
              <w:keepNext w:val="0"/>
              <w:keepLines w:val="0"/>
              <w:pageBreakBefore w:val="0"/>
              <w:widowControl/>
              <w:tabs>
                <w:tab w:val="left" w:pos="176"/>
                <w:tab w:val="left" w:pos="420"/>
                <w:tab w:val="left" w:pos="612"/>
              </w:tabs>
              <w:kinsoku/>
              <w:wordWrap/>
              <w:overflowPunct/>
              <w:topLinePunct w:val="0"/>
              <w:autoSpaceDE/>
              <w:autoSpaceDN/>
              <w:bidi w:val="0"/>
              <w:adjustRightInd w:val="0"/>
              <w:snapToGrid w:val="0"/>
              <w:spacing w:line="240" w:lineRule="auto"/>
              <w:ind w:left="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43CA12BC">
            <w:pPr>
              <w:keepNext w:val="0"/>
              <w:keepLines w:val="0"/>
              <w:pageBreakBefore w:val="0"/>
              <w:widowControl/>
              <w:tabs>
                <w:tab w:val="left" w:pos="612"/>
              </w:tabs>
              <w:kinsoku/>
              <w:wordWrap/>
              <w:overflowPunct/>
              <w:topLinePunct w:val="0"/>
              <w:autoSpaceDE/>
              <w:autoSpaceDN/>
              <w:bidi w:val="0"/>
              <w:adjustRightInd w:val="0"/>
              <w:snapToGrid w:val="0"/>
              <w:spacing w:line="240" w:lineRule="auto"/>
              <w:ind w:left="0"/>
              <w:jc w:val="both"/>
              <w:rPr>
                <w:rFonts w:ascii="宋体" w:hAnsi="宋体" w:cs="宋体"/>
                <w:color w:val="auto"/>
                <w:szCs w:val="21"/>
                <w:highlight w:val="none"/>
              </w:rPr>
            </w:pP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7</w:t>
            </w:r>
            <w:r>
              <w:rPr>
                <w:rFonts w:hint="eastAsia" w:ascii="宋体" w:hAnsi="宋体" w:cs="宋体"/>
                <w:color w:val="auto"/>
                <w:szCs w:val="21"/>
                <w:highlight w:val="none"/>
              </w:rPr>
              <w:t>）</w:t>
            </w:r>
            <w:r>
              <w:rPr>
                <w:rFonts w:hint="eastAsia" w:ascii="宋体" w:hAnsi="宋体"/>
                <w:color w:val="auto"/>
                <w:szCs w:val="21"/>
                <w:highlight w:val="none"/>
              </w:rPr>
              <w:t>本项目不接受联合体投标</w:t>
            </w:r>
            <w:r>
              <w:rPr>
                <w:rFonts w:hint="eastAsia" w:ascii="宋体" w:hAnsi="宋体" w:cs="宋体"/>
                <w:color w:val="auto"/>
                <w:szCs w:val="21"/>
                <w:highlight w:val="none"/>
              </w:rPr>
              <w:t>。</w:t>
            </w:r>
          </w:p>
        </w:tc>
      </w:tr>
      <w:tr w14:paraId="3106F2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0" w:type="pct"/>
            <w:vMerge w:val="continue"/>
            <w:tcBorders>
              <w:left w:val="single" w:color="auto" w:sz="4" w:space="0"/>
              <w:right w:val="single" w:color="auto" w:sz="4" w:space="0"/>
              <w:tl2br w:val="nil"/>
              <w:tr2bl w:val="nil"/>
            </w:tcBorders>
            <w:vAlign w:val="center"/>
          </w:tcPr>
          <w:p w14:paraId="3D7F341A">
            <w:pPr>
              <w:keepNext w:val="0"/>
              <w:keepLines w:val="0"/>
              <w:pageBreakBefore w:val="0"/>
              <w:widowControl/>
              <w:tabs>
                <w:tab w:val="left" w:pos="176"/>
                <w:tab w:val="left" w:pos="420"/>
                <w:tab w:val="left" w:pos="612"/>
              </w:tabs>
              <w:kinsoku/>
              <w:wordWrap/>
              <w:overflowPunct/>
              <w:topLinePunct w:val="0"/>
              <w:autoSpaceDE/>
              <w:autoSpaceDN/>
              <w:bidi w:val="0"/>
              <w:adjustRightInd w:val="0"/>
              <w:snapToGrid w:val="0"/>
              <w:spacing w:line="240" w:lineRule="auto"/>
              <w:ind w:left="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28137A04">
            <w:pPr>
              <w:keepNext w:val="0"/>
              <w:keepLines w:val="0"/>
              <w:pageBreakBefore w:val="0"/>
              <w:widowControl/>
              <w:tabs>
                <w:tab w:val="left" w:pos="612"/>
              </w:tabs>
              <w:kinsoku/>
              <w:wordWrap/>
              <w:overflowPunct/>
              <w:topLinePunct w:val="0"/>
              <w:autoSpaceDE/>
              <w:autoSpaceDN/>
              <w:bidi w:val="0"/>
              <w:adjustRightInd w:val="0"/>
              <w:snapToGrid w:val="0"/>
              <w:spacing w:line="240" w:lineRule="auto"/>
              <w:ind w:left="0"/>
              <w:jc w:val="both"/>
              <w:rPr>
                <w:rFonts w:hint="eastAsia" w:ascii="宋体" w:hAnsi="宋体" w:cs="宋体"/>
                <w:color w:val="auto"/>
                <w:szCs w:val="21"/>
                <w:highlight w:val="none"/>
              </w:rPr>
            </w:pPr>
            <w:r>
              <w:rPr>
                <w:rFonts w:hint="eastAsia" w:ascii="宋体" w:hAnsi="宋体" w:eastAsia="宋体"/>
                <w:color w:val="auto"/>
                <w:szCs w:val="21"/>
                <w:highlight w:val="none"/>
              </w:rPr>
              <w:t>（</w:t>
            </w:r>
            <w:r>
              <w:rPr>
                <w:rFonts w:hint="eastAsia" w:ascii="宋体" w:hAnsi="宋体" w:eastAsia="宋体"/>
                <w:color w:val="auto"/>
                <w:szCs w:val="21"/>
                <w:highlight w:val="none"/>
                <w:lang w:val="en-US" w:eastAsia="zh-CN"/>
              </w:rPr>
              <w:t>8</w:t>
            </w:r>
            <w:r>
              <w:rPr>
                <w:rFonts w:hint="eastAsia" w:ascii="宋体" w:hAnsi="宋体" w:eastAsia="宋体"/>
                <w:color w:val="auto"/>
                <w:szCs w:val="21"/>
                <w:highlight w:val="none"/>
              </w:rPr>
              <w:t>）投标人必须持有在有效期内的《道路运输经营许可证》，经营范围需涵盖“危险货物运输”，提供许可证复印件并加盖公章。</w:t>
            </w:r>
          </w:p>
        </w:tc>
      </w:tr>
      <w:tr w14:paraId="11AB1F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0" w:type="pct"/>
            <w:tcBorders>
              <w:top w:val="single" w:color="auto" w:sz="4" w:space="0"/>
              <w:left w:val="single" w:color="auto" w:sz="4" w:space="0"/>
              <w:bottom w:val="single" w:color="auto" w:sz="4" w:space="0"/>
              <w:right w:val="single" w:color="auto" w:sz="4" w:space="0"/>
              <w:tl2br w:val="nil"/>
              <w:tr2bl w:val="nil"/>
            </w:tcBorders>
            <w:vAlign w:val="center"/>
          </w:tcPr>
          <w:p w14:paraId="48624278">
            <w:pPr>
              <w:keepNext w:val="0"/>
              <w:keepLines w:val="0"/>
              <w:pageBreakBefore w:val="0"/>
              <w:widowControl/>
              <w:numPr>
                <w:ilvl w:val="0"/>
                <w:numId w:val="0"/>
              </w:numPr>
              <w:tabs>
                <w:tab w:val="center" w:pos="241"/>
                <w:tab w:val="left" w:pos="612"/>
              </w:tabs>
              <w:kinsoku/>
              <w:wordWrap/>
              <w:overflowPunct/>
              <w:topLinePunct w:val="0"/>
              <w:autoSpaceDE/>
              <w:autoSpaceDN/>
              <w:bidi w:val="0"/>
              <w:adjustRightInd w:val="0"/>
              <w:snapToGrid w:val="0"/>
              <w:spacing w:line="240" w:lineRule="auto"/>
              <w:ind w:left="0" w:leftChars="0"/>
              <w:jc w:val="center"/>
              <w:rPr>
                <w:rFonts w:hint="default" w:ascii="宋体" w:hAnsi="宋体" w:eastAsia="宋体" w:cs="宋体"/>
                <w:color w:val="auto"/>
                <w:szCs w:val="21"/>
                <w:highlight w:val="none"/>
                <w:lang w:val="en-US" w:eastAsia="zh-CN"/>
              </w:rPr>
            </w:pPr>
            <w:r>
              <w:rPr>
                <w:rFonts w:hint="eastAsia" w:ascii="宋体" w:hAnsi="宋体" w:cs="宋体"/>
                <w:color w:val="auto"/>
                <w:szCs w:val="21"/>
                <w:highlight w:val="none"/>
                <w:lang w:val="en-US" w:eastAsia="zh-CN"/>
              </w:rPr>
              <w:t>2</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7E7455FF">
            <w:pPr>
              <w:keepNext w:val="0"/>
              <w:keepLines w:val="0"/>
              <w:pageBreakBefore w:val="0"/>
              <w:widowControl/>
              <w:kinsoku/>
              <w:wordWrap/>
              <w:overflowPunct/>
              <w:topLinePunct w:val="0"/>
              <w:autoSpaceDE/>
              <w:autoSpaceDN/>
              <w:bidi w:val="0"/>
              <w:adjustRightInd w:val="0"/>
              <w:snapToGrid w:val="0"/>
              <w:spacing w:line="240" w:lineRule="auto"/>
              <w:ind w:left="0"/>
              <w:textAlignment w:val="center"/>
              <w:rPr>
                <w:rFonts w:ascii="宋体" w:hAnsi="宋体" w:cs="宋体"/>
                <w:color w:val="auto"/>
                <w:szCs w:val="21"/>
                <w:highlight w:val="none"/>
                <w:lang w:bidi="ar"/>
              </w:rPr>
            </w:pPr>
            <w:r>
              <w:rPr>
                <w:rFonts w:hint="eastAsia" w:ascii="宋体" w:hAnsi="宋体" w:cs="宋体"/>
                <w:color w:val="auto"/>
                <w:szCs w:val="21"/>
                <w:highlight w:val="none"/>
                <w:lang w:bidi="ar"/>
              </w:rPr>
              <w:t>投标人按照采购文件要求提交投标保证金；</w:t>
            </w:r>
          </w:p>
        </w:tc>
      </w:tr>
      <w:tr w14:paraId="59F5FF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0" w:type="pct"/>
            <w:tcBorders>
              <w:top w:val="single" w:color="auto" w:sz="4" w:space="0"/>
              <w:left w:val="single" w:color="auto" w:sz="4" w:space="0"/>
              <w:bottom w:val="single" w:color="auto" w:sz="4" w:space="0"/>
              <w:right w:val="single" w:color="auto" w:sz="4" w:space="0"/>
              <w:tl2br w:val="nil"/>
              <w:tr2bl w:val="nil"/>
            </w:tcBorders>
            <w:vAlign w:val="center"/>
          </w:tcPr>
          <w:p w14:paraId="3790948E">
            <w:pPr>
              <w:keepNext w:val="0"/>
              <w:keepLines w:val="0"/>
              <w:pageBreakBefore w:val="0"/>
              <w:widowControl/>
              <w:numPr>
                <w:ilvl w:val="0"/>
                <w:numId w:val="0"/>
              </w:numPr>
              <w:tabs>
                <w:tab w:val="left" w:pos="612"/>
              </w:tabs>
              <w:kinsoku/>
              <w:wordWrap/>
              <w:overflowPunct/>
              <w:topLinePunct w:val="0"/>
              <w:autoSpaceDE/>
              <w:autoSpaceDN/>
              <w:bidi w:val="0"/>
              <w:adjustRightInd w:val="0"/>
              <w:snapToGrid w:val="0"/>
              <w:spacing w:line="240" w:lineRule="auto"/>
              <w:ind w:left="0" w:leftChars="0"/>
              <w:jc w:val="center"/>
              <w:rPr>
                <w:rFonts w:hint="eastAsia" w:ascii="宋体" w:hAnsi="宋体" w:eastAsia="宋体" w:cs="宋体"/>
                <w:color w:val="auto"/>
                <w:szCs w:val="21"/>
                <w:highlight w:val="none"/>
                <w:lang w:val="en-US" w:eastAsia="zh-CN"/>
              </w:rPr>
            </w:pPr>
            <w:r>
              <w:rPr>
                <w:rFonts w:hint="eastAsia" w:ascii="宋体" w:hAnsi="宋体" w:cs="宋体"/>
                <w:color w:val="auto"/>
                <w:szCs w:val="21"/>
                <w:highlight w:val="none"/>
                <w:lang w:val="en-US" w:eastAsia="zh-CN"/>
              </w:rPr>
              <w:t>3</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0E67DE2C">
            <w:pPr>
              <w:keepNext w:val="0"/>
              <w:keepLines w:val="0"/>
              <w:pageBreakBefore w:val="0"/>
              <w:widowControl/>
              <w:kinsoku/>
              <w:wordWrap/>
              <w:overflowPunct/>
              <w:topLinePunct w:val="0"/>
              <w:autoSpaceDE/>
              <w:autoSpaceDN/>
              <w:bidi w:val="0"/>
              <w:adjustRightInd w:val="0"/>
              <w:snapToGrid w:val="0"/>
              <w:spacing w:line="240" w:lineRule="auto"/>
              <w:ind w:left="0"/>
              <w:textAlignment w:val="center"/>
              <w:rPr>
                <w:rFonts w:ascii="宋体" w:hAnsi="宋体" w:cs="宋体"/>
                <w:color w:val="auto"/>
                <w:szCs w:val="21"/>
                <w:highlight w:val="none"/>
              </w:rPr>
            </w:pPr>
            <w:r>
              <w:rPr>
                <w:rFonts w:hint="eastAsia" w:ascii="宋体" w:hAnsi="宋体" w:cs="宋体"/>
                <w:color w:val="auto"/>
                <w:szCs w:val="21"/>
                <w:highlight w:val="none"/>
                <w:lang w:bidi="ar"/>
              </w:rPr>
              <w:t>投标文件按照采购文件要求签署盖章；</w:t>
            </w:r>
          </w:p>
        </w:tc>
      </w:tr>
      <w:tr w14:paraId="17E3B2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0" w:type="pct"/>
            <w:tcBorders>
              <w:top w:val="single" w:color="auto" w:sz="4" w:space="0"/>
              <w:left w:val="single" w:color="auto" w:sz="4" w:space="0"/>
              <w:bottom w:val="single" w:color="auto" w:sz="4" w:space="0"/>
              <w:right w:val="single" w:color="auto" w:sz="4" w:space="0"/>
              <w:tl2br w:val="nil"/>
              <w:tr2bl w:val="nil"/>
            </w:tcBorders>
            <w:vAlign w:val="center"/>
          </w:tcPr>
          <w:p w14:paraId="00302D65">
            <w:pPr>
              <w:keepNext w:val="0"/>
              <w:keepLines w:val="0"/>
              <w:pageBreakBefore w:val="0"/>
              <w:widowControl/>
              <w:numPr>
                <w:ilvl w:val="0"/>
                <w:numId w:val="0"/>
              </w:numPr>
              <w:tabs>
                <w:tab w:val="left" w:pos="176"/>
                <w:tab w:val="left" w:pos="612"/>
              </w:tabs>
              <w:kinsoku/>
              <w:wordWrap/>
              <w:overflowPunct/>
              <w:topLinePunct w:val="0"/>
              <w:autoSpaceDE/>
              <w:autoSpaceDN/>
              <w:bidi w:val="0"/>
              <w:adjustRightInd w:val="0"/>
              <w:snapToGrid w:val="0"/>
              <w:spacing w:line="240" w:lineRule="auto"/>
              <w:ind w:left="0" w:leftChars="0"/>
              <w:jc w:val="center"/>
              <w:rPr>
                <w:rFonts w:hint="eastAsia" w:ascii="宋体" w:hAnsi="宋体" w:eastAsia="宋体" w:cs="宋体"/>
                <w:color w:val="auto"/>
                <w:szCs w:val="21"/>
                <w:highlight w:val="none"/>
                <w:lang w:val="en-US" w:eastAsia="zh-CN"/>
              </w:rPr>
            </w:pPr>
            <w:r>
              <w:rPr>
                <w:rFonts w:hint="eastAsia" w:ascii="宋体" w:hAnsi="宋体" w:cs="宋体"/>
                <w:color w:val="auto"/>
                <w:szCs w:val="21"/>
                <w:highlight w:val="none"/>
                <w:lang w:val="en-US" w:eastAsia="zh-CN"/>
              </w:rPr>
              <w:t>4</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3176A4E9">
            <w:pPr>
              <w:keepNext w:val="0"/>
              <w:keepLines w:val="0"/>
              <w:pageBreakBefore w:val="0"/>
              <w:widowControl/>
              <w:kinsoku/>
              <w:wordWrap/>
              <w:overflowPunct/>
              <w:topLinePunct w:val="0"/>
              <w:autoSpaceDE/>
              <w:autoSpaceDN/>
              <w:bidi w:val="0"/>
              <w:adjustRightInd w:val="0"/>
              <w:snapToGrid w:val="0"/>
              <w:spacing w:line="240" w:lineRule="auto"/>
              <w:ind w:left="0"/>
              <w:textAlignment w:val="center"/>
              <w:rPr>
                <w:rFonts w:ascii="宋体" w:hAnsi="宋体" w:cs="宋体"/>
                <w:color w:val="auto"/>
                <w:szCs w:val="21"/>
                <w:highlight w:val="none"/>
              </w:rPr>
            </w:pPr>
            <w:r>
              <w:rPr>
                <w:rFonts w:hint="eastAsia" w:ascii="宋体" w:hAnsi="宋体" w:cs="宋体"/>
                <w:color w:val="auto"/>
                <w:szCs w:val="21"/>
                <w:highlight w:val="none"/>
                <w:lang w:bidi="ar"/>
              </w:rPr>
              <w:t>投标</w:t>
            </w:r>
            <w:r>
              <w:rPr>
                <w:rFonts w:hint="eastAsia" w:ascii="宋体" w:hAnsi="宋体" w:cs="宋体"/>
                <w:color w:val="auto"/>
                <w:szCs w:val="21"/>
                <w:highlight w:val="none"/>
                <w:lang w:val="en-US" w:eastAsia="zh-CN" w:bidi="ar"/>
              </w:rPr>
              <w:t>单价未超过单价限价；</w:t>
            </w:r>
          </w:p>
        </w:tc>
      </w:tr>
      <w:tr w14:paraId="57CCFA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0" w:type="pct"/>
            <w:tcBorders>
              <w:top w:val="single" w:color="auto" w:sz="4" w:space="0"/>
              <w:left w:val="single" w:color="auto" w:sz="4" w:space="0"/>
              <w:bottom w:val="single" w:color="auto" w:sz="4" w:space="0"/>
              <w:right w:val="single" w:color="auto" w:sz="4" w:space="0"/>
              <w:tl2br w:val="nil"/>
              <w:tr2bl w:val="nil"/>
            </w:tcBorders>
            <w:vAlign w:val="center"/>
          </w:tcPr>
          <w:p w14:paraId="35CBFD45">
            <w:pPr>
              <w:keepNext w:val="0"/>
              <w:keepLines w:val="0"/>
              <w:pageBreakBefore w:val="0"/>
              <w:widowControl/>
              <w:tabs>
                <w:tab w:val="left" w:pos="176"/>
                <w:tab w:val="left" w:pos="612"/>
              </w:tabs>
              <w:kinsoku/>
              <w:wordWrap/>
              <w:overflowPunct/>
              <w:topLinePunct w:val="0"/>
              <w:autoSpaceDE/>
              <w:autoSpaceDN/>
              <w:bidi w:val="0"/>
              <w:adjustRightInd w:val="0"/>
              <w:snapToGrid w:val="0"/>
              <w:spacing w:line="240" w:lineRule="auto"/>
              <w:ind w:left="0"/>
              <w:jc w:val="center"/>
              <w:rPr>
                <w:rFonts w:hint="eastAsia" w:ascii="宋体" w:hAnsi="宋体" w:eastAsia="宋体" w:cs="宋体"/>
                <w:color w:val="auto"/>
                <w:szCs w:val="21"/>
                <w:highlight w:val="none"/>
                <w:lang w:val="en-US" w:eastAsia="zh-CN"/>
              </w:rPr>
            </w:pPr>
            <w:r>
              <w:rPr>
                <w:rFonts w:hint="eastAsia" w:ascii="宋体" w:hAnsi="宋体" w:cs="宋体"/>
                <w:color w:val="auto"/>
                <w:szCs w:val="21"/>
                <w:highlight w:val="none"/>
                <w:lang w:val="en-US" w:eastAsia="zh-CN"/>
              </w:rPr>
              <w:t>5</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1B6AC85B">
            <w:pPr>
              <w:keepNext w:val="0"/>
              <w:keepLines w:val="0"/>
              <w:pageBreakBefore w:val="0"/>
              <w:widowControl/>
              <w:kinsoku/>
              <w:wordWrap/>
              <w:overflowPunct/>
              <w:topLinePunct w:val="0"/>
              <w:autoSpaceDE/>
              <w:autoSpaceDN/>
              <w:bidi w:val="0"/>
              <w:adjustRightInd w:val="0"/>
              <w:snapToGrid w:val="0"/>
              <w:spacing w:line="240" w:lineRule="auto"/>
              <w:ind w:left="0"/>
              <w:textAlignment w:val="center"/>
              <w:rPr>
                <w:rFonts w:ascii="宋体" w:hAnsi="宋体" w:cs="宋体"/>
                <w:color w:val="auto"/>
                <w:szCs w:val="21"/>
                <w:highlight w:val="none"/>
                <w:lang w:bidi="ar"/>
              </w:rPr>
            </w:pPr>
            <w:r>
              <w:rPr>
                <w:rFonts w:hint="eastAsia" w:ascii="宋体" w:hAnsi="宋体" w:cs="宋体"/>
                <w:color w:val="auto"/>
                <w:szCs w:val="21"/>
                <w:highlight w:val="none"/>
                <w:lang w:bidi="ar"/>
              </w:rPr>
              <w:t>投标文件未含有采购人不能接受的附加条件；</w:t>
            </w:r>
          </w:p>
        </w:tc>
      </w:tr>
      <w:tr w14:paraId="7B1C96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0" w:type="pct"/>
            <w:tcBorders>
              <w:top w:val="single" w:color="auto" w:sz="4" w:space="0"/>
              <w:left w:val="single" w:color="auto" w:sz="4" w:space="0"/>
              <w:bottom w:val="single" w:color="auto" w:sz="4" w:space="0"/>
              <w:right w:val="single" w:color="auto" w:sz="4" w:space="0"/>
              <w:tl2br w:val="nil"/>
              <w:tr2bl w:val="nil"/>
            </w:tcBorders>
            <w:vAlign w:val="center"/>
          </w:tcPr>
          <w:p w14:paraId="014C6395">
            <w:pPr>
              <w:keepNext w:val="0"/>
              <w:keepLines w:val="0"/>
              <w:pageBreakBefore w:val="0"/>
              <w:widowControl/>
              <w:tabs>
                <w:tab w:val="left" w:pos="176"/>
                <w:tab w:val="left" w:pos="612"/>
              </w:tabs>
              <w:kinsoku/>
              <w:wordWrap/>
              <w:overflowPunct/>
              <w:topLinePunct w:val="0"/>
              <w:autoSpaceDE/>
              <w:autoSpaceDN/>
              <w:bidi w:val="0"/>
              <w:adjustRightInd w:val="0"/>
              <w:snapToGrid w:val="0"/>
              <w:spacing w:line="240" w:lineRule="auto"/>
              <w:ind w:left="0" w:firstLine="210" w:firstLineChars="100"/>
              <w:jc w:val="both"/>
              <w:rPr>
                <w:rFonts w:hint="eastAsia" w:ascii="宋体" w:hAnsi="宋体" w:eastAsia="宋体" w:cs="宋体"/>
                <w:color w:val="auto"/>
                <w:szCs w:val="21"/>
                <w:highlight w:val="none"/>
                <w:lang w:val="en-US" w:eastAsia="zh-CN"/>
              </w:rPr>
            </w:pPr>
            <w:r>
              <w:rPr>
                <w:rFonts w:hint="eastAsia" w:ascii="宋体" w:hAnsi="宋体" w:cs="宋体"/>
                <w:color w:val="auto"/>
                <w:szCs w:val="21"/>
                <w:highlight w:val="none"/>
                <w:lang w:val="en-US" w:eastAsia="zh-CN"/>
              </w:rPr>
              <w:t>6</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687F52AB">
            <w:pPr>
              <w:keepNext w:val="0"/>
              <w:keepLines w:val="0"/>
              <w:pageBreakBefore w:val="0"/>
              <w:widowControl/>
              <w:kinsoku/>
              <w:wordWrap/>
              <w:overflowPunct/>
              <w:topLinePunct w:val="0"/>
              <w:autoSpaceDE/>
              <w:autoSpaceDN/>
              <w:bidi w:val="0"/>
              <w:adjustRightInd w:val="0"/>
              <w:snapToGrid w:val="0"/>
              <w:spacing w:line="240" w:lineRule="auto"/>
              <w:ind w:left="0"/>
              <w:textAlignment w:val="center"/>
              <w:rPr>
                <w:rFonts w:ascii="宋体" w:hAnsi="宋体" w:cs="宋体"/>
                <w:color w:val="auto"/>
                <w:szCs w:val="21"/>
                <w:highlight w:val="none"/>
              </w:rPr>
            </w:pPr>
            <w:r>
              <w:rPr>
                <w:rFonts w:hint="eastAsia" w:ascii="宋体" w:hAnsi="宋体" w:cs="宋体"/>
                <w:color w:val="auto"/>
                <w:szCs w:val="21"/>
                <w:highlight w:val="none"/>
                <w:lang w:bidi="ar"/>
              </w:rPr>
              <w:t>无负偏离标注“★”符号的条款。</w:t>
            </w:r>
          </w:p>
        </w:tc>
      </w:tr>
      <w:tr w14:paraId="313F2E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0" w:type="pct"/>
            <w:tcBorders>
              <w:top w:val="single" w:color="auto" w:sz="4" w:space="0"/>
              <w:left w:val="single" w:color="auto" w:sz="4" w:space="0"/>
              <w:bottom w:val="single" w:color="auto" w:sz="4" w:space="0"/>
              <w:right w:val="single" w:color="auto" w:sz="4" w:space="0"/>
              <w:tl2br w:val="nil"/>
              <w:tr2bl w:val="nil"/>
            </w:tcBorders>
            <w:vAlign w:val="center"/>
          </w:tcPr>
          <w:p w14:paraId="0177E204">
            <w:pPr>
              <w:keepNext w:val="0"/>
              <w:keepLines w:val="0"/>
              <w:pageBreakBefore w:val="0"/>
              <w:widowControl/>
              <w:tabs>
                <w:tab w:val="left" w:pos="176"/>
                <w:tab w:val="left" w:pos="612"/>
              </w:tabs>
              <w:kinsoku/>
              <w:wordWrap/>
              <w:overflowPunct/>
              <w:topLinePunct w:val="0"/>
              <w:autoSpaceDE/>
              <w:autoSpaceDN/>
              <w:bidi w:val="0"/>
              <w:adjustRightInd w:val="0"/>
              <w:snapToGrid w:val="0"/>
              <w:spacing w:line="240" w:lineRule="auto"/>
              <w:ind w:left="0" w:firstLine="210" w:firstLineChars="100"/>
              <w:jc w:val="both"/>
              <w:rPr>
                <w:rFonts w:hint="eastAsia" w:ascii="宋体" w:hAnsi="宋体" w:eastAsia="宋体" w:cs="宋体"/>
                <w:color w:val="auto"/>
                <w:szCs w:val="21"/>
                <w:highlight w:val="none"/>
                <w:lang w:val="en-US" w:eastAsia="zh-CN"/>
              </w:rPr>
            </w:pPr>
            <w:r>
              <w:rPr>
                <w:rFonts w:hint="eastAsia" w:ascii="宋体" w:hAnsi="宋体" w:cs="宋体"/>
                <w:color w:val="auto"/>
                <w:szCs w:val="21"/>
                <w:highlight w:val="none"/>
                <w:lang w:val="en-US" w:eastAsia="zh-CN"/>
              </w:rPr>
              <w:t>7</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242C37A3">
            <w:pPr>
              <w:keepNext w:val="0"/>
              <w:keepLines w:val="0"/>
              <w:pageBreakBefore w:val="0"/>
              <w:widowControl/>
              <w:kinsoku/>
              <w:wordWrap/>
              <w:overflowPunct/>
              <w:topLinePunct w:val="0"/>
              <w:autoSpaceDE/>
              <w:autoSpaceDN/>
              <w:bidi w:val="0"/>
              <w:adjustRightInd w:val="0"/>
              <w:snapToGrid w:val="0"/>
              <w:spacing w:line="240" w:lineRule="auto"/>
              <w:ind w:left="0"/>
              <w:textAlignment w:val="center"/>
              <w:rPr>
                <w:rFonts w:ascii="宋体" w:hAnsi="宋体" w:cs="宋体"/>
                <w:color w:val="auto"/>
                <w:szCs w:val="21"/>
                <w:highlight w:val="none"/>
                <w:lang w:bidi="ar"/>
              </w:rPr>
            </w:pPr>
            <w:r>
              <w:rPr>
                <w:rFonts w:hint="eastAsia" w:ascii="宋体" w:hAnsi="宋体" w:cs="宋体"/>
                <w:color w:val="auto"/>
                <w:szCs w:val="21"/>
                <w:highlight w:val="none"/>
              </w:rPr>
              <w:t>未出现</w:t>
            </w:r>
            <w:r>
              <w:rPr>
                <w:rFonts w:hint="eastAsia" w:ascii="宋体" w:hAnsi="宋体" w:cs="宋体"/>
                <w:color w:val="auto"/>
                <w:szCs w:val="21"/>
                <w:highlight w:val="none"/>
                <w:lang w:bidi="ar"/>
              </w:rPr>
              <w:t>法律、法规和招标文件规定的其他无效情形。</w:t>
            </w:r>
          </w:p>
        </w:tc>
      </w:tr>
    </w:tbl>
    <w:p w14:paraId="55879925">
      <w:pPr>
        <w:widowControl w:val="0"/>
        <w:overflowPunct w:val="0"/>
        <w:ind w:firstLine="420" w:firstLineChars="200"/>
        <w:rPr>
          <w:rFonts w:ascii="宋体" w:hAnsi="宋体"/>
          <w:color w:val="auto"/>
          <w:szCs w:val="21"/>
          <w:highlight w:val="none"/>
        </w:rPr>
      </w:pPr>
      <w:r>
        <w:rPr>
          <w:rFonts w:hint="eastAsia" w:ascii="宋体" w:hAnsi="宋体"/>
          <w:color w:val="auto"/>
          <w:szCs w:val="21"/>
          <w:highlight w:val="none"/>
        </w:rPr>
        <w:t>以上资格性、符合性审查中带有不合格分项的投标文件，将作无效标处理。经评标委员会确认的无效投标文件，采购人和采购代理机构将予以拒绝，并且不允许通过修正或撤</w:t>
      </w:r>
      <w:r>
        <w:rPr>
          <w:rFonts w:hint="eastAsia" w:ascii="宋体" w:hAnsi="宋体"/>
          <w:color w:val="auto"/>
          <w:szCs w:val="21"/>
          <w:highlight w:val="none"/>
          <w:lang w:val="en-US" w:eastAsia="zh-CN"/>
        </w:rPr>
        <w:t>销</w:t>
      </w:r>
      <w:r>
        <w:rPr>
          <w:rFonts w:hint="eastAsia" w:ascii="宋体" w:hAnsi="宋体"/>
          <w:color w:val="auto"/>
          <w:szCs w:val="21"/>
          <w:highlight w:val="none"/>
        </w:rPr>
        <w:t>其不符合要求的差异，使之成为具有符合性的投标文件。经评标委员会资格性、符合性审查确认具有有效投标文件的投标人不足三家时将重新组织采购</w:t>
      </w:r>
    </w:p>
    <w:p w14:paraId="090F9257">
      <w:pPr>
        <w:widowControl w:val="0"/>
        <w:numPr>
          <w:ilvl w:val="1"/>
          <w:numId w:val="4"/>
        </w:numPr>
        <w:overflowPunct w:val="0"/>
        <w:rPr>
          <w:rFonts w:ascii="宋体" w:hAnsi="宋体" w:cs="宋体"/>
          <w:b/>
          <w:bCs/>
          <w:color w:val="auto"/>
          <w:szCs w:val="21"/>
          <w:highlight w:val="none"/>
        </w:rPr>
      </w:pPr>
      <w:r>
        <w:rPr>
          <w:rFonts w:hint="eastAsia" w:ascii="宋体" w:hAnsi="宋体" w:cs="宋体"/>
          <w:b/>
          <w:bCs/>
          <w:color w:val="auto"/>
          <w:szCs w:val="21"/>
          <w:highlight w:val="none"/>
        </w:rPr>
        <w:t>投标文件报价出现前后不一致的，评标委员会按照下列规定修正：</w:t>
      </w:r>
    </w:p>
    <w:p w14:paraId="6DAEB44A">
      <w:pPr>
        <w:widowControl w:val="0"/>
        <w:numPr>
          <w:ilvl w:val="0"/>
          <w:numId w:val="7"/>
        </w:numPr>
        <w:overflowPunct w:val="0"/>
        <w:rPr>
          <w:rFonts w:ascii="宋体" w:hAnsi="宋体" w:cs="宋体"/>
          <w:color w:val="auto"/>
          <w:szCs w:val="21"/>
          <w:highlight w:val="none"/>
        </w:rPr>
      </w:pPr>
      <w:r>
        <w:rPr>
          <w:rFonts w:hint="eastAsia" w:ascii="宋体" w:hAnsi="宋体" w:cs="宋体"/>
          <w:color w:val="auto"/>
          <w:szCs w:val="21"/>
          <w:highlight w:val="none"/>
        </w:rPr>
        <w:t>投标文件中开标一览表（报价表）内容与投标文件中相应内容不一致的，以开标一览表（报价表）为准；</w:t>
      </w:r>
    </w:p>
    <w:p w14:paraId="4BD9D710">
      <w:pPr>
        <w:widowControl w:val="0"/>
        <w:numPr>
          <w:ilvl w:val="0"/>
          <w:numId w:val="7"/>
        </w:numPr>
        <w:overflowPunct w:val="0"/>
        <w:rPr>
          <w:rFonts w:ascii="宋体" w:hAnsi="宋体" w:cs="宋体"/>
          <w:color w:val="auto"/>
          <w:szCs w:val="21"/>
          <w:highlight w:val="none"/>
        </w:rPr>
      </w:pPr>
      <w:r>
        <w:rPr>
          <w:rFonts w:hint="eastAsia" w:ascii="宋体" w:hAnsi="宋体" w:cs="宋体"/>
          <w:color w:val="auto"/>
          <w:szCs w:val="21"/>
          <w:highlight w:val="none"/>
        </w:rPr>
        <w:t>大写金额和小写金额不一致的，以大写金额为准；</w:t>
      </w:r>
    </w:p>
    <w:p w14:paraId="37DB3578">
      <w:pPr>
        <w:widowControl w:val="0"/>
        <w:numPr>
          <w:ilvl w:val="0"/>
          <w:numId w:val="7"/>
        </w:numPr>
        <w:overflowPunct w:val="0"/>
        <w:rPr>
          <w:rFonts w:ascii="宋体" w:hAnsi="宋体" w:cs="宋体"/>
          <w:color w:val="auto"/>
          <w:szCs w:val="21"/>
          <w:highlight w:val="none"/>
        </w:rPr>
      </w:pPr>
      <w:r>
        <w:rPr>
          <w:rFonts w:hint="eastAsia" w:ascii="宋体" w:hAnsi="宋体" w:cs="宋体"/>
          <w:color w:val="auto"/>
          <w:szCs w:val="21"/>
          <w:highlight w:val="none"/>
        </w:rPr>
        <w:t>单价金额小数点或者百分比有明显错位的，</w:t>
      </w:r>
      <w:r>
        <w:rPr>
          <w:rFonts w:hint="eastAsia"/>
          <w:color w:val="auto"/>
          <w:highlight w:val="none"/>
          <w:lang w:val="en-US" w:eastAsia="zh-CN"/>
        </w:rPr>
        <w:t>以清单报价为准，并修正总价</w:t>
      </w:r>
      <w:r>
        <w:rPr>
          <w:rFonts w:hint="eastAsia" w:ascii="宋体" w:hAnsi="宋体" w:cs="宋体"/>
          <w:color w:val="auto"/>
          <w:szCs w:val="21"/>
          <w:highlight w:val="none"/>
        </w:rPr>
        <w:t>；</w:t>
      </w:r>
    </w:p>
    <w:p w14:paraId="67AC9D37">
      <w:pPr>
        <w:widowControl w:val="0"/>
        <w:numPr>
          <w:ilvl w:val="0"/>
          <w:numId w:val="7"/>
        </w:numPr>
        <w:overflowPunct w:val="0"/>
        <w:rPr>
          <w:rFonts w:ascii="宋体" w:hAnsi="宋体" w:cs="宋体"/>
          <w:color w:val="auto"/>
          <w:szCs w:val="21"/>
          <w:highlight w:val="none"/>
        </w:rPr>
      </w:pPr>
      <w:r>
        <w:rPr>
          <w:rFonts w:hint="eastAsia" w:ascii="宋体" w:hAnsi="宋体" w:cs="宋体"/>
          <w:color w:val="auto"/>
          <w:szCs w:val="21"/>
          <w:highlight w:val="none"/>
        </w:rPr>
        <w:t>总价金额与按单价汇总金额不一致的，以单价金额计算结果为准。</w:t>
      </w:r>
    </w:p>
    <w:p w14:paraId="7A0DD56F">
      <w:pPr>
        <w:widowControl w:val="0"/>
        <w:numPr>
          <w:ilvl w:val="0"/>
          <w:numId w:val="7"/>
        </w:numPr>
        <w:overflowPunct w:val="0"/>
        <w:rPr>
          <w:rFonts w:ascii="宋体" w:hAnsi="宋体" w:cs="宋体"/>
          <w:color w:val="auto"/>
          <w:szCs w:val="21"/>
          <w:highlight w:val="none"/>
        </w:rPr>
      </w:pPr>
      <w:r>
        <w:rPr>
          <w:rFonts w:hint="eastAsia" w:ascii="宋体" w:hAnsi="宋体" w:cs="宋体"/>
          <w:color w:val="auto"/>
          <w:szCs w:val="21"/>
          <w:highlight w:val="none"/>
        </w:rPr>
        <w:t>同时出现两种以上不一致的，按照前款规定的顺序修正。修正后的报价按照经投标人确认后产生约束力，投标人不确认的，其投标无效。</w:t>
      </w:r>
    </w:p>
    <w:p w14:paraId="0B60154F">
      <w:pPr>
        <w:widowControl w:val="0"/>
        <w:overflowPunct w:val="0"/>
        <w:ind w:left="630" w:hanging="630" w:hangingChars="300"/>
        <w:rPr>
          <w:rFonts w:ascii="宋体" w:hAnsi="宋体" w:cs="宋体"/>
          <w:color w:val="auto"/>
          <w:szCs w:val="21"/>
          <w:highlight w:val="none"/>
        </w:rPr>
      </w:pPr>
      <w:r>
        <w:rPr>
          <w:rFonts w:hint="eastAsia" w:ascii="宋体" w:hAnsi="宋体" w:cs="宋体"/>
          <w:color w:val="auto"/>
          <w:szCs w:val="21"/>
          <w:highlight w:val="none"/>
        </w:rPr>
        <w:t>26.3  评标委员会认为投标人的报价明显低于其他通过符合性审查投标人的报价，有可能影响产品质量或者不能诚信履约的，应当要求其在评标现场合理的时间内提供书面说明（以现场通知时间为准），必要时提交相关证明材料；投标人不能证明其报价合理性的，评标委员会应当将其作为无效投标处理。</w:t>
      </w:r>
    </w:p>
    <w:p w14:paraId="760910B5">
      <w:pPr>
        <w:widowControl w:val="0"/>
        <w:overflowPunct w:val="0"/>
        <w:ind w:left="630" w:hanging="630" w:hangingChars="300"/>
        <w:rPr>
          <w:rFonts w:ascii="宋体" w:hAnsi="宋体" w:cs="宋体"/>
          <w:color w:val="auto"/>
          <w:szCs w:val="21"/>
          <w:highlight w:val="none"/>
        </w:rPr>
      </w:pPr>
      <w:r>
        <w:rPr>
          <w:rFonts w:hint="eastAsia" w:ascii="宋体" w:hAnsi="宋体" w:cs="宋体"/>
          <w:color w:val="auto"/>
          <w:szCs w:val="21"/>
          <w:highlight w:val="none"/>
        </w:rPr>
        <w:t>26.4  对于投标文件中不构成实质性偏差的不正规、不一致或不规则，评标委员会可以接受，但这种接受不能损害或影响任何投标人的相对排序。</w:t>
      </w:r>
    </w:p>
    <w:p w14:paraId="189E8E33">
      <w:pPr>
        <w:widowControl w:val="0"/>
        <w:overflowPunct w:val="0"/>
        <w:ind w:left="630" w:hanging="630" w:hangingChars="300"/>
        <w:rPr>
          <w:rFonts w:ascii="宋体" w:hAnsi="宋体" w:cs="宋体"/>
          <w:color w:val="auto"/>
          <w:szCs w:val="21"/>
          <w:highlight w:val="none"/>
        </w:rPr>
      </w:pPr>
      <w:r>
        <w:rPr>
          <w:rFonts w:hint="eastAsia" w:ascii="宋体" w:hAnsi="宋体" w:cs="宋体"/>
          <w:color w:val="auto"/>
          <w:szCs w:val="21"/>
          <w:highlight w:val="none"/>
        </w:rPr>
        <w:t>26.5  在详细评标之前，评标委员会要审查每份投标文件是否实质上响应了采购文件的要求。实质上响应的投标应该是与采购文件要求的全部主要条款（加“★”号）、条件和规格相符，没有重大偏离的投标。对关键条文的偏离、保留或反对，例如关于投标保证金、合同条款的重大偏离将被认为是实质上的偏离。评标委员会决定投标文件的响应性只根据投标文件本身的内容，而不寻求外部的证据。</w:t>
      </w:r>
    </w:p>
    <w:p w14:paraId="5792E542">
      <w:pPr>
        <w:pStyle w:val="10"/>
        <w:rPr>
          <w:color w:val="auto"/>
          <w:highlight w:val="none"/>
        </w:rPr>
      </w:pPr>
    </w:p>
    <w:p w14:paraId="4C84512A">
      <w:pPr>
        <w:pStyle w:val="6"/>
        <w:widowControl w:val="0"/>
        <w:numPr>
          <w:ilvl w:val="0"/>
          <w:numId w:val="4"/>
        </w:numPr>
        <w:overflowPunct w:val="0"/>
        <w:rPr>
          <w:rFonts w:ascii="宋体" w:hAnsi="宋体" w:cs="宋体"/>
          <w:color w:val="auto"/>
          <w:sz w:val="21"/>
          <w:szCs w:val="21"/>
          <w:highlight w:val="none"/>
        </w:rPr>
      </w:pPr>
      <w:bookmarkStart w:id="175" w:name="_Toc5539"/>
      <w:bookmarkStart w:id="176" w:name="_Toc4799"/>
      <w:r>
        <w:rPr>
          <w:rFonts w:hint="eastAsia" w:ascii="宋体" w:hAnsi="宋体" w:cs="宋体"/>
          <w:color w:val="auto"/>
          <w:sz w:val="21"/>
          <w:szCs w:val="21"/>
          <w:highlight w:val="none"/>
        </w:rPr>
        <w:t>商务、技术、价格评审（具体评审项目详见投标资料表）</w:t>
      </w:r>
      <w:bookmarkEnd w:id="175"/>
      <w:bookmarkEnd w:id="176"/>
    </w:p>
    <w:p w14:paraId="1EC7113B">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 xml:space="preserve">对通过资格性、符合性审查的有效供应商方有资格进入综合评审。采购文件中要求投标人提供的相关资质证书证明材料因国家政策变动导致新旧证书名称不一致，旧证书未取消且新旧证书具有同等效力的，投标人提供新证书与提供在有效期内的旧证书给予同等认可。 </w:t>
      </w:r>
    </w:p>
    <w:p w14:paraId="4620A906">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评标委员会对通过资格性、符合性审查的投标文件进行详细评审。评标委员会对每一投标文件进行详细的商务评审、技术评审。按照评审程序的规定和依据评分标准，各位评委就每个投标人的技术、商务状况及其对采购文件要求的响应情况进行评议和比较，评出其技术评分和商务评分。根据采购文件规定评出得分，将价格得分、商务得分、技术得分相加得出最终评标得分。</w:t>
      </w:r>
    </w:p>
    <w:p w14:paraId="03E7AFE2">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采用综合评</w:t>
      </w:r>
      <w:r>
        <w:rPr>
          <w:rFonts w:hint="eastAsia" w:ascii="宋体" w:hAnsi="宋体" w:cs="宋体"/>
          <w:color w:val="auto"/>
          <w:szCs w:val="21"/>
          <w:highlight w:val="none"/>
        </w:rPr>
        <w:t>分法的，评标结果按评审后得分由高到低顺序排列。综合得分相同的，按价格评分由高到低顺序排列。综合</w:t>
      </w:r>
      <w:r>
        <w:rPr>
          <w:rFonts w:hint="eastAsia" w:ascii="宋体" w:hAnsi="宋体"/>
          <w:color w:val="auto"/>
          <w:szCs w:val="21"/>
          <w:highlight w:val="none"/>
        </w:rPr>
        <w:t>得分相同且价格评分相同的，按商务评分由高到低顺序排列，得分高的排前，得分低的排后；按上述环节依然存在同分情形而不能确认排名顺序时，由评标委员会进行投票，得票多的排名在先。当第一轮投票结果为投标人得票数相同时，再次进行投票，如此类推，直到能确定排序次序为止</w:t>
      </w:r>
      <w:r>
        <w:rPr>
          <w:rFonts w:hint="eastAsia" w:ascii="宋体" w:hAnsi="宋体" w:cs="宋体"/>
          <w:color w:val="auto"/>
          <w:szCs w:val="21"/>
          <w:highlight w:val="none"/>
        </w:rPr>
        <w:t>。</w:t>
      </w:r>
    </w:p>
    <w:p w14:paraId="20729C11">
      <w:pPr>
        <w:widowControl w:val="0"/>
        <w:tabs>
          <w:tab w:val="left" w:pos="907"/>
        </w:tabs>
        <w:adjustRightInd/>
        <w:snapToGrid/>
        <w:ind w:left="567"/>
        <w:jc w:val="both"/>
        <w:rPr>
          <w:rFonts w:ascii="宋体" w:hAnsi="宋体" w:cs="宋体"/>
          <w:color w:val="auto"/>
          <w:szCs w:val="21"/>
          <w:highlight w:val="none"/>
        </w:rPr>
      </w:pPr>
    </w:p>
    <w:p w14:paraId="03024BAD">
      <w:pPr>
        <w:pStyle w:val="6"/>
        <w:widowControl w:val="0"/>
        <w:numPr>
          <w:ilvl w:val="0"/>
          <w:numId w:val="4"/>
        </w:numPr>
        <w:overflowPunct w:val="0"/>
        <w:rPr>
          <w:rFonts w:ascii="宋体" w:hAnsi="宋体" w:cs="宋体"/>
          <w:color w:val="auto"/>
          <w:sz w:val="21"/>
          <w:szCs w:val="21"/>
          <w:highlight w:val="none"/>
        </w:rPr>
      </w:pPr>
      <w:bookmarkStart w:id="177" w:name="_Toc316375620"/>
      <w:bookmarkStart w:id="178" w:name="_Toc20328"/>
      <w:bookmarkStart w:id="179" w:name="_Toc382049120"/>
      <w:bookmarkStart w:id="180" w:name="_Toc21663"/>
      <w:bookmarkStart w:id="181" w:name="_Toc4729"/>
      <w:r>
        <w:rPr>
          <w:rFonts w:hint="eastAsia" w:ascii="宋体" w:hAnsi="宋体" w:cs="宋体"/>
          <w:color w:val="auto"/>
          <w:sz w:val="21"/>
          <w:szCs w:val="21"/>
          <w:highlight w:val="none"/>
        </w:rPr>
        <w:t>纪律和保密</w:t>
      </w:r>
      <w:bookmarkEnd w:id="177"/>
      <w:r>
        <w:rPr>
          <w:rFonts w:hint="eastAsia" w:ascii="宋体" w:hAnsi="宋体" w:cs="宋体"/>
          <w:color w:val="auto"/>
          <w:sz w:val="21"/>
          <w:szCs w:val="21"/>
          <w:highlight w:val="none"/>
        </w:rPr>
        <w:t>事项</w:t>
      </w:r>
      <w:bookmarkEnd w:id="178"/>
      <w:bookmarkEnd w:id="179"/>
      <w:bookmarkEnd w:id="180"/>
      <w:bookmarkEnd w:id="181"/>
    </w:p>
    <w:p w14:paraId="37C5C5A5">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从开标之日起至授予合同期间，在投标文件的审查、澄清、比较和评价阶段，投标人试图对评标委员会和采购代理机构施加任何影响或对采购人的比较及授予合同的决定产生影响，都可能导致其投标文件被拒绝。</w:t>
      </w:r>
    </w:p>
    <w:p w14:paraId="01B8204F">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投标人不得串通作弊，以不正当的手段妨碍、排挤其他投标人，扰乱采购市场，破坏公平竞争原则。否则将按相关法律规定严肃处理。</w:t>
      </w:r>
    </w:p>
    <w:p w14:paraId="105B77FE">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获得本采购文件的投标人，应对文件进行保密，不得用作本次投标以外的任何用途。开标后，投标人应归还采购文件中要求保密的文件和资料。</w:t>
      </w:r>
    </w:p>
    <w:p w14:paraId="53B7B7E7">
      <w:pPr>
        <w:rPr>
          <w:rFonts w:ascii="宋体" w:hAnsi="宋体" w:cs="宋体"/>
          <w:color w:val="auto"/>
          <w:highlight w:val="none"/>
        </w:rPr>
      </w:pPr>
    </w:p>
    <w:p w14:paraId="5BD4E038">
      <w:pPr>
        <w:pStyle w:val="5"/>
        <w:numPr>
          <w:ilvl w:val="0"/>
          <w:numId w:val="3"/>
        </w:numPr>
        <w:spacing w:before="0" w:after="0" w:line="360" w:lineRule="auto"/>
        <w:jc w:val="center"/>
        <w:rPr>
          <w:rFonts w:ascii="宋体" w:hAnsi="宋体" w:cs="宋体"/>
          <w:color w:val="auto"/>
          <w:highlight w:val="none"/>
        </w:rPr>
      </w:pPr>
      <w:bookmarkStart w:id="182" w:name="_Toc5868"/>
      <w:bookmarkStart w:id="183" w:name="_Toc1109"/>
      <w:r>
        <w:rPr>
          <w:rFonts w:hint="eastAsia" w:ascii="宋体" w:hAnsi="宋体" w:cs="宋体"/>
          <w:color w:val="auto"/>
          <w:highlight w:val="none"/>
        </w:rPr>
        <w:t>授予合同</w:t>
      </w:r>
      <w:bookmarkEnd w:id="182"/>
      <w:bookmarkEnd w:id="183"/>
    </w:p>
    <w:p w14:paraId="67ACA2A2">
      <w:pPr>
        <w:pStyle w:val="6"/>
        <w:widowControl w:val="0"/>
        <w:numPr>
          <w:ilvl w:val="0"/>
          <w:numId w:val="4"/>
        </w:numPr>
        <w:overflowPunct w:val="0"/>
        <w:rPr>
          <w:rFonts w:ascii="宋体" w:hAnsi="宋体" w:cs="宋体"/>
          <w:color w:val="auto"/>
          <w:sz w:val="21"/>
          <w:szCs w:val="21"/>
          <w:highlight w:val="none"/>
        </w:rPr>
      </w:pPr>
      <w:bookmarkStart w:id="184" w:name="_Toc508284011"/>
      <w:bookmarkStart w:id="185" w:name="_Toc7454"/>
      <w:bookmarkStart w:id="186" w:name="_Toc22623"/>
      <w:r>
        <w:rPr>
          <w:rFonts w:hint="eastAsia" w:ascii="宋体" w:hAnsi="宋体" w:cs="宋体"/>
          <w:color w:val="auto"/>
          <w:sz w:val="21"/>
          <w:szCs w:val="21"/>
          <w:highlight w:val="none"/>
        </w:rPr>
        <w:t>合同授予标准</w:t>
      </w:r>
      <w:bookmarkEnd w:id="184"/>
      <w:bookmarkEnd w:id="185"/>
      <w:bookmarkEnd w:id="186"/>
    </w:p>
    <w:p w14:paraId="58A3068F">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根据评标委员会的评审结果，采购人按照评审报告推荐的中标候选人中按顺序依法确定</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w:t>
      </w:r>
    </w:p>
    <w:p w14:paraId="08EB631E">
      <w:pPr>
        <w:rPr>
          <w:rFonts w:ascii="宋体" w:hAnsi="宋体" w:cs="宋体"/>
          <w:color w:val="auto"/>
          <w:highlight w:val="none"/>
        </w:rPr>
      </w:pPr>
    </w:p>
    <w:p w14:paraId="21451822">
      <w:pPr>
        <w:pStyle w:val="6"/>
        <w:widowControl w:val="0"/>
        <w:numPr>
          <w:ilvl w:val="0"/>
          <w:numId w:val="4"/>
        </w:numPr>
        <w:overflowPunct w:val="0"/>
        <w:rPr>
          <w:rFonts w:ascii="宋体" w:hAnsi="宋体" w:cs="宋体"/>
          <w:color w:val="auto"/>
          <w:sz w:val="21"/>
          <w:szCs w:val="21"/>
          <w:highlight w:val="none"/>
        </w:rPr>
      </w:pPr>
      <w:bookmarkStart w:id="187" w:name="_Toc10545"/>
      <w:bookmarkStart w:id="188" w:name="_Toc659"/>
      <w:bookmarkStart w:id="189" w:name="_Toc508284013"/>
      <w:r>
        <w:rPr>
          <w:rFonts w:hint="eastAsia" w:ascii="宋体" w:hAnsi="宋体" w:cs="宋体"/>
          <w:color w:val="auto"/>
          <w:sz w:val="21"/>
          <w:szCs w:val="21"/>
          <w:highlight w:val="none"/>
        </w:rPr>
        <w:t>发布中标结果</w:t>
      </w:r>
      <w:bookmarkEnd w:id="187"/>
      <w:bookmarkEnd w:id="188"/>
      <w:bookmarkEnd w:id="189"/>
    </w:p>
    <w:p w14:paraId="18269F0B">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评标委员会提出评标书面报告和推荐中标意见报采购人确认后，采购代理机构将在指定的信息发布媒体上发布公告。</w:t>
      </w:r>
    </w:p>
    <w:p w14:paraId="229CF055">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中标公告期限为3个日历日。</w:t>
      </w:r>
    </w:p>
    <w:p w14:paraId="531A970E">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《中标通知书》是合同的一个组成部分，《中标通知书》对采购人和</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均具有同等法律效力。</w:t>
      </w:r>
    </w:p>
    <w:p w14:paraId="07CC808F">
      <w:pPr>
        <w:widowControl w:val="0"/>
        <w:tabs>
          <w:tab w:val="left" w:pos="907"/>
        </w:tabs>
        <w:adjustRightInd/>
        <w:snapToGrid/>
        <w:jc w:val="both"/>
        <w:rPr>
          <w:rFonts w:ascii="宋体" w:hAnsi="宋体" w:cs="宋体"/>
          <w:color w:val="auto"/>
          <w:szCs w:val="21"/>
          <w:highlight w:val="none"/>
        </w:rPr>
      </w:pPr>
    </w:p>
    <w:p w14:paraId="36BD58B9">
      <w:pPr>
        <w:pStyle w:val="6"/>
        <w:widowControl w:val="0"/>
        <w:numPr>
          <w:ilvl w:val="0"/>
          <w:numId w:val="4"/>
        </w:numPr>
        <w:overflowPunct w:val="0"/>
        <w:rPr>
          <w:rFonts w:ascii="宋体" w:hAnsi="宋体" w:cs="宋体"/>
          <w:color w:val="auto"/>
          <w:sz w:val="21"/>
          <w:szCs w:val="21"/>
          <w:highlight w:val="none"/>
        </w:rPr>
      </w:pPr>
      <w:bookmarkStart w:id="190" w:name="_Toc11420"/>
      <w:bookmarkStart w:id="191" w:name="_Toc4617"/>
      <w:r>
        <w:rPr>
          <w:rFonts w:hint="eastAsia" w:ascii="宋体" w:hAnsi="宋体" w:cs="宋体"/>
          <w:color w:val="auto"/>
          <w:sz w:val="21"/>
          <w:szCs w:val="21"/>
          <w:highlight w:val="none"/>
        </w:rPr>
        <w:t>资格后审</w:t>
      </w:r>
      <w:bookmarkEnd w:id="190"/>
      <w:bookmarkEnd w:id="191"/>
    </w:p>
    <w:p w14:paraId="25CE8FED">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采购人将有权根据本文件中的要求，对评委会推荐的中标候选人进行资格后审。</w:t>
      </w:r>
    </w:p>
    <w:p w14:paraId="4F1215B1">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中标候选人须无条件配合资格后审，否则采购人有权取消其中标资格，且投标保证金可不予退还。</w:t>
      </w:r>
    </w:p>
    <w:p w14:paraId="75F55824">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资格后审须提供包括但不限于营业执照、税务登记证和在投标文件中提供的资质证明文件、业绩等重要证明文件的原件进行核对，综合考察</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的履约能力。如采购人要求还须提供业绩证明的其他材料,中标候选人须配合提供。如授权其分支机构进行项目实施或提供售后服务的，亦应提供其与分支机构关系的法律证明材料。</w:t>
      </w:r>
    </w:p>
    <w:p w14:paraId="295947DA">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如发现中标候选人以他人名义投标或者以其他方式弄虚作假，骗取中标的，采购人有权取消其中标资格，且投标保证金可不予退还；给采购人造成损失的，应依法承担赔偿责任。</w:t>
      </w:r>
    </w:p>
    <w:p w14:paraId="100349DF">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采购人有权审查中标候选人是否具备履行合同的能力，包括但不限于对其规模、人员、场地、生产能力、供货能力等方面的核实或现场考察。如果审查通过，采购人将把合同授予该</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；如果审查没有通过，采购人有权取消其中标资格，且投标保证金可不予退还，并依次审查下一名中标候选人是否具备履行合同的能力或重新采购。</w:t>
      </w:r>
    </w:p>
    <w:p w14:paraId="4FBD8801">
      <w:pPr>
        <w:rPr>
          <w:rFonts w:ascii="宋体" w:hAnsi="宋体" w:cs="宋体"/>
          <w:color w:val="auto"/>
          <w:highlight w:val="none"/>
        </w:rPr>
      </w:pPr>
    </w:p>
    <w:p w14:paraId="47E32476">
      <w:pPr>
        <w:pStyle w:val="6"/>
        <w:widowControl w:val="0"/>
        <w:numPr>
          <w:ilvl w:val="0"/>
          <w:numId w:val="4"/>
        </w:numPr>
        <w:overflowPunct w:val="0"/>
        <w:rPr>
          <w:rFonts w:ascii="宋体" w:hAnsi="宋体" w:cs="宋体"/>
          <w:color w:val="auto"/>
          <w:sz w:val="21"/>
          <w:szCs w:val="21"/>
          <w:highlight w:val="none"/>
        </w:rPr>
      </w:pPr>
      <w:bookmarkStart w:id="192" w:name="_Toc27302"/>
      <w:bookmarkStart w:id="193" w:name="_Toc27736"/>
      <w:r>
        <w:rPr>
          <w:rFonts w:hint="eastAsia" w:ascii="宋体" w:hAnsi="宋体" w:cs="宋体"/>
          <w:color w:val="auto"/>
          <w:sz w:val="21"/>
          <w:szCs w:val="21"/>
          <w:highlight w:val="none"/>
        </w:rPr>
        <w:t>合同的签订与履行</w:t>
      </w:r>
      <w:bookmarkEnd w:id="192"/>
      <w:bookmarkEnd w:id="193"/>
    </w:p>
    <w:p w14:paraId="694AADD6">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应当自采购人发出中标通知书之日起30日内，按照采购文件和</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投标文件的规定，与采购人签订书面合同，否则采购人有权取消其中标资格。所签订的合同不得对采购文件确定的事项和</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投标文件作实质性修改。在合同签订时，应注意合同中约定的工期开始时间不得早于合同签订时间。</w:t>
      </w:r>
    </w:p>
    <w:p w14:paraId="23CE219E">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采购人与</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应当根据合同的约定依法履行合同义务。</w:t>
      </w:r>
    </w:p>
    <w:p w14:paraId="26B1B7B1">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采购合同的履行、违约责任和解决争议的方法等适用《中华人民共和国民法典》。</w:t>
      </w:r>
    </w:p>
    <w:p w14:paraId="190AB15A">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在评审结束当天至合同履行结束，若因不可抗力的因素（如国家出台新法律法规等）造成投标人资质的变动，投标人应以纸质版形式通知采购人。若资质变动导致</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不再具备履行合同资质要求，采购人有权中止合同。</w:t>
      </w:r>
    </w:p>
    <w:p w14:paraId="3D4E4335">
      <w:pPr>
        <w:widowControl w:val="0"/>
        <w:tabs>
          <w:tab w:val="left" w:pos="907"/>
        </w:tabs>
        <w:adjustRightInd/>
        <w:snapToGrid/>
        <w:jc w:val="both"/>
        <w:rPr>
          <w:rFonts w:ascii="宋体" w:hAnsi="宋体" w:cs="宋体"/>
          <w:color w:val="auto"/>
          <w:highlight w:val="none"/>
        </w:rPr>
      </w:pPr>
    </w:p>
    <w:p w14:paraId="43B135E5">
      <w:pPr>
        <w:pStyle w:val="6"/>
        <w:widowControl w:val="0"/>
        <w:numPr>
          <w:ilvl w:val="0"/>
          <w:numId w:val="4"/>
        </w:numPr>
        <w:overflowPunct w:val="0"/>
        <w:rPr>
          <w:rFonts w:ascii="宋体" w:hAnsi="宋体" w:cs="宋体"/>
          <w:color w:val="auto"/>
          <w:sz w:val="21"/>
          <w:szCs w:val="21"/>
          <w:highlight w:val="none"/>
        </w:rPr>
      </w:pPr>
      <w:bookmarkStart w:id="194" w:name="_Toc303084277"/>
      <w:bookmarkStart w:id="195" w:name="_Toc382049124"/>
      <w:bookmarkStart w:id="196" w:name="_Toc29009"/>
      <w:bookmarkStart w:id="197" w:name="_Toc6617"/>
      <w:bookmarkStart w:id="198" w:name="_Toc10948"/>
      <w:r>
        <w:rPr>
          <w:rFonts w:hint="eastAsia" w:ascii="宋体" w:hAnsi="宋体" w:cs="宋体"/>
          <w:color w:val="auto"/>
          <w:sz w:val="21"/>
          <w:szCs w:val="21"/>
          <w:highlight w:val="none"/>
        </w:rPr>
        <w:t>履约</w:t>
      </w:r>
      <w:bookmarkEnd w:id="194"/>
      <w:bookmarkEnd w:id="195"/>
      <w:bookmarkEnd w:id="196"/>
      <w:r>
        <w:rPr>
          <w:rFonts w:hint="eastAsia" w:ascii="宋体" w:hAnsi="宋体" w:cs="宋体"/>
          <w:color w:val="auto"/>
          <w:sz w:val="21"/>
          <w:szCs w:val="21"/>
          <w:highlight w:val="none"/>
        </w:rPr>
        <w:t>担保</w:t>
      </w:r>
      <w:bookmarkEnd w:id="197"/>
      <w:bookmarkEnd w:id="198"/>
    </w:p>
    <w:p w14:paraId="0F1F9A41">
      <w:pPr>
        <w:widowControl w:val="0"/>
        <w:numPr>
          <w:ilvl w:val="1"/>
          <w:numId w:val="4"/>
        </w:numPr>
        <w:overflowPunct w:val="0"/>
        <w:rPr>
          <w:rFonts w:hint="eastAsia" w:ascii="宋体" w:hAnsi="宋体" w:cs="宋体"/>
          <w:color w:val="auto"/>
          <w:szCs w:val="21"/>
          <w:highlight w:val="none"/>
        </w:rPr>
      </w:pPr>
      <w:r>
        <w:rPr>
          <w:rFonts w:hint="eastAsia" w:ascii="宋体" w:hAnsi="宋体" w:cs="宋体"/>
          <w:color w:val="auto"/>
          <w:szCs w:val="21"/>
          <w:highlight w:val="none"/>
        </w:rPr>
        <w:t>成交人的投标保证金¥94,000.00元（玖万肆仟元整）在合同签订后自动转为履约保证金，履约保证金作为成交人在履约过程中违约金或罚款的扣罚来源之一，履约保证金返还申请时间为合同期满之日，成交人在没有任何违约的情况下提交退款申请，收到成交人申请后30个日历日内，采购人一次性无息退回。</w:t>
      </w:r>
    </w:p>
    <w:p w14:paraId="69D8D9A6">
      <w:pPr>
        <w:widowControl w:val="0"/>
        <w:numPr>
          <w:ilvl w:val="1"/>
          <w:numId w:val="4"/>
        </w:numPr>
        <w:overflowPunct w:val="0"/>
        <w:rPr>
          <w:rFonts w:hint="eastAsia" w:ascii="宋体" w:hAnsi="宋体" w:cs="宋体"/>
          <w:color w:val="auto"/>
          <w:szCs w:val="21"/>
          <w:highlight w:val="none"/>
        </w:rPr>
      </w:pPr>
      <w:r>
        <w:rPr>
          <w:rFonts w:hint="eastAsia" w:ascii="宋体" w:hAnsi="宋体" w:cs="宋体"/>
          <w:color w:val="auto"/>
          <w:szCs w:val="21"/>
          <w:highlight w:val="none"/>
        </w:rPr>
        <w:t>（1）下列任何情况发生时，采购人有权没收履约保证金：</w:t>
      </w:r>
    </w:p>
    <w:p w14:paraId="13FD45C5">
      <w:pPr>
        <w:keepNext w:val="0"/>
        <w:keepLines w:val="0"/>
        <w:pageBreakBefore w:val="0"/>
        <w:widowControl w:val="0"/>
        <w:numPr>
          <w:ilvl w:val="0"/>
          <w:numId w:val="0"/>
        </w:numPr>
        <w:kinsoku/>
        <w:wordWrap/>
        <w:overflowPunct w:val="0"/>
        <w:topLinePunct w:val="0"/>
        <w:autoSpaceDE/>
        <w:autoSpaceDN/>
        <w:bidi w:val="0"/>
        <w:adjustRightInd w:val="0"/>
        <w:snapToGrid w:val="0"/>
        <w:ind w:leftChars="0" w:firstLine="420" w:firstLineChars="200"/>
        <w:textAlignment w:val="auto"/>
        <w:rPr>
          <w:rFonts w:hint="eastAsia" w:ascii="宋体" w:hAnsi="宋体" w:cs="宋体"/>
          <w:color w:val="auto"/>
          <w:szCs w:val="21"/>
          <w:highlight w:val="none"/>
        </w:rPr>
      </w:pPr>
      <w:r>
        <w:rPr>
          <w:rFonts w:hint="eastAsia" w:ascii="宋体" w:hAnsi="宋体" w:eastAsia="宋体" w:cs="宋体"/>
          <w:color w:val="auto"/>
          <w:szCs w:val="21"/>
          <w:highlight w:val="none"/>
        </w:rPr>
        <w:t>①成交人在合同履行过程中出现项目质量事故、工期拖延、欠付工人工资、欠付材料款等情况，</w:t>
      </w:r>
      <w:r>
        <w:rPr>
          <w:rFonts w:hint="eastAsia" w:ascii="宋体" w:eastAsia="宋体" w:cs="宋体"/>
          <w:color w:val="auto"/>
          <w:sz w:val="21"/>
          <w:szCs w:val="21"/>
          <w:highlight w:val="none"/>
          <w:lang w:val="en-US" w:eastAsia="zh-CN"/>
        </w:rPr>
        <w:t>且经</w:t>
      </w:r>
      <w:r>
        <w:rPr>
          <w:rFonts w:hint="eastAsia" w:ascii="宋体" w:cs="宋体"/>
          <w:color w:val="auto"/>
          <w:sz w:val="21"/>
          <w:szCs w:val="21"/>
          <w:highlight w:val="none"/>
          <w:lang w:val="en-US" w:eastAsia="zh-CN"/>
        </w:rPr>
        <w:t>采购人</w:t>
      </w:r>
      <w:r>
        <w:rPr>
          <w:rFonts w:hint="eastAsia" w:ascii="宋体" w:eastAsia="宋体" w:cs="宋体"/>
          <w:color w:val="auto"/>
          <w:sz w:val="21"/>
          <w:szCs w:val="21"/>
          <w:highlight w:val="none"/>
          <w:lang w:val="en-US" w:eastAsia="zh-CN"/>
        </w:rPr>
        <w:t>责令要求整改仍未改正的，</w:t>
      </w:r>
      <w:r>
        <w:rPr>
          <w:rFonts w:hint="eastAsia" w:ascii="宋体" w:hAnsi="宋体" w:eastAsia="宋体" w:cs="宋体"/>
          <w:color w:val="auto"/>
          <w:szCs w:val="21"/>
          <w:highlight w:val="none"/>
        </w:rPr>
        <w:t>采购人在经核查属实后，成交人造成采购人损失的，采购人有权立即没收其履约保</w:t>
      </w:r>
      <w:r>
        <w:rPr>
          <w:rFonts w:hint="eastAsia" w:ascii="宋体" w:hAnsi="宋体" w:cs="宋体"/>
          <w:color w:val="auto"/>
          <w:szCs w:val="21"/>
          <w:highlight w:val="none"/>
        </w:rPr>
        <w:t>证金，若造成损失超过履约担保的，还应当对超过部分予以赔偿。</w:t>
      </w:r>
    </w:p>
    <w:p w14:paraId="7A5D1898">
      <w:pPr>
        <w:keepNext w:val="0"/>
        <w:keepLines w:val="0"/>
        <w:pageBreakBefore w:val="0"/>
        <w:widowControl w:val="0"/>
        <w:numPr>
          <w:ilvl w:val="0"/>
          <w:numId w:val="0"/>
        </w:numPr>
        <w:kinsoku/>
        <w:wordWrap/>
        <w:overflowPunct w:val="0"/>
        <w:topLinePunct w:val="0"/>
        <w:autoSpaceDE/>
        <w:autoSpaceDN/>
        <w:bidi w:val="0"/>
        <w:adjustRightInd w:val="0"/>
        <w:snapToGrid w:val="0"/>
        <w:ind w:leftChars="0" w:firstLine="420" w:firstLineChars="200"/>
        <w:textAlignment w:val="auto"/>
        <w:rPr>
          <w:rFonts w:hint="eastAsia" w:ascii="宋体" w:hAnsi="宋体" w:cs="宋体"/>
          <w:color w:val="auto"/>
          <w:szCs w:val="21"/>
          <w:highlight w:val="none"/>
        </w:rPr>
      </w:pPr>
      <w:r>
        <w:rPr>
          <w:rFonts w:hint="eastAsia" w:ascii="宋体" w:hAnsi="宋体" w:cs="宋体"/>
          <w:color w:val="auto"/>
          <w:szCs w:val="21"/>
          <w:highlight w:val="none"/>
        </w:rPr>
        <w:t>②成交人将本项目转让给他人，或者在投标文件中未说明，且未经采购人同意，将中标项目分包给他人的；</w:t>
      </w:r>
    </w:p>
    <w:p w14:paraId="598C88E2">
      <w:pPr>
        <w:keepNext w:val="0"/>
        <w:keepLines w:val="0"/>
        <w:pageBreakBefore w:val="0"/>
        <w:widowControl w:val="0"/>
        <w:numPr>
          <w:ilvl w:val="0"/>
          <w:numId w:val="0"/>
        </w:numPr>
        <w:kinsoku/>
        <w:wordWrap/>
        <w:overflowPunct w:val="0"/>
        <w:topLinePunct w:val="0"/>
        <w:autoSpaceDE/>
        <w:autoSpaceDN/>
        <w:bidi w:val="0"/>
        <w:adjustRightInd w:val="0"/>
        <w:snapToGrid w:val="0"/>
        <w:ind w:leftChars="0" w:firstLine="420" w:firstLineChars="200"/>
        <w:textAlignment w:val="auto"/>
        <w:rPr>
          <w:rFonts w:hint="eastAsia" w:ascii="宋体" w:hAnsi="宋体" w:cs="宋体"/>
          <w:color w:val="auto"/>
          <w:szCs w:val="21"/>
          <w:highlight w:val="none"/>
        </w:rPr>
      </w:pPr>
      <w:r>
        <w:rPr>
          <w:rFonts w:hint="eastAsia" w:ascii="宋体" w:hAnsi="宋体" w:cs="宋体"/>
          <w:color w:val="auto"/>
          <w:szCs w:val="21"/>
          <w:highlight w:val="none"/>
        </w:rPr>
        <w:t>③成交人在履行采购合同期间，违反有关法律法规的规定及合同约定的条款，损害了采购人的利益。</w:t>
      </w:r>
    </w:p>
    <w:p w14:paraId="02D4CBFA">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（2）在合同期满后，成交人向采购人提交退回履约保证金的申请，采购人</w:t>
      </w:r>
      <w:r>
        <w:rPr>
          <w:rFonts w:hint="eastAsia" w:ascii="宋体" w:eastAsia="宋体" w:cs="宋体"/>
          <w:color w:val="auto"/>
          <w:sz w:val="21"/>
          <w:szCs w:val="21"/>
          <w:highlight w:val="none"/>
          <w:lang w:val="en-US" w:eastAsia="zh-CN"/>
        </w:rPr>
        <w:t>在</w:t>
      </w:r>
      <w:r>
        <w:rPr>
          <w:rFonts w:hint="eastAsia" w:ascii="宋体" w:cs="宋体"/>
          <w:color w:val="auto"/>
          <w:sz w:val="21"/>
          <w:szCs w:val="21"/>
          <w:highlight w:val="none"/>
          <w:lang w:val="en-US" w:eastAsia="zh-CN"/>
        </w:rPr>
        <w:t>成交人</w:t>
      </w:r>
      <w:r>
        <w:rPr>
          <w:rFonts w:hint="eastAsia" w:ascii="宋体" w:eastAsia="宋体" w:cs="宋体"/>
          <w:color w:val="auto"/>
          <w:sz w:val="21"/>
          <w:szCs w:val="21"/>
          <w:highlight w:val="none"/>
          <w:lang w:val="en-US" w:eastAsia="zh-CN"/>
        </w:rPr>
        <w:t>将所有未决索赔、争议或违约责任解决完毕后并经</w:t>
      </w:r>
      <w:r>
        <w:rPr>
          <w:rFonts w:hint="eastAsia" w:ascii="宋体" w:cs="宋体"/>
          <w:color w:val="auto"/>
          <w:sz w:val="21"/>
          <w:szCs w:val="21"/>
          <w:highlight w:val="none"/>
          <w:lang w:val="en-US" w:eastAsia="zh-CN"/>
        </w:rPr>
        <w:t>采购人</w:t>
      </w:r>
      <w:r>
        <w:rPr>
          <w:rFonts w:hint="eastAsia" w:ascii="宋体" w:eastAsia="宋体" w:cs="宋体"/>
          <w:color w:val="auto"/>
          <w:sz w:val="21"/>
          <w:szCs w:val="21"/>
          <w:highlight w:val="none"/>
          <w:lang w:val="en-US" w:eastAsia="zh-CN"/>
        </w:rPr>
        <w:t>确认后30个日历日内</w:t>
      </w:r>
      <w:r>
        <w:rPr>
          <w:rFonts w:hint="eastAsia" w:ascii="宋体" w:hAnsi="宋体" w:cs="宋体"/>
          <w:color w:val="auto"/>
          <w:szCs w:val="21"/>
          <w:highlight w:val="none"/>
        </w:rPr>
        <w:t>办理履约担保退还手续。</w:t>
      </w:r>
    </w:p>
    <w:p w14:paraId="053AFC61">
      <w:pPr>
        <w:widowControl w:val="0"/>
        <w:tabs>
          <w:tab w:val="left" w:pos="907"/>
        </w:tabs>
        <w:adjustRightInd/>
        <w:snapToGrid/>
        <w:jc w:val="both"/>
        <w:rPr>
          <w:rFonts w:ascii="宋体" w:hAnsi="宋体" w:cs="宋体"/>
          <w:color w:val="auto"/>
          <w:highlight w:val="none"/>
        </w:rPr>
      </w:pPr>
    </w:p>
    <w:p w14:paraId="085175BA">
      <w:pPr>
        <w:pStyle w:val="6"/>
        <w:widowControl w:val="0"/>
        <w:numPr>
          <w:ilvl w:val="0"/>
          <w:numId w:val="4"/>
        </w:numPr>
        <w:overflowPunct w:val="0"/>
        <w:rPr>
          <w:rFonts w:ascii="宋体" w:hAnsi="宋体" w:cs="宋体"/>
          <w:color w:val="auto"/>
          <w:sz w:val="21"/>
          <w:szCs w:val="21"/>
          <w:highlight w:val="none"/>
        </w:rPr>
      </w:pPr>
      <w:bookmarkStart w:id="199" w:name="_Toc18880"/>
      <w:bookmarkStart w:id="200" w:name="_Toc4395"/>
      <w:r>
        <w:rPr>
          <w:rFonts w:hint="eastAsia" w:ascii="宋体" w:hAnsi="宋体" w:cs="宋体"/>
          <w:color w:val="auto"/>
          <w:sz w:val="21"/>
          <w:szCs w:val="21"/>
          <w:highlight w:val="none"/>
        </w:rPr>
        <w:t>预付款保函（</w:t>
      </w:r>
      <w:r>
        <w:rPr>
          <w:rFonts w:hint="eastAsia" w:ascii="宋体" w:hAnsi="宋体" w:cs="宋体"/>
          <w:color w:val="auto"/>
          <w:sz w:val="21"/>
          <w:szCs w:val="21"/>
          <w:highlight w:val="none"/>
          <w:lang w:val="en-US" w:eastAsia="zh-CN"/>
        </w:rPr>
        <w:t>本项目无</w:t>
      </w:r>
      <w:r>
        <w:rPr>
          <w:rFonts w:hint="eastAsia" w:ascii="宋体" w:hAnsi="宋体" w:cs="宋体"/>
          <w:color w:val="auto"/>
          <w:sz w:val="21"/>
          <w:szCs w:val="21"/>
          <w:highlight w:val="none"/>
        </w:rPr>
        <w:t>预付款）</w:t>
      </w:r>
      <w:bookmarkEnd w:id="199"/>
      <w:bookmarkEnd w:id="200"/>
    </w:p>
    <w:p w14:paraId="15195658">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在签订合同时，</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应按本须知规定向</w:t>
      </w:r>
      <w:r>
        <w:rPr>
          <w:rFonts w:hint="eastAsia" w:ascii="宋体" w:hAnsi="宋体" w:cs="宋体"/>
          <w:color w:val="auto"/>
          <w:szCs w:val="21"/>
          <w:highlight w:val="none"/>
        </w:rPr>
        <w:t>采购人提交一份合同预付款等额有效的预付款保函。预付款保函有效期从保函开立之日起至采购人向</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抵扣完所有预付款之日止。如果</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提交的预付款保函的有效期先于采购文件要求的预付款保函有效期到达，</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应在原提交的预付款保函有效期前15日内，无条件办理预付款保函延期手续。否则视为</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违约，采购人可在预付款保函到期前将未抵扣的预付款转为现金存入采购人账户</w:t>
      </w:r>
    </w:p>
    <w:p w14:paraId="2DCA3BCE">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预付款保函应：</w:t>
      </w:r>
    </w:p>
    <w:p w14:paraId="2AEA7744">
      <w:pPr>
        <w:widowControl w:val="0"/>
        <w:tabs>
          <w:tab w:val="left" w:pos="907"/>
        </w:tabs>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（1）由东莞市行政区域内的银行支行及以上银行机构开具。非东莞市行政区内的银行开具的保函要由银行所在地公证部门出具的公证书。</w:t>
      </w:r>
    </w:p>
    <w:p w14:paraId="13BC979F">
      <w:pPr>
        <w:widowControl w:val="0"/>
        <w:tabs>
          <w:tab w:val="left" w:pos="907"/>
        </w:tabs>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（2）必须打印，手写、涂改无效</w:t>
      </w:r>
    </w:p>
    <w:p w14:paraId="3067F8E6">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若</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不能按本须知（34.1至34.2）的规定执行，采购人将不予支付预付款。</w:t>
      </w:r>
    </w:p>
    <w:p w14:paraId="5AFBB363">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如果</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提交的预付款保函的有效期先于采购文件要求的预付款保函有效期到达，</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应在原提交的预付款保函有效期满前15天内，无条件办理预付款保函延期手续。否则视为</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违约，采购人可在预付款保函到期前将未抵扣的预付</w:t>
      </w:r>
      <w:r>
        <w:rPr>
          <w:rFonts w:hint="eastAsia" w:ascii="宋体" w:hAnsi="宋体" w:cs="宋体"/>
          <w:color w:val="auto"/>
          <w:szCs w:val="21"/>
          <w:highlight w:val="none"/>
        </w:rPr>
        <w:t>款金额转为现金存入采购人账户。</w:t>
      </w:r>
    </w:p>
    <w:p w14:paraId="57EA9F01">
      <w:pPr>
        <w:rPr>
          <w:rFonts w:ascii="宋体" w:hAnsi="宋体" w:cs="宋体"/>
          <w:color w:val="auto"/>
          <w:highlight w:val="none"/>
        </w:rPr>
      </w:pPr>
    </w:p>
    <w:p w14:paraId="7118121D">
      <w:pPr>
        <w:pStyle w:val="5"/>
        <w:numPr>
          <w:ilvl w:val="0"/>
          <w:numId w:val="3"/>
        </w:numPr>
        <w:spacing w:before="0" w:after="0" w:line="360" w:lineRule="auto"/>
        <w:jc w:val="center"/>
        <w:rPr>
          <w:rFonts w:ascii="宋体" w:hAnsi="宋体" w:cs="宋体"/>
          <w:color w:val="auto"/>
          <w:highlight w:val="none"/>
        </w:rPr>
      </w:pPr>
      <w:bookmarkStart w:id="201" w:name="_Toc21814"/>
      <w:bookmarkStart w:id="202" w:name="_Toc7137"/>
      <w:r>
        <w:rPr>
          <w:rFonts w:hint="eastAsia" w:ascii="宋体" w:hAnsi="宋体" w:cs="宋体"/>
          <w:color w:val="auto"/>
          <w:highlight w:val="none"/>
        </w:rPr>
        <w:t>异议</w:t>
      </w:r>
      <w:bookmarkEnd w:id="201"/>
      <w:bookmarkEnd w:id="202"/>
    </w:p>
    <w:p w14:paraId="234D5FCA">
      <w:pPr>
        <w:pStyle w:val="6"/>
        <w:widowControl w:val="0"/>
        <w:numPr>
          <w:ilvl w:val="0"/>
          <w:numId w:val="4"/>
        </w:numPr>
        <w:overflowPunct w:val="0"/>
        <w:rPr>
          <w:rFonts w:ascii="宋体" w:hAnsi="宋体" w:cs="宋体"/>
          <w:color w:val="auto"/>
          <w:sz w:val="21"/>
          <w:szCs w:val="21"/>
          <w:highlight w:val="none"/>
        </w:rPr>
      </w:pPr>
      <w:bookmarkStart w:id="203" w:name="_Toc6445"/>
      <w:bookmarkStart w:id="204" w:name="_Toc9791"/>
      <w:r>
        <w:rPr>
          <w:rFonts w:hint="eastAsia" w:ascii="宋体" w:hAnsi="宋体" w:cs="宋体"/>
          <w:color w:val="auto"/>
          <w:sz w:val="21"/>
          <w:szCs w:val="21"/>
          <w:highlight w:val="none"/>
        </w:rPr>
        <w:t>异议</w:t>
      </w:r>
      <w:bookmarkEnd w:id="203"/>
      <w:bookmarkEnd w:id="204"/>
    </w:p>
    <w:p w14:paraId="4080B518">
      <w:pPr>
        <w:keepNext w:val="0"/>
        <w:keepLines w:val="0"/>
        <w:pageBreakBefore w:val="0"/>
        <w:widowControl w:val="0"/>
        <w:numPr>
          <w:ilvl w:val="1"/>
          <w:numId w:val="4"/>
        </w:numPr>
        <w:kinsoku/>
        <w:wordWrap/>
        <w:overflowPunct w:val="0"/>
        <w:topLinePunct w:val="0"/>
        <w:autoSpaceDE/>
        <w:autoSpaceDN/>
        <w:bidi w:val="0"/>
        <w:spacing w:line="460" w:lineRule="exact"/>
        <w:textAlignment w:val="auto"/>
        <w:rPr>
          <w:rFonts w:ascii="宋体" w:hAnsi="宋体" w:cs="宋体"/>
          <w:color w:val="auto"/>
          <w:szCs w:val="21"/>
          <w:highlight w:val="none"/>
        </w:rPr>
      </w:pPr>
      <w:r>
        <w:rPr>
          <w:rFonts w:hint="eastAsia" w:ascii="宋体" w:hAnsi="宋体" w:cs="宋体"/>
          <w:color w:val="auto"/>
          <w:szCs w:val="21"/>
          <w:highlight w:val="none"/>
          <w:lang w:val="zh-CN"/>
        </w:rPr>
        <w:t>采购文件的异议</w:t>
      </w:r>
      <w:r>
        <w:rPr>
          <w:rFonts w:hint="eastAsia" w:ascii="宋体" w:hAnsi="宋体" w:cs="宋体"/>
          <w:color w:val="auto"/>
          <w:szCs w:val="21"/>
          <w:highlight w:val="none"/>
        </w:rPr>
        <w:t xml:space="preserve">  </w:t>
      </w:r>
    </w:p>
    <w:p w14:paraId="3DB633AA">
      <w:pPr>
        <w:keepNext w:val="0"/>
        <w:keepLines w:val="0"/>
        <w:pageBreakBefore w:val="0"/>
        <w:widowControl w:val="0"/>
        <w:tabs>
          <w:tab w:val="left" w:pos="907"/>
        </w:tabs>
        <w:kinsoku/>
        <w:wordWrap/>
        <w:topLinePunct w:val="0"/>
        <w:autoSpaceDE/>
        <w:autoSpaceDN/>
        <w:bidi w:val="0"/>
        <w:adjustRightInd/>
        <w:snapToGrid/>
        <w:spacing w:line="460" w:lineRule="exact"/>
        <w:ind w:firstLine="420" w:firstLineChars="200"/>
        <w:jc w:val="both"/>
        <w:textAlignment w:val="auto"/>
        <w:rPr>
          <w:rFonts w:ascii="宋体" w:hAnsi="宋体" w:cs="宋体"/>
          <w:color w:val="auto"/>
          <w:szCs w:val="21"/>
          <w:highlight w:val="none"/>
        </w:rPr>
      </w:pPr>
      <w:r>
        <w:rPr>
          <w:rFonts w:hint="eastAsia" w:ascii="宋体" w:hAnsi="宋体" w:cs="宋体"/>
          <w:bCs/>
          <w:color w:val="auto"/>
          <w:kern w:val="2"/>
          <w:szCs w:val="21"/>
          <w:highlight w:val="none"/>
          <w:lang w:val="zh-CN"/>
        </w:rPr>
        <w:t>投标人或者其他利害关系人对采购文件有异议的，应当在投标截止时间10日前</w:t>
      </w:r>
      <w:r>
        <w:rPr>
          <w:rFonts w:hint="eastAsia" w:ascii="宋体" w:hAnsi="宋体" w:cs="宋体"/>
          <w:color w:val="auto"/>
          <w:kern w:val="2"/>
          <w:szCs w:val="21"/>
          <w:highlight w:val="none"/>
          <w:lang w:val="zh-CN"/>
        </w:rPr>
        <w:t>以书面形式向采购代理机构提出，并将材料原件送达采购代理机构，逾期则视为对采购文件所有内容无异议。</w:t>
      </w:r>
      <w:r>
        <w:rPr>
          <w:rFonts w:hint="eastAsia" w:ascii="宋体" w:hAnsi="宋体" w:cs="宋体"/>
          <w:bCs/>
          <w:color w:val="auto"/>
          <w:kern w:val="2"/>
          <w:szCs w:val="21"/>
          <w:highlight w:val="none"/>
          <w:lang w:val="zh-CN"/>
        </w:rPr>
        <w:t>异议</w:t>
      </w:r>
      <w:r>
        <w:rPr>
          <w:rFonts w:hint="eastAsia" w:ascii="宋体" w:hAnsi="宋体" w:cs="宋体"/>
          <w:color w:val="auto"/>
          <w:kern w:val="2"/>
          <w:szCs w:val="21"/>
          <w:highlight w:val="none"/>
          <w:lang w:val="zh-CN"/>
        </w:rPr>
        <w:t>书面材料必须加盖投标人法人公章，并注明联系人、联系电话、联系地址。</w:t>
      </w:r>
      <w:r>
        <w:rPr>
          <w:rFonts w:hint="eastAsia" w:ascii="宋体" w:hAnsi="宋体" w:cs="宋体"/>
          <w:bCs/>
          <w:color w:val="auto"/>
          <w:kern w:val="2"/>
          <w:szCs w:val="21"/>
          <w:highlight w:val="none"/>
          <w:lang w:val="zh-CN"/>
        </w:rPr>
        <w:t>超出</w:t>
      </w:r>
      <w:r>
        <w:rPr>
          <w:rFonts w:hint="eastAsia" w:ascii="宋体" w:hAnsi="宋体" w:cs="宋体"/>
          <w:color w:val="auto"/>
          <w:kern w:val="2"/>
          <w:szCs w:val="21"/>
          <w:highlight w:val="none"/>
          <w:lang w:val="zh-CN"/>
        </w:rPr>
        <w:t>提交接收异议截止时间而</w:t>
      </w:r>
      <w:r>
        <w:rPr>
          <w:rFonts w:hint="eastAsia" w:ascii="宋体" w:hAnsi="宋体" w:cs="宋体"/>
          <w:bCs/>
          <w:color w:val="auto"/>
          <w:kern w:val="2"/>
          <w:szCs w:val="21"/>
          <w:highlight w:val="none"/>
          <w:lang w:val="zh-CN"/>
        </w:rPr>
        <w:t>提出的任何疑问，</w:t>
      </w:r>
      <w:r>
        <w:rPr>
          <w:rFonts w:hint="eastAsia" w:ascii="宋体" w:hAnsi="宋体" w:cs="宋体"/>
          <w:bCs/>
          <w:color w:val="auto"/>
          <w:kern w:val="2"/>
          <w:szCs w:val="21"/>
          <w:highlight w:val="none"/>
        </w:rPr>
        <w:t>采购人或</w:t>
      </w:r>
      <w:r>
        <w:rPr>
          <w:rFonts w:hint="eastAsia" w:ascii="宋体" w:hAnsi="宋体" w:cs="宋体"/>
          <w:bCs/>
          <w:color w:val="auto"/>
          <w:kern w:val="2"/>
          <w:szCs w:val="21"/>
          <w:highlight w:val="none"/>
          <w:lang w:val="zh-CN"/>
        </w:rPr>
        <w:t>采购代理机构可不予答复。</w:t>
      </w:r>
    </w:p>
    <w:p w14:paraId="7F7B4FBB">
      <w:pPr>
        <w:keepNext w:val="0"/>
        <w:keepLines w:val="0"/>
        <w:pageBreakBefore w:val="0"/>
        <w:widowControl w:val="0"/>
        <w:numPr>
          <w:ilvl w:val="1"/>
          <w:numId w:val="4"/>
        </w:numPr>
        <w:kinsoku/>
        <w:wordWrap/>
        <w:overflowPunct w:val="0"/>
        <w:topLinePunct w:val="0"/>
        <w:autoSpaceDE/>
        <w:autoSpaceDN/>
        <w:bidi w:val="0"/>
        <w:spacing w:line="460" w:lineRule="exact"/>
        <w:textAlignment w:val="auto"/>
        <w:rPr>
          <w:rFonts w:ascii="宋体" w:hAnsi="宋体" w:cs="宋体"/>
          <w:color w:val="auto"/>
          <w:szCs w:val="21"/>
          <w:highlight w:val="none"/>
        </w:rPr>
      </w:pPr>
      <w:r>
        <w:rPr>
          <w:rFonts w:hint="eastAsia" w:ascii="宋体" w:hAnsi="宋体" w:cs="宋体"/>
          <w:color w:val="auto"/>
          <w:szCs w:val="21"/>
          <w:highlight w:val="none"/>
          <w:lang w:val="zh-CN"/>
        </w:rPr>
        <w:t>评标结果异议</w:t>
      </w:r>
      <w:r>
        <w:rPr>
          <w:rFonts w:hint="eastAsia" w:ascii="宋体" w:hAnsi="宋体" w:cs="宋体"/>
          <w:color w:val="auto"/>
          <w:szCs w:val="21"/>
          <w:highlight w:val="none"/>
        </w:rPr>
        <w:t xml:space="preserve">   </w:t>
      </w:r>
    </w:p>
    <w:p w14:paraId="210CC3BC">
      <w:pPr>
        <w:keepNext w:val="0"/>
        <w:keepLines w:val="0"/>
        <w:pageBreakBefore w:val="0"/>
        <w:widowControl w:val="0"/>
        <w:tabs>
          <w:tab w:val="left" w:pos="907"/>
        </w:tabs>
        <w:kinsoku/>
        <w:wordWrap/>
        <w:topLinePunct w:val="0"/>
        <w:autoSpaceDE/>
        <w:autoSpaceDN/>
        <w:bidi w:val="0"/>
        <w:adjustRightInd/>
        <w:snapToGrid/>
        <w:spacing w:line="460" w:lineRule="exact"/>
        <w:ind w:firstLine="420" w:firstLineChars="200"/>
        <w:jc w:val="both"/>
        <w:textAlignment w:val="auto"/>
        <w:rPr>
          <w:rFonts w:ascii="宋体" w:hAnsi="宋体" w:cs="宋体"/>
          <w:color w:val="auto"/>
          <w:kern w:val="2"/>
          <w:szCs w:val="21"/>
          <w:highlight w:val="none"/>
          <w:lang w:val="zh-CN"/>
        </w:rPr>
      </w:pPr>
      <w:r>
        <w:rPr>
          <w:rFonts w:hint="eastAsia" w:ascii="宋体" w:hAnsi="宋体" w:cs="宋体"/>
          <w:color w:val="auto"/>
          <w:kern w:val="2"/>
          <w:szCs w:val="21"/>
          <w:highlight w:val="none"/>
          <w:lang w:val="zh-CN"/>
        </w:rPr>
        <w:t>投标人或者其他利害关系人对评标结果有异议的，应当在中标候选人公示期间向采购代理机构以书面的形式提出，并将完整的异议书面材料原件送达采购代理机构，逾期则视为对评标结果无异议。超出提交异议截止时间而提出的任何疑问，采购代理机构可不予答复。</w:t>
      </w:r>
    </w:p>
    <w:p w14:paraId="6B3BF335">
      <w:pPr>
        <w:keepNext w:val="0"/>
        <w:keepLines w:val="0"/>
        <w:pageBreakBefore w:val="0"/>
        <w:widowControl w:val="0"/>
        <w:tabs>
          <w:tab w:val="left" w:pos="907"/>
        </w:tabs>
        <w:kinsoku/>
        <w:wordWrap/>
        <w:topLinePunct w:val="0"/>
        <w:autoSpaceDE/>
        <w:autoSpaceDN/>
        <w:bidi w:val="0"/>
        <w:adjustRightInd/>
        <w:snapToGrid/>
        <w:spacing w:line="460" w:lineRule="exact"/>
        <w:ind w:firstLine="420" w:firstLineChars="200"/>
        <w:jc w:val="both"/>
        <w:textAlignment w:val="auto"/>
        <w:rPr>
          <w:rFonts w:ascii="宋体" w:hAnsi="宋体" w:cs="宋体"/>
          <w:color w:val="auto"/>
          <w:kern w:val="2"/>
          <w:szCs w:val="21"/>
          <w:highlight w:val="none"/>
          <w:lang w:val="zh-CN"/>
        </w:rPr>
      </w:pPr>
      <w:r>
        <w:rPr>
          <w:rFonts w:hint="eastAsia" w:ascii="宋体" w:hAnsi="宋体" w:cs="宋体"/>
          <w:color w:val="auto"/>
          <w:kern w:val="2"/>
          <w:szCs w:val="21"/>
          <w:highlight w:val="none"/>
          <w:lang w:val="zh-CN"/>
        </w:rPr>
        <w:t>采购代理机构将拒收未能提供完整异议书面材料的异议，完整的异议书面材料必须同时包含：异议书（加盖法人公章，并注明联系人、联系电话、联系地址）、授权提交异议的法定代表人授权书原件、反映异议人主体资格的营业执照复印件（加盖法人公章）、以及合法来源的证据证明材料。</w:t>
      </w:r>
    </w:p>
    <w:p w14:paraId="56622FCD">
      <w:pPr>
        <w:keepNext w:val="0"/>
        <w:keepLines w:val="0"/>
        <w:pageBreakBefore w:val="0"/>
        <w:widowControl w:val="0"/>
        <w:numPr>
          <w:ilvl w:val="1"/>
          <w:numId w:val="4"/>
        </w:numPr>
        <w:kinsoku/>
        <w:wordWrap/>
        <w:overflowPunct w:val="0"/>
        <w:topLinePunct w:val="0"/>
        <w:autoSpaceDE/>
        <w:autoSpaceDN/>
        <w:bidi w:val="0"/>
        <w:spacing w:line="460" w:lineRule="exact"/>
        <w:textAlignment w:val="auto"/>
        <w:rPr>
          <w:rFonts w:ascii="宋体" w:hAnsi="宋体" w:cs="宋体"/>
          <w:color w:val="auto"/>
          <w:szCs w:val="21"/>
          <w:highlight w:val="none"/>
        </w:rPr>
      </w:pPr>
      <w:r>
        <w:rPr>
          <w:rFonts w:hint="eastAsia" w:ascii="宋体" w:hAnsi="宋体" w:cs="宋体"/>
          <w:color w:val="auto"/>
          <w:szCs w:val="21"/>
          <w:highlight w:val="none"/>
        </w:rPr>
        <w:t>以联合体形式参加采购活动的，其异议应当由组成联合体的所有投标人共同提出。</w:t>
      </w:r>
    </w:p>
    <w:p w14:paraId="75B4FA37">
      <w:pPr>
        <w:rPr>
          <w:rFonts w:ascii="宋体" w:hAnsi="宋体" w:cs="宋体"/>
          <w:color w:val="auto"/>
          <w:highlight w:val="none"/>
        </w:rPr>
      </w:pPr>
    </w:p>
    <w:p w14:paraId="35558AA8">
      <w:pPr>
        <w:pStyle w:val="5"/>
        <w:numPr>
          <w:ilvl w:val="0"/>
          <w:numId w:val="3"/>
        </w:numPr>
        <w:spacing w:before="0" w:after="0" w:line="360" w:lineRule="auto"/>
        <w:jc w:val="center"/>
        <w:rPr>
          <w:rFonts w:ascii="宋体" w:hAnsi="宋体" w:cs="宋体"/>
          <w:color w:val="auto"/>
          <w:highlight w:val="none"/>
        </w:rPr>
      </w:pPr>
      <w:bookmarkStart w:id="205" w:name="_Toc885"/>
      <w:bookmarkStart w:id="206" w:name="_Toc18965"/>
      <w:r>
        <w:rPr>
          <w:rFonts w:hint="eastAsia" w:ascii="宋体" w:hAnsi="宋体" w:cs="宋体"/>
          <w:color w:val="auto"/>
          <w:highlight w:val="none"/>
        </w:rPr>
        <w:t>其他</w:t>
      </w:r>
      <w:bookmarkEnd w:id="205"/>
      <w:bookmarkEnd w:id="206"/>
    </w:p>
    <w:p w14:paraId="0BDC5538">
      <w:pPr>
        <w:pStyle w:val="6"/>
        <w:widowControl w:val="0"/>
        <w:numPr>
          <w:ilvl w:val="0"/>
          <w:numId w:val="4"/>
        </w:numPr>
        <w:overflowPunct w:val="0"/>
        <w:rPr>
          <w:rFonts w:ascii="宋体" w:hAnsi="宋体" w:cs="宋体"/>
          <w:color w:val="auto"/>
          <w:sz w:val="21"/>
          <w:szCs w:val="21"/>
          <w:highlight w:val="none"/>
        </w:rPr>
      </w:pPr>
      <w:bookmarkStart w:id="207" w:name="_Toc1587"/>
      <w:bookmarkStart w:id="208" w:name="_Toc11974"/>
      <w:r>
        <w:rPr>
          <w:rFonts w:hint="eastAsia" w:ascii="宋体" w:hAnsi="宋体" w:cs="宋体"/>
          <w:color w:val="auto"/>
          <w:sz w:val="21"/>
          <w:szCs w:val="21"/>
          <w:highlight w:val="none"/>
        </w:rPr>
        <w:t>采购文件的解释权</w:t>
      </w:r>
      <w:bookmarkEnd w:id="207"/>
      <w:bookmarkEnd w:id="208"/>
    </w:p>
    <w:p w14:paraId="3C575A72">
      <w:pPr>
        <w:widowControl w:val="0"/>
        <w:numPr>
          <w:ilvl w:val="1"/>
          <w:numId w:val="4"/>
        </w:numPr>
        <w:overflowPunct w:val="0"/>
        <w:rPr>
          <w:rFonts w:ascii="宋体" w:hAnsi="宋体" w:cs="宋体"/>
          <w:color w:val="auto"/>
          <w:szCs w:val="21"/>
          <w:highlight w:val="none"/>
        </w:rPr>
      </w:pPr>
      <w:r>
        <w:rPr>
          <w:rFonts w:hint="eastAsia" w:ascii="宋体" w:hAnsi="宋体" w:cs="宋体"/>
          <w:color w:val="auto"/>
          <w:szCs w:val="21"/>
          <w:highlight w:val="none"/>
        </w:rPr>
        <w:t>本采购文件是根据国家有关法律、法规以及采购管理有关规定和参照国际惯例编制，解释权属本采购代理机构。</w:t>
      </w:r>
    </w:p>
    <w:p w14:paraId="686C0FCB">
      <w:pPr>
        <w:widowControl w:val="0"/>
        <w:numPr>
          <w:ilvl w:val="1"/>
          <w:numId w:val="8"/>
        </w:numPr>
        <w:tabs>
          <w:tab w:val="left" w:pos="907"/>
        </w:tabs>
        <w:adjustRightInd/>
        <w:snapToGrid/>
        <w:spacing w:line="360" w:lineRule="exact"/>
        <w:jc w:val="both"/>
        <w:rPr>
          <w:rFonts w:ascii="宋体" w:hAnsi="宋体"/>
          <w:color w:val="auto"/>
          <w:szCs w:val="21"/>
          <w:highlight w:val="none"/>
        </w:rPr>
      </w:pPr>
      <w:r>
        <w:rPr>
          <w:rFonts w:hint="eastAsia" w:ascii="宋体" w:hAnsi="宋体"/>
          <w:color w:val="auto"/>
          <w:szCs w:val="21"/>
          <w:highlight w:val="none"/>
        </w:rPr>
        <w:br w:type="page"/>
      </w:r>
    </w:p>
    <w:p w14:paraId="7D9F7AC1">
      <w:pPr>
        <w:pStyle w:val="4"/>
        <w:spacing w:before="0" w:after="0" w:line="240" w:lineRule="auto"/>
        <w:rPr>
          <w:color w:val="auto"/>
          <w:sz w:val="28"/>
          <w:szCs w:val="28"/>
          <w:highlight w:val="none"/>
        </w:rPr>
      </w:pPr>
      <w:bookmarkStart w:id="209" w:name="_Toc31812"/>
      <w:r>
        <w:rPr>
          <w:rFonts w:hint="eastAsia"/>
          <w:color w:val="auto"/>
          <w:sz w:val="28"/>
          <w:szCs w:val="28"/>
          <w:highlight w:val="none"/>
        </w:rPr>
        <w:t>第五部分  合同条款格式</w:t>
      </w:r>
      <w:bookmarkEnd w:id="209"/>
      <w:bookmarkStart w:id="210" w:name="_Toc15636"/>
    </w:p>
    <w:bookmarkEnd w:id="210"/>
    <w:p w14:paraId="4DC799AC">
      <w:pPr>
        <w:outlineLvl w:val="9"/>
        <w:rPr>
          <w:rFonts w:hint="eastAsia"/>
          <w:color w:val="auto"/>
          <w:highlight w:val="none"/>
          <w:lang w:val="en-US" w:bidi="zh-CN"/>
        </w:rPr>
      </w:pPr>
      <w:bookmarkStart w:id="211" w:name="_Hlt109815959"/>
      <w:bookmarkEnd w:id="211"/>
      <w:r>
        <w:rPr>
          <w:rFonts w:hint="eastAsia"/>
          <w:color w:val="auto"/>
          <w:highlight w:val="none"/>
          <w:lang w:val="en-US" w:bidi="zh-CN"/>
        </w:rPr>
        <w:t>甲方合同编号：</w:t>
      </w:r>
    </w:p>
    <w:p w14:paraId="15CE72CA">
      <w:pPr>
        <w:outlineLvl w:val="9"/>
        <w:rPr>
          <w:rFonts w:hint="default"/>
          <w:color w:val="auto"/>
          <w:highlight w:val="none"/>
          <w:lang w:val="en-US" w:bidi="zh-CN"/>
        </w:rPr>
      </w:pPr>
      <w:r>
        <w:rPr>
          <w:rFonts w:hint="eastAsia"/>
          <w:color w:val="auto"/>
          <w:highlight w:val="none"/>
          <w:lang w:val="en-US" w:bidi="zh-CN"/>
        </w:rPr>
        <w:t>乙方合同编号：</w:t>
      </w:r>
    </w:p>
    <w:p w14:paraId="215A0BCF">
      <w:pPr>
        <w:jc w:val="center"/>
        <w:outlineLvl w:val="9"/>
        <w:rPr>
          <w:rFonts w:hint="eastAsia"/>
          <w:b/>
          <w:bCs/>
          <w:color w:val="auto"/>
          <w:sz w:val="28"/>
          <w:szCs w:val="28"/>
          <w:highlight w:val="none"/>
          <w:lang w:val="zh-TW" w:eastAsia="zh-TW"/>
        </w:rPr>
      </w:pPr>
      <w:bookmarkStart w:id="212" w:name="OLE_LINK1"/>
      <w:bookmarkStart w:id="213" w:name="_Toc11272"/>
      <w:bookmarkStart w:id="214" w:name="_Toc30161"/>
      <w:bookmarkStart w:id="215" w:name="_Toc25265"/>
      <w:bookmarkStart w:id="216" w:name="_Toc15098"/>
      <w:bookmarkStart w:id="217" w:name="_Toc9159"/>
      <w:bookmarkStart w:id="218" w:name="_Toc30884"/>
      <w:bookmarkStart w:id="219" w:name="_Toc31864"/>
      <w:r>
        <w:rPr>
          <w:rFonts w:hint="eastAsia"/>
          <w:b/>
          <w:bCs/>
          <w:color w:val="auto"/>
          <w:sz w:val="28"/>
          <w:szCs w:val="28"/>
          <w:highlight w:val="none"/>
          <w:lang w:val="zh-TW" w:eastAsia="zh-TW"/>
        </w:rPr>
        <w:t>东莞市新东欣环保投资有限公司</w:t>
      </w:r>
    </w:p>
    <w:bookmarkEnd w:id="212"/>
    <w:p w14:paraId="4EAB7FA7">
      <w:pPr>
        <w:jc w:val="center"/>
        <w:outlineLvl w:val="9"/>
        <w:rPr>
          <w:b/>
          <w:bCs/>
          <w:color w:val="auto"/>
          <w:sz w:val="28"/>
          <w:szCs w:val="28"/>
          <w:highlight w:val="none"/>
          <w:lang w:val="zh-TW" w:eastAsia="zh-TW"/>
        </w:rPr>
      </w:pPr>
      <w:r>
        <w:rPr>
          <w:rFonts w:hint="eastAsia"/>
          <w:b/>
          <w:bCs/>
          <w:color w:val="auto"/>
          <w:sz w:val="28"/>
          <w:szCs w:val="28"/>
          <w:highlight w:val="none"/>
          <w:lang w:val="zh-TW" w:eastAsia="zh-TW"/>
        </w:rPr>
        <w:t>莞惠区域危废运输服务项目合同</w:t>
      </w:r>
      <w:bookmarkEnd w:id="213"/>
      <w:bookmarkEnd w:id="214"/>
      <w:bookmarkEnd w:id="215"/>
      <w:bookmarkEnd w:id="216"/>
      <w:bookmarkEnd w:id="217"/>
      <w:bookmarkEnd w:id="218"/>
      <w:bookmarkEnd w:id="219"/>
    </w:p>
    <w:p w14:paraId="3DFEEBD6">
      <w:pPr>
        <w:spacing w:before="156" w:line="360" w:lineRule="exact"/>
        <w:jc w:val="both"/>
        <w:outlineLvl w:val="9"/>
        <w:rPr>
          <w:rFonts w:hAnsi="宋体" w:cs="宋体"/>
          <w:b/>
          <w:bCs/>
          <w:color w:val="auto"/>
          <w:szCs w:val="21"/>
          <w:highlight w:val="none"/>
        </w:rPr>
      </w:pPr>
      <w:r>
        <w:rPr>
          <w:rFonts w:hint="eastAsia" w:hAnsi="宋体" w:cs="宋体"/>
          <w:b/>
          <w:bCs/>
          <w:color w:val="auto"/>
          <w:szCs w:val="21"/>
          <w:highlight w:val="none"/>
        </w:rPr>
        <w:t xml:space="preserve">                              </w:t>
      </w:r>
    </w:p>
    <w:p w14:paraId="70513B63">
      <w:pPr>
        <w:pStyle w:val="27"/>
        <w:keepNext w:val="0"/>
        <w:keepLines w:val="0"/>
        <w:pageBreakBefore w:val="0"/>
        <w:widowControl/>
        <w:kinsoku/>
        <w:wordWrap/>
        <w:overflowPunct/>
        <w:topLinePunct w:val="0"/>
        <w:autoSpaceDE/>
        <w:autoSpaceDN/>
        <w:bidi w:val="0"/>
        <w:adjustRightInd w:val="0"/>
        <w:snapToGrid w:val="0"/>
        <w:spacing w:before="0" w:after="0" w:line="460" w:lineRule="exact"/>
        <w:ind w:left="0" w:firstLine="482" w:firstLineChars="200"/>
        <w:textAlignment w:val="auto"/>
        <w:outlineLvl w:val="9"/>
        <w:rPr>
          <w:b/>
          <w:color w:val="auto"/>
          <w:highlight w:val="none"/>
        </w:rPr>
      </w:pPr>
      <w:r>
        <w:rPr>
          <w:rFonts w:hint="eastAsia"/>
          <w:b/>
          <w:color w:val="auto"/>
          <w:highlight w:val="none"/>
        </w:rPr>
        <w:t>委托方（以下简称甲方）：东莞市新东欣环保投资有限公司</w:t>
      </w:r>
    </w:p>
    <w:p w14:paraId="46C88CCF">
      <w:pPr>
        <w:pStyle w:val="27"/>
        <w:keepNext w:val="0"/>
        <w:keepLines w:val="0"/>
        <w:pageBreakBefore w:val="0"/>
        <w:widowControl/>
        <w:kinsoku/>
        <w:wordWrap/>
        <w:overflowPunct/>
        <w:topLinePunct w:val="0"/>
        <w:autoSpaceDE/>
        <w:autoSpaceDN/>
        <w:bidi w:val="0"/>
        <w:adjustRightInd w:val="0"/>
        <w:snapToGrid w:val="0"/>
        <w:spacing w:before="0" w:after="0" w:line="460" w:lineRule="exact"/>
        <w:ind w:left="0" w:firstLine="482" w:firstLineChars="200"/>
        <w:textAlignment w:val="auto"/>
        <w:outlineLvl w:val="9"/>
        <w:rPr>
          <w:b/>
          <w:color w:val="auto"/>
          <w:highlight w:val="none"/>
        </w:rPr>
      </w:pPr>
      <w:r>
        <w:rPr>
          <w:rFonts w:hint="eastAsia"/>
          <w:b/>
          <w:color w:val="auto"/>
          <w:highlight w:val="none"/>
        </w:rPr>
        <w:t xml:space="preserve">承运方（以下简称乙方）： </w:t>
      </w:r>
    </w:p>
    <w:p w14:paraId="126693F1">
      <w:pPr>
        <w:keepNext w:val="0"/>
        <w:keepLines w:val="0"/>
        <w:pageBreakBefore w:val="0"/>
        <w:kinsoku/>
        <w:wordWrap/>
        <w:overflowPunct/>
        <w:topLinePunct w:val="0"/>
        <w:autoSpaceDE/>
        <w:autoSpaceDN/>
        <w:bidi w:val="0"/>
        <w:spacing w:line="460" w:lineRule="exact"/>
        <w:ind w:left="0" w:firstLine="420" w:firstLineChars="200"/>
        <w:textAlignment w:val="auto"/>
        <w:outlineLvl w:val="9"/>
        <w:rPr>
          <w:rFonts w:hAnsi="宋体" w:cs="宋体"/>
          <w:color w:val="auto"/>
          <w:szCs w:val="21"/>
          <w:highlight w:val="none"/>
        </w:rPr>
      </w:pPr>
    </w:p>
    <w:p w14:paraId="0CCB045F">
      <w:pPr>
        <w:pStyle w:val="44"/>
        <w:keepNext w:val="0"/>
        <w:keepLines w:val="0"/>
        <w:pageBreakBefore w:val="0"/>
        <w:kinsoku/>
        <w:wordWrap/>
        <w:overflowPunct/>
        <w:topLinePunct w:val="0"/>
        <w:autoSpaceDE/>
        <w:autoSpaceDN/>
        <w:bidi w:val="0"/>
        <w:spacing w:line="460" w:lineRule="exact"/>
        <w:ind w:left="0" w:firstLine="420" w:firstLineChars="200"/>
        <w:textAlignment w:val="auto"/>
        <w:outlineLvl w:val="9"/>
        <w:rPr>
          <w:rFonts w:ascii="宋体" w:eastAsia="宋体" w:cs="宋体"/>
          <w:color w:val="auto"/>
          <w:sz w:val="21"/>
          <w:szCs w:val="21"/>
          <w:highlight w:val="none"/>
        </w:rPr>
      </w:pPr>
      <w:r>
        <w:rPr>
          <w:rFonts w:hint="eastAsia" w:ascii="宋体" w:eastAsia="宋体" w:cs="宋体"/>
          <w:color w:val="auto"/>
          <w:sz w:val="21"/>
          <w:szCs w:val="21"/>
          <w:highlight w:val="none"/>
        </w:rPr>
        <w:t>根据《中华人民共和国民法典》及国家有关运输规定，经过双方充分协商，特订立本合同，以便双方共同遵守。</w:t>
      </w:r>
    </w:p>
    <w:p w14:paraId="514BB003">
      <w:pPr>
        <w:keepNext w:val="0"/>
        <w:keepLines w:val="0"/>
        <w:pageBreakBefore w:val="0"/>
        <w:kinsoku/>
        <w:wordWrap/>
        <w:overflowPunct/>
        <w:topLinePunct w:val="0"/>
        <w:autoSpaceDE/>
        <w:autoSpaceDN/>
        <w:bidi w:val="0"/>
        <w:spacing w:line="460" w:lineRule="exact"/>
        <w:ind w:left="0" w:firstLine="0" w:firstLineChars="0"/>
        <w:textAlignment w:val="auto"/>
        <w:outlineLvl w:val="9"/>
        <w:rPr>
          <w:b/>
          <w:bCs/>
          <w:color w:val="auto"/>
          <w:highlight w:val="none"/>
        </w:rPr>
      </w:pPr>
      <w:bookmarkStart w:id="220" w:name="_Toc26134"/>
      <w:bookmarkStart w:id="221" w:name="_Toc919"/>
      <w:bookmarkStart w:id="222" w:name="_Toc10064"/>
      <w:bookmarkStart w:id="223" w:name="_Toc26470"/>
      <w:bookmarkStart w:id="224" w:name="_Toc3763"/>
      <w:bookmarkStart w:id="225" w:name="_Toc6767"/>
      <w:bookmarkStart w:id="226" w:name="_Toc4675"/>
      <w:r>
        <w:rPr>
          <w:rFonts w:hint="eastAsia"/>
          <w:b/>
          <w:bCs/>
          <w:color w:val="auto"/>
          <w:highlight w:val="none"/>
        </w:rPr>
        <w:t>第一条 合同标的</w:t>
      </w:r>
      <w:bookmarkEnd w:id="220"/>
      <w:bookmarkEnd w:id="221"/>
      <w:bookmarkEnd w:id="222"/>
      <w:bookmarkEnd w:id="223"/>
      <w:bookmarkEnd w:id="224"/>
      <w:bookmarkEnd w:id="225"/>
      <w:bookmarkEnd w:id="226"/>
    </w:p>
    <w:p w14:paraId="4928367E">
      <w:pPr>
        <w:pStyle w:val="44"/>
        <w:keepNext w:val="0"/>
        <w:keepLines w:val="0"/>
        <w:pageBreakBefore w:val="0"/>
        <w:kinsoku/>
        <w:wordWrap/>
        <w:overflowPunct/>
        <w:topLinePunct w:val="0"/>
        <w:autoSpaceDE/>
        <w:autoSpaceDN/>
        <w:bidi w:val="0"/>
        <w:spacing w:line="460" w:lineRule="exact"/>
        <w:ind w:left="0" w:firstLine="420" w:firstLineChars="200"/>
        <w:textAlignment w:val="auto"/>
        <w:outlineLvl w:val="9"/>
        <w:rPr>
          <w:rFonts w:hint="eastAsia" w:ascii="宋体" w:eastAsia="宋体" w:cs="宋体"/>
          <w:color w:val="auto"/>
          <w:sz w:val="21"/>
          <w:szCs w:val="21"/>
          <w:highlight w:val="none"/>
          <w:lang w:eastAsia="zh-CN"/>
        </w:rPr>
      </w:pPr>
      <w:r>
        <w:rPr>
          <w:rFonts w:hint="eastAsia" w:ascii="宋体" w:eastAsia="宋体" w:cs="宋体"/>
          <w:color w:val="auto"/>
          <w:sz w:val="21"/>
          <w:szCs w:val="21"/>
          <w:highlight w:val="none"/>
        </w:rPr>
        <w:t>甲方作为广东省处理处置危险废物的经营单位，委托乙方对甲方的客户提供危险废物的运输、打包、装卸服务工作。合作标准依据国家标准《危险废物收集、贮存、运输技术规范》(HJ2025-2012)、危险货物分类和品名编号(GB 6944-2012)、道路危险货物运输管理规定(交通运输部令2019年第42号)等法律法规</w:t>
      </w:r>
      <w:r>
        <w:rPr>
          <w:rFonts w:hint="eastAsia" w:ascii="宋体" w:eastAsia="宋体" w:cs="宋体"/>
          <w:color w:val="auto"/>
          <w:sz w:val="21"/>
          <w:szCs w:val="21"/>
          <w:highlight w:val="none"/>
          <w:lang w:val="en-US" w:eastAsia="zh-CN"/>
        </w:rPr>
        <w:t>和《</w:t>
      </w:r>
      <w:r>
        <w:rPr>
          <w:rFonts w:hint="eastAsia" w:ascii="宋体" w:eastAsia="宋体" w:cs="宋体"/>
          <w:color w:val="auto"/>
          <w:sz w:val="21"/>
          <w:szCs w:val="21"/>
          <w:highlight w:val="none"/>
          <w:lang w:eastAsia="zh-CN"/>
        </w:rPr>
        <w:t>东莞市新东欣环保投资有限公司莞惠区域危废运输服务项目</w:t>
      </w:r>
      <w:r>
        <w:rPr>
          <w:rFonts w:hint="eastAsia" w:ascii="宋体" w:eastAsia="宋体" w:cs="宋体"/>
          <w:color w:val="auto"/>
          <w:sz w:val="21"/>
          <w:szCs w:val="21"/>
          <w:highlight w:val="none"/>
          <w:lang w:val="en-US" w:eastAsia="zh-CN"/>
        </w:rPr>
        <w:t>技术需求书》（详见合同附件9）</w:t>
      </w:r>
      <w:r>
        <w:rPr>
          <w:rFonts w:hint="eastAsia" w:ascii="宋体" w:eastAsia="宋体" w:cs="宋体"/>
          <w:color w:val="auto"/>
          <w:sz w:val="21"/>
          <w:szCs w:val="21"/>
          <w:highlight w:val="none"/>
        </w:rPr>
        <w:t>。本合同所有附件是本合同不可分割的组成部分，与本合同具有同等法律效力</w:t>
      </w:r>
      <w:r>
        <w:rPr>
          <w:rFonts w:hint="eastAsia" w:ascii="宋体" w:eastAsia="宋体" w:cs="宋体"/>
          <w:color w:val="auto"/>
          <w:sz w:val="21"/>
          <w:szCs w:val="21"/>
          <w:highlight w:val="none"/>
          <w:lang w:eastAsia="zh-CN"/>
        </w:rPr>
        <w:t>。</w:t>
      </w:r>
    </w:p>
    <w:p w14:paraId="012000D4">
      <w:pPr>
        <w:pStyle w:val="44"/>
        <w:keepNext w:val="0"/>
        <w:keepLines w:val="0"/>
        <w:pageBreakBefore w:val="0"/>
        <w:kinsoku/>
        <w:wordWrap/>
        <w:overflowPunct/>
        <w:topLinePunct w:val="0"/>
        <w:autoSpaceDE/>
        <w:autoSpaceDN/>
        <w:bidi w:val="0"/>
        <w:spacing w:line="460" w:lineRule="exact"/>
        <w:ind w:left="0" w:firstLine="420" w:firstLineChars="200"/>
        <w:textAlignment w:val="auto"/>
        <w:outlineLvl w:val="9"/>
        <w:rPr>
          <w:rFonts w:ascii="宋体" w:eastAsia="宋体" w:cs="宋体"/>
          <w:color w:val="auto"/>
          <w:sz w:val="21"/>
          <w:szCs w:val="21"/>
          <w:highlight w:val="none"/>
        </w:rPr>
      </w:pPr>
      <w:r>
        <w:rPr>
          <w:rFonts w:hint="eastAsia" w:ascii="宋体" w:eastAsia="宋体" w:cs="宋体"/>
          <w:color w:val="auto"/>
          <w:sz w:val="21"/>
          <w:szCs w:val="21"/>
          <w:highlight w:val="none"/>
        </w:rPr>
        <w:t>合同存续期间，乙方需</w:t>
      </w:r>
      <w:r>
        <w:rPr>
          <w:rFonts w:hint="eastAsia" w:ascii="宋体" w:eastAsia="宋体" w:cs="宋体"/>
          <w:color w:val="auto"/>
          <w:sz w:val="21"/>
          <w:szCs w:val="21"/>
          <w:highlight w:val="none"/>
          <w:lang w:val="en-US" w:eastAsia="zh-CN"/>
        </w:rPr>
        <w:t>满足相关法律法规对本项目运输单位有关资质的要求，乙方</w:t>
      </w:r>
      <w:r>
        <w:rPr>
          <w:rFonts w:hint="eastAsia" w:ascii="宋体" w:eastAsia="宋体" w:cs="宋体"/>
          <w:color w:val="auto"/>
          <w:sz w:val="21"/>
          <w:szCs w:val="21"/>
          <w:highlight w:val="none"/>
        </w:rPr>
        <w:t>在相关资质到期2个月前</w:t>
      </w:r>
      <w:r>
        <w:rPr>
          <w:rFonts w:hint="eastAsia" w:ascii="宋体" w:eastAsia="宋体" w:cs="宋体"/>
          <w:color w:val="auto"/>
          <w:sz w:val="21"/>
          <w:szCs w:val="21"/>
          <w:highlight w:val="none"/>
          <w:lang w:val="en-US" w:eastAsia="zh-CN"/>
        </w:rPr>
        <w:t>应</w:t>
      </w:r>
      <w:r>
        <w:rPr>
          <w:rFonts w:hint="eastAsia" w:ascii="宋体" w:eastAsia="宋体" w:cs="宋体"/>
          <w:color w:val="auto"/>
          <w:sz w:val="21"/>
          <w:szCs w:val="21"/>
          <w:highlight w:val="none"/>
        </w:rPr>
        <w:t>书面知会甲方，并及时办理报审/延期手续，如果</w:t>
      </w:r>
      <w:r>
        <w:rPr>
          <w:rFonts w:hint="eastAsia" w:ascii="宋体" w:eastAsia="宋体" w:cs="宋体"/>
          <w:color w:val="auto"/>
          <w:sz w:val="21"/>
          <w:szCs w:val="21"/>
          <w:highlight w:val="none"/>
          <w:lang w:val="en-US" w:eastAsia="zh-CN"/>
        </w:rPr>
        <w:t>资质</w:t>
      </w:r>
      <w:r>
        <w:rPr>
          <w:rFonts w:hint="eastAsia" w:ascii="宋体" w:eastAsia="宋体" w:cs="宋体"/>
          <w:color w:val="auto"/>
          <w:sz w:val="21"/>
          <w:szCs w:val="21"/>
          <w:highlight w:val="none"/>
        </w:rPr>
        <w:t>到期未通过审核或未提前2个月知会甲方，造成甲方经济损失或处罚的</w:t>
      </w:r>
      <w:r>
        <w:rPr>
          <w:rFonts w:hint="eastAsia" w:ascii="宋体" w:eastAsia="宋体" w:cs="宋体"/>
          <w:color w:val="auto"/>
          <w:sz w:val="21"/>
          <w:szCs w:val="21"/>
          <w:highlight w:val="none"/>
          <w:lang w:eastAsia="zh-CN"/>
        </w:rPr>
        <w:t>，</w:t>
      </w:r>
      <w:r>
        <w:rPr>
          <w:rFonts w:hint="eastAsia" w:ascii="宋体" w:eastAsia="宋体" w:cs="宋体"/>
          <w:color w:val="auto"/>
          <w:sz w:val="21"/>
          <w:szCs w:val="21"/>
          <w:highlight w:val="none"/>
        </w:rPr>
        <w:t>均由乙方承担，且本合同自动终止。</w:t>
      </w:r>
    </w:p>
    <w:p w14:paraId="32169BA4">
      <w:pPr>
        <w:spacing w:line="400" w:lineRule="exact"/>
        <w:outlineLvl w:val="9"/>
        <w:rPr>
          <w:b/>
          <w:bCs/>
          <w:color w:val="auto"/>
          <w:highlight w:val="none"/>
        </w:rPr>
      </w:pPr>
      <w:bookmarkStart w:id="227" w:name="_Toc26163"/>
      <w:bookmarkStart w:id="228" w:name="_Toc27151"/>
      <w:bookmarkStart w:id="229" w:name="_Toc21778"/>
      <w:bookmarkStart w:id="230" w:name="_Toc18397"/>
      <w:bookmarkStart w:id="231" w:name="_Toc25834"/>
      <w:bookmarkStart w:id="232" w:name="_Toc30288"/>
      <w:bookmarkStart w:id="233" w:name="_Toc1196"/>
      <w:r>
        <w:rPr>
          <w:rFonts w:hint="eastAsia"/>
          <w:b/>
          <w:bCs/>
          <w:color w:val="auto"/>
          <w:highlight w:val="none"/>
        </w:rPr>
        <w:t>第二条 承运货物、起止地点</w:t>
      </w:r>
      <w:bookmarkEnd w:id="227"/>
      <w:bookmarkEnd w:id="228"/>
      <w:bookmarkEnd w:id="229"/>
      <w:bookmarkEnd w:id="230"/>
      <w:bookmarkEnd w:id="231"/>
      <w:bookmarkEnd w:id="232"/>
      <w:bookmarkEnd w:id="233"/>
    </w:p>
    <w:p w14:paraId="3D195D6E">
      <w:pPr>
        <w:pStyle w:val="44"/>
        <w:spacing w:line="400" w:lineRule="exact"/>
        <w:ind w:firstLine="433"/>
        <w:outlineLvl w:val="9"/>
        <w:rPr>
          <w:rFonts w:ascii="宋体" w:eastAsia="宋体" w:cs="宋体"/>
          <w:color w:val="auto"/>
          <w:sz w:val="21"/>
          <w:szCs w:val="21"/>
          <w:highlight w:val="none"/>
        </w:rPr>
      </w:pPr>
      <w:r>
        <w:rPr>
          <w:rFonts w:ascii="宋体" w:eastAsia="宋体" w:cs="宋体"/>
          <w:color w:val="auto"/>
          <w:sz w:val="21"/>
          <w:szCs w:val="21"/>
          <w:highlight w:val="none"/>
        </w:rPr>
        <mc:AlternateContent>
          <mc:Choice Requires="wps">
            <w:drawing>
              <wp:anchor distT="0" distB="0" distL="114300" distR="114300" simplePos="0" relativeHeight="251663360" behindDoc="0" locked="0" layoutInCell="1" allowOverlap="1">
                <wp:simplePos x="0" y="0"/>
                <wp:positionH relativeFrom="column">
                  <wp:posOffset>863600</wp:posOffset>
                </wp:positionH>
                <wp:positionV relativeFrom="paragraph">
                  <wp:posOffset>241300</wp:posOffset>
                </wp:positionV>
                <wp:extent cx="1043940" cy="635"/>
                <wp:effectExtent l="0" t="0" r="0" b="0"/>
                <wp:wrapNone/>
                <wp:docPr id="9" name="直接连接符 9"/>
                <wp:cNvGraphicFramePr/>
                <a:graphic xmlns:a="http://schemas.openxmlformats.org/drawingml/2006/main">
                  <a:graphicData uri="http://schemas.microsoft.com/office/word/2010/wordprocessingShape">
                    <wps:wsp>
                      <wps:cNvCnPr/>
                      <wps:spPr>
                        <a:xfrm>
                          <a:off x="0" y="0"/>
                          <a:ext cx="1043940" cy="635"/>
                        </a:xfrm>
                        <a:prstGeom prst="line">
                          <a:avLst/>
                        </a:prstGeom>
                        <a:ln w="3175" cap="flat" cmpd="sng">
                          <a:solidFill>
                            <a:srgbClr val="000000"/>
                          </a:solidFill>
                          <a:prstDash val="solid"/>
                          <a:headEnd type="none" w="med" len="med"/>
                          <a:tailEnd type="none" w="med" len="med"/>
                        </a:ln>
                        <a:effectLst/>
                      </wps:spPr>
                      <wps:bodyPr/>
                    </wps:wsp>
                  </a:graphicData>
                </a:graphic>
              </wp:anchor>
            </w:drawing>
          </mc:Choice>
          <mc:Fallback>
            <w:pict>
              <v:line id="_x0000_s1026" o:spid="_x0000_s1026" o:spt="20" style="position:absolute;left:0pt;margin-left:68pt;margin-top:19pt;height:0.05pt;width:82.2pt;z-index:251663360;mso-width-relative:page;mso-height-relative:page;" filled="f" stroked="t" coordsize="21600,21600" o:gfxdata="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BpMeOXYAAAACQEAAA8AAAAAAAAAAQAgAAAAIgAAAGRycy9kb3ducmV2LnhtbFBLAQIU&#10;ABQAAAAIAIdO4kB5rknK8wEAAOgDAAAOAAAAAAAAAAEAIAAAACcBAABkcnMvZTJvRG9jLnhtbFBL&#10;BQYAAAAABgAGAFkBAACMBQAAAAA=&#10;">
                <v:fill on="f" focussize="0,0"/>
                <v:stroke weight="0.25pt" color="#000000" joinstyle="round"/>
                <v:imagedata o:title=""/>
                <o:lock v:ext="edit" aspectratio="f"/>
              </v:line>
            </w:pict>
          </mc:Fallback>
        </mc:AlternateContent>
      </w:r>
      <w:r>
        <w:rPr>
          <w:rFonts w:hint="eastAsia" w:ascii="宋体" w:eastAsia="宋体" w:cs="宋体"/>
          <w:color w:val="auto"/>
          <w:sz w:val="21"/>
          <w:szCs w:val="21"/>
          <w:highlight w:val="none"/>
        </w:rPr>
        <w:t>2.1标段：</w:t>
      </w:r>
      <w:r>
        <w:rPr>
          <w:rFonts w:hint="eastAsia" w:ascii="宋体" w:eastAsia="宋体" w:cs="宋体"/>
          <w:color w:val="auto"/>
          <w:sz w:val="21"/>
          <w:szCs w:val="21"/>
          <w:highlight w:val="none"/>
          <w:lang w:val="en-US" w:eastAsia="zh-CN"/>
        </w:rPr>
        <w:t xml:space="preserve">莞惠区域 </w:t>
      </w:r>
    </w:p>
    <w:p w14:paraId="36EB688E">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2.2承运的主要货物为：</w:t>
      </w:r>
      <w:r>
        <w:rPr>
          <w:rFonts w:hint="eastAsia" w:ascii="宋体" w:eastAsia="宋体" w:cs="宋体"/>
          <w:color w:val="auto"/>
          <w:sz w:val="21"/>
          <w:szCs w:val="21"/>
          <w:highlight w:val="none"/>
          <w:u w:val="single"/>
        </w:rPr>
        <w:t xml:space="preserve"> 危险废物  </w:t>
      </w:r>
    </w:p>
    <w:p w14:paraId="26878253">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2.3货物的起运（装货）、到达（卸货）地：</w:t>
      </w:r>
      <w:r>
        <w:rPr>
          <w:rFonts w:hint="eastAsia" w:ascii="宋体" w:eastAsia="宋体" w:cs="宋体"/>
          <w:b/>
          <w:bCs/>
          <w:color w:val="auto"/>
          <w:sz w:val="21"/>
          <w:szCs w:val="21"/>
          <w:highlight w:val="none"/>
        </w:rPr>
        <w:t>见</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附件3《危险废物运输费单价表》</w:t>
      </w:r>
      <w:r>
        <w:rPr>
          <w:rFonts w:hint="eastAsia" w:ascii="宋体" w:eastAsia="宋体" w:cs="宋体"/>
          <w:color w:val="auto"/>
          <w:sz w:val="21"/>
          <w:szCs w:val="21"/>
          <w:highlight w:val="none"/>
        </w:rPr>
        <w:t>。</w:t>
      </w:r>
    </w:p>
    <w:p w14:paraId="2A768FCC">
      <w:pPr>
        <w:spacing w:line="400" w:lineRule="exact"/>
        <w:outlineLvl w:val="9"/>
        <w:rPr>
          <w:b/>
          <w:bCs/>
          <w:color w:val="auto"/>
          <w:highlight w:val="none"/>
        </w:rPr>
      </w:pPr>
      <w:bookmarkStart w:id="234" w:name="_Toc4455"/>
      <w:bookmarkStart w:id="235" w:name="_Toc28030"/>
      <w:bookmarkStart w:id="236" w:name="_Toc10423"/>
      <w:bookmarkStart w:id="237" w:name="_Toc30464"/>
      <w:bookmarkStart w:id="238" w:name="_Toc28627"/>
      <w:bookmarkStart w:id="239" w:name="_Toc14867"/>
      <w:bookmarkStart w:id="240" w:name="_Toc17631"/>
      <w:r>
        <w:rPr>
          <w:rFonts w:hint="eastAsia"/>
          <w:b/>
          <w:bCs/>
          <w:color w:val="auto"/>
          <w:highlight w:val="none"/>
        </w:rPr>
        <w:t>第三条 甲方的权利、义务和责任</w:t>
      </w:r>
      <w:bookmarkEnd w:id="234"/>
      <w:bookmarkEnd w:id="235"/>
      <w:bookmarkEnd w:id="236"/>
      <w:bookmarkEnd w:id="237"/>
      <w:bookmarkEnd w:id="238"/>
      <w:bookmarkEnd w:id="239"/>
      <w:bookmarkEnd w:id="240"/>
    </w:p>
    <w:p w14:paraId="21F8BC8E">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3.1 甲方应确保合同存续期间甲方资质证件合法有效。</w:t>
      </w:r>
    </w:p>
    <w:p w14:paraId="7012B689">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3.2甲方应要求其客户将各类危险废物分类/集中存放，做好标记标识，不可混入其他杂物，以保障乙方安全、快捷作业。</w:t>
      </w:r>
    </w:p>
    <w:p w14:paraId="1D97EAFF">
      <w:pPr>
        <w:pStyle w:val="44"/>
        <w:spacing w:line="400" w:lineRule="exact"/>
        <w:ind w:firstLine="433"/>
        <w:outlineLvl w:val="9"/>
        <w:rPr>
          <w:rFonts w:hint="eastAsia" w:ascii="宋体" w:eastAsia="宋体" w:cs="宋体"/>
          <w:color w:val="auto"/>
          <w:sz w:val="21"/>
          <w:szCs w:val="21"/>
          <w:highlight w:val="none"/>
        </w:rPr>
      </w:pPr>
      <w:r>
        <w:rPr>
          <w:rFonts w:hint="eastAsia" w:ascii="宋体" w:eastAsia="宋体" w:cs="宋体"/>
          <w:color w:val="auto"/>
          <w:sz w:val="21"/>
          <w:szCs w:val="21"/>
          <w:highlight w:val="none"/>
        </w:rPr>
        <w:t>3.3派单时间：正常情况下，</w:t>
      </w:r>
      <w:r>
        <w:rPr>
          <w:rFonts w:hint="eastAsia" w:ascii="宋体" w:eastAsia="宋体" w:cs="宋体"/>
          <w:color w:val="auto"/>
          <w:sz w:val="21"/>
          <w:szCs w:val="21"/>
          <w:highlight w:val="none"/>
          <w:lang w:val="en-US" w:eastAsia="zh-CN"/>
        </w:rPr>
        <w:t>甲方</w:t>
      </w:r>
      <w:r>
        <w:rPr>
          <w:rFonts w:hint="eastAsia" w:ascii="宋体" w:eastAsia="宋体" w:cs="宋体"/>
          <w:color w:val="auto"/>
          <w:sz w:val="21"/>
          <w:szCs w:val="21"/>
          <w:highlight w:val="none"/>
        </w:rPr>
        <w:t>提前1个日历日派单；有突发情况下（派单当天有收运需求），</w:t>
      </w:r>
      <w:r>
        <w:rPr>
          <w:rFonts w:hint="eastAsia" w:ascii="宋体" w:eastAsia="宋体" w:cs="宋体"/>
          <w:color w:val="auto"/>
          <w:sz w:val="21"/>
          <w:szCs w:val="21"/>
          <w:highlight w:val="none"/>
          <w:lang w:val="en-US" w:eastAsia="zh-CN"/>
        </w:rPr>
        <w:t>甲方</w:t>
      </w:r>
      <w:r>
        <w:rPr>
          <w:rFonts w:hint="eastAsia" w:ascii="宋体" w:eastAsia="宋体" w:cs="宋体"/>
          <w:color w:val="auto"/>
          <w:sz w:val="21"/>
          <w:szCs w:val="21"/>
          <w:highlight w:val="none"/>
        </w:rPr>
        <w:t>提前2小时派单。</w:t>
      </w:r>
    </w:p>
    <w:p w14:paraId="1053C5C7">
      <w:pPr>
        <w:pStyle w:val="44"/>
        <w:spacing w:line="400" w:lineRule="exact"/>
        <w:ind w:firstLine="433"/>
        <w:outlineLvl w:val="9"/>
        <w:rPr>
          <w:rFonts w:hint="eastAsia" w:ascii="宋体" w:eastAsia="宋体" w:cs="宋体"/>
          <w:color w:val="auto"/>
          <w:sz w:val="21"/>
          <w:szCs w:val="21"/>
          <w:highlight w:val="none"/>
        </w:rPr>
      </w:pPr>
      <w:r>
        <w:rPr>
          <w:rFonts w:hint="eastAsia" w:ascii="宋体" w:eastAsia="宋体" w:cs="宋体"/>
          <w:color w:val="auto"/>
          <w:sz w:val="21"/>
          <w:szCs w:val="21"/>
          <w:highlight w:val="none"/>
          <w:lang w:val="en-US" w:eastAsia="zh-CN"/>
        </w:rPr>
        <w:t>3.4</w:t>
      </w:r>
      <w:r>
        <w:rPr>
          <w:rFonts w:hint="eastAsia" w:ascii="宋体" w:eastAsia="宋体" w:cs="宋体"/>
          <w:color w:val="auto"/>
          <w:sz w:val="21"/>
          <w:szCs w:val="21"/>
          <w:highlight w:val="none"/>
        </w:rPr>
        <w:t>派单形式：</w:t>
      </w:r>
      <w:r>
        <w:rPr>
          <w:rFonts w:hint="eastAsia" w:ascii="宋体" w:eastAsia="宋体" w:cs="宋体"/>
          <w:color w:val="auto"/>
          <w:sz w:val="21"/>
          <w:szCs w:val="21"/>
          <w:highlight w:val="none"/>
          <w:lang w:val="en-US" w:eastAsia="zh-CN"/>
        </w:rPr>
        <w:t>甲方</w:t>
      </w:r>
      <w:r>
        <w:rPr>
          <w:rFonts w:hint="eastAsia" w:ascii="宋体" w:eastAsia="宋体" w:cs="宋体"/>
          <w:color w:val="auto"/>
          <w:sz w:val="21"/>
          <w:szCs w:val="21"/>
          <w:highlight w:val="none"/>
        </w:rPr>
        <w:t>以书面形式（包括但不限于以 QQ、微信、短信、Email等形式）向</w:t>
      </w:r>
      <w:r>
        <w:rPr>
          <w:rFonts w:hint="eastAsia" w:ascii="宋体" w:eastAsia="宋体" w:cs="宋体"/>
          <w:color w:val="auto"/>
          <w:sz w:val="21"/>
          <w:szCs w:val="21"/>
          <w:highlight w:val="none"/>
          <w:lang w:val="en-US" w:eastAsia="zh-CN"/>
        </w:rPr>
        <w:t>乙方</w:t>
      </w:r>
      <w:r>
        <w:rPr>
          <w:rFonts w:hint="eastAsia" w:ascii="宋体" w:eastAsia="宋体" w:cs="宋体"/>
          <w:color w:val="auto"/>
          <w:sz w:val="21"/>
          <w:szCs w:val="21"/>
          <w:highlight w:val="none"/>
        </w:rPr>
        <w:t>发出收运指令，内容包含：所有</w:t>
      </w:r>
      <w:r>
        <w:rPr>
          <w:rFonts w:hint="eastAsia" w:ascii="宋体" w:eastAsia="宋体" w:cs="宋体"/>
          <w:color w:val="auto"/>
          <w:sz w:val="21"/>
          <w:szCs w:val="21"/>
          <w:highlight w:val="none"/>
          <w:lang w:eastAsia="zh-CN"/>
        </w:rPr>
        <w:t>需</w:t>
      </w:r>
      <w:r>
        <w:rPr>
          <w:rFonts w:hint="eastAsia" w:ascii="宋体" w:eastAsia="宋体" w:cs="宋体"/>
          <w:color w:val="auto"/>
          <w:sz w:val="21"/>
          <w:szCs w:val="21"/>
          <w:highlight w:val="none"/>
        </w:rPr>
        <w:t>收运服务的客户的收运时间、提货单位及地点、运输车型、危险废物名称、数量、收运联系人、联系电话、所需工具等信息。</w:t>
      </w:r>
    </w:p>
    <w:p w14:paraId="67BE0379">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3.</w:t>
      </w:r>
      <w:r>
        <w:rPr>
          <w:rFonts w:hint="eastAsia" w:ascii="宋体" w:eastAsia="宋体" w:cs="宋体"/>
          <w:color w:val="auto"/>
          <w:sz w:val="21"/>
          <w:szCs w:val="21"/>
          <w:highlight w:val="none"/>
          <w:lang w:val="en-US" w:eastAsia="zh-CN"/>
        </w:rPr>
        <w:t>5</w:t>
      </w:r>
      <w:r>
        <w:rPr>
          <w:rFonts w:hint="eastAsia" w:ascii="宋体" w:eastAsia="宋体" w:cs="宋体"/>
          <w:color w:val="auto"/>
          <w:sz w:val="21"/>
          <w:szCs w:val="21"/>
          <w:highlight w:val="none"/>
        </w:rPr>
        <w:t>甲方需把收运指令中每个客户的详细收运信息及特殊要求以书面（必要时附上照片）的形式告知乙方，并提前做好关于废物的贮存情况、包装方式、危险性及客户能够提供的装车协助等沟通衔接工作。</w:t>
      </w:r>
    </w:p>
    <w:p w14:paraId="5631AAFF">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3.</w:t>
      </w:r>
      <w:r>
        <w:rPr>
          <w:rFonts w:hint="eastAsia" w:ascii="宋体" w:eastAsia="宋体" w:cs="宋体"/>
          <w:color w:val="auto"/>
          <w:sz w:val="21"/>
          <w:szCs w:val="21"/>
          <w:highlight w:val="none"/>
          <w:lang w:val="en-US" w:eastAsia="zh-CN"/>
        </w:rPr>
        <w:t>6</w:t>
      </w:r>
      <w:r>
        <w:rPr>
          <w:rFonts w:hint="eastAsia" w:ascii="宋体" w:eastAsia="宋体" w:cs="宋体"/>
          <w:color w:val="auto"/>
          <w:sz w:val="21"/>
          <w:szCs w:val="21"/>
          <w:highlight w:val="none"/>
        </w:rPr>
        <w:t>甲方应提前与其客户沟通确认好收运时间、承运单位名称、车牌号等信息，以便乙方在甲方客户端顺利办理收运交接等手续。</w:t>
      </w:r>
    </w:p>
    <w:p w14:paraId="0F552E56">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3.</w:t>
      </w:r>
      <w:r>
        <w:rPr>
          <w:rFonts w:hint="eastAsia" w:ascii="宋体" w:eastAsia="宋体" w:cs="宋体"/>
          <w:color w:val="auto"/>
          <w:sz w:val="21"/>
          <w:szCs w:val="21"/>
          <w:highlight w:val="none"/>
          <w:lang w:val="en-US" w:eastAsia="zh-CN"/>
        </w:rPr>
        <w:t>7</w:t>
      </w:r>
      <w:r>
        <w:rPr>
          <w:rFonts w:hint="eastAsia" w:ascii="宋体" w:eastAsia="宋体" w:cs="宋体"/>
          <w:color w:val="auto"/>
          <w:sz w:val="21"/>
          <w:szCs w:val="21"/>
          <w:highlight w:val="none"/>
        </w:rPr>
        <w:t>甲方须按照《中华人民共和国固体废物污染环境防治法》的要求，协助甲方客户负责向环境保护行政主管部门办理危险废物转移手续。</w:t>
      </w:r>
    </w:p>
    <w:p w14:paraId="250EFBB2">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3.</w:t>
      </w:r>
      <w:r>
        <w:rPr>
          <w:rFonts w:hint="eastAsia" w:ascii="宋体" w:eastAsia="宋体" w:cs="宋体"/>
          <w:color w:val="auto"/>
          <w:sz w:val="21"/>
          <w:szCs w:val="21"/>
          <w:highlight w:val="none"/>
          <w:lang w:val="en-US" w:eastAsia="zh-CN"/>
        </w:rPr>
        <w:t>8</w:t>
      </w:r>
      <w:r>
        <w:rPr>
          <w:rFonts w:hint="eastAsia" w:ascii="宋体" w:eastAsia="宋体" w:cs="宋体"/>
          <w:color w:val="auto"/>
          <w:sz w:val="21"/>
          <w:szCs w:val="21"/>
          <w:highlight w:val="none"/>
        </w:rPr>
        <w:t>甲方有权随时掌握危险废物的接收及在途情况，乙方须积极配合。任何与甲方发出的收运指令不符的异常情况，</w:t>
      </w:r>
      <w:r>
        <w:rPr>
          <w:rFonts w:hint="eastAsia" w:ascii="宋体" w:eastAsia="宋体" w:cs="宋体"/>
          <w:color w:val="auto"/>
          <w:sz w:val="21"/>
          <w:szCs w:val="21"/>
          <w:highlight w:val="none"/>
          <w:lang w:eastAsia="zh-CN"/>
        </w:rPr>
        <w:t>（</w:t>
      </w:r>
      <w:r>
        <w:rPr>
          <w:rFonts w:hint="eastAsia" w:ascii="宋体" w:eastAsia="宋体" w:cs="宋体"/>
          <w:color w:val="auto"/>
          <w:sz w:val="21"/>
          <w:szCs w:val="21"/>
          <w:highlight w:val="none"/>
        </w:rPr>
        <w:t>包括但不限于货物包装破损、泄漏风险、数量差异、客户拒收等实质性异常</w:t>
      </w:r>
      <w:r>
        <w:rPr>
          <w:rFonts w:hint="eastAsia" w:ascii="宋体" w:eastAsia="宋体" w:cs="宋体"/>
          <w:color w:val="auto"/>
          <w:sz w:val="21"/>
          <w:szCs w:val="21"/>
          <w:highlight w:val="none"/>
          <w:lang w:eastAsia="zh-CN"/>
        </w:rPr>
        <w:t>）</w:t>
      </w:r>
      <w:r>
        <w:rPr>
          <w:rFonts w:hint="eastAsia" w:ascii="宋体" w:eastAsia="宋体" w:cs="宋体"/>
          <w:color w:val="auto"/>
          <w:sz w:val="21"/>
          <w:szCs w:val="21"/>
          <w:highlight w:val="none"/>
        </w:rPr>
        <w:t>，乙方须在发现不符情况30分钟内反馈甲方，以便甲方及时协调沟通，确保收运工作的顺利完成。如因乙方未提前沟通异常情况导致产生额外费用，甲方不予承认和支付，造成甲方损失的，乙方需承担赔偿责任，甲方有权从乙方运输费中抵扣。</w:t>
      </w:r>
    </w:p>
    <w:p w14:paraId="707BCE26">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3.</w:t>
      </w:r>
      <w:r>
        <w:rPr>
          <w:rFonts w:hint="eastAsia" w:ascii="宋体" w:eastAsia="宋体" w:cs="宋体"/>
          <w:color w:val="auto"/>
          <w:sz w:val="21"/>
          <w:szCs w:val="21"/>
          <w:highlight w:val="none"/>
          <w:lang w:val="en-US" w:eastAsia="zh-CN"/>
        </w:rPr>
        <w:t>9</w:t>
      </w:r>
      <w:r>
        <w:rPr>
          <w:rFonts w:hint="eastAsia" w:ascii="宋体" w:eastAsia="宋体" w:cs="宋体"/>
          <w:color w:val="auto"/>
          <w:sz w:val="21"/>
          <w:szCs w:val="21"/>
          <w:highlight w:val="none"/>
        </w:rPr>
        <w:t>甲方有权随时检查乙方运输配置及服务，对不符合合同约定或</w:t>
      </w:r>
      <w:r>
        <w:rPr>
          <w:rFonts w:hint="eastAsia" w:ascii="宋体" w:eastAsia="宋体" w:cs="宋体"/>
          <w:color w:val="auto"/>
          <w:sz w:val="21"/>
          <w:szCs w:val="21"/>
          <w:highlight w:val="none"/>
          <w:lang w:val="en-US" w:eastAsia="zh-CN"/>
        </w:rPr>
        <w:t>法律</w:t>
      </w:r>
      <w:r>
        <w:rPr>
          <w:rFonts w:hint="eastAsia" w:ascii="宋体" w:eastAsia="宋体" w:cs="宋体"/>
          <w:color w:val="auto"/>
          <w:sz w:val="21"/>
          <w:szCs w:val="21"/>
          <w:highlight w:val="none"/>
        </w:rPr>
        <w:t>法规要求或有跑冒滴漏风险的，甲方有权对乙方提出限期整改通知，乙方应积极配合完成整改。</w:t>
      </w:r>
    </w:p>
    <w:p w14:paraId="3D1439AD">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3.</w:t>
      </w: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当发生针对乙方服务的投诉时，甲方有知情权、调查权以及</w:t>
      </w:r>
      <w:r>
        <w:rPr>
          <w:rFonts w:hint="eastAsia" w:ascii="宋体" w:eastAsia="宋体" w:cs="宋体"/>
          <w:color w:val="auto"/>
          <w:sz w:val="21"/>
          <w:szCs w:val="21"/>
          <w:highlight w:val="none"/>
          <w:lang w:val="en-US" w:eastAsia="zh-CN"/>
        </w:rPr>
        <w:t>追究违约责任的</w:t>
      </w:r>
      <w:r>
        <w:rPr>
          <w:rFonts w:hint="eastAsia" w:ascii="宋体" w:eastAsia="宋体" w:cs="宋体"/>
          <w:color w:val="auto"/>
          <w:sz w:val="21"/>
          <w:szCs w:val="21"/>
          <w:highlight w:val="none"/>
        </w:rPr>
        <w:t>权</w:t>
      </w:r>
      <w:r>
        <w:rPr>
          <w:rFonts w:hint="eastAsia" w:ascii="宋体" w:eastAsia="宋体" w:cs="宋体"/>
          <w:color w:val="auto"/>
          <w:sz w:val="21"/>
          <w:szCs w:val="21"/>
          <w:highlight w:val="none"/>
          <w:lang w:val="en-US" w:eastAsia="zh-CN"/>
        </w:rPr>
        <w:t>利</w:t>
      </w:r>
      <w:r>
        <w:rPr>
          <w:rFonts w:hint="eastAsia" w:ascii="宋体" w:eastAsia="宋体" w:cs="宋体"/>
          <w:color w:val="auto"/>
          <w:sz w:val="21"/>
          <w:szCs w:val="21"/>
          <w:highlight w:val="none"/>
        </w:rPr>
        <w:t xml:space="preserve">，乙方有澄清及申诉权。 </w:t>
      </w:r>
    </w:p>
    <w:p w14:paraId="7D62F93E">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3.1</w:t>
      </w:r>
      <w:r>
        <w:rPr>
          <w:rFonts w:hint="eastAsia" w:ascii="宋体" w:eastAsia="宋体" w:cs="宋体"/>
          <w:color w:val="auto"/>
          <w:sz w:val="21"/>
          <w:szCs w:val="21"/>
          <w:highlight w:val="none"/>
          <w:lang w:val="en-US" w:eastAsia="zh-CN"/>
        </w:rPr>
        <w:t>1</w:t>
      </w:r>
      <w:r>
        <w:rPr>
          <w:rFonts w:hint="eastAsia" w:ascii="宋体" w:eastAsia="宋体" w:cs="宋体"/>
          <w:color w:val="auto"/>
          <w:sz w:val="21"/>
          <w:szCs w:val="21"/>
          <w:highlight w:val="none"/>
        </w:rPr>
        <w:t>如乙方在收运服务过程中造成甲方经济损失的，甲方有权要求乙方</w:t>
      </w:r>
      <w:r>
        <w:rPr>
          <w:rFonts w:hint="eastAsia" w:ascii="宋体" w:eastAsia="宋体" w:cs="宋体"/>
          <w:color w:val="auto"/>
          <w:sz w:val="21"/>
          <w:szCs w:val="21"/>
          <w:highlight w:val="none"/>
          <w:lang w:val="en-US" w:eastAsia="zh-CN"/>
        </w:rPr>
        <w:t>赔</w:t>
      </w:r>
      <w:r>
        <w:rPr>
          <w:rFonts w:hint="eastAsia" w:ascii="宋体" w:eastAsia="宋体" w:cs="宋体"/>
          <w:color w:val="auto"/>
          <w:sz w:val="21"/>
          <w:szCs w:val="21"/>
          <w:highlight w:val="none"/>
        </w:rPr>
        <w:t>偿。</w:t>
      </w:r>
    </w:p>
    <w:p w14:paraId="609B9A78">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3.1</w:t>
      </w:r>
      <w:r>
        <w:rPr>
          <w:rFonts w:hint="eastAsia" w:ascii="宋体" w:eastAsia="宋体" w:cs="宋体"/>
          <w:color w:val="auto"/>
          <w:sz w:val="21"/>
          <w:szCs w:val="21"/>
          <w:highlight w:val="none"/>
          <w:lang w:val="en-US" w:eastAsia="zh-CN"/>
        </w:rPr>
        <w:t>2</w:t>
      </w:r>
      <w:r>
        <w:rPr>
          <w:rFonts w:hint="eastAsia" w:ascii="宋体" w:eastAsia="宋体" w:cs="宋体"/>
          <w:color w:val="auto"/>
          <w:sz w:val="21"/>
          <w:szCs w:val="21"/>
          <w:highlight w:val="none"/>
        </w:rPr>
        <w:t>甲方在装卸等过程中应提醒客户配合乙方安全规范操作，确保乙方运输车辆不受损。</w:t>
      </w:r>
    </w:p>
    <w:p w14:paraId="59F1E057">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3.1</w:t>
      </w:r>
      <w:r>
        <w:rPr>
          <w:rFonts w:hint="eastAsia" w:ascii="宋体" w:eastAsia="宋体" w:cs="宋体"/>
          <w:color w:val="auto"/>
          <w:sz w:val="21"/>
          <w:szCs w:val="21"/>
          <w:highlight w:val="none"/>
          <w:lang w:val="en-US" w:eastAsia="zh-CN"/>
        </w:rPr>
        <w:t>3</w:t>
      </w:r>
      <w:r>
        <w:rPr>
          <w:rFonts w:hint="eastAsia" w:ascii="宋体" w:eastAsia="宋体" w:cs="宋体"/>
          <w:color w:val="auto"/>
          <w:sz w:val="21"/>
          <w:szCs w:val="21"/>
          <w:highlight w:val="none"/>
        </w:rPr>
        <w:t>甲方每季度对乙方进行服务质量评分考核，具体考核标准见附件。</w:t>
      </w:r>
    </w:p>
    <w:p w14:paraId="60F7B8C8">
      <w:pPr>
        <w:spacing w:line="400" w:lineRule="exact"/>
        <w:outlineLvl w:val="9"/>
        <w:rPr>
          <w:b/>
          <w:bCs/>
          <w:color w:val="auto"/>
          <w:highlight w:val="none"/>
        </w:rPr>
      </w:pPr>
      <w:bookmarkStart w:id="241" w:name="_Toc6399"/>
      <w:bookmarkStart w:id="242" w:name="_Toc4220"/>
      <w:bookmarkStart w:id="243" w:name="_Toc23991"/>
      <w:bookmarkStart w:id="244" w:name="_Toc27708"/>
      <w:bookmarkStart w:id="245" w:name="_Toc27121"/>
      <w:bookmarkStart w:id="246" w:name="_Toc4073"/>
      <w:bookmarkStart w:id="247" w:name="_Toc20196"/>
      <w:r>
        <w:rPr>
          <w:rFonts w:hint="eastAsia"/>
          <w:b/>
          <w:bCs/>
          <w:color w:val="auto"/>
          <w:highlight w:val="none"/>
        </w:rPr>
        <w:t>第四条 乙方的权利、义务和责任</w:t>
      </w:r>
      <w:bookmarkEnd w:id="241"/>
      <w:bookmarkEnd w:id="242"/>
      <w:bookmarkEnd w:id="243"/>
      <w:bookmarkEnd w:id="244"/>
      <w:bookmarkEnd w:id="245"/>
      <w:bookmarkEnd w:id="246"/>
      <w:bookmarkEnd w:id="247"/>
    </w:p>
    <w:p w14:paraId="11CFE1AE">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4.1 乙方确保其《道路运输经营许可证》及所有承运车辆相关证照及运输手续真实、完整、合法、有效。乙方原则上须使用自有车辆为甲方提供服务，司机及押运员负责全程的运输</w:t>
      </w:r>
      <w:r>
        <w:rPr>
          <w:rFonts w:hint="eastAsia" w:ascii="宋体" w:eastAsia="宋体" w:cs="宋体"/>
          <w:color w:val="auto"/>
          <w:sz w:val="21"/>
          <w:szCs w:val="21"/>
          <w:highlight w:val="none"/>
          <w:lang w:eastAsia="zh-CN"/>
        </w:rPr>
        <w:t>，</w:t>
      </w:r>
      <w:r>
        <w:rPr>
          <w:rFonts w:hint="eastAsia" w:ascii="宋体" w:eastAsia="宋体" w:cs="宋体"/>
          <w:color w:val="auto"/>
          <w:sz w:val="21"/>
          <w:szCs w:val="21"/>
          <w:highlight w:val="none"/>
          <w:lang w:val="en-US" w:eastAsia="zh-CN"/>
        </w:rPr>
        <w:t>以</w:t>
      </w:r>
      <w:r>
        <w:rPr>
          <w:rFonts w:hint="eastAsia" w:ascii="宋体" w:eastAsia="宋体" w:cs="宋体"/>
          <w:color w:val="auto"/>
          <w:sz w:val="21"/>
          <w:szCs w:val="21"/>
          <w:highlight w:val="none"/>
        </w:rPr>
        <w:t>确保危险运输的安全。若乙方使用第三方合约车辆，乙方承诺在本合同约定服务内容及范围内</w:t>
      </w:r>
      <w:r>
        <w:rPr>
          <w:rFonts w:hint="eastAsia" w:ascii="宋体" w:eastAsia="宋体" w:cs="宋体"/>
          <w:color w:val="auto"/>
          <w:sz w:val="21"/>
          <w:szCs w:val="21"/>
          <w:highlight w:val="none"/>
          <w:lang w:val="en-US" w:eastAsia="zh-CN"/>
        </w:rPr>
        <w:t>就</w:t>
      </w:r>
      <w:r>
        <w:rPr>
          <w:rFonts w:hint="eastAsia" w:ascii="宋体" w:eastAsia="宋体" w:cs="宋体"/>
          <w:color w:val="auto"/>
          <w:sz w:val="21"/>
          <w:szCs w:val="21"/>
          <w:highlight w:val="none"/>
        </w:rPr>
        <w:t>第三方</w:t>
      </w:r>
      <w:r>
        <w:rPr>
          <w:rFonts w:hint="eastAsia" w:ascii="宋体" w:eastAsia="宋体" w:cs="宋体"/>
          <w:color w:val="auto"/>
          <w:sz w:val="21"/>
          <w:szCs w:val="21"/>
          <w:highlight w:val="none"/>
          <w:lang w:val="en-US" w:eastAsia="zh-CN"/>
        </w:rPr>
        <w:t>完成的工作向甲方承担连带责任</w:t>
      </w:r>
      <w:r>
        <w:rPr>
          <w:rFonts w:hint="eastAsia" w:ascii="宋体" w:eastAsia="宋体" w:cs="宋体"/>
          <w:color w:val="auto"/>
          <w:sz w:val="21"/>
          <w:szCs w:val="21"/>
          <w:highlight w:val="none"/>
        </w:rPr>
        <w:t>，且确保第三方相关资质、资格均合法有效，完全具有履行本合同的资质。</w:t>
      </w:r>
    </w:p>
    <w:p w14:paraId="1332FF4A">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4.2乙方应向甲方提供司机驾驶证、车辆行驶证及押运员身份证等运输人员相关资料（复印件，原件供核对）备案。</w:t>
      </w:r>
    </w:p>
    <w:p w14:paraId="09B5A64A">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4.3乙方运输人员应按照《道路运输从业人员管理规定》具备道路危险货物运输从业人员从业资格并具备相应的危废运输经验，对其</w:t>
      </w:r>
      <w:r>
        <w:rPr>
          <w:rFonts w:hint="eastAsia" w:ascii="宋体" w:eastAsia="宋体" w:cs="宋体"/>
          <w:color w:val="auto"/>
          <w:sz w:val="21"/>
          <w:szCs w:val="21"/>
          <w:highlight w:val="none"/>
          <w:lang w:val="en-US" w:eastAsia="zh-CN"/>
        </w:rPr>
        <w:t>运输服务</w:t>
      </w:r>
      <w:r>
        <w:rPr>
          <w:rFonts w:hint="eastAsia" w:ascii="宋体" w:eastAsia="宋体" w:cs="宋体"/>
          <w:color w:val="auto"/>
          <w:sz w:val="21"/>
          <w:szCs w:val="21"/>
          <w:highlight w:val="none"/>
        </w:rPr>
        <w:t>人员及车辆购买保险</w:t>
      </w:r>
      <w:r>
        <w:rPr>
          <w:rFonts w:hint="eastAsia" w:ascii="宋体" w:eastAsia="宋体" w:cs="宋体"/>
          <w:color w:val="auto"/>
          <w:sz w:val="21"/>
          <w:szCs w:val="21"/>
          <w:highlight w:val="none"/>
          <w:lang w:eastAsia="zh-CN"/>
        </w:rPr>
        <w:t>，</w:t>
      </w:r>
      <w:r>
        <w:rPr>
          <w:rFonts w:hint="eastAsia" w:ascii="宋体" w:eastAsia="宋体" w:cs="宋体"/>
          <w:color w:val="auto"/>
          <w:sz w:val="21"/>
          <w:szCs w:val="21"/>
          <w:highlight w:val="none"/>
          <w:lang w:val="en-US" w:eastAsia="zh-CN"/>
        </w:rPr>
        <w:t>其中驾驶员、押运员、车辆购买保险包括但不限于：强制险，商业险、承运险及第三者责任险累计不低于200万等</w:t>
      </w:r>
      <w:r>
        <w:rPr>
          <w:rFonts w:hint="eastAsia" w:ascii="宋体" w:eastAsia="宋体" w:cs="宋体"/>
          <w:color w:val="auto"/>
          <w:sz w:val="21"/>
          <w:szCs w:val="21"/>
          <w:highlight w:val="none"/>
        </w:rPr>
        <w:t>，并对运输服务在途过程中发生所有的意外、事故、伤害产生的损失负责。</w:t>
      </w:r>
    </w:p>
    <w:p w14:paraId="02058056">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4.4乙方需针对危险废物运输的特殊性制定完善的运作方案，其中应包含车辆的安全配置、内部组织管理架构及责任划分、事故应急预案等基本内容，并接受甲方的合理化建议。服务期间，需严格遵守道路运输、安全生产相关法律法规要求，甲方对乙方违法违规行为保留</w:t>
      </w:r>
      <w:r>
        <w:rPr>
          <w:rFonts w:hint="eastAsia" w:ascii="宋体" w:eastAsia="宋体" w:cs="宋体"/>
          <w:color w:val="auto"/>
          <w:sz w:val="21"/>
          <w:szCs w:val="21"/>
          <w:highlight w:val="none"/>
          <w:lang w:val="en-US" w:eastAsia="zh-CN"/>
        </w:rPr>
        <w:t>追究违约责任的</w:t>
      </w:r>
      <w:r>
        <w:rPr>
          <w:rFonts w:hint="eastAsia" w:ascii="宋体" w:eastAsia="宋体" w:cs="宋体"/>
          <w:color w:val="auto"/>
          <w:sz w:val="21"/>
          <w:szCs w:val="21"/>
          <w:highlight w:val="none"/>
        </w:rPr>
        <w:t>权利。因乙方违反相关法律法规、国家标准、行业标准造成的损失由乙方</w:t>
      </w:r>
      <w:r>
        <w:rPr>
          <w:rFonts w:hint="eastAsia" w:ascii="宋体" w:eastAsia="宋体" w:cs="宋体"/>
          <w:color w:val="auto"/>
          <w:sz w:val="21"/>
          <w:szCs w:val="21"/>
          <w:highlight w:val="none"/>
          <w:lang w:val="en-US" w:eastAsia="zh-CN"/>
        </w:rPr>
        <w:t>全部</w:t>
      </w:r>
      <w:r>
        <w:rPr>
          <w:rFonts w:hint="eastAsia" w:ascii="宋体" w:eastAsia="宋体" w:cs="宋体"/>
          <w:color w:val="auto"/>
          <w:sz w:val="21"/>
          <w:szCs w:val="21"/>
          <w:highlight w:val="none"/>
        </w:rPr>
        <w:t>承担。</w:t>
      </w:r>
      <w:r>
        <w:rPr>
          <w:rFonts w:hint="eastAsia" w:ascii="宋体" w:eastAsia="宋体" w:cs="宋体"/>
          <w:color w:val="auto"/>
          <w:sz w:val="21"/>
          <w:szCs w:val="21"/>
          <w:highlight w:val="none"/>
          <w:lang w:val="en-US" w:eastAsia="zh-CN"/>
        </w:rPr>
        <w:t>如乙方需要对</w:t>
      </w:r>
      <w:r>
        <w:rPr>
          <w:rFonts w:hint="eastAsia" w:ascii="宋体" w:eastAsia="宋体" w:cs="宋体"/>
          <w:color w:val="auto"/>
          <w:sz w:val="21"/>
          <w:szCs w:val="21"/>
          <w:highlight w:val="none"/>
        </w:rPr>
        <w:t>运作方案</w:t>
      </w:r>
      <w:r>
        <w:rPr>
          <w:rFonts w:hint="eastAsia" w:ascii="宋体" w:eastAsia="宋体" w:cs="宋体"/>
          <w:color w:val="auto"/>
          <w:sz w:val="21"/>
          <w:szCs w:val="21"/>
          <w:highlight w:val="none"/>
          <w:lang w:val="en-US" w:eastAsia="zh-CN"/>
        </w:rPr>
        <w:t>进行</w:t>
      </w:r>
      <w:r>
        <w:rPr>
          <w:rFonts w:hint="eastAsia" w:ascii="宋体" w:eastAsia="宋体" w:cs="宋体"/>
          <w:color w:val="auto"/>
          <w:sz w:val="21"/>
          <w:szCs w:val="21"/>
          <w:highlight w:val="none"/>
        </w:rPr>
        <w:t>重大修订（如车辆配置标准变更、应急预案调整</w:t>
      </w:r>
      <w:r>
        <w:rPr>
          <w:rFonts w:hint="eastAsia" w:ascii="宋体" w:eastAsia="宋体" w:cs="宋体"/>
          <w:color w:val="auto"/>
          <w:sz w:val="21"/>
          <w:szCs w:val="21"/>
          <w:highlight w:val="none"/>
          <w:lang w:val="en-US" w:eastAsia="zh-CN"/>
        </w:rPr>
        <w:t>等</w:t>
      </w:r>
      <w:r>
        <w:rPr>
          <w:rFonts w:hint="eastAsia" w:ascii="宋体" w:eastAsia="宋体" w:cs="宋体"/>
          <w:color w:val="auto"/>
          <w:sz w:val="21"/>
          <w:szCs w:val="21"/>
          <w:highlight w:val="none"/>
        </w:rPr>
        <w:t>）需提前5个工作日书面通知甲方。</w:t>
      </w:r>
    </w:p>
    <w:p w14:paraId="54BD8BED">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4.5乙方应配备足够的人员、工器具和运输车辆，并对相关人员进行必要的岗前培训，确保安全、准时、准确地将危险废物从客户端运至甲方指定的目的地。</w:t>
      </w:r>
    </w:p>
    <w:p w14:paraId="222DD6D1">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4.6乙方自费配备必须的劳动保护用品及防护措施(配置最低标准:安全帽、劳保服、劳保鞋、防护口罩、护目镜)，特殊用品可由甲方协助提供，费用仍由乙方承担。</w:t>
      </w:r>
    </w:p>
    <w:p w14:paraId="17375080">
      <w:pPr>
        <w:pStyle w:val="44"/>
        <w:spacing w:line="400" w:lineRule="exact"/>
        <w:ind w:firstLine="433"/>
        <w:outlineLvl w:val="9"/>
        <w:rPr>
          <w:rFonts w:hint="eastAsia" w:ascii="宋体" w:eastAsia="宋体" w:cs="宋体"/>
          <w:color w:val="auto"/>
          <w:sz w:val="21"/>
          <w:szCs w:val="21"/>
          <w:highlight w:val="none"/>
        </w:rPr>
      </w:pPr>
      <w:r>
        <w:rPr>
          <w:rFonts w:hint="eastAsia" w:ascii="宋体" w:eastAsia="宋体" w:cs="宋体"/>
          <w:color w:val="auto"/>
          <w:sz w:val="21"/>
          <w:szCs w:val="21"/>
          <w:highlight w:val="none"/>
        </w:rPr>
        <w:t xml:space="preserve">4.7 </w:t>
      </w:r>
      <w:r>
        <w:rPr>
          <w:rFonts w:hint="eastAsia" w:ascii="宋体" w:eastAsia="宋体" w:cs="宋体"/>
          <w:color w:val="auto"/>
          <w:sz w:val="21"/>
          <w:szCs w:val="21"/>
          <w:highlight w:val="none"/>
          <w:lang w:val="en-US" w:eastAsia="zh-CN"/>
        </w:rPr>
        <w:t>乙方</w:t>
      </w:r>
      <w:r>
        <w:rPr>
          <w:rFonts w:hint="eastAsia" w:ascii="宋体" w:eastAsia="宋体" w:cs="宋体"/>
          <w:color w:val="auto"/>
          <w:sz w:val="21"/>
          <w:szCs w:val="21"/>
          <w:highlight w:val="none"/>
        </w:rPr>
        <w:t>接到</w:t>
      </w:r>
      <w:r>
        <w:rPr>
          <w:rFonts w:hint="eastAsia" w:ascii="宋体" w:eastAsia="宋体" w:cs="宋体"/>
          <w:color w:val="auto"/>
          <w:sz w:val="21"/>
          <w:szCs w:val="21"/>
          <w:highlight w:val="none"/>
          <w:lang w:val="en-US" w:eastAsia="zh-CN"/>
        </w:rPr>
        <w:t>甲方</w:t>
      </w:r>
      <w:r>
        <w:rPr>
          <w:rFonts w:hint="eastAsia" w:ascii="宋体" w:eastAsia="宋体" w:cs="宋体"/>
          <w:color w:val="auto"/>
          <w:sz w:val="21"/>
          <w:szCs w:val="21"/>
          <w:highlight w:val="none"/>
        </w:rPr>
        <w:t>收运指令时，应在1个小时内响应是否能够承运。</w:t>
      </w:r>
    </w:p>
    <w:p w14:paraId="63B9F924">
      <w:pPr>
        <w:pStyle w:val="44"/>
        <w:spacing w:line="400" w:lineRule="exact"/>
        <w:ind w:firstLine="433"/>
        <w:outlineLvl w:val="9"/>
        <w:rPr>
          <w:rFonts w:hint="eastAsia" w:ascii="宋体" w:eastAsia="宋体" w:cs="宋体"/>
          <w:color w:val="auto"/>
          <w:sz w:val="21"/>
          <w:szCs w:val="21"/>
          <w:highlight w:val="none"/>
        </w:rPr>
      </w:pPr>
      <w:r>
        <w:rPr>
          <w:rFonts w:hint="eastAsia" w:ascii="宋体" w:eastAsia="宋体" w:cs="宋体"/>
          <w:color w:val="auto"/>
          <w:sz w:val="21"/>
          <w:szCs w:val="21"/>
          <w:highlight w:val="none"/>
          <w:lang w:val="en-US" w:eastAsia="zh-CN"/>
        </w:rPr>
        <w:t>4.8乙方</w:t>
      </w:r>
      <w:r>
        <w:rPr>
          <w:rFonts w:hint="eastAsia" w:ascii="宋体" w:eastAsia="宋体" w:cs="宋体"/>
          <w:color w:val="auto"/>
          <w:sz w:val="21"/>
          <w:szCs w:val="21"/>
          <w:highlight w:val="none"/>
        </w:rPr>
        <w:t>确认承运后，须在3个小时内按</w:t>
      </w:r>
      <w:r>
        <w:rPr>
          <w:rFonts w:hint="eastAsia" w:ascii="宋体" w:eastAsia="宋体" w:cs="宋体"/>
          <w:color w:val="auto"/>
          <w:sz w:val="21"/>
          <w:szCs w:val="21"/>
          <w:highlight w:val="none"/>
          <w:lang w:val="en-US" w:eastAsia="zh-CN"/>
        </w:rPr>
        <w:t>甲方</w:t>
      </w:r>
      <w:r>
        <w:rPr>
          <w:rFonts w:hint="eastAsia" w:ascii="宋体" w:eastAsia="宋体" w:cs="宋体"/>
          <w:color w:val="auto"/>
          <w:sz w:val="21"/>
          <w:szCs w:val="21"/>
          <w:highlight w:val="none"/>
        </w:rPr>
        <w:t>收运指令安排人员和车辆，并以文字形式（包含但不限于以 QQ、微信、短信、Email 等）告知</w:t>
      </w:r>
      <w:r>
        <w:rPr>
          <w:rFonts w:hint="eastAsia" w:ascii="宋体" w:eastAsia="宋体" w:cs="宋体"/>
          <w:color w:val="auto"/>
          <w:sz w:val="21"/>
          <w:szCs w:val="21"/>
          <w:highlight w:val="none"/>
          <w:lang w:val="en-US" w:eastAsia="zh-CN"/>
        </w:rPr>
        <w:t>甲方</w:t>
      </w:r>
      <w:r>
        <w:rPr>
          <w:rFonts w:hint="eastAsia" w:ascii="宋体" w:eastAsia="宋体" w:cs="宋体"/>
          <w:color w:val="auto"/>
          <w:sz w:val="21"/>
          <w:szCs w:val="21"/>
          <w:highlight w:val="none"/>
        </w:rPr>
        <w:t>该运输车辆的车牌号、车辆型号、司机姓名等信息，并准备好承运单等单据。如果</w:t>
      </w:r>
      <w:r>
        <w:rPr>
          <w:rFonts w:hint="eastAsia" w:ascii="宋体" w:eastAsia="宋体" w:cs="宋体"/>
          <w:color w:val="auto"/>
          <w:sz w:val="21"/>
          <w:szCs w:val="21"/>
          <w:highlight w:val="none"/>
          <w:lang w:val="en-US" w:eastAsia="zh-CN"/>
        </w:rPr>
        <w:t>乙方</w:t>
      </w:r>
      <w:r>
        <w:rPr>
          <w:rFonts w:hint="eastAsia" w:ascii="宋体" w:eastAsia="宋体" w:cs="宋体"/>
          <w:color w:val="auto"/>
          <w:sz w:val="21"/>
          <w:szCs w:val="21"/>
          <w:highlight w:val="none"/>
        </w:rPr>
        <w:t>确认承运后取消的，或在规定时间内未作出响应，计入相应的考核扣分（不可抗力除外）。若因</w:t>
      </w:r>
      <w:r>
        <w:rPr>
          <w:rFonts w:hint="eastAsia" w:ascii="宋体" w:eastAsia="宋体" w:cs="宋体"/>
          <w:color w:val="auto"/>
          <w:sz w:val="21"/>
          <w:szCs w:val="21"/>
          <w:highlight w:val="none"/>
          <w:lang w:val="en-US" w:eastAsia="zh-CN"/>
        </w:rPr>
        <w:t>乙方</w:t>
      </w:r>
      <w:r>
        <w:rPr>
          <w:rFonts w:hint="eastAsia" w:ascii="宋体" w:eastAsia="宋体" w:cs="宋体"/>
          <w:color w:val="auto"/>
          <w:sz w:val="21"/>
          <w:szCs w:val="21"/>
          <w:highlight w:val="none"/>
        </w:rPr>
        <w:t>原因导致</w:t>
      </w:r>
      <w:r>
        <w:rPr>
          <w:rFonts w:hint="eastAsia" w:ascii="宋体" w:eastAsia="宋体" w:cs="宋体"/>
          <w:color w:val="auto"/>
          <w:sz w:val="21"/>
          <w:szCs w:val="21"/>
          <w:highlight w:val="none"/>
          <w:lang w:val="en-US" w:eastAsia="zh-CN"/>
        </w:rPr>
        <w:t>甲方</w:t>
      </w:r>
      <w:r>
        <w:rPr>
          <w:rFonts w:hint="eastAsia" w:ascii="宋体" w:eastAsia="宋体" w:cs="宋体"/>
          <w:color w:val="auto"/>
          <w:sz w:val="21"/>
          <w:szCs w:val="21"/>
          <w:highlight w:val="none"/>
        </w:rPr>
        <w:t>不得不自行解决运输导致运费超支的，超支部分由乙方承担（不可抗力除外）。</w:t>
      </w:r>
    </w:p>
    <w:p w14:paraId="56AC9708">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4.</w:t>
      </w:r>
      <w:r>
        <w:rPr>
          <w:rFonts w:hint="eastAsia" w:ascii="宋体" w:eastAsia="宋体" w:cs="宋体"/>
          <w:color w:val="auto"/>
          <w:sz w:val="21"/>
          <w:szCs w:val="21"/>
          <w:highlight w:val="none"/>
          <w:lang w:val="en-US" w:eastAsia="zh-CN"/>
        </w:rPr>
        <w:t>9</w:t>
      </w:r>
      <w:r>
        <w:rPr>
          <w:rFonts w:hint="eastAsia" w:ascii="宋体" w:eastAsia="宋体" w:cs="宋体"/>
          <w:color w:val="auto"/>
          <w:sz w:val="21"/>
          <w:szCs w:val="21"/>
          <w:highlight w:val="none"/>
        </w:rPr>
        <w:t>乙方将危废运送至甲方厂区时，乙方工作人员必须穿着符合劳保规定的防护用品，按甲方要求进行过磅，并听从甲方指挥人员将车辆开到指定区域卸货，并严格遵守甲方厂区相关环境以及安全规章制度，听取甲方人员指挥及督导。保持工作现场整洁，及时清理工作过程中产生的废物，及时清理污染的路面。如在现场提供服务时损坏了甲方的设备/设施，</w:t>
      </w:r>
      <w:r>
        <w:rPr>
          <w:rFonts w:hint="eastAsia" w:ascii="宋体" w:eastAsia="宋体" w:cs="宋体"/>
          <w:color w:val="auto"/>
          <w:sz w:val="21"/>
          <w:szCs w:val="21"/>
          <w:highlight w:val="none"/>
          <w:lang w:val="en-US" w:eastAsia="zh-CN"/>
        </w:rPr>
        <w:t>乙方</w:t>
      </w:r>
      <w:r>
        <w:rPr>
          <w:rFonts w:hint="eastAsia" w:ascii="宋体" w:eastAsia="宋体" w:cs="宋体"/>
          <w:color w:val="auto"/>
          <w:sz w:val="21"/>
          <w:szCs w:val="21"/>
          <w:highlight w:val="none"/>
        </w:rPr>
        <w:t>应照价赔偿。因乙方人员及车辆违反甲方厂区管理要求造成事故，责任原因在乙方的，一切责任由乙方承担。</w:t>
      </w:r>
    </w:p>
    <w:p w14:paraId="7E309B69">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4.</w:t>
      </w: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乙方应严格按甲方通知的运输时间执行，危险废物没有按预定时间到达时，乙方应及时与甲方取得联系，以便甲方安排人员接收废物。若因乙方超时到达客户或甲方厂区且未提前通知甲方协调接收废物造成押车的，甲方不予支付</w:t>
      </w:r>
      <w:r>
        <w:rPr>
          <w:rFonts w:hint="eastAsia" w:ascii="宋体" w:eastAsia="宋体" w:cs="宋体"/>
          <w:color w:val="auto"/>
          <w:sz w:val="21"/>
          <w:szCs w:val="21"/>
          <w:highlight w:val="none"/>
          <w:lang w:val="en-US" w:eastAsia="zh-CN"/>
        </w:rPr>
        <w:t>运输</w:t>
      </w:r>
      <w:r>
        <w:rPr>
          <w:rFonts w:hint="eastAsia" w:ascii="宋体" w:eastAsia="宋体" w:cs="宋体"/>
          <w:color w:val="auto"/>
          <w:sz w:val="21"/>
          <w:szCs w:val="21"/>
          <w:highlight w:val="none"/>
        </w:rPr>
        <w:t>费用。</w:t>
      </w:r>
    </w:p>
    <w:p w14:paraId="0B72A129">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4.</w:t>
      </w:r>
      <w:r>
        <w:rPr>
          <w:rFonts w:hint="eastAsia" w:ascii="宋体" w:eastAsia="宋体" w:cs="宋体"/>
          <w:color w:val="auto"/>
          <w:sz w:val="21"/>
          <w:szCs w:val="21"/>
          <w:highlight w:val="none"/>
          <w:lang w:val="en-US" w:eastAsia="zh-CN"/>
        </w:rPr>
        <w:t>11</w:t>
      </w:r>
      <w:r>
        <w:rPr>
          <w:rFonts w:hint="eastAsia" w:ascii="宋体" w:eastAsia="宋体" w:cs="宋体"/>
          <w:color w:val="auto"/>
          <w:sz w:val="21"/>
          <w:szCs w:val="21"/>
          <w:highlight w:val="none"/>
        </w:rPr>
        <w:t xml:space="preserve"> 乙方承担危险废物从装运上车后到安全送达目的地并完全卸货之前的全部风险</w:t>
      </w:r>
      <w:r>
        <w:rPr>
          <w:rFonts w:hint="eastAsia" w:ascii="宋体" w:eastAsia="宋体" w:cs="宋体"/>
          <w:color w:val="auto"/>
          <w:sz w:val="21"/>
          <w:szCs w:val="21"/>
          <w:highlight w:val="none"/>
          <w:lang w:val="en-US" w:eastAsia="zh-CN"/>
        </w:rPr>
        <w:t>和</w:t>
      </w:r>
      <w:r>
        <w:rPr>
          <w:rFonts w:hint="eastAsia" w:ascii="宋体" w:eastAsia="宋体" w:cs="宋体"/>
          <w:color w:val="auto"/>
          <w:sz w:val="21"/>
          <w:szCs w:val="21"/>
          <w:highlight w:val="none"/>
        </w:rPr>
        <w:t>责任（包括但不限于货物因不可抗力等因素导致的灭失、毁损风险）。乙方在承运过程中发生的包括但不限于货物被盗、丢失、淋湿、泄漏、货损、交货不清、货物破损、人员伤亡、车辆损坏、交通事故等，由乙方承担全部责任及损失，造成甲方损失（包括但不限于甲方对客户支付的违约金和赔偿金、货物价值减损或灭失的损失、行政罚款等）应由乙方负责赔偿，甲方有权就损失在</w:t>
      </w:r>
      <w:r>
        <w:rPr>
          <w:rFonts w:hint="eastAsia" w:ascii="宋体" w:eastAsia="宋体" w:cs="宋体"/>
          <w:color w:val="auto"/>
          <w:sz w:val="21"/>
          <w:szCs w:val="21"/>
          <w:highlight w:val="none"/>
          <w:lang w:val="en-US" w:eastAsia="zh-CN"/>
        </w:rPr>
        <w:t>应</w:t>
      </w:r>
      <w:r>
        <w:rPr>
          <w:rFonts w:hint="eastAsia" w:ascii="宋体" w:eastAsia="宋体" w:cs="宋体"/>
          <w:color w:val="auto"/>
          <w:sz w:val="21"/>
          <w:szCs w:val="21"/>
          <w:highlight w:val="none"/>
        </w:rPr>
        <w:t xml:space="preserve">支付乙方的运输费用中予以扣除。 </w:t>
      </w:r>
    </w:p>
    <w:p w14:paraId="56D3787D">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2</w:t>
      </w:r>
      <w:r>
        <w:rPr>
          <w:rFonts w:hint="eastAsia" w:ascii="宋体" w:eastAsia="宋体" w:cs="宋体"/>
          <w:color w:val="auto"/>
          <w:sz w:val="21"/>
          <w:szCs w:val="21"/>
          <w:highlight w:val="none"/>
        </w:rPr>
        <w:t xml:space="preserve"> 废物运输途中，必须符合国家有关环保</w:t>
      </w:r>
      <w:r>
        <w:rPr>
          <w:rFonts w:hint="eastAsia" w:ascii="宋体" w:eastAsia="宋体" w:cs="宋体"/>
          <w:color w:val="auto"/>
          <w:sz w:val="21"/>
          <w:szCs w:val="21"/>
          <w:highlight w:val="none"/>
          <w:lang w:val="en-US" w:eastAsia="zh-CN"/>
        </w:rPr>
        <w:t>法律</w:t>
      </w:r>
      <w:r>
        <w:rPr>
          <w:rFonts w:hint="eastAsia" w:ascii="宋体" w:eastAsia="宋体" w:cs="宋体"/>
          <w:color w:val="auto"/>
          <w:sz w:val="21"/>
          <w:szCs w:val="21"/>
          <w:highlight w:val="none"/>
        </w:rPr>
        <w:t>法规要求，乙方对废物运输过程</w:t>
      </w:r>
      <w:r>
        <w:rPr>
          <w:rFonts w:hint="eastAsia" w:ascii="宋体" w:eastAsia="宋体" w:cs="宋体"/>
          <w:color w:val="auto"/>
          <w:sz w:val="21"/>
          <w:szCs w:val="21"/>
          <w:highlight w:val="none"/>
          <w:lang w:val="en-US" w:eastAsia="zh-CN"/>
        </w:rPr>
        <w:t>中</w:t>
      </w:r>
      <w:r>
        <w:rPr>
          <w:rFonts w:hint="eastAsia" w:ascii="宋体" w:eastAsia="宋体" w:cs="宋体"/>
          <w:color w:val="auto"/>
          <w:sz w:val="21"/>
          <w:szCs w:val="21"/>
          <w:highlight w:val="none"/>
        </w:rPr>
        <w:t>发生的任何环境污染事故承担法律责任。在整个运输服务过程中，因乙方人员及车辆原因造成事故，责任原因在乙方的，一切责任由乙方承担。</w:t>
      </w:r>
    </w:p>
    <w:p w14:paraId="078C763D">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3</w:t>
      </w:r>
      <w:r>
        <w:rPr>
          <w:rFonts w:hint="eastAsia" w:ascii="宋体" w:eastAsia="宋体" w:cs="宋体"/>
          <w:color w:val="auto"/>
          <w:sz w:val="21"/>
          <w:szCs w:val="21"/>
          <w:highlight w:val="none"/>
        </w:rPr>
        <w:t xml:space="preserve"> 乙方必须长期对甲方的货物秘密和商业秘密承担保密义务，不得将任何货物和商业信息透露给第三方。否则乙方</w:t>
      </w:r>
      <w:r>
        <w:rPr>
          <w:rFonts w:hint="eastAsia" w:ascii="宋体" w:eastAsia="宋体" w:cs="宋体"/>
          <w:color w:val="auto"/>
          <w:sz w:val="21"/>
          <w:szCs w:val="21"/>
          <w:highlight w:val="none"/>
          <w:lang w:val="en-US" w:eastAsia="zh-CN"/>
        </w:rPr>
        <w:t>应向甲方支付违约金20万元，违约金不足以弥补甲方因此造成的损失的，乙方还应继续赔偿</w:t>
      </w:r>
      <w:r>
        <w:rPr>
          <w:rFonts w:hint="eastAsia" w:ascii="宋体" w:eastAsia="宋体" w:cs="宋体"/>
          <w:color w:val="auto"/>
          <w:sz w:val="21"/>
          <w:szCs w:val="21"/>
          <w:highlight w:val="none"/>
        </w:rPr>
        <w:t>甲方全部损失。</w:t>
      </w:r>
    </w:p>
    <w:p w14:paraId="05FEE71E">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 xml:space="preserve"> 其他服务要求</w:t>
      </w:r>
    </w:p>
    <w:p w14:paraId="6DFDDC27">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.1 乙方需要为危险废物装卸提供必要设备支持，包含但不限于升降尾板、手动（电动）叉车、电子叉车秤、抽液设备及管道。</w:t>
      </w:r>
    </w:p>
    <w:p w14:paraId="399C3F2C">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.2 乙方运输车辆设施设备完整、并确保消防应急物资、防泄漏物资的充分配置，同时需确保车辆资质证件在有效期内。</w:t>
      </w:r>
    </w:p>
    <w:p w14:paraId="02B9A5A4">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3乙方需对甲方现场危险废物有初步的识别和判断，具备甲方下发派车单列表中载明的危废名称与甲方现场危废的一致性评估的能力，具备废物种类分辨、废物包装的规范性核查、废物标签的完整性辨识的能力。若出现运输人员无法判断的异常情况时，应及时反馈甲方协助处理；经运输人员判断有风险时亦须立刻反馈甲方协助处理。</w:t>
      </w:r>
    </w:p>
    <w:p w14:paraId="4A7B1C0A">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.4 其他：</w:t>
      </w:r>
    </w:p>
    <w:p w14:paraId="4E2636FE">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Ⅰ、严格遵守甲方现场要求，不得违反相关厂规厂纪；</w:t>
      </w:r>
    </w:p>
    <w:p w14:paraId="6596EA4F">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Ⅱ、乙方违规行为将根据采购文件及本合同约定</w:t>
      </w:r>
      <w:r>
        <w:rPr>
          <w:rFonts w:hint="eastAsia" w:ascii="宋体" w:eastAsia="宋体" w:cs="宋体"/>
          <w:color w:val="auto"/>
          <w:sz w:val="21"/>
          <w:szCs w:val="21"/>
          <w:highlight w:val="none"/>
          <w:lang w:val="en-US" w:eastAsia="zh-CN"/>
        </w:rPr>
        <w:t>追究违约责任</w:t>
      </w:r>
      <w:r>
        <w:rPr>
          <w:rFonts w:hint="eastAsia" w:ascii="宋体" w:eastAsia="宋体" w:cs="宋体"/>
          <w:color w:val="auto"/>
          <w:sz w:val="21"/>
          <w:szCs w:val="21"/>
          <w:highlight w:val="none"/>
        </w:rPr>
        <w:t>；</w:t>
      </w:r>
    </w:p>
    <w:p w14:paraId="0BEF4A91">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Ⅲ、乙方根据甲方提供的整改意见限时整改；乙方可根据实际情况进行举证，经查确不属于乙方责任的，</w:t>
      </w:r>
      <w:r>
        <w:rPr>
          <w:rFonts w:hint="eastAsia" w:ascii="宋体" w:eastAsia="宋体" w:cs="宋体"/>
          <w:color w:val="auto"/>
          <w:sz w:val="21"/>
          <w:szCs w:val="21"/>
          <w:highlight w:val="none"/>
          <w:lang w:eastAsia="zh-CN"/>
        </w:rPr>
        <w:t>免予</w:t>
      </w:r>
      <w:r>
        <w:rPr>
          <w:rFonts w:hint="eastAsia" w:ascii="宋体" w:eastAsia="宋体" w:cs="宋体"/>
          <w:color w:val="auto"/>
          <w:sz w:val="21"/>
          <w:szCs w:val="21"/>
          <w:highlight w:val="none"/>
          <w:lang w:val="en-US" w:eastAsia="zh-CN"/>
        </w:rPr>
        <w:t>追究违约责任</w:t>
      </w:r>
      <w:r>
        <w:rPr>
          <w:rFonts w:hint="eastAsia" w:ascii="宋体" w:eastAsia="宋体" w:cs="宋体"/>
          <w:color w:val="auto"/>
          <w:sz w:val="21"/>
          <w:szCs w:val="21"/>
          <w:highlight w:val="none"/>
        </w:rPr>
        <w:t>；</w:t>
      </w:r>
    </w:p>
    <w:p w14:paraId="360C6705">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Ⅳ、携带包装物费用、装卸费、</w:t>
      </w:r>
      <w:r>
        <w:rPr>
          <w:rFonts w:hint="eastAsia" w:ascii="宋体" w:eastAsia="宋体" w:cs="宋体"/>
          <w:color w:val="auto"/>
          <w:sz w:val="21"/>
          <w:szCs w:val="21"/>
          <w:highlight w:val="none"/>
          <w:lang w:val="en-US" w:eastAsia="zh-CN"/>
        </w:rPr>
        <w:t>违约责任</w:t>
      </w:r>
      <w:r>
        <w:rPr>
          <w:rFonts w:hint="eastAsia" w:ascii="宋体" w:eastAsia="宋体" w:cs="宋体"/>
          <w:color w:val="auto"/>
          <w:sz w:val="21"/>
          <w:szCs w:val="21"/>
          <w:highlight w:val="none"/>
        </w:rPr>
        <w:t>标准，甲方有最终解释权。</w:t>
      </w:r>
    </w:p>
    <w:p w14:paraId="6843DA03">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Ⅴ、乙方应提供</w:t>
      </w:r>
      <w:r>
        <w:rPr>
          <w:rFonts w:hint="eastAsia" w:ascii="宋体" w:eastAsia="宋体" w:cs="宋体"/>
          <w:color w:val="auto"/>
          <w:sz w:val="21"/>
          <w:szCs w:val="21"/>
          <w:highlight w:val="none"/>
          <w:lang w:val="en-US" w:eastAsia="zh-CN"/>
        </w:rPr>
        <w:t>危废</w:t>
      </w:r>
      <w:r>
        <w:rPr>
          <w:rFonts w:hint="eastAsia" w:ascii="宋体" w:eastAsia="宋体" w:cs="宋体"/>
          <w:color w:val="auto"/>
          <w:sz w:val="21"/>
          <w:szCs w:val="21"/>
          <w:highlight w:val="none"/>
        </w:rPr>
        <w:t>运输车辆的《行驶证》《道路运输证》、强制险保单、商业险保单、危险货物承运人保单证件资料。（乙方提供相关证明材料）</w:t>
      </w:r>
    </w:p>
    <w:p w14:paraId="0AEFA76C">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Ⅵ、乙方应提供</w:t>
      </w:r>
      <w:r>
        <w:rPr>
          <w:rFonts w:hint="eastAsia" w:ascii="宋体" w:eastAsia="宋体" w:cs="宋体"/>
          <w:color w:val="auto"/>
          <w:sz w:val="21"/>
          <w:szCs w:val="21"/>
          <w:highlight w:val="none"/>
          <w:lang w:val="en-US" w:eastAsia="zh-CN"/>
        </w:rPr>
        <w:t>危废</w:t>
      </w:r>
      <w:r>
        <w:rPr>
          <w:rFonts w:hint="eastAsia" w:ascii="宋体" w:eastAsia="宋体" w:cs="宋体"/>
          <w:color w:val="auto"/>
          <w:sz w:val="21"/>
          <w:szCs w:val="21"/>
          <w:highlight w:val="none"/>
        </w:rPr>
        <w:t>运输司机《身份证》《驾驶证》《危运证》、近半年内所在公司给予购买的任意1个月社保证明证件资料。（乙方提供相关证明材料）</w:t>
      </w:r>
    </w:p>
    <w:p w14:paraId="2C1934A2">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Ⅶ、乙方应提供</w:t>
      </w:r>
      <w:r>
        <w:rPr>
          <w:rFonts w:hint="eastAsia" w:ascii="宋体" w:eastAsia="宋体" w:cs="宋体"/>
          <w:color w:val="auto"/>
          <w:sz w:val="21"/>
          <w:szCs w:val="21"/>
          <w:highlight w:val="none"/>
          <w:lang w:val="en-US" w:eastAsia="zh-CN"/>
        </w:rPr>
        <w:t>危废运输</w:t>
      </w:r>
      <w:r>
        <w:rPr>
          <w:rFonts w:hint="eastAsia" w:ascii="宋体" w:eastAsia="宋体" w:cs="宋体"/>
          <w:color w:val="auto"/>
          <w:sz w:val="21"/>
          <w:szCs w:val="21"/>
          <w:highlight w:val="none"/>
        </w:rPr>
        <w:t>押运员《身份证》《押运证》、近半年内所在公司给予购买的任意1个月社保证明证件资料。（乙方提供相关证明材料）</w:t>
      </w:r>
    </w:p>
    <w:p w14:paraId="41570741">
      <w:pPr>
        <w:pStyle w:val="44"/>
        <w:spacing w:line="400" w:lineRule="exact"/>
        <w:ind w:firstLine="433"/>
        <w:outlineLvl w:val="9"/>
        <w:rPr>
          <w:rFonts w:hint="eastAsia" w:ascii="宋体" w:eastAsia="宋体" w:cs="宋体"/>
          <w:color w:val="auto"/>
          <w:sz w:val="21"/>
          <w:szCs w:val="21"/>
          <w:highlight w:val="none"/>
          <w:lang w:val="en-US" w:eastAsia="zh-CN"/>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5跳单处罚：无法响应甲方派车需求的均属于跳单行为。甲方安排厢车乙方20台车/天及以内时，乙方无法响应的，跳单处罚金额为甲方使用其他运输单位支出运输费用的2倍；甲方当日15时之后安排次日运输任务且超过20台车/天以上时，乙方无法提供服务的，仅需承担甲方使用其他运输单位支出的运输费用。跳单处罚款项于跳单所属月份的运输费中扣除。运费不足以与抵扣时，从履约保证金中扣除。备注：跳单考核包括乙方已进行响应，后因乙方原因，无法按要求日期或逾期超过5小时抵达客户现场进行收运的情况。</w:t>
      </w:r>
    </w:p>
    <w:p w14:paraId="096B10DE">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4.16乙方跳单达3车/月，甲方有权暂停与乙方的合作，并视整改情况进行恢复，累计跳单达10车，甲方有权与乙方解除《危险废物运输服务合同》，同时扣除履约保证金。</w:t>
      </w:r>
    </w:p>
    <w:p w14:paraId="456D5D58">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7</w:t>
      </w:r>
      <w:r>
        <w:rPr>
          <w:rFonts w:hint="eastAsia" w:ascii="宋体" w:eastAsia="宋体" w:cs="宋体"/>
          <w:color w:val="auto"/>
          <w:sz w:val="21"/>
          <w:szCs w:val="21"/>
          <w:highlight w:val="none"/>
        </w:rPr>
        <w:t>除本合同约定外，乙方所提供运输服务同时应满足本服务项目采购文件中的《用户需求书》等相关文件关于运输服务的要求，如有违反，同样视为违约。</w:t>
      </w:r>
    </w:p>
    <w:p w14:paraId="7F5C52AE">
      <w:pPr>
        <w:spacing w:line="400" w:lineRule="exact"/>
        <w:outlineLvl w:val="9"/>
        <w:rPr>
          <w:b/>
          <w:bCs/>
          <w:color w:val="auto"/>
          <w:highlight w:val="none"/>
        </w:rPr>
      </w:pPr>
      <w:bookmarkStart w:id="248" w:name="_Toc19544"/>
      <w:bookmarkStart w:id="249" w:name="_Toc12139"/>
      <w:bookmarkStart w:id="250" w:name="_Toc12374"/>
      <w:bookmarkStart w:id="251" w:name="_Toc1843"/>
      <w:bookmarkStart w:id="252" w:name="_Toc3344"/>
      <w:bookmarkStart w:id="253" w:name="_Toc11363"/>
      <w:bookmarkStart w:id="254" w:name="_Toc11502"/>
      <w:r>
        <w:rPr>
          <w:rFonts w:hint="eastAsia"/>
          <w:b/>
          <w:bCs/>
          <w:color w:val="auto"/>
          <w:highlight w:val="none"/>
        </w:rPr>
        <w:t>第五条 乙方运输方式、车辆配置及安全要求</w:t>
      </w:r>
      <w:bookmarkEnd w:id="248"/>
      <w:bookmarkEnd w:id="249"/>
      <w:bookmarkEnd w:id="250"/>
      <w:bookmarkEnd w:id="251"/>
      <w:bookmarkEnd w:id="252"/>
      <w:bookmarkEnd w:id="253"/>
      <w:bookmarkEnd w:id="254"/>
      <w:r>
        <w:rPr>
          <w:rFonts w:hint="eastAsia"/>
          <w:b/>
          <w:bCs/>
          <w:color w:val="auto"/>
          <w:highlight w:val="none"/>
        </w:rPr>
        <w:t xml:space="preserve">  </w:t>
      </w:r>
    </w:p>
    <w:p w14:paraId="307BA605">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 xml:space="preserve">5.1 运输方式：符合国家相关法律法规文件规定的特种危险品货物运输汽车。 </w:t>
      </w:r>
    </w:p>
    <w:p w14:paraId="4A5E2230">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 xml:space="preserve">5.2 车辆配置及安全要求：  </w:t>
      </w:r>
    </w:p>
    <w:p w14:paraId="21D681BA">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 xml:space="preserve">5.2.1 参与承运甲方货物的车辆必须保持车况良好，车容整洁。 </w:t>
      </w:r>
    </w:p>
    <w:p w14:paraId="32BF3C57">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 xml:space="preserve">5.2.2 乙方所承运的危险品车辆，除了符合上述要求外，还必须具备交通运输部令2019年第42号文件等相关法律法规规定的承运危险品车辆的一切条件和物资： </w:t>
      </w:r>
    </w:p>
    <w:p w14:paraId="39745F5A">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 xml:space="preserve">Ⅰ、危险品专用车辆技术等级达到行业标准《营运车辆技术等级划分和评定要求》（JT/T198）规定的一级技术等级。   </w:t>
      </w:r>
    </w:p>
    <w:p w14:paraId="03A7EA6E">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 xml:space="preserve">Ⅱ、危险品专用车辆需安装GPS定位装置、行车记录仪等安全行车监控系统，并实施24小时全天候监控。  </w:t>
      </w:r>
    </w:p>
    <w:p w14:paraId="1EF857D4">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Ⅲ、专用车辆驾驶员应当随车携带《道路运输经营许可证》。</w:t>
      </w:r>
    </w:p>
    <w:p w14:paraId="3F09A50D">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Ⅳ、每辆运输车司机在与客户签收完提货单后手机APP扫码产废单位二维码，如实填写承运人基本信息。</w:t>
      </w:r>
    </w:p>
    <w:p w14:paraId="60026323">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 xml:space="preserve">Ⅴ、在承运甲方货物整个过程中，除驾驶人员外，专用车辆上应当另外配备押运人员，其应随身携带从业资格证，并对运输全过程进行监管。 </w:t>
      </w:r>
    </w:p>
    <w:p w14:paraId="59E94D60">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5.2.3行车前必须检查车辆安全情况，随车附2条备用轮胎以及必须的消防设施，确保正常运输。配备倒车警报系统及倒车照明装置。进入甲方厂区内车辆必须佩戴防火罩。</w:t>
      </w:r>
    </w:p>
    <w:p w14:paraId="272B13FC">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 xml:space="preserve">5.2.4 运输途中需要停车住宿或者遇有无法正常运输的情况时，依法应当向当地公安部门报告。 </w:t>
      </w:r>
    </w:p>
    <w:p w14:paraId="353FB4AF">
      <w:pPr>
        <w:pStyle w:val="44"/>
        <w:spacing w:line="400" w:lineRule="exact"/>
        <w:ind w:firstLine="433"/>
        <w:outlineLvl w:val="9"/>
        <w:rPr>
          <w:rFonts w:hint="eastAsia" w:ascii="宋体" w:eastAsia="宋体" w:cs="宋体"/>
          <w:color w:val="auto"/>
          <w:sz w:val="21"/>
          <w:szCs w:val="21"/>
          <w:highlight w:val="none"/>
        </w:rPr>
      </w:pPr>
      <w:r>
        <w:rPr>
          <w:rFonts w:hint="eastAsia" w:ascii="宋体" w:eastAsia="宋体" w:cs="宋体"/>
          <w:color w:val="auto"/>
          <w:sz w:val="21"/>
          <w:szCs w:val="21"/>
          <w:highlight w:val="none"/>
        </w:rPr>
        <w:t>5.2.5 乙方承运车辆及人员到达目的地时，甲方收货人有权对其进行检查，对不符合上述要求，甲方有权提出限时整改，乙方应积极配合完成整改。</w:t>
      </w:r>
    </w:p>
    <w:p w14:paraId="587A695A">
      <w:pPr>
        <w:pStyle w:val="44"/>
        <w:spacing w:line="400" w:lineRule="exact"/>
        <w:ind w:firstLine="433"/>
        <w:outlineLvl w:val="9"/>
        <w:rPr>
          <w:rFonts w:hint="default" w:ascii="宋体" w:eastAsia="宋体" w:cs="宋体"/>
          <w:color w:val="auto"/>
          <w:sz w:val="21"/>
          <w:szCs w:val="21"/>
          <w:highlight w:val="none"/>
          <w:lang w:val="en-US" w:eastAsia="zh-CN"/>
        </w:rPr>
      </w:pPr>
      <w:r>
        <w:rPr>
          <w:rFonts w:hint="eastAsia" w:ascii="宋体" w:eastAsia="宋体" w:cs="宋体"/>
          <w:color w:val="auto"/>
          <w:sz w:val="21"/>
          <w:szCs w:val="21"/>
          <w:highlight w:val="none"/>
          <w:lang w:val="en-US" w:eastAsia="zh-CN"/>
        </w:rPr>
        <w:t>5.2.6乙方必须具备城市内各限行区域的通行证，若交管部门变动限行区域，乙方需要承诺及时办理通行证，且不得因此拒绝提供服务。</w:t>
      </w:r>
    </w:p>
    <w:p w14:paraId="747FF992">
      <w:pPr>
        <w:spacing w:line="400" w:lineRule="exact"/>
        <w:outlineLvl w:val="9"/>
        <w:rPr>
          <w:b/>
          <w:bCs/>
          <w:color w:val="auto"/>
          <w:highlight w:val="none"/>
        </w:rPr>
      </w:pPr>
      <w:bookmarkStart w:id="255" w:name="_Toc31318"/>
      <w:bookmarkStart w:id="256" w:name="_Toc12011"/>
      <w:bookmarkStart w:id="257" w:name="_Toc14696"/>
      <w:bookmarkStart w:id="258" w:name="_Toc14072"/>
      <w:bookmarkStart w:id="259" w:name="_Toc20080"/>
      <w:bookmarkStart w:id="260" w:name="_Toc22021"/>
      <w:bookmarkStart w:id="261" w:name="_Toc5105"/>
      <w:r>
        <w:rPr>
          <w:rFonts w:hint="eastAsia"/>
          <w:b/>
          <w:bCs/>
          <w:color w:val="auto"/>
          <w:highlight w:val="none"/>
        </w:rPr>
        <w:t>第六条 转运注意事项</w:t>
      </w:r>
      <w:bookmarkEnd w:id="255"/>
      <w:bookmarkEnd w:id="256"/>
      <w:bookmarkEnd w:id="257"/>
      <w:bookmarkEnd w:id="258"/>
      <w:bookmarkEnd w:id="259"/>
      <w:bookmarkEnd w:id="260"/>
      <w:bookmarkEnd w:id="261"/>
    </w:p>
    <w:p w14:paraId="2C20DDFD">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6.1 甲乙双方必须严格执行《中华人民共和国固体废物污染环境防治法》的规定，本合同涉及的危险废物必须经环境保护行政主管部门批准及甲方同意后方可进行转移运输。</w:t>
      </w:r>
    </w:p>
    <w:p w14:paraId="6163FD07">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6.2 甲乙双方交接危险废物时，必须认真执行《危险废物转移管理办法》的相关规定，甲方需协助甲方客户在“广东省固体废物环境监管信息平台”及时准确填写危险废物转移电子联单。</w:t>
      </w:r>
    </w:p>
    <w:p w14:paraId="20D50E8F">
      <w:pPr>
        <w:pStyle w:val="44"/>
        <w:spacing w:line="400" w:lineRule="exact"/>
        <w:ind w:firstLine="433"/>
        <w:outlineLvl w:val="9"/>
        <w:rPr>
          <w:rFonts w:hint="eastAsia" w:ascii="宋体" w:eastAsia="宋体" w:cs="宋体"/>
          <w:color w:val="auto"/>
          <w:sz w:val="21"/>
          <w:szCs w:val="21"/>
          <w:highlight w:val="none"/>
        </w:rPr>
      </w:pPr>
      <w:r>
        <w:rPr>
          <w:rFonts w:hint="eastAsia" w:ascii="宋体" w:eastAsia="宋体" w:cs="宋体"/>
          <w:color w:val="auto"/>
          <w:sz w:val="21"/>
          <w:szCs w:val="21"/>
          <w:highlight w:val="none"/>
        </w:rPr>
        <w:t>6.3乙方的所有操作过程均应严格遵守相关法律法规如《危险货物运输包装通用技术条件》（GB12463-2009）等、国家环保和卫生要求、双方合同约定、</w:t>
      </w:r>
      <w:r>
        <w:rPr>
          <w:rFonts w:hint="eastAsia" w:ascii="宋体" w:eastAsia="宋体" w:cs="宋体"/>
          <w:color w:val="auto"/>
          <w:sz w:val="21"/>
          <w:szCs w:val="21"/>
          <w:highlight w:val="none"/>
          <w:lang w:eastAsia="zh-CN"/>
        </w:rPr>
        <w:t>甲方</w:t>
      </w:r>
      <w:r>
        <w:rPr>
          <w:rFonts w:hint="eastAsia" w:ascii="宋体" w:eastAsia="宋体" w:cs="宋体"/>
          <w:color w:val="auto"/>
          <w:sz w:val="21"/>
          <w:szCs w:val="21"/>
          <w:highlight w:val="none"/>
        </w:rPr>
        <w:t>现场管理规定，确保安全。</w:t>
      </w:r>
    </w:p>
    <w:p w14:paraId="5D27B2A4">
      <w:pPr>
        <w:spacing w:line="400" w:lineRule="exact"/>
        <w:outlineLvl w:val="9"/>
        <w:rPr>
          <w:rFonts w:hint="default" w:eastAsia="宋体"/>
          <w:b/>
          <w:bCs/>
          <w:color w:val="auto"/>
          <w:highlight w:val="none"/>
          <w:lang w:val="en-US" w:eastAsia="zh-CN"/>
        </w:rPr>
      </w:pPr>
      <w:bookmarkStart w:id="262" w:name="_Toc13739"/>
      <w:bookmarkStart w:id="263" w:name="_Toc5780"/>
      <w:bookmarkStart w:id="264" w:name="_Toc4841"/>
      <w:bookmarkStart w:id="265" w:name="_Toc29975"/>
      <w:bookmarkStart w:id="266" w:name="_Toc17455"/>
      <w:bookmarkStart w:id="267" w:name="_Toc8581"/>
      <w:bookmarkStart w:id="268" w:name="_Toc31145"/>
      <w:r>
        <w:rPr>
          <w:rFonts w:hint="eastAsia"/>
          <w:b/>
          <w:bCs/>
          <w:color w:val="auto"/>
          <w:highlight w:val="none"/>
        </w:rPr>
        <w:t xml:space="preserve">第七条 </w:t>
      </w:r>
      <w:r>
        <w:rPr>
          <w:rFonts w:hint="eastAsia"/>
          <w:b/>
          <w:bCs/>
          <w:color w:val="auto"/>
          <w:highlight w:val="none"/>
          <w:lang w:val="en-US" w:eastAsia="zh-CN"/>
        </w:rPr>
        <w:t>计费规则</w:t>
      </w:r>
    </w:p>
    <w:p w14:paraId="43216905">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7.1</w:t>
      </w:r>
      <w:r>
        <w:rPr>
          <w:rFonts w:hint="eastAsia" w:ascii="宋体" w:eastAsia="宋体" w:cs="宋体"/>
          <w:color w:val="auto"/>
          <w:sz w:val="21"/>
          <w:szCs w:val="21"/>
          <w:highlight w:val="none"/>
        </w:rPr>
        <w:t>货物的起运（装货）、到达（卸货）地及运输费用：</w:t>
      </w:r>
      <w:r>
        <w:rPr>
          <w:rFonts w:hint="eastAsia" w:ascii="宋体" w:eastAsia="宋体" w:cs="宋体"/>
          <w:b/>
          <w:bCs/>
          <w:color w:val="auto"/>
          <w:sz w:val="21"/>
          <w:szCs w:val="21"/>
          <w:highlight w:val="none"/>
        </w:rPr>
        <w:t>见</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附件3《危险废物运输费单价表》</w:t>
      </w:r>
      <w:r>
        <w:rPr>
          <w:rFonts w:hint="eastAsia" w:ascii="宋体" w:eastAsia="宋体" w:cs="宋体"/>
          <w:color w:val="auto"/>
          <w:sz w:val="21"/>
          <w:szCs w:val="21"/>
          <w:highlight w:val="none"/>
        </w:rPr>
        <w:t>。</w:t>
      </w:r>
    </w:p>
    <w:p w14:paraId="76B925A2">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7.2</w:t>
      </w:r>
      <w:r>
        <w:rPr>
          <w:rFonts w:hint="eastAsia" w:ascii="宋体" w:eastAsia="宋体" w:cs="宋体"/>
          <w:color w:val="auto"/>
          <w:sz w:val="21"/>
          <w:szCs w:val="21"/>
          <w:highlight w:val="none"/>
        </w:rPr>
        <w:t>乙方在提供收运服务过程中发现甲方客户危险废物的包装或标识标签不符合要求时，应与甲方客户做必要沟通，如甲方客户无意配合，乙方应第一时间知会甲方，以便甲方及时与客户沟通及做出相应处理（承运、拒运或其它），乙方应予以配合。未经甲方同意，乙方不得从甲方客户处空车返回，否则甲方有权拒付该趟空车运输费用；乙方经甲方同意空车返回的，空车返回费用参照</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附件4《运输杂费及计费规则》</w:t>
      </w:r>
      <w:r>
        <w:rPr>
          <w:rFonts w:hint="eastAsia" w:ascii="宋体" w:eastAsia="宋体" w:cs="宋体"/>
          <w:color w:val="auto"/>
          <w:sz w:val="21"/>
          <w:szCs w:val="21"/>
          <w:highlight w:val="none"/>
        </w:rPr>
        <w:t>处理。</w:t>
      </w:r>
    </w:p>
    <w:p w14:paraId="7844412D">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7.3</w:t>
      </w:r>
      <w:r>
        <w:rPr>
          <w:rFonts w:hint="eastAsia" w:ascii="宋体" w:eastAsia="宋体" w:cs="宋体"/>
          <w:color w:val="auto"/>
          <w:sz w:val="21"/>
          <w:szCs w:val="21"/>
          <w:highlight w:val="none"/>
        </w:rPr>
        <w:t>乙方工作人员（司机、押运人员）在甲方客户工厂提货时应严格遵守客户相关管理要求。同时，必须核对危险废物的种类、数量、包装、标识标签，在与客户交接时必须要求客户在</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附件8《承运单》</w:t>
      </w:r>
      <w:r>
        <w:rPr>
          <w:rFonts w:hint="eastAsia" w:ascii="宋体" w:eastAsia="宋体" w:cs="宋体"/>
          <w:color w:val="auto"/>
          <w:sz w:val="21"/>
          <w:szCs w:val="21"/>
          <w:highlight w:val="none"/>
        </w:rPr>
        <w:t>上签名确认，如会额外产生装卸及其他费用，必须提前与甲方联系并解决（经甲方确认额外费用属实且必须时，按</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附件4《运输杂费及计费规则》</w:t>
      </w:r>
      <w:r>
        <w:rPr>
          <w:rFonts w:hint="eastAsia" w:ascii="宋体" w:eastAsia="宋体" w:cs="宋体"/>
          <w:color w:val="auto"/>
          <w:sz w:val="21"/>
          <w:szCs w:val="21"/>
          <w:highlight w:val="none"/>
        </w:rPr>
        <w:t>、</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w:t>
      </w:r>
      <w:r>
        <w:rPr>
          <w:rFonts w:hint="eastAsia" w:ascii="宋体" w:eastAsia="宋体" w:cs="宋体"/>
          <w:b/>
          <w:bCs/>
          <w:color w:val="auto"/>
          <w:sz w:val="21"/>
          <w:szCs w:val="21"/>
          <w:highlight w:val="none"/>
          <w:lang w:val="en-US" w:eastAsia="zh-CN"/>
        </w:rPr>
        <w:t>7</w:t>
      </w:r>
      <w:r>
        <w:rPr>
          <w:rFonts w:hint="eastAsia" w:ascii="宋体" w:eastAsia="宋体" w:cs="宋体"/>
          <w:b/>
          <w:bCs/>
          <w:color w:val="auto"/>
          <w:sz w:val="21"/>
          <w:szCs w:val="21"/>
          <w:highlight w:val="none"/>
        </w:rPr>
        <w:t>《运输单位搬运费分级标准》</w:t>
      </w:r>
      <w:r>
        <w:rPr>
          <w:rFonts w:hint="eastAsia" w:ascii="宋体" w:eastAsia="宋体" w:cs="宋体"/>
          <w:color w:val="auto"/>
          <w:sz w:val="21"/>
          <w:szCs w:val="21"/>
          <w:highlight w:val="none"/>
        </w:rPr>
        <w:t>计费），否则甲方不予承认此费用。乙方在甲方客户作业不当或因乙方原因造成客户损失的，由乙方承担相关赔偿责任，甲方有权就损失在</w:t>
      </w:r>
      <w:r>
        <w:rPr>
          <w:rFonts w:hint="eastAsia" w:ascii="宋体" w:eastAsia="宋体" w:cs="宋体"/>
          <w:color w:val="auto"/>
          <w:sz w:val="21"/>
          <w:szCs w:val="21"/>
          <w:highlight w:val="none"/>
          <w:lang w:val="en-US" w:eastAsia="zh-CN"/>
        </w:rPr>
        <w:t>应</w:t>
      </w:r>
      <w:r>
        <w:rPr>
          <w:rFonts w:hint="eastAsia" w:ascii="宋体" w:eastAsia="宋体" w:cs="宋体"/>
          <w:color w:val="auto"/>
          <w:sz w:val="21"/>
          <w:szCs w:val="21"/>
          <w:highlight w:val="none"/>
        </w:rPr>
        <w:t>支付乙方的运输费用中予以扣除。</w:t>
      </w:r>
    </w:p>
    <w:p w14:paraId="3A1CA18A">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7.4</w:t>
      </w:r>
      <w:r>
        <w:rPr>
          <w:rFonts w:hint="eastAsia" w:ascii="宋体" w:eastAsia="宋体" w:cs="宋体"/>
          <w:color w:val="auto"/>
          <w:sz w:val="21"/>
          <w:szCs w:val="21"/>
          <w:highlight w:val="none"/>
        </w:rPr>
        <w:t>乙方需严格遵守甲方相关要求，甲方有权进行考核，并对乙方进行处罚；对于违反相关要求的人员和行为，甲方有权对相关人员进行处罚。对于违反相关要求导致危害后果的，乙方需进行赔偿。相关要求详见</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w:t>
      </w:r>
      <w:r>
        <w:rPr>
          <w:rFonts w:hint="eastAsia" w:ascii="宋体" w:eastAsia="宋体" w:cs="宋体"/>
          <w:b/>
          <w:bCs/>
          <w:color w:val="auto"/>
          <w:sz w:val="21"/>
          <w:szCs w:val="21"/>
          <w:highlight w:val="none"/>
          <w:lang w:val="en-US" w:eastAsia="zh-CN"/>
        </w:rPr>
        <w:t>5</w:t>
      </w:r>
      <w:r>
        <w:rPr>
          <w:rFonts w:hint="eastAsia" w:ascii="宋体" w:eastAsia="宋体" w:cs="宋体"/>
          <w:b/>
          <w:bCs/>
          <w:color w:val="auto"/>
          <w:sz w:val="21"/>
          <w:szCs w:val="21"/>
          <w:highlight w:val="none"/>
        </w:rPr>
        <w:t>《东莞市新东欣环保投资有限公司承运单位违规行为处罚条款》</w:t>
      </w:r>
      <w:r>
        <w:rPr>
          <w:rFonts w:hint="eastAsia" w:ascii="宋体" w:eastAsia="宋体" w:cs="宋体"/>
          <w:color w:val="auto"/>
          <w:sz w:val="21"/>
          <w:szCs w:val="21"/>
          <w:highlight w:val="none"/>
        </w:rPr>
        <w:t>。甲方按季度对乙方进行季度评分考核，根据考核结果</w:t>
      </w:r>
      <w:r>
        <w:rPr>
          <w:rFonts w:hint="eastAsia" w:ascii="宋体" w:eastAsia="宋体" w:cs="宋体"/>
          <w:color w:val="auto"/>
          <w:sz w:val="21"/>
          <w:szCs w:val="21"/>
          <w:highlight w:val="none"/>
          <w:lang w:val="en-US" w:eastAsia="zh-CN"/>
        </w:rPr>
        <w:t>追究违约责任</w:t>
      </w:r>
      <w:r>
        <w:rPr>
          <w:rFonts w:hint="eastAsia" w:ascii="宋体" w:eastAsia="宋体" w:cs="宋体"/>
          <w:color w:val="auto"/>
          <w:sz w:val="21"/>
          <w:szCs w:val="21"/>
          <w:highlight w:val="none"/>
        </w:rPr>
        <w:t>，考核内容详见</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附件6《运输商季度考核评分表》</w:t>
      </w:r>
      <w:r>
        <w:rPr>
          <w:rFonts w:hint="eastAsia" w:ascii="宋体" w:eastAsia="宋体" w:cs="宋体"/>
          <w:color w:val="auto"/>
          <w:sz w:val="21"/>
          <w:szCs w:val="21"/>
          <w:highlight w:val="none"/>
        </w:rPr>
        <w:t>。</w:t>
      </w:r>
    </w:p>
    <w:p w14:paraId="6D505BCE">
      <w:pPr>
        <w:spacing w:line="400" w:lineRule="exact"/>
        <w:outlineLvl w:val="9"/>
        <w:rPr>
          <w:b/>
          <w:bCs/>
          <w:color w:val="auto"/>
          <w:highlight w:val="none"/>
        </w:rPr>
      </w:pPr>
      <w:r>
        <w:rPr>
          <w:rFonts w:hint="eastAsia"/>
          <w:b/>
          <w:bCs/>
          <w:color w:val="auto"/>
          <w:highlight w:val="none"/>
        </w:rPr>
        <w:t>第</w:t>
      </w:r>
      <w:r>
        <w:rPr>
          <w:rFonts w:hint="eastAsia"/>
          <w:b/>
          <w:bCs/>
          <w:color w:val="auto"/>
          <w:highlight w:val="none"/>
          <w:lang w:val="en-US" w:eastAsia="zh-CN"/>
        </w:rPr>
        <w:t>八</w:t>
      </w:r>
      <w:r>
        <w:rPr>
          <w:rFonts w:hint="eastAsia"/>
          <w:b/>
          <w:bCs/>
          <w:color w:val="auto"/>
          <w:highlight w:val="none"/>
        </w:rPr>
        <w:t>条 结算方式</w:t>
      </w:r>
      <w:bookmarkEnd w:id="262"/>
      <w:bookmarkEnd w:id="263"/>
      <w:bookmarkEnd w:id="264"/>
      <w:bookmarkEnd w:id="265"/>
      <w:bookmarkEnd w:id="266"/>
      <w:bookmarkEnd w:id="267"/>
      <w:bookmarkEnd w:id="268"/>
    </w:p>
    <w:p w14:paraId="3AA0CDAA">
      <w:pPr>
        <w:pStyle w:val="44"/>
        <w:spacing w:line="400" w:lineRule="exact"/>
        <w:ind w:firstLine="433"/>
        <w:outlineLvl w:val="9"/>
        <w:rPr>
          <w:rFonts w:hint="eastAsia" w:ascii="宋体" w:eastAsia="宋体" w:cs="宋体"/>
          <w:color w:val="auto"/>
          <w:sz w:val="21"/>
          <w:szCs w:val="21"/>
          <w:highlight w:val="none"/>
          <w:lang w:val="en-US" w:eastAsia="zh-CN"/>
        </w:rPr>
      </w:pPr>
      <w:r>
        <w:rPr>
          <w:rFonts w:hint="eastAsia" w:ascii="宋体" w:eastAsia="宋体" w:cs="宋体"/>
          <w:color w:val="auto"/>
          <w:sz w:val="21"/>
          <w:szCs w:val="21"/>
          <w:highlight w:val="none"/>
          <w:lang w:val="en-US" w:eastAsia="zh-CN"/>
        </w:rPr>
        <w:t>8</w:t>
      </w:r>
      <w:r>
        <w:rPr>
          <w:rFonts w:hint="eastAsia" w:ascii="宋体" w:eastAsia="宋体" w:cs="宋体"/>
          <w:color w:val="auto"/>
          <w:sz w:val="21"/>
          <w:szCs w:val="21"/>
          <w:highlight w:val="none"/>
        </w:rPr>
        <w:t>.1</w:t>
      </w:r>
      <w:r>
        <w:rPr>
          <w:rFonts w:hint="eastAsia" w:ascii="宋体" w:eastAsia="宋体" w:cs="宋体"/>
          <w:color w:val="auto"/>
          <w:sz w:val="21"/>
          <w:szCs w:val="21"/>
          <w:highlight w:val="none"/>
          <w:lang w:val="en-US" w:eastAsia="zh-CN"/>
        </w:rPr>
        <w:t>履约保证金：乙方的投标保证金¥94,000.00元（玖万肆仟元整）在合同签订后自动转为履约保证金，履约保证金作为乙方在履约过程中违约金或罚款的扣罚来源之一，履约保证金返还申请时间为合同期满之日，乙方在没有任何违约的情况下提交退款申请，收到乙方申请后30个日历日内，甲方一次性无息退回。</w:t>
      </w:r>
    </w:p>
    <w:p w14:paraId="267B67BC">
      <w:pPr>
        <w:pStyle w:val="44"/>
        <w:spacing w:line="400" w:lineRule="exact"/>
        <w:ind w:firstLine="433"/>
        <w:outlineLvl w:val="9"/>
        <w:rPr>
          <w:rFonts w:hint="eastAsia" w:ascii="宋体" w:eastAsia="宋体" w:cs="宋体"/>
          <w:color w:val="auto"/>
          <w:sz w:val="21"/>
          <w:szCs w:val="21"/>
          <w:highlight w:val="none"/>
          <w:lang w:val="en-US" w:eastAsia="zh-CN"/>
        </w:rPr>
      </w:pPr>
      <w:r>
        <w:rPr>
          <w:rFonts w:hint="eastAsia" w:ascii="宋体" w:eastAsia="宋体" w:cs="宋体"/>
          <w:color w:val="auto"/>
          <w:sz w:val="21"/>
          <w:szCs w:val="21"/>
          <w:highlight w:val="none"/>
          <w:lang w:val="en-US" w:eastAsia="zh-CN"/>
        </w:rPr>
        <w:t>（1）下列任何情况发生时，甲方有权没收履约保证金：</w:t>
      </w:r>
    </w:p>
    <w:p w14:paraId="67E3C28A">
      <w:pPr>
        <w:pStyle w:val="44"/>
        <w:spacing w:line="400" w:lineRule="exact"/>
        <w:ind w:firstLine="433"/>
        <w:outlineLvl w:val="9"/>
        <w:rPr>
          <w:rFonts w:hint="eastAsia" w:ascii="宋体" w:eastAsia="宋体" w:cs="宋体"/>
          <w:color w:val="auto"/>
          <w:sz w:val="21"/>
          <w:szCs w:val="21"/>
          <w:highlight w:val="none"/>
          <w:lang w:val="en-US" w:eastAsia="zh-CN"/>
        </w:rPr>
      </w:pPr>
      <w:r>
        <w:rPr>
          <w:rFonts w:hint="eastAsia" w:ascii="宋体" w:eastAsia="宋体" w:cs="宋体"/>
          <w:color w:val="auto"/>
          <w:sz w:val="21"/>
          <w:szCs w:val="21"/>
          <w:highlight w:val="none"/>
          <w:lang w:val="en-US" w:eastAsia="zh-CN"/>
        </w:rPr>
        <w:t>①乙方在合同履行过程中出现项目质量事故、工期拖延、欠付工人工资、欠付材料款等情况，且经甲方责令要求整改仍未改正的，甲方在经核查属实后，乙方造成甲方损失的，甲方有权立即没收其履约保证金，若造成损失超过履约担保的，还应当对超过部分予以赔偿。</w:t>
      </w:r>
    </w:p>
    <w:p w14:paraId="7884A0AB">
      <w:pPr>
        <w:pStyle w:val="44"/>
        <w:spacing w:line="400" w:lineRule="exact"/>
        <w:ind w:firstLine="433"/>
        <w:outlineLvl w:val="9"/>
        <w:rPr>
          <w:rFonts w:hint="eastAsia" w:ascii="宋体" w:eastAsia="宋体" w:cs="宋体"/>
          <w:color w:val="auto"/>
          <w:sz w:val="21"/>
          <w:szCs w:val="21"/>
          <w:highlight w:val="none"/>
          <w:lang w:val="en-US" w:eastAsia="zh-CN"/>
        </w:rPr>
      </w:pPr>
      <w:r>
        <w:rPr>
          <w:rFonts w:hint="eastAsia" w:ascii="宋体" w:eastAsia="宋体" w:cs="宋体"/>
          <w:color w:val="auto"/>
          <w:sz w:val="21"/>
          <w:szCs w:val="21"/>
          <w:highlight w:val="none"/>
          <w:lang w:val="en-US" w:eastAsia="zh-CN"/>
        </w:rPr>
        <w:t>②乙方将本项目转让给他人，或者在投标文件中未说明，且未经甲方同意，将中标项目分包给他人的；</w:t>
      </w:r>
    </w:p>
    <w:p w14:paraId="300862F7">
      <w:pPr>
        <w:pStyle w:val="44"/>
        <w:spacing w:line="400" w:lineRule="exact"/>
        <w:ind w:firstLine="433"/>
        <w:outlineLvl w:val="9"/>
        <w:rPr>
          <w:rFonts w:hint="eastAsia" w:ascii="宋体" w:eastAsia="宋体" w:cs="宋体"/>
          <w:color w:val="auto"/>
          <w:sz w:val="21"/>
          <w:szCs w:val="21"/>
          <w:highlight w:val="none"/>
          <w:lang w:val="en-US" w:eastAsia="zh-CN"/>
        </w:rPr>
      </w:pPr>
      <w:r>
        <w:rPr>
          <w:rFonts w:hint="eastAsia" w:ascii="宋体" w:eastAsia="宋体" w:cs="宋体"/>
          <w:color w:val="auto"/>
          <w:sz w:val="21"/>
          <w:szCs w:val="21"/>
          <w:highlight w:val="none"/>
          <w:lang w:val="en-US" w:eastAsia="zh-CN"/>
        </w:rPr>
        <w:t>③乙方在履行采购合同期间，违反有关法律法规的规定及合同约定的条款，损害了甲方的利益。</w:t>
      </w:r>
    </w:p>
    <w:p w14:paraId="3EA7BB1F">
      <w:pPr>
        <w:pStyle w:val="44"/>
        <w:spacing w:line="400" w:lineRule="exact"/>
        <w:ind w:firstLine="433"/>
        <w:outlineLvl w:val="9"/>
        <w:rPr>
          <w:rFonts w:hint="default" w:ascii="宋体" w:eastAsia="宋体" w:cs="宋体"/>
          <w:color w:val="auto"/>
          <w:sz w:val="21"/>
          <w:szCs w:val="21"/>
          <w:highlight w:val="none"/>
          <w:lang w:val="en-US" w:eastAsia="zh-CN"/>
        </w:rPr>
      </w:pPr>
      <w:r>
        <w:rPr>
          <w:rFonts w:hint="eastAsia" w:ascii="宋体" w:eastAsia="宋体" w:cs="宋体"/>
          <w:color w:val="auto"/>
          <w:sz w:val="21"/>
          <w:szCs w:val="21"/>
          <w:highlight w:val="none"/>
          <w:lang w:val="en-US" w:eastAsia="zh-CN"/>
        </w:rPr>
        <w:t>（2）在合同期满后，乙方向甲方提交退回履约保证金的申请，甲方在乙方将所有未决索赔、争议或违约责任解决完毕后并经甲方确认后30个日历日内办理履约担保退还手续。</w:t>
      </w:r>
    </w:p>
    <w:p w14:paraId="23C6C8A9">
      <w:pPr>
        <w:pStyle w:val="44"/>
        <w:spacing w:line="400" w:lineRule="exact"/>
        <w:ind w:firstLine="433"/>
        <w:outlineLvl w:val="9"/>
        <w:rPr>
          <w:rFonts w:hint="eastAsia" w:ascii="宋体" w:eastAsia="宋体" w:cs="宋体"/>
          <w:color w:val="auto"/>
          <w:sz w:val="21"/>
          <w:szCs w:val="21"/>
          <w:highlight w:val="none"/>
          <w:lang w:eastAsia="zh-CN"/>
        </w:rPr>
      </w:pPr>
      <w:r>
        <w:rPr>
          <w:rFonts w:hint="eastAsia" w:ascii="宋体" w:eastAsia="宋体" w:cs="宋体"/>
          <w:color w:val="auto"/>
          <w:sz w:val="21"/>
          <w:szCs w:val="21"/>
          <w:highlight w:val="none"/>
          <w:lang w:val="en-US" w:eastAsia="zh-CN"/>
        </w:rPr>
        <w:t>8</w:t>
      </w:r>
      <w:r>
        <w:rPr>
          <w:rFonts w:hint="eastAsia" w:ascii="宋体" w:eastAsia="宋体" w:cs="宋体"/>
          <w:color w:val="auto"/>
          <w:sz w:val="21"/>
          <w:szCs w:val="21"/>
          <w:highlight w:val="none"/>
        </w:rPr>
        <w:t>.2</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附件3《危险废物运输费单价表》</w:t>
      </w:r>
      <w:r>
        <w:rPr>
          <w:rFonts w:hint="eastAsia" w:ascii="宋体" w:eastAsia="宋体" w:cs="宋体"/>
          <w:color w:val="auto"/>
          <w:sz w:val="21"/>
          <w:szCs w:val="21"/>
          <w:highlight w:val="none"/>
        </w:rPr>
        <w:t>报价为含税价，包括本次采购所有服务内容的费用</w:t>
      </w:r>
      <w:r>
        <w:rPr>
          <w:rFonts w:hint="eastAsia" w:ascii="宋体" w:eastAsia="宋体" w:cs="宋体"/>
          <w:color w:val="auto"/>
          <w:sz w:val="21"/>
          <w:szCs w:val="21"/>
          <w:highlight w:val="none"/>
          <w:lang w:eastAsia="zh-CN"/>
        </w:rPr>
        <w:t>，</w:t>
      </w:r>
      <w:r>
        <w:rPr>
          <w:rFonts w:hint="eastAsia" w:ascii="宋体" w:eastAsia="宋体" w:cs="宋体"/>
          <w:color w:val="auto"/>
          <w:sz w:val="21"/>
          <w:szCs w:val="21"/>
          <w:highlight w:val="none"/>
        </w:rPr>
        <w:t>包括但不限于人工、油料、保险（含人员及车辆保险等）、车辆维修保养、成本、利润、措施费、税费及合同实施过程中的不可预见费用等全部费用</w:t>
      </w:r>
      <w:r>
        <w:rPr>
          <w:rFonts w:hint="eastAsia" w:ascii="宋体" w:eastAsia="宋体" w:cs="宋体"/>
          <w:color w:val="auto"/>
          <w:sz w:val="21"/>
          <w:szCs w:val="21"/>
          <w:highlight w:val="none"/>
          <w:lang w:eastAsia="zh-CN"/>
        </w:rPr>
        <w:t>，</w:t>
      </w:r>
      <w:r>
        <w:rPr>
          <w:rFonts w:hint="eastAsia" w:ascii="宋体" w:eastAsia="宋体" w:cs="宋体"/>
          <w:color w:val="auto"/>
          <w:sz w:val="21"/>
          <w:szCs w:val="21"/>
          <w:highlight w:val="none"/>
        </w:rPr>
        <w:t>但不含运输杂费及搬运费等，运输杂费及搬运费根据</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《运输杂费及计费规则》和</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7</w:t>
      </w:r>
      <w:r>
        <w:rPr>
          <w:rFonts w:hint="eastAsia" w:ascii="宋体" w:eastAsia="宋体" w:cs="宋体"/>
          <w:color w:val="auto"/>
          <w:sz w:val="21"/>
          <w:szCs w:val="21"/>
          <w:highlight w:val="none"/>
        </w:rPr>
        <w:t>《运输单位搬运费分级标准》据实结算</w:t>
      </w:r>
      <w:r>
        <w:rPr>
          <w:rFonts w:hint="eastAsia" w:ascii="宋体" w:eastAsia="宋体" w:cs="宋体"/>
          <w:color w:val="auto"/>
          <w:sz w:val="21"/>
          <w:szCs w:val="21"/>
          <w:highlight w:val="none"/>
          <w:lang w:eastAsia="zh-CN"/>
        </w:rPr>
        <w:t>。</w:t>
      </w:r>
    </w:p>
    <w:p w14:paraId="76148934">
      <w:pPr>
        <w:pStyle w:val="44"/>
        <w:spacing w:line="400" w:lineRule="exact"/>
        <w:ind w:firstLine="433"/>
        <w:outlineLvl w:val="9"/>
        <w:rPr>
          <w:rFonts w:hint="eastAsia" w:ascii="宋体" w:eastAsia="宋体" w:cs="宋体"/>
          <w:color w:val="auto"/>
          <w:sz w:val="21"/>
          <w:szCs w:val="21"/>
          <w:highlight w:val="none"/>
        </w:rPr>
      </w:pPr>
      <w:r>
        <w:rPr>
          <w:rFonts w:hint="eastAsia" w:ascii="宋体" w:eastAsia="宋体" w:cs="宋体"/>
          <w:color w:val="auto"/>
          <w:sz w:val="21"/>
          <w:szCs w:val="21"/>
          <w:highlight w:val="none"/>
          <w:lang w:val="en-US" w:eastAsia="zh-CN"/>
        </w:rPr>
        <w:t>8</w:t>
      </w:r>
      <w:r>
        <w:rPr>
          <w:rFonts w:hint="eastAsia" w:ascii="宋体" w:eastAsia="宋体" w:cs="宋体"/>
          <w:color w:val="auto"/>
          <w:sz w:val="21"/>
          <w:szCs w:val="21"/>
          <w:highlight w:val="none"/>
        </w:rPr>
        <w:t>.3结算方法：</w:t>
      </w:r>
    </w:p>
    <w:p w14:paraId="127FD83F">
      <w:pPr>
        <w:pStyle w:val="44"/>
        <w:spacing w:line="400" w:lineRule="exact"/>
        <w:ind w:firstLine="433"/>
        <w:outlineLvl w:val="9"/>
        <w:rPr>
          <w:rFonts w:ascii="宋体" w:eastAsia="宋体" w:cs="宋体"/>
          <w:color w:val="auto"/>
          <w:sz w:val="21"/>
          <w:szCs w:val="21"/>
          <w:highlight w:val="none"/>
        </w:rPr>
      </w:pPr>
      <w:r>
        <w:rPr>
          <w:rFonts w:hint="default" w:ascii="宋体" w:eastAsia="宋体" w:cs="宋体"/>
          <w:color w:val="auto"/>
          <w:sz w:val="21"/>
          <w:szCs w:val="21"/>
          <w:highlight w:val="none"/>
          <w:lang w:val="en-US" w:eastAsia="zh-CN"/>
        </w:rPr>
        <w:t>按周提交电子版对账数据，按月结算运输费，以《危险废物运输费单价表》为计费基准，结合当月实际各区域、车型、派出车次的情况，根据《运输杂费及计费规则》、《运输单位搬运费分级标准》据实核算相应的运输杂费等，并扣除《东莞市新东欣环保投资有限公司承运单位违规行为处罚条款》处罚款项，经甲方和乙方核实无误后，计算出当月实际结算费用，即当月实际结算费用=当月实际产生运输费用+运输杂费-处罚款项。</w:t>
      </w:r>
    </w:p>
    <w:p w14:paraId="249CEEE7">
      <w:pPr>
        <w:pStyle w:val="44"/>
        <w:spacing w:line="400" w:lineRule="exact"/>
        <w:ind w:firstLine="433"/>
        <w:outlineLvl w:val="9"/>
        <w:rPr>
          <w:rFonts w:hint="eastAsia" w:ascii="宋体" w:eastAsia="宋体" w:cs="宋体"/>
          <w:color w:val="auto"/>
          <w:sz w:val="21"/>
          <w:szCs w:val="21"/>
          <w:highlight w:val="none"/>
        </w:rPr>
      </w:pPr>
      <w:r>
        <w:rPr>
          <w:rFonts w:hint="eastAsia" w:ascii="宋体" w:eastAsia="宋体" w:cs="宋体"/>
          <w:color w:val="auto"/>
          <w:sz w:val="21"/>
          <w:szCs w:val="21"/>
          <w:highlight w:val="none"/>
          <w:lang w:val="en-US" w:eastAsia="zh-CN"/>
        </w:rPr>
        <w:t>8</w:t>
      </w:r>
      <w:r>
        <w:rPr>
          <w:rFonts w:ascii="宋体" w:eastAsia="宋体" w:cs="宋体"/>
          <w:color w:val="auto"/>
          <w:sz w:val="21"/>
          <w:szCs w:val="21"/>
          <w:highlight w:val="none"/>
        </w:rPr>
        <w:t xml:space="preserve">.4 </w:t>
      </w:r>
      <w:r>
        <w:rPr>
          <w:rFonts w:hint="eastAsia" w:ascii="宋体" w:eastAsia="宋体" w:cs="宋体"/>
          <w:color w:val="auto"/>
          <w:sz w:val="21"/>
          <w:szCs w:val="21"/>
          <w:highlight w:val="none"/>
        </w:rPr>
        <w:t>付款方式：</w:t>
      </w:r>
    </w:p>
    <w:p w14:paraId="0DE411EF">
      <w:pPr>
        <w:pStyle w:val="44"/>
        <w:spacing w:line="400" w:lineRule="exact"/>
        <w:ind w:firstLine="433"/>
        <w:outlineLvl w:val="9"/>
        <w:rPr>
          <w:rFonts w:hint="eastAsia" w:ascii="宋体" w:eastAsia="宋体" w:cs="宋体"/>
          <w:color w:val="auto"/>
          <w:sz w:val="21"/>
          <w:szCs w:val="21"/>
          <w:highlight w:val="none"/>
        </w:rPr>
      </w:pPr>
      <w:r>
        <w:rPr>
          <w:rFonts w:hint="eastAsia" w:ascii="宋体" w:eastAsia="宋体" w:cs="宋体"/>
          <w:color w:val="auto"/>
          <w:sz w:val="21"/>
          <w:szCs w:val="21"/>
          <w:highlight w:val="none"/>
          <w:lang w:val="en-US" w:eastAsia="zh-CN"/>
        </w:rPr>
        <w:t>8.4.1</w:t>
      </w:r>
      <w:r>
        <w:rPr>
          <w:rFonts w:hint="eastAsia" w:ascii="宋体" w:eastAsia="宋体" w:cs="宋体"/>
          <w:color w:val="auto"/>
          <w:sz w:val="21"/>
          <w:szCs w:val="21"/>
          <w:highlight w:val="none"/>
          <w:lang w:eastAsia="zh-CN"/>
        </w:rPr>
        <w:t>乙方</w:t>
      </w:r>
      <w:r>
        <w:rPr>
          <w:rFonts w:hint="eastAsia" w:ascii="宋体" w:eastAsia="宋体" w:cs="宋体"/>
          <w:color w:val="auto"/>
          <w:sz w:val="21"/>
          <w:szCs w:val="21"/>
          <w:highlight w:val="none"/>
        </w:rPr>
        <w:t>25日前提交本月运费盖章版对账单及对应承运单、装卸水印照片等凭证并发出请款需求，</w:t>
      </w:r>
      <w:r>
        <w:rPr>
          <w:rFonts w:hint="eastAsia" w:ascii="宋体" w:eastAsia="宋体" w:cs="宋体"/>
          <w:color w:val="auto"/>
          <w:sz w:val="21"/>
          <w:szCs w:val="21"/>
          <w:highlight w:val="none"/>
          <w:lang w:eastAsia="zh-CN"/>
        </w:rPr>
        <w:t>甲方</w:t>
      </w:r>
      <w:r>
        <w:rPr>
          <w:rFonts w:hint="eastAsia" w:ascii="宋体" w:eastAsia="宋体" w:cs="宋体"/>
          <w:color w:val="auto"/>
          <w:sz w:val="21"/>
          <w:szCs w:val="21"/>
          <w:highlight w:val="none"/>
        </w:rPr>
        <w:t>收到请款资料并核实无误后，</w:t>
      </w:r>
      <w:r>
        <w:rPr>
          <w:rFonts w:hint="eastAsia" w:ascii="宋体" w:eastAsia="宋体" w:cs="宋体"/>
          <w:color w:val="auto"/>
          <w:sz w:val="21"/>
          <w:szCs w:val="21"/>
          <w:highlight w:val="none"/>
          <w:lang w:eastAsia="zh-CN"/>
        </w:rPr>
        <w:t>乙方</w:t>
      </w:r>
      <w:r>
        <w:rPr>
          <w:rFonts w:hint="eastAsia" w:ascii="宋体" w:eastAsia="宋体" w:cs="宋体"/>
          <w:color w:val="auto"/>
          <w:sz w:val="21"/>
          <w:szCs w:val="21"/>
          <w:highlight w:val="none"/>
        </w:rPr>
        <w:t>在5个工作日内开出9%增值税专用服务发票。</w:t>
      </w:r>
    </w:p>
    <w:p w14:paraId="2A4C0289">
      <w:pPr>
        <w:pStyle w:val="44"/>
        <w:spacing w:line="400" w:lineRule="exact"/>
        <w:ind w:firstLine="433"/>
        <w:outlineLvl w:val="9"/>
        <w:rPr>
          <w:rFonts w:hint="eastAsia" w:ascii="宋体" w:eastAsia="宋体" w:cs="宋体"/>
          <w:color w:val="auto"/>
          <w:sz w:val="21"/>
          <w:szCs w:val="21"/>
          <w:highlight w:val="none"/>
        </w:rPr>
      </w:pPr>
      <w:r>
        <w:rPr>
          <w:rFonts w:hint="eastAsia" w:ascii="宋体" w:eastAsia="宋体" w:cs="宋体"/>
          <w:color w:val="auto"/>
          <w:sz w:val="21"/>
          <w:szCs w:val="21"/>
          <w:highlight w:val="none"/>
          <w:lang w:val="en-US" w:eastAsia="zh-CN"/>
        </w:rPr>
        <w:t>8.4.2</w:t>
      </w:r>
      <w:r>
        <w:rPr>
          <w:rFonts w:hint="eastAsia" w:ascii="宋体" w:eastAsia="宋体" w:cs="宋体"/>
          <w:color w:val="auto"/>
          <w:sz w:val="21"/>
          <w:szCs w:val="21"/>
          <w:highlight w:val="none"/>
          <w:lang w:eastAsia="zh-CN"/>
        </w:rPr>
        <w:t>甲方</w:t>
      </w:r>
      <w:r>
        <w:rPr>
          <w:rFonts w:hint="eastAsia" w:ascii="宋体" w:eastAsia="宋体" w:cs="宋体"/>
          <w:color w:val="auto"/>
          <w:sz w:val="21"/>
          <w:szCs w:val="21"/>
          <w:highlight w:val="none"/>
        </w:rPr>
        <w:t>在收到</w:t>
      </w:r>
      <w:r>
        <w:rPr>
          <w:rFonts w:hint="eastAsia" w:ascii="宋体" w:eastAsia="宋体" w:cs="宋体"/>
          <w:color w:val="auto"/>
          <w:sz w:val="21"/>
          <w:szCs w:val="21"/>
          <w:highlight w:val="none"/>
          <w:lang w:eastAsia="zh-CN"/>
        </w:rPr>
        <w:t>乙方</w:t>
      </w:r>
      <w:r>
        <w:rPr>
          <w:rFonts w:hint="eastAsia" w:ascii="宋体" w:eastAsia="宋体" w:cs="宋体"/>
          <w:color w:val="auto"/>
          <w:sz w:val="21"/>
          <w:szCs w:val="21"/>
          <w:highlight w:val="none"/>
        </w:rPr>
        <w:t>发票后十五个工作内将运输服务费支付给</w:t>
      </w:r>
      <w:r>
        <w:rPr>
          <w:rFonts w:hint="eastAsia" w:ascii="宋体" w:eastAsia="宋体" w:cs="宋体"/>
          <w:color w:val="auto"/>
          <w:sz w:val="21"/>
          <w:szCs w:val="21"/>
          <w:highlight w:val="none"/>
          <w:lang w:eastAsia="zh-CN"/>
        </w:rPr>
        <w:t>乙方</w:t>
      </w:r>
      <w:r>
        <w:rPr>
          <w:rFonts w:hint="eastAsia" w:ascii="宋体" w:eastAsia="宋体" w:cs="宋体"/>
          <w:color w:val="auto"/>
          <w:sz w:val="21"/>
          <w:szCs w:val="21"/>
          <w:highlight w:val="none"/>
        </w:rPr>
        <w:t>。支付方式仅限于双方签约运输服务合同所列公司银行账号进行公对公银行转账。</w:t>
      </w:r>
    </w:p>
    <w:p w14:paraId="22370E19">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8.4.</w:t>
      </w:r>
      <w:r>
        <w:rPr>
          <w:rFonts w:hint="eastAsia" w:ascii="宋体" w:eastAsia="宋体" w:cs="宋体"/>
          <w:color w:val="auto"/>
          <w:sz w:val="21"/>
          <w:szCs w:val="21"/>
          <w:highlight w:val="none"/>
        </w:rPr>
        <w:t>3</w:t>
      </w:r>
      <w:r>
        <w:rPr>
          <w:rFonts w:hint="eastAsia" w:ascii="宋体" w:eastAsia="宋体" w:cs="宋体"/>
          <w:color w:val="auto"/>
          <w:sz w:val="21"/>
          <w:szCs w:val="21"/>
          <w:highlight w:val="none"/>
          <w:lang w:eastAsia="zh-CN"/>
        </w:rPr>
        <w:t>乙方</w:t>
      </w:r>
      <w:r>
        <w:rPr>
          <w:rFonts w:hint="eastAsia" w:ascii="宋体" w:eastAsia="宋体" w:cs="宋体"/>
          <w:color w:val="auto"/>
          <w:sz w:val="21"/>
          <w:szCs w:val="21"/>
          <w:highlight w:val="none"/>
        </w:rPr>
        <w:t>延迟提交对账资料的，</w:t>
      </w:r>
      <w:r>
        <w:rPr>
          <w:rFonts w:hint="eastAsia" w:ascii="宋体" w:eastAsia="宋体" w:cs="宋体"/>
          <w:color w:val="auto"/>
          <w:sz w:val="21"/>
          <w:szCs w:val="21"/>
          <w:highlight w:val="none"/>
          <w:lang w:eastAsia="zh-CN"/>
        </w:rPr>
        <w:t>甲方</w:t>
      </w:r>
      <w:r>
        <w:rPr>
          <w:rFonts w:hint="eastAsia" w:ascii="宋体" w:eastAsia="宋体" w:cs="宋体"/>
          <w:color w:val="auto"/>
          <w:sz w:val="21"/>
          <w:szCs w:val="21"/>
          <w:highlight w:val="none"/>
        </w:rPr>
        <w:t>按应付期限延期一个月支付运输费用。</w:t>
      </w:r>
    </w:p>
    <w:p w14:paraId="39444B88">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8</w:t>
      </w:r>
      <w:r>
        <w:rPr>
          <w:rFonts w:hint="eastAsia" w:ascii="宋体" w:eastAsia="宋体" w:cs="宋体"/>
          <w:color w:val="auto"/>
          <w:sz w:val="21"/>
          <w:szCs w:val="21"/>
          <w:highlight w:val="none"/>
        </w:rPr>
        <w:t>.</w:t>
      </w:r>
      <w:r>
        <w:rPr>
          <w:rFonts w:ascii="宋体" w:eastAsia="宋体" w:cs="宋体"/>
          <w:color w:val="auto"/>
          <w:sz w:val="21"/>
          <w:szCs w:val="21"/>
          <w:highlight w:val="none"/>
        </w:rPr>
        <w:t>5</w:t>
      </w:r>
      <w:r>
        <w:rPr>
          <w:rFonts w:hint="eastAsia" w:ascii="宋体" w:eastAsia="宋体" w:cs="宋体"/>
          <w:color w:val="auto"/>
          <w:sz w:val="21"/>
          <w:szCs w:val="21"/>
          <w:highlight w:val="none"/>
        </w:rPr>
        <w:t xml:space="preserve"> 乙方指定以下银行账户作为收款账户：</w:t>
      </w:r>
    </w:p>
    <w:p w14:paraId="7160ADE8">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 xml:space="preserve">开户名： </w:t>
      </w:r>
    </w:p>
    <w:p w14:paraId="4FC1BC52">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 xml:space="preserve">开户行： </w:t>
      </w:r>
    </w:p>
    <w:p w14:paraId="6431B9C2">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账  号：</w:t>
      </w:r>
    </w:p>
    <w:p w14:paraId="74AA5A4E">
      <w:pPr>
        <w:spacing w:line="400" w:lineRule="exact"/>
        <w:outlineLvl w:val="9"/>
        <w:rPr>
          <w:b/>
          <w:bCs/>
          <w:color w:val="auto"/>
          <w:highlight w:val="none"/>
        </w:rPr>
      </w:pPr>
      <w:bookmarkStart w:id="269" w:name="_Toc816"/>
      <w:bookmarkStart w:id="270" w:name="_Toc22853"/>
      <w:bookmarkStart w:id="271" w:name="_Toc7275"/>
      <w:bookmarkStart w:id="272" w:name="_Toc28609"/>
      <w:bookmarkStart w:id="273" w:name="_Toc11658"/>
      <w:bookmarkStart w:id="274" w:name="_Toc23797"/>
      <w:bookmarkStart w:id="275" w:name="_Toc27748"/>
      <w:r>
        <w:rPr>
          <w:rFonts w:hint="eastAsia"/>
          <w:b/>
          <w:bCs/>
          <w:color w:val="auto"/>
          <w:highlight w:val="none"/>
        </w:rPr>
        <w:t>第</w:t>
      </w:r>
      <w:r>
        <w:rPr>
          <w:rFonts w:hint="eastAsia"/>
          <w:b/>
          <w:bCs/>
          <w:color w:val="auto"/>
          <w:highlight w:val="none"/>
          <w:lang w:val="en-US" w:eastAsia="zh-CN"/>
        </w:rPr>
        <w:t>九</w:t>
      </w:r>
      <w:r>
        <w:rPr>
          <w:rFonts w:hint="eastAsia"/>
          <w:b/>
          <w:bCs/>
          <w:color w:val="auto"/>
          <w:highlight w:val="none"/>
        </w:rPr>
        <w:t>条 相关违约责任</w:t>
      </w:r>
      <w:bookmarkEnd w:id="269"/>
      <w:bookmarkEnd w:id="270"/>
      <w:bookmarkEnd w:id="271"/>
      <w:bookmarkEnd w:id="272"/>
      <w:bookmarkEnd w:id="273"/>
      <w:bookmarkEnd w:id="274"/>
      <w:bookmarkEnd w:id="275"/>
    </w:p>
    <w:p w14:paraId="62039A4E">
      <w:pPr>
        <w:pStyle w:val="44"/>
        <w:spacing w:line="400" w:lineRule="exact"/>
        <w:ind w:firstLine="433"/>
        <w:outlineLvl w:val="9"/>
        <w:rPr>
          <w:rFonts w:hint="eastAsia" w:ascii="宋体" w:eastAsia="宋体" w:cs="宋体"/>
          <w:color w:val="auto"/>
          <w:sz w:val="21"/>
          <w:szCs w:val="21"/>
          <w:highlight w:val="none"/>
        </w:rPr>
      </w:pPr>
      <w:r>
        <w:rPr>
          <w:rFonts w:hint="eastAsia" w:ascii="宋体" w:eastAsia="宋体" w:cs="宋体"/>
          <w:color w:val="auto"/>
          <w:sz w:val="21"/>
          <w:szCs w:val="21"/>
          <w:highlight w:val="none"/>
          <w:lang w:val="en-US" w:eastAsia="zh-CN"/>
        </w:rPr>
        <w:t xml:space="preserve">9.1 </w:t>
      </w:r>
      <w:r>
        <w:rPr>
          <w:rFonts w:hint="eastAsia" w:ascii="宋体" w:eastAsia="宋体" w:cs="宋体"/>
          <w:color w:val="auto"/>
          <w:sz w:val="21"/>
          <w:szCs w:val="21"/>
          <w:highlight w:val="none"/>
        </w:rPr>
        <w:t>具体合同违约责任以及</w:t>
      </w:r>
      <w:r>
        <w:rPr>
          <w:rFonts w:hint="eastAsia" w:ascii="宋体" w:eastAsia="宋体" w:cs="宋体"/>
          <w:color w:val="auto"/>
          <w:sz w:val="21"/>
          <w:szCs w:val="21"/>
          <w:highlight w:val="none"/>
          <w:lang w:val="en-US" w:eastAsia="zh-CN"/>
        </w:rPr>
        <w:t>违约金</w:t>
      </w:r>
      <w:r>
        <w:rPr>
          <w:rFonts w:hint="eastAsia" w:ascii="宋体" w:eastAsia="宋体" w:cs="宋体"/>
          <w:color w:val="auto"/>
          <w:sz w:val="21"/>
          <w:szCs w:val="21"/>
          <w:highlight w:val="none"/>
        </w:rPr>
        <w:t>标准详见</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附件6《运输商季度考核评分表》</w:t>
      </w:r>
      <w:r>
        <w:rPr>
          <w:rFonts w:hint="eastAsia" w:ascii="宋体" w:eastAsia="宋体" w:cs="宋体"/>
          <w:color w:val="auto"/>
          <w:sz w:val="21"/>
          <w:szCs w:val="21"/>
          <w:highlight w:val="none"/>
        </w:rPr>
        <w:t>。</w:t>
      </w:r>
    </w:p>
    <w:p w14:paraId="6592664F">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9.2 甲方因乙方违约所产生的全部损失均由乙方承担，此损失</w:t>
      </w:r>
      <w:r>
        <w:rPr>
          <w:rFonts w:hint="eastAsia" w:ascii="宋体" w:eastAsia="宋体" w:cs="宋体"/>
          <w:color w:val="auto"/>
          <w:sz w:val="21"/>
          <w:szCs w:val="21"/>
          <w:highlight w:val="none"/>
        </w:rPr>
        <w:t>包括</w:t>
      </w:r>
      <w:r>
        <w:rPr>
          <w:rFonts w:hint="eastAsia" w:ascii="宋体" w:eastAsia="宋体" w:cs="宋体"/>
          <w:color w:val="auto"/>
          <w:sz w:val="21"/>
          <w:szCs w:val="21"/>
          <w:highlight w:val="none"/>
          <w:lang w:val="en-US" w:eastAsia="zh-CN"/>
        </w:rPr>
        <w:t>但不限于</w:t>
      </w:r>
      <w:r>
        <w:rPr>
          <w:rFonts w:hint="eastAsia" w:ascii="宋体" w:eastAsia="宋体" w:cs="宋体"/>
          <w:color w:val="auto"/>
          <w:sz w:val="21"/>
          <w:szCs w:val="21"/>
          <w:highlight w:val="none"/>
        </w:rPr>
        <w:t>直接损失、预期</w:t>
      </w:r>
      <w:r>
        <w:rPr>
          <w:rFonts w:hint="eastAsia" w:ascii="宋体" w:eastAsia="宋体" w:cs="宋体"/>
          <w:color w:val="auto"/>
          <w:sz w:val="21"/>
          <w:szCs w:val="21"/>
          <w:highlight w:val="none"/>
          <w:lang w:val="en-US" w:eastAsia="zh-CN"/>
        </w:rPr>
        <w:t>可得利益</w:t>
      </w:r>
      <w:r>
        <w:rPr>
          <w:rFonts w:hint="eastAsia" w:ascii="宋体" w:eastAsia="宋体" w:cs="宋体"/>
          <w:color w:val="auto"/>
          <w:sz w:val="21"/>
          <w:szCs w:val="21"/>
          <w:highlight w:val="none"/>
        </w:rPr>
        <w:t>损失、实现债权所发生的追索费用、诉讼费、财产保全费、律师费等。</w:t>
      </w:r>
    </w:p>
    <w:p w14:paraId="311AC10F">
      <w:pPr>
        <w:spacing w:line="400" w:lineRule="exact"/>
        <w:outlineLvl w:val="9"/>
        <w:rPr>
          <w:b/>
          <w:bCs/>
          <w:color w:val="auto"/>
          <w:highlight w:val="none"/>
        </w:rPr>
      </w:pPr>
      <w:bookmarkStart w:id="276" w:name="_Toc13774"/>
      <w:bookmarkStart w:id="277" w:name="_Toc5395"/>
      <w:bookmarkStart w:id="278" w:name="_Toc3024"/>
      <w:bookmarkStart w:id="279" w:name="_Toc10957"/>
      <w:bookmarkStart w:id="280" w:name="_Toc10026"/>
      <w:bookmarkStart w:id="281" w:name="_Toc28103"/>
      <w:bookmarkStart w:id="282" w:name="_Toc16825"/>
      <w:r>
        <w:rPr>
          <w:rFonts w:hint="eastAsia"/>
          <w:b/>
          <w:bCs/>
          <w:color w:val="auto"/>
          <w:highlight w:val="none"/>
        </w:rPr>
        <w:t>第</w:t>
      </w:r>
      <w:r>
        <w:rPr>
          <w:rFonts w:hint="eastAsia"/>
          <w:b/>
          <w:bCs/>
          <w:color w:val="auto"/>
          <w:highlight w:val="none"/>
          <w:lang w:val="en-US" w:eastAsia="zh-CN"/>
        </w:rPr>
        <w:t>十</w:t>
      </w:r>
      <w:r>
        <w:rPr>
          <w:rFonts w:hint="eastAsia"/>
          <w:b/>
          <w:bCs/>
          <w:color w:val="auto"/>
          <w:highlight w:val="none"/>
        </w:rPr>
        <w:t>条 合同变更和解除</w:t>
      </w:r>
      <w:bookmarkEnd w:id="276"/>
      <w:bookmarkEnd w:id="277"/>
      <w:bookmarkEnd w:id="278"/>
      <w:bookmarkEnd w:id="279"/>
      <w:bookmarkEnd w:id="280"/>
      <w:bookmarkEnd w:id="281"/>
      <w:bookmarkEnd w:id="282"/>
      <w:r>
        <w:rPr>
          <w:rFonts w:hint="eastAsia"/>
          <w:b/>
          <w:bCs/>
          <w:color w:val="auto"/>
          <w:highlight w:val="none"/>
        </w:rPr>
        <w:t xml:space="preserve">  </w:t>
      </w:r>
    </w:p>
    <w:p w14:paraId="133D7F92">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.1 双方协商一致，可以书面方式变更或解除合同。</w:t>
      </w:r>
    </w:p>
    <w:p w14:paraId="53B9D406">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.2</w:t>
      </w:r>
      <w:r>
        <w:rPr>
          <w:rFonts w:hint="eastAsia" w:ascii="宋体" w:eastAsia="宋体" w:cs="宋体"/>
          <w:color w:val="auto"/>
          <w:sz w:val="21"/>
          <w:szCs w:val="21"/>
          <w:highlight w:val="none"/>
          <w:lang w:val="en-US" w:eastAsia="zh-CN"/>
        </w:rPr>
        <w:t>乙方</w:t>
      </w:r>
      <w:r>
        <w:rPr>
          <w:rFonts w:hint="eastAsia" w:ascii="宋体" w:eastAsia="宋体" w:cs="宋体"/>
          <w:color w:val="auto"/>
          <w:sz w:val="21"/>
          <w:szCs w:val="21"/>
          <w:highlight w:val="none"/>
        </w:rPr>
        <w:t>具备下列情形之一的，甲方有权</w:t>
      </w:r>
      <w:r>
        <w:rPr>
          <w:rFonts w:hint="eastAsia" w:ascii="宋体" w:eastAsia="宋体" w:cs="宋体"/>
          <w:color w:val="auto"/>
          <w:sz w:val="21"/>
          <w:szCs w:val="21"/>
          <w:highlight w:val="none"/>
          <w:lang w:val="en-US" w:eastAsia="zh-CN"/>
        </w:rPr>
        <w:t>随时</w:t>
      </w:r>
      <w:r>
        <w:rPr>
          <w:rFonts w:hint="eastAsia" w:ascii="宋体" w:eastAsia="宋体" w:cs="宋体"/>
          <w:color w:val="auto"/>
          <w:sz w:val="21"/>
          <w:szCs w:val="21"/>
          <w:highlight w:val="none"/>
        </w:rPr>
        <w:t>单方解除合同，</w:t>
      </w:r>
      <w:r>
        <w:rPr>
          <w:rFonts w:hint="eastAsia" w:ascii="宋体" w:eastAsia="宋体" w:cs="宋体"/>
          <w:color w:val="auto"/>
          <w:sz w:val="21"/>
          <w:szCs w:val="21"/>
          <w:highlight w:val="none"/>
          <w:lang w:val="en-US" w:eastAsia="zh-CN"/>
        </w:rPr>
        <w:t>没收乙方履约保证金，</w:t>
      </w:r>
      <w:r>
        <w:rPr>
          <w:rFonts w:hint="eastAsia" w:ascii="宋体" w:eastAsia="宋体" w:cs="宋体"/>
          <w:color w:val="auto"/>
          <w:sz w:val="21"/>
          <w:szCs w:val="21"/>
          <w:highlight w:val="none"/>
        </w:rPr>
        <w:t>并追究乙方违约和赔偿责任，合同解除后，双方在一个月内结清所有运费以及赔偿金、违约金：</w:t>
      </w:r>
    </w:p>
    <w:p w14:paraId="5F7CFBFF">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.2.1 乙方明确表示或者以自己实际行为表明其不履行合同义务的。</w:t>
      </w:r>
    </w:p>
    <w:p w14:paraId="344A0289">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.2.2 乙方未按合同约定派车且拒不调换或拒不整改的，或给甲方造成损失拒不赔偿的。</w:t>
      </w:r>
    </w:p>
    <w:p w14:paraId="07F1D229">
      <w:pPr>
        <w:pStyle w:val="44"/>
        <w:spacing w:line="400" w:lineRule="exact"/>
        <w:ind w:firstLine="433"/>
        <w:outlineLvl w:val="9"/>
        <w:rPr>
          <w:rFonts w:hint="default" w:ascii="宋体" w:eastAsia="宋体" w:cs="宋体"/>
          <w:color w:val="auto"/>
          <w:sz w:val="21"/>
          <w:szCs w:val="21"/>
          <w:highlight w:val="none"/>
          <w:lang w:val="en-US" w:eastAsia="zh-CN"/>
        </w:rPr>
      </w:pPr>
      <w:r>
        <w:rPr>
          <w:rFonts w:hint="eastAsia" w:ascii="宋体" w:eastAsia="宋体" w:cs="宋体"/>
          <w:color w:val="auto"/>
          <w:sz w:val="21"/>
          <w:szCs w:val="21"/>
          <w:highlight w:val="none"/>
          <w:lang w:val="en-US" w:eastAsia="zh-CN"/>
        </w:rPr>
        <w:t>10.2.3 乙方违反本合同约定，未按甲方要求限期完成整改或拒不整改的。</w:t>
      </w:r>
    </w:p>
    <w:p w14:paraId="63AE08B6">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.2.</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 xml:space="preserve"> 本合同约定的或相关法律法规规定</w:t>
      </w:r>
      <w:r>
        <w:rPr>
          <w:rFonts w:hint="eastAsia" w:ascii="宋体" w:eastAsia="宋体" w:cs="宋体"/>
          <w:color w:val="auto"/>
          <w:sz w:val="21"/>
          <w:szCs w:val="21"/>
          <w:highlight w:val="none"/>
          <w:lang w:val="en-US" w:eastAsia="zh-CN"/>
        </w:rPr>
        <w:t>可以</w:t>
      </w:r>
      <w:r>
        <w:rPr>
          <w:rFonts w:hint="eastAsia" w:ascii="宋体" w:eastAsia="宋体" w:cs="宋体"/>
          <w:color w:val="auto"/>
          <w:sz w:val="21"/>
          <w:szCs w:val="21"/>
          <w:highlight w:val="none"/>
        </w:rPr>
        <w:t>解除合同的情形。</w:t>
      </w:r>
    </w:p>
    <w:p w14:paraId="393611C9">
      <w:pPr>
        <w:spacing w:line="400" w:lineRule="exact"/>
        <w:outlineLvl w:val="9"/>
        <w:rPr>
          <w:b/>
          <w:bCs/>
          <w:color w:val="auto"/>
          <w:highlight w:val="none"/>
        </w:rPr>
      </w:pPr>
      <w:bookmarkStart w:id="283" w:name="_Toc2879"/>
      <w:bookmarkStart w:id="284" w:name="_Toc31272"/>
      <w:bookmarkStart w:id="285" w:name="_Toc30117"/>
      <w:bookmarkStart w:id="286" w:name="_Toc22075"/>
      <w:bookmarkStart w:id="287" w:name="_Toc19114"/>
      <w:bookmarkStart w:id="288" w:name="_Toc2508"/>
      <w:bookmarkStart w:id="289" w:name="_Toc10194"/>
      <w:r>
        <w:rPr>
          <w:rFonts w:hint="eastAsia"/>
          <w:b/>
          <w:bCs/>
          <w:color w:val="auto"/>
          <w:highlight w:val="none"/>
        </w:rPr>
        <w:t>第十</w:t>
      </w:r>
      <w:r>
        <w:rPr>
          <w:rFonts w:hint="eastAsia"/>
          <w:b/>
          <w:bCs/>
          <w:color w:val="auto"/>
          <w:highlight w:val="none"/>
          <w:lang w:val="en-US" w:eastAsia="zh-CN"/>
        </w:rPr>
        <w:t>一</w:t>
      </w:r>
      <w:r>
        <w:rPr>
          <w:rFonts w:hint="eastAsia"/>
          <w:b/>
          <w:bCs/>
          <w:color w:val="auto"/>
          <w:highlight w:val="none"/>
        </w:rPr>
        <w:t>条 不可抗力</w:t>
      </w:r>
      <w:bookmarkEnd w:id="283"/>
      <w:bookmarkEnd w:id="284"/>
      <w:bookmarkEnd w:id="285"/>
      <w:bookmarkEnd w:id="286"/>
      <w:bookmarkEnd w:id="287"/>
      <w:bookmarkEnd w:id="288"/>
      <w:bookmarkEnd w:id="289"/>
      <w:r>
        <w:rPr>
          <w:rFonts w:hint="eastAsia"/>
          <w:b/>
          <w:bCs/>
          <w:color w:val="auto"/>
          <w:highlight w:val="none"/>
        </w:rPr>
        <w:t xml:space="preserve">  </w:t>
      </w:r>
    </w:p>
    <w:p w14:paraId="24512B2F">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1</w:t>
      </w:r>
      <w:r>
        <w:rPr>
          <w:rFonts w:hint="eastAsia" w:ascii="宋体" w:eastAsia="宋体" w:cs="宋体"/>
          <w:color w:val="auto"/>
          <w:sz w:val="21"/>
          <w:szCs w:val="21"/>
          <w:highlight w:val="none"/>
          <w:lang w:val="en-US" w:eastAsia="zh-CN"/>
        </w:rPr>
        <w:t>1</w:t>
      </w:r>
      <w:r>
        <w:rPr>
          <w:rFonts w:hint="eastAsia" w:ascii="宋体" w:eastAsia="宋体" w:cs="宋体"/>
          <w:color w:val="auto"/>
          <w:sz w:val="21"/>
          <w:szCs w:val="21"/>
          <w:highlight w:val="none"/>
        </w:rPr>
        <w:t xml:space="preserve">.1不可抗力事件指合同当事人不能预见、不能避免、不能克服的客观情况，包括但不限于地震、水灾、雷击、雪灾等自然事件以及疫情、战争等社会事件。    </w:t>
      </w:r>
    </w:p>
    <w:p w14:paraId="2FCDE6BB">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1</w:t>
      </w:r>
      <w:r>
        <w:rPr>
          <w:rFonts w:hint="eastAsia" w:ascii="宋体" w:eastAsia="宋体" w:cs="宋体"/>
          <w:color w:val="auto"/>
          <w:sz w:val="21"/>
          <w:szCs w:val="21"/>
          <w:highlight w:val="none"/>
          <w:lang w:val="en-US" w:eastAsia="zh-CN"/>
        </w:rPr>
        <w:t>1</w:t>
      </w:r>
      <w:r>
        <w:rPr>
          <w:rFonts w:hint="eastAsia" w:ascii="宋体" w:eastAsia="宋体" w:cs="宋体"/>
          <w:color w:val="auto"/>
          <w:sz w:val="21"/>
          <w:szCs w:val="21"/>
          <w:highlight w:val="none"/>
        </w:rPr>
        <w:t xml:space="preserve">.2由于不可抗力原因，使双方或任何一方不能履行合同义务时，应采取有效措施，尽量避免或减少损失，将损失降低到最低程度，并在不可抗力发生后12小时内以书面形式通知对方，并在其后10日内向对方提供有效证明文件。 </w:t>
      </w:r>
    </w:p>
    <w:p w14:paraId="0A9126D3">
      <w:pPr>
        <w:spacing w:line="400" w:lineRule="exact"/>
        <w:outlineLvl w:val="9"/>
        <w:rPr>
          <w:b/>
          <w:bCs/>
          <w:color w:val="auto"/>
          <w:highlight w:val="none"/>
        </w:rPr>
      </w:pPr>
      <w:bookmarkStart w:id="290" w:name="_Toc22876"/>
      <w:bookmarkStart w:id="291" w:name="_Toc22284"/>
      <w:bookmarkStart w:id="292" w:name="_Toc426"/>
      <w:bookmarkStart w:id="293" w:name="_Toc19020"/>
      <w:bookmarkStart w:id="294" w:name="_Toc13179"/>
      <w:bookmarkStart w:id="295" w:name="_Toc8252"/>
      <w:r>
        <w:rPr>
          <w:rFonts w:hint="eastAsia"/>
          <w:b/>
          <w:bCs/>
          <w:color w:val="auto"/>
          <w:highlight w:val="none"/>
        </w:rPr>
        <w:t>第十</w:t>
      </w:r>
      <w:r>
        <w:rPr>
          <w:rFonts w:hint="eastAsia"/>
          <w:b/>
          <w:bCs/>
          <w:color w:val="auto"/>
          <w:highlight w:val="none"/>
          <w:lang w:val="en-US" w:eastAsia="zh-CN"/>
        </w:rPr>
        <w:t>二</w:t>
      </w:r>
      <w:r>
        <w:rPr>
          <w:rFonts w:hint="eastAsia"/>
          <w:b/>
          <w:bCs/>
          <w:color w:val="auto"/>
          <w:highlight w:val="none"/>
        </w:rPr>
        <w:t>条 合同其它事宜</w:t>
      </w:r>
      <w:bookmarkEnd w:id="290"/>
      <w:bookmarkEnd w:id="291"/>
      <w:bookmarkEnd w:id="292"/>
      <w:bookmarkEnd w:id="293"/>
      <w:bookmarkEnd w:id="294"/>
      <w:bookmarkEnd w:id="295"/>
    </w:p>
    <w:p w14:paraId="7261F10C">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1</w:t>
      </w:r>
      <w:r>
        <w:rPr>
          <w:rFonts w:hint="eastAsia" w:ascii="宋体" w:eastAsia="宋体" w:cs="宋体"/>
          <w:color w:val="auto"/>
          <w:sz w:val="21"/>
          <w:szCs w:val="21"/>
          <w:highlight w:val="none"/>
          <w:lang w:val="en-US" w:eastAsia="zh-CN"/>
        </w:rPr>
        <w:t>2</w:t>
      </w:r>
      <w:r>
        <w:rPr>
          <w:rFonts w:hint="eastAsia" w:ascii="宋体" w:eastAsia="宋体" w:cs="宋体"/>
          <w:color w:val="auto"/>
          <w:sz w:val="21"/>
          <w:szCs w:val="21"/>
          <w:highlight w:val="none"/>
        </w:rPr>
        <w:t>.1 合同履行中发生争议时，甲、乙双方按危废运输相关的法律法规友好协商解决，协商不成时，因本协议引起的或与本协议有关的争议，均向甲方所在地人民法院提起诉讼。</w:t>
      </w:r>
    </w:p>
    <w:p w14:paraId="570912E2">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1</w:t>
      </w:r>
      <w:r>
        <w:rPr>
          <w:rFonts w:hint="eastAsia" w:ascii="宋体" w:eastAsia="宋体" w:cs="宋体"/>
          <w:color w:val="auto"/>
          <w:sz w:val="21"/>
          <w:szCs w:val="21"/>
          <w:highlight w:val="none"/>
          <w:lang w:val="en-US" w:eastAsia="zh-CN"/>
        </w:rPr>
        <w:t>2</w:t>
      </w:r>
      <w:r>
        <w:rPr>
          <w:rFonts w:hint="eastAsia" w:ascii="宋体" w:eastAsia="宋体" w:cs="宋体"/>
          <w:color w:val="auto"/>
          <w:sz w:val="21"/>
          <w:szCs w:val="21"/>
          <w:highlight w:val="none"/>
        </w:rPr>
        <w:t>.2 本合同有效</w:t>
      </w:r>
      <w:r>
        <w:rPr>
          <w:rFonts w:hint="eastAsia" w:ascii="宋体" w:eastAsia="宋体" w:cs="宋体"/>
          <w:color w:val="auto"/>
          <w:sz w:val="21"/>
          <w:szCs w:val="21"/>
          <w:highlight w:val="none"/>
          <w:lang w:val="en-US" w:eastAsia="zh-CN"/>
        </w:rPr>
        <w:t>期限为自签订本合同之日起一年</w:t>
      </w:r>
    </w:p>
    <w:p w14:paraId="49F9A9E9">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1</w:t>
      </w:r>
      <w:r>
        <w:rPr>
          <w:rFonts w:hint="eastAsia" w:ascii="宋体" w:eastAsia="宋体" w:cs="宋体"/>
          <w:color w:val="auto"/>
          <w:sz w:val="21"/>
          <w:szCs w:val="21"/>
          <w:highlight w:val="none"/>
          <w:lang w:val="en-US" w:eastAsia="zh-CN"/>
        </w:rPr>
        <w:t>2</w:t>
      </w:r>
      <w:r>
        <w:rPr>
          <w:rFonts w:hint="eastAsia" w:ascii="宋体" w:eastAsia="宋体" w:cs="宋体"/>
          <w:color w:val="auto"/>
          <w:sz w:val="21"/>
          <w:szCs w:val="21"/>
          <w:highlight w:val="none"/>
        </w:rPr>
        <w:t>.3 本合同一式</w:t>
      </w:r>
      <w:r>
        <w:rPr>
          <w:rFonts w:hint="eastAsia" w:ascii="宋体" w:eastAsia="宋体" w:cs="宋体"/>
          <w:color w:val="auto"/>
          <w:sz w:val="21"/>
          <w:szCs w:val="21"/>
          <w:highlight w:val="none"/>
          <w:u w:val="single"/>
        </w:rPr>
        <w:t xml:space="preserve"> 柒 </w:t>
      </w:r>
      <w:r>
        <w:rPr>
          <w:rFonts w:hint="eastAsia" w:ascii="宋体" w:eastAsia="宋体" w:cs="宋体"/>
          <w:color w:val="auto"/>
          <w:sz w:val="21"/>
          <w:szCs w:val="21"/>
          <w:highlight w:val="none"/>
        </w:rPr>
        <w:t>份，甲方持</w:t>
      </w:r>
      <w:r>
        <w:rPr>
          <w:rFonts w:hint="eastAsia" w:ascii="宋体" w:eastAsia="宋体" w:cs="宋体"/>
          <w:color w:val="auto"/>
          <w:sz w:val="21"/>
          <w:szCs w:val="21"/>
          <w:highlight w:val="none"/>
          <w:u w:val="single"/>
        </w:rPr>
        <w:t xml:space="preserve"> 肆 </w:t>
      </w:r>
      <w:r>
        <w:rPr>
          <w:rFonts w:hint="eastAsia" w:ascii="宋体" w:eastAsia="宋体" w:cs="宋体"/>
          <w:color w:val="auto"/>
          <w:sz w:val="21"/>
          <w:szCs w:val="21"/>
          <w:highlight w:val="none"/>
        </w:rPr>
        <w:t>份，乙方持</w:t>
      </w:r>
      <w:r>
        <w:rPr>
          <w:rFonts w:hint="eastAsia" w:ascii="宋体" w:eastAsia="宋体" w:cs="宋体"/>
          <w:color w:val="auto"/>
          <w:sz w:val="21"/>
          <w:szCs w:val="21"/>
          <w:highlight w:val="none"/>
          <w:u w:val="single"/>
        </w:rPr>
        <w:t xml:space="preserve"> 叁 </w:t>
      </w:r>
      <w:r>
        <w:rPr>
          <w:rFonts w:hint="eastAsia" w:ascii="宋体" w:eastAsia="宋体" w:cs="宋体"/>
          <w:color w:val="auto"/>
          <w:sz w:val="21"/>
          <w:szCs w:val="21"/>
          <w:highlight w:val="none"/>
        </w:rPr>
        <w:t>份，双方签字盖章之日起生效。本服务项目采购文件中的其他文件视为本合同的组成部分，与本合同具有同等法律效力。</w:t>
      </w:r>
    </w:p>
    <w:p w14:paraId="0167E32D">
      <w:pPr>
        <w:pStyle w:val="44"/>
        <w:spacing w:line="400" w:lineRule="exact"/>
        <w:ind w:firstLine="433"/>
        <w:outlineLvl w:val="9"/>
        <w:rPr>
          <w:rFonts w:hint="default" w:ascii="宋体" w:eastAsia="宋体" w:cs="宋体"/>
          <w:color w:val="auto"/>
          <w:sz w:val="21"/>
          <w:szCs w:val="21"/>
          <w:highlight w:val="none"/>
          <w:lang w:val="en-US" w:eastAsia="zh-CN"/>
        </w:rPr>
      </w:pPr>
      <w:r>
        <w:rPr>
          <w:rFonts w:hint="eastAsia" w:ascii="宋体" w:eastAsia="宋体" w:cs="宋体"/>
          <w:color w:val="auto"/>
          <w:sz w:val="21"/>
          <w:szCs w:val="21"/>
          <w:highlight w:val="none"/>
        </w:rPr>
        <w:t>1</w:t>
      </w:r>
      <w:r>
        <w:rPr>
          <w:rFonts w:hint="eastAsia" w:ascii="宋体" w:eastAsia="宋体" w:cs="宋体"/>
          <w:color w:val="auto"/>
          <w:sz w:val="21"/>
          <w:szCs w:val="21"/>
          <w:highlight w:val="none"/>
          <w:lang w:val="en-US" w:eastAsia="zh-CN"/>
        </w:rPr>
        <w:t>2</w:t>
      </w:r>
      <w:r>
        <w:rPr>
          <w:rFonts w:hint="eastAsia" w:ascii="宋体" w:eastAsia="宋体" w:cs="宋体"/>
          <w:color w:val="auto"/>
          <w:sz w:val="21"/>
          <w:szCs w:val="21"/>
          <w:highlight w:val="none"/>
        </w:rPr>
        <w:t>.</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 xml:space="preserve"> </w:t>
      </w:r>
      <w:r>
        <w:rPr>
          <w:rFonts w:hint="eastAsia" w:ascii="宋体" w:eastAsia="宋体" w:cs="宋体"/>
          <w:color w:val="auto"/>
          <w:sz w:val="21"/>
          <w:szCs w:val="21"/>
          <w:highlight w:val="none"/>
          <w:lang w:val="en-US" w:eastAsia="zh-CN"/>
        </w:rPr>
        <w:t>合同附件如下：</w:t>
      </w:r>
    </w:p>
    <w:p w14:paraId="0A0467A0">
      <w:pPr>
        <w:pStyle w:val="44"/>
        <w:spacing w:line="400" w:lineRule="exact"/>
        <w:ind w:firstLine="433"/>
        <w:outlineLvl w:val="9"/>
        <w:rPr>
          <w:rFonts w:hint="eastAsia" w:ascii="宋体" w:eastAsia="宋体" w:cs="宋体"/>
          <w:color w:val="auto"/>
          <w:sz w:val="21"/>
          <w:szCs w:val="21"/>
          <w:highlight w:val="none"/>
        </w:rPr>
      </w:pPr>
      <w:bookmarkStart w:id="296" w:name="OLE_LINK8"/>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1</w:t>
      </w:r>
      <w:r>
        <w:rPr>
          <w:rFonts w:hint="eastAsia" w:ascii="宋体" w:eastAsia="宋体" w:cs="宋体"/>
          <w:color w:val="auto"/>
          <w:sz w:val="21"/>
          <w:szCs w:val="21"/>
          <w:highlight w:val="none"/>
        </w:rPr>
        <w:t>：《运输车辆名册》</w:t>
      </w:r>
    </w:p>
    <w:p w14:paraId="3C17A4E1">
      <w:pPr>
        <w:pStyle w:val="44"/>
        <w:spacing w:line="400" w:lineRule="exact"/>
        <w:ind w:firstLine="433"/>
        <w:outlineLvl w:val="9"/>
        <w:rPr>
          <w:rFonts w:hint="eastAsia"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2</w:t>
      </w:r>
      <w:r>
        <w:rPr>
          <w:rFonts w:hint="eastAsia" w:ascii="宋体" w:eastAsia="宋体" w:cs="宋体"/>
          <w:color w:val="auto"/>
          <w:sz w:val="21"/>
          <w:szCs w:val="21"/>
          <w:highlight w:val="none"/>
        </w:rPr>
        <w:t>：《运输人员花名册》</w:t>
      </w:r>
    </w:p>
    <w:p w14:paraId="03EAC9F1">
      <w:pPr>
        <w:pStyle w:val="44"/>
        <w:spacing w:line="400" w:lineRule="exact"/>
        <w:ind w:firstLine="433"/>
        <w:outlineLvl w:val="9"/>
        <w:rPr>
          <w:rFonts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附件3：《</w:t>
      </w:r>
      <w:r>
        <w:rPr>
          <w:rFonts w:hint="eastAsia" w:ascii="宋体" w:eastAsia="宋体" w:cs="宋体"/>
          <w:color w:val="auto"/>
          <w:sz w:val="21"/>
          <w:szCs w:val="21"/>
          <w:highlight w:val="none"/>
          <w:lang w:val="en-US" w:eastAsia="zh-CN"/>
        </w:rPr>
        <w:t>危险废物运输费单价表</w:t>
      </w:r>
      <w:r>
        <w:rPr>
          <w:rFonts w:hint="eastAsia" w:ascii="宋体" w:eastAsia="宋体" w:cs="宋体"/>
          <w:color w:val="auto"/>
          <w:sz w:val="21"/>
          <w:szCs w:val="21"/>
          <w:highlight w:val="none"/>
        </w:rPr>
        <w:t>》</w:t>
      </w:r>
    </w:p>
    <w:p w14:paraId="1D5168BA">
      <w:pPr>
        <w:pStyle w:val="44"/>
        <w:spacing w:line="400" w:lineRule="exact"/>
        <w:ind w:firstLine="433"/>
        <w:outlineLvl w:val="9"/>
        <w:rPr>
          <w:rFonts w:hint="eastAsia"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附件4：《运输杂费及计费规则》</w:t>
      </w:r>
    </w:p>
    <w:p w14:paraId="5FDAAE68">
      <w:pPr>
        <w:pStyle w:val="44"/>
        <w:spacing w:line="400" w:lineRule="exact"/>
        <w:ind w:firstLine="433"/>
        <w:outlineLvl w:val="9"/>
        <w:rPr>
          <w:rFonts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5</w:t>
      </w:r>
      <w:r>
        <w:rPr>
          <w:rFonts w:hint="eastAsia" w:ascii="宋体" w:eastAsia="宋体" w:cs="宋体"/>
          <w:color w:val="auto"/>
          <w:sz w:val="21"/>
          <w:szCs w:val="21"/>
          <w:highlight w:val="none"/>
        </w:rPr>
        <w:t>：《东莞市新东欣环保投资有限公司承运单位违规行为处罚条款》</w:t>
      </w:r>
    </w:p>
    <w:p w14:paraId="24D1BE09">
      <w:pPr>
        <w:pStyle w:val="44"/>
        <w:spacing w:line="400" w:lineRule="exact"/>
        <w:ind w:firstLine="433"/>
        <w:outlineLvl w:val="9"/>
        <w:rPr>
          <w:rFonts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附件6：《运输商季度考核评分表》</w:t>
      </w:r>
    </w:p>
    <w:p w14:paraId="51D170F8">
      <w:pPr>
        <w:pStyle w:val="44"/>
        <w:spacing w:line="400" w:lineRule="exact"/>
        <w:ind w:firstLine="433"/>
        <w:outlineLvl w:val="9"/>
        <w:rPr>
          <w:rFonts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7</w:t>
      </w:r>
      <w:r>
        <w:rPr>
          <w:rFonts w:hint="eastAsia" w:ascii="宋体" w:eastAsia="宋体" w:cs="宋体"/>
          <w:color w:val="auto"/>
          <w:sz w:val="21"/>
          <w:szCs w:val="21"/>
          <w:highlight w:val="none"/>
        </w:rPr>
        <w:t xml:space="preserve">：《运输单位搬运费分级标准》 </w:t>
      </w:r>
    </w:p>
    <w:p w14:paraId="1E95380F">
      <w:pPr>
        <w:pStyle w:val="44"/>
        <w:spacing w:line="400" w:lineRule="exact"/>
        <w:ind w:firstLine="433"/>
        <w:outlineLvl w:val="9"/>
        <w:rPr>
          <w:rFonts w:hint="eastAsia" w:ascii="宋体" w:eastAsia="宋体" w:cs="宋体"/>
          <w:color w:val="auto"/>
          <w:sz w:val="21"/>
          <w:szCs w:val="21"/>
          <w:highlight w:val="none"/>
        </w:rPr>
      </w:pPr>
      <w:bookmarkStart w:id="297" w:name="OLE_LINK2"/>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附件8</w:t>
      </w:r>
      <w:bookmarkEnd w:id="297"/>
      <w:r>
        <w:rPr>
          <w:rFonts w:hint="eastAsia" w:ascii="宋体" w:eastAsia="宋体" w:cs="宋体"/>
          <w:color w:val="auto"/>
          <w:sz w:val="21"/>
          <w:szCs w:val="21"/>
          <w:highlight w:val="none"/>
        </w:rPr>
        <w:t>：《承运单》</w:t>
      </w:r>
    </w:p>
    <w:p w14:paraId="077F249F">
      <w:pPr>
        <w:pStyle w:val="44"/>
        <w:spacing w:line="400" w:lineRule="exact"/>
        <w:ind w:firstLine="433"/>
        <w:outlineLvl w:val="9"/>
        <w:rPr>
          <w:rFonts w:hint="eastAsia" w:ascii="宋体" w:eastAsia="宋体" w:cs="宋体"/>
          <w:color w:val="auto"/>
          <w:sz w:val="21"/>
          <w:szCs w:val="21"/>
          <w:highlight w:val="none"/>
          <w:lang w:val="en-US" w:eastAsia="zh-CN"/>
        </w:rPr>
      </w:pPr>
      <w:r>
        <w:rPr>
          <w:rFonts w:hint="eastAsia" w:ascii="宋体" w:eastAsia="宋体" w:cs="宋体"/>
          <w:color w:val="auto"/>
          <w:sz w:val="21"/>
          <w:szCs w:val="21"/>
          <w:highlight w:val="none"/>
        </w:rPr>
        <w:t>合同附件</w:t>
      </w:r>
      <w:r>
        <w:rPr>
          <w:rFonts w:hint="eastAsia" w:ascii="宋体" w:eastAsia="宋体" w:cs="宋体"/>
          <w:color w:val="auto"/>
          <w:sz w:val="21"/>
          <w:szCs w:val="21"/>
          <w:highlight w:val="none"/>
          <w:lang w:val="en-US" w:eastAsia="zh-CN"/>
        </w:rPr>
        <w:t>9：《</w:t>
      </w:r>
      <w:r>
        <w:rPr>
          <w:rFonts w:hint="eastAsia" w:ascii="宋体" w:eastAsia="宋体" w:cs="宋体"/>
          <w:color w:val="auto"/>
          <w:sz w:val="21"/>
          <w:szCs w:val="21"/>
          <w:highlight w:val="none"/>
          <w:lang w:eastAsia="zh-CN"/>
        </w:rPr>
        <w:t>东莞市新东欣环保投资有限公司莞惠区域危废运输服务项目</w:t>
      </w:r>
      <w:r>
        <w:rPr>
          <w:rFonts w:hint="eastAsia" w:ascii="宋体" w:eastAsia="宋体" w:cs="宋体"/>
          <w:color w:val="auto"/>
          <w:sz w:val="21"/>
          <w:szCs w:val="21"/>
          <w:highlight w:val="none"/>
        </w:rPr>
        <w:t>技术需求书</w:t>
      </w:r>
      <w:r>
        <w:rPr>
          <w:rFonts w:hint="eastAsia" w:ascii="宋体" w:eastAsia="宋体" w:cs="宋体"/>
          <w:color w:val="auto"/>
          <w:sz w:val="21"/>
          <w:szCs w:val="21"/>
          <w:highlight w:val="none"/>
          <w:lang w:val="en-US" w:eastAsia="zh-CN"/>
        </w:rPr>
        <w:t>》</w:t>
      </w:r>
    </w:p>
    <w:p w14:paraId="0A84E903">
      <w:pPr>
        <w:pStyle w:val="44"/>
        <w:spacing w:line="400" w:lineRule="exact"/>
        <w:ind w:firstLine="433"/>
        <w:outlineLvl w:val="9"/>
        <w:rPr>
          <w:rFonts w:hint="default" w:ascii="宋体" w:eastAsia="宋体" w:cs="宋体"/>
          <w:color w:val="auto"/>
          <w:sz w:val="21"/>
          <w:szCs w:val="21"/>
          <w:highlight w:val="none"/>
          <w:lang w:val="en-US" w:eastAsia="zh-CN"/>
        </w:rPr>
      </w:pPr>
      <w:r>
        <w:rPr>
          <w:rFonts w:hint="eastAsia" w:ascii="宋体" w:eastAsia="宋体" w:cs="宋体"/>
          <w:color w:val="auto"/>
          <w:sz w:val="21"/>
          <w:szCs w:val="21"/>
          <w:highlight w:val="none"/>
          <w:lang w:val="en-US" w:eastAsia="zh-CN"/>
        </w:rPr>
        <w:t>合同附件10：安全管理协议书</w:t>
      </w:r>
    </w:p>
    <w:p w14:paraId="57D1E909">
      <w:pPr>
        <w:pStyle w:val="44"/>
        <w:spacing w:line="400" w:lineRule="exact"/>
        <w:ind w:firstLine="433"/>
        <w:outlineLvl w:val="9"/>
        <w:rPr>
          <w:rFonts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11</w:t>
      </w:r>
      <w:r>
        <w:rPr>
          <w:rFonts w:hint="eastAsia" w:ascii="宋体" w:eastAsia="宋体" w:cs="宋体"/>
          <w:color w:val="auto"/>
          <w:sz w:val="21"/>
          <w:szCs w:val="21"/>
          <w:highlight w:val="none"/>
        </w:rPr>
        <w:t>：《阳光合作协议》</w:t>
      </w:r>
    </w:p>
    <w:bookmarkEnd w:id="296"/>
    <w:p w14:paraId="4C7488C3">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（以下无正文）</w:t>
      </w:r>
    </w:p>
    <w:p w14:paraId="6F33C999">
      <w:pPr>
        <w:pStyle w:val="44"/>
        <w:spacing w:line="400" w:lineRule="exact"/>
        <w:ind w:firstLine="433"/>
        <w:outlineLvl w:val="9"/>
        <w:rPr>
          <w:rFonts w:ascii="宋体" w:eastAsia="宋体" w:cs="宋体"/>
          <w:color w:val="auto"/>
          <w:sz w:val="21"/>
          <w:szCs w:val="21"/>
          <w:highlight w:val="none"/>
        </w:rPr>
      </w:pPr>
      <w:r>
        <w:rPr>
          <w:rFonts w:hint="eastAsia" w:ascii="宋体" w:eastAsia="宋体" w:cs="宋体"/>
          <w:color w:val="auto"/>
          <w:sz w:val="21"/>
          <w:szCs w:val="21"/>
          <w:highlight w:val="none"/>
        </w:rPr>
        <w:t>（签署页）</w:t>
      </w:r>
    </w:p>
    <w:p w14:paraId="62F5CF33">
      <w:pPr>
        <w:pStyle w:val="44"/>
        <w:spacing w:line="400" w:lineRule="exact"/>
        <w:ind w:firstLine="0" w:firstLineChars="0"/>
        <w:outlineLvl w:val="9"/>
        <w:rPr>
          <w:rFonts w:ascii="宋体" w:eastAsia="宋体" w:cs="宋体"/>
          <w:color w:val="auto"/>
          <w:sz w:val="21"/>
          <w:szCs w:val="21"/>
          <w:highlight w:val="none"/>
        </w:rPr>
      </w:pPr>
      <w:r>
        <w:rPr>
          <w:rFonts w:hint="eastAsia" w:ascii="宋体" w:eastAsia="宋体" w:cs="宋体"/>
          <w:color w:val="auto"/>
          <w:sz w:val="21"/>
          <w:szCs w:val="21"/>
          <w:highlight w:val="none"/>
        </w:rPr>
        <w:t xml:space="preserve">甲方（盖章）：                                       乙方（盖章）： </w:t>
      </w:r>
    </w:p>
    <w:p w14:paraId="3A9F18DD">
      <w:pPr>
        <w:pStyle w:val="44"/>
        <w:spacing w:line="400" w:lineRule="exact"/>
        <w:ind w:firstLine="0" w:firstLineChars="0"/>
        <w:outlineLvl w:val="9"/>
        <w:rPr>
          <w:rFonts w:ascii="宋体" w:eastAsia="宋体" w:cs="宋体"/>
          <w:color w:val="auto"/>
          <w:sz w:val="21"/>
          <w:szCs w:val="21"/>
          <w:highlight w:val="none"/>
        </w:rPr>
      </w:pPr>
      <w:r>
        <w:rPr>
          <w:rFonts w:hint="eastAsia" w:ascii="宋体" w:eastAsia="宋体" w:cs="宋体"/>
          <w:color w:val="auto"/>
          <w:sz w:val="21"/>
          <w:szCs w:val="21"/>
          <w:highlight w:val="none"/>
        </w:rPr>
        <w:t xml:space="preserve">法定代表人（签章）：                                 法定代表人（签章）： </w:t>
      </w:r>
    </w:p>
    <w:p w14:paraId="39F1CEDD">
      <w:pPr>
        <w:pStyle w:val="44"/>
        <w:spacing w:line="400" w:lineRule="exact"/>
        <w:ind w:firstLine="0" w:firstLineChars="0"/>
        <w:outlineLvl w:val="9"/>
        <w:rPr>
          <w:rFonts w:ascii="宋体" w:eastAsia="宋体" w:cs="宋体"/>
          <w:color w:val="auto"/>
          <w:sz w:val="21"/>
          <w:szCs w:val="21"/>
          <w:highlight w:val="none"/>
        </w:rPr>
      </w:pPr>
      <w:r>
        <w:rPr>
          <w:rFonts w:hint="eastAsia" w:ascii="宋体" w:eastAsia="宋体" w:cs="宋体"/>
          <w:color w:val="auto"/>
          <w:sz w:val="21"/>
          <w:szCs w:val="21"/>
          <w:highlight w:val="none"/>
        </w:rPr>
        <w:t>或授权委托人（签字）：                               或授权委托人（签字）：</w:t>
      </w:r>
    </w:p>
    <w:p w14:paraId="055616D5">
      <w:pPr>
        <w:spacing w:line="400" w:lineRule="exact"/>
        <w:outlineLvl w:val="9"/>
        <w:rPr>
          <w:rFonts w:hint="eastAsia" w:ascii="宋体" w:cs="宋体"/>
          <w:color w:val="auto"/>
          <w:szCs w:val="21"/>
          <w:highlight w:val="none"/>
        </w:rPr>
      </w:pPr>
      <w:r>
        <w:rPr>
          <w:rFonts w:hint="eastAsia" w:ascii="宋体" w:cs="宋体"/>
          <w:color w:val="auto"/>
          <w:szCs w:val="21"/>
          <w:highlight w:val="none"/>
        </w:rPr>
        <w:t>年       月       日                                   年        月       日</w:t>
      </w:r>
    </w:p>
    <w:p w14:paraId="78F72DEA">
      <w:pPr>
        <w:spacing w:line="400" w:lineRule="exact"/>
        <w:outlineLvl w:val="9"/>
        <w:rPr>
          <w:rFonts w:ascii="宋体" w:hAnsi="宋体"/>
          <w:b/>
          <w:color w:val="auto"/>
          <w:sz w:val="24"/>
          <w:highlight w:val="none"/>
        </w:rPr>
      </w:pPr>
      <w:r>
        <w:rPr>
          <w:rFonts w:ascii="宋体" w:hAnsi="宋体"/>
          <w:b/>
          <w:color w:val="auto"/>
          <w:sz w:val="24"/>
          <w:highlight w:val="none"/>
        </w:rPr>
        <w:br w:type="page"/>
      </w:r>
    </w:p>
    <w:p w14:paraId="311CC8E7">
      <w:pPr>
        <w:outlineLvl w:val="9"/>
        <w:rPr>
          <w:rFonts w:ascii="宋体" w:hAnsi="宋体"/>
          <w:b/>
          <w:color w:val="auto"/>
          <w:sz w:val="21"/>
          <w:szCs w:val="21"/>
          <w:highlight w:val="none"/>
        </w:rPr>
      </w:pPr>
      <w:bookmarkStart w:id="298" w:name="_Toc7549"/>
      <w:bookmarkStart w:id="299" w:name="_Toc28601"/>
      <w:bookmarkStart w:id="300" w:name="_Toc6490"/>
      <w:bookmarkStart w:id="301" w:name="_Toc18791"/>
      <w:bookmarkStart w:id="302" w:name="_Toc10186"/>
      <w:bookmarkStart w:id="303" w:name="_Toc29714"/>
      <w:bookmarkStart w:id="304" w:name="_Toc22266"/>
      <w:bookmarkStart w:id="305" w:name="_Toc22996"/>
      <w:bookmarkStart w:id="306" w:name="_Toc28684"/>
      <w:bookmarkStart w:id="307" w:name="_Toc25562"/>
      <w:bookmarkStart w:id="308" w:name="_Toc22062"/>
      <w:bookmarkStart w:id="309" w:name="_Toc18133"/>
      <w:bookmarkStart w:id="310" w:name="_Toc25582"/>
      <w:r>
        <w:rPr>
          <w:rFonts w:hint="eastAsia" w:ascii="宋体" w:hAnsi="宋体"/>
          <w:b/>
          <w:color w:val="auto"/>
          <w:sz w:val="21"/>
          <w:szCs w:val="21"/>
          <w:highlight w:val="none"/>
          <w:lang w:val="en-US" w:eastAsia="zh-CN"/>
        </w:rPr>
        <w:t>合同</w:t>
      </w:r>
      <w:r>
        <w:rPr>
          <w:rFonts w:hint="eastAsia" w:ascii="宋体" w:hAnsi="宋体"/>
          <w:b/>
          <w:color w:val="auto"/>
          <w:sz w:val="21"/>
          <w:szCs w:val="21"/>
          <w:highlight w:val="none"/>
        </w:rPr>
        <w:t>附件</w:t>
      </w:r>
      <w:r>
        <w:rPr>
          <w:rFonts w:hint="eastAsia" w:ascii="宋体" w:hAnsi="宋体"/>
          <w:b/>
          <w:color w:val="auto"/>
          <w:sz w:val="21"/>
          <w:szCs w:val="21"/>
          <w:highlight w:val="none"/>
          <w:lang w:val="en-US" w:eastAsia="zh-CN"/>
        </w:rPr>
        <w:t>1</w:t>
      </w:r>
      <w:r>
        <w:rPr>
          <w:rFonts w:hint="eastAsia" w:ascii="宋体" w:hAnsi="宋体"/>
          <w:b/>
          <w:color w:val="auto"/>
          <w:sz w:val="21"/>
          <w:szCs w:val="21"/>
          <w:highlight w:val="none"/>
        </w:rPr>
        <w:t>：《运输车辆名册》</w:t>
      </w:r>
      <w:bookmarkEnd w:id="298"/>
      <w:bookmarkEnd w:id="299"/>
      <w:bookmarkEnd w:id="300"/>
      <w:bookmarkEnd w:id="301"/>
      <w:bookmarkEnd w:id="302"/>
      <w:bookmarkEnd w:id="303"/>
      <w:bookmarkEnd w:id="304"/>
      <w:bookmarkEnd w:id="305"/>
    </w:p>
    <w:tbl>
      <w:tblPr>
        <w:tblStyle w:val="30"/>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8"/>
        <w:gridCol w:w="2393"/>
        <w:gridCol w:w="2633"/>
        <w:gridCol w:w="2525"/>
      </w:tblGrid>
      <w:tr w14:paraId="3C8991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68" w:type="pct"/>
          </w:tcPr>
          <w:p w14:paraId="7D49392F">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序号</w:t>
            </w:r>
          </w:p>
        </w:tc>
        <w:tc>
          <w:tcPr>
            <w:tcW w:w="1404" w:type="pct"/>
          </w:tcPr>
          <w:p w14:paraId="3E2FF1F4">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车牌号</w:t>
            </w:r>
          </w:p>
        </w:tc>
        <w:tc>
          <w:tcPr>
            <w:tcW w:w="1545" w:type="pct"/>
          </w:tcPr>
          <w:p w14:paraId="330552F8">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车型</w:t>
            </w:r>
          </w:p>
        </w:tc>
        <w:tc>
          <w:tcPr>
            <w:tcW w:w="1481" w:type="pct"/>
          </w:tcPr>
          <w:p w14:paraId="21961ADA">
            <w:pPr>
              <w:widowControl w:val="0"/>
              <w:adjustRightInd/>
              <w:snapToGrid/>
              <w:spacing w:line="360" w:lineRule="exact"/>
              <w:ind w:firstLine="660" w:firstLineChars="300"/>
              <w:outlineLvl w:val="9"/>
              <w:rPr>
                <w:rFonts w:ascii="宋体" w:hAnsi="宋体" w:cs="宋体"/>
                <w:color w:val="auto"/>
                <w:sz w:val="22"/>
                <w:highlight w:val="none"/>
              </w:rPr>
            </w:pPr>
            <w:r>
              <w:rPr>
                <w:rFonts w:hint="eastAsia" w:ascii="宋体" w:hAnsi="宋体" w:cs="宋体"/>
                <w:color w:val="auto"/>
                <w:sz w:val="22"/>
                <w:highlight w:val="none"/>
              </w:rPr>
              <w:t>备注</w:t>
            </w:r>
          </w:p>
        </w:tc>
      </w:tr>
      <w:tr w14:paraId="16B8A8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D4CEF16">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1</w:t>
            </w:r>
          </w:p>
        </w:tc>
        <w:tc>
          <w:tcPr>
            <w:tcW w:w="1404" w:type="pct"/>
          </w:tcPr>
          <w:p w14:paraId="4ABB1D40">
            <w:pPr>
              <w:widowControl w:val="0"/>
              <w:adjustRightInd/>
              <w:snapToGrid/>
              <w:spacing w:line="360" w:lineRule="exact"/>
              <w:outlineLvl w:val="9"/>
              <w:rPr>
                <w:rFonts w:ascii="宋体" w:hAnsi="宋体" w:cs="宋体"/>
                <w:color w:val="auto"/>
                <w:sz w:val="22"/>
                <w:highlight w:val="none"/>
              </w:rPr>
            </w:pPr>
          </w:p>
        </w:tc>
        <w:tc>
          <w:tcPr>
            <w:tcW w:w="1545" w:type="pct"/>
          </w:tcPr>
          <w:p w14:paraId="010C9AC7">
            <w:pPr>
              <w:widowControl w:val="0"/>
              <w:adjustRightInd/>
              <w:snapToGrid/>
              <w:spacing w:line="360" w:lineRule="exact"/>
              <w:outlineLvl w:val="9"/>
              <w:rPr>
                <w:rFonts w:ascii="宋体" w:hAnsi="宋体" w:cs="宋体"/>
                <w:color w:val="auto"/>
                <w:sz w:val="22"/>
                <w:highlight w:val="none"/>
              </w:rPr>
            </w:pPr>
          </w:p>
        </w:tc>
        <w:tc>
          <w:tcPr>
            <w:tcW w:w="1481" w:type="pct"/>
          </w:tcPr>
          <w:p w14:paraId="168BE4B4">
            <w:pPr>
              <w:widowControl w:val="0"/>
              <w:adjustRightInd/>
              <w:snapToGrid/>
              <w:spacing w:line="360" w:lineRule="exact"/>
              <w:outlineLvl w:val="9"/>
              <w:rPr>
                <w:rFonts w:ascii="宋体" w:hAnsi="宋体" w:cs="宋体"/>
                <w:color w:val="auto"/>
                <w:sz w:val="22"/>
                <w:highlight w:val="none"/>
              </w:rPr>
            </w:pPr>
          </w:p>
        </w:tc>
      </w:tr>
      <w:tr w14:paraId="3C32D4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C72BB2A">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2</w:t>
            </w:r>
          </w:p>
        </w:tc>
        <w:tc>
          <w:tcPr>
            <w:tcW w:w="1404" w:type="pct"/>
          </w:tcPr>
          <w:p w14:paraId="61DBDC3E">
            <w:pPr>
              <w:widowControl w:val="0"/>
              <w:adjustRightInd/>
              <w:snapToGrid/>
              <w:spacing w:line="360" w:lineRule="exact"/>
              <w:outlineLvl w:val="9"/>
              <w:rPr>
                <w:rFonts w:ascii="宋体" w:hAnsi="宋体" w:cs="宋体"/>
                <w:color w:val="auto"/>
                <w:sz w:val="22"/>
                <w:highlight w:val="none"/>
              </w:rPr>
            </w:pPr>
          </w:p>
        </w:tc>
        <w:tc>
          <w:tcPr>
            <w:tcW w:w="1545" w:type="pct"/>
          </w:tcPr>
          <w:p w14:paraId="6B2A70AE">
            <w:pPr>
              <w:widowControl w:val="0"/>
              <w:adjustRightInd/>
              <w:snapToGrid/>
              <w:spacing w:line="360" w:lineRule="exact"/>
              <w:outlineLvl w:val="9"/>
              <w:rPr>
                <w:rFonts w:ascii="宋体" w:hAnsi="宋体" w:cs="宋体"/>
                <w:color w:val="auto"/>
                <w:sz w:val="22"/>
                <w:highlight w:val="none"/>
              </w:rPr>
            </w:pPr>
          </w:p>
        </w:tc>
        <w:tc>
          <w:tcPr>
            <w:tcW w:w="1481" w:type="pct"/>
          </w:tcPr>
          <w:p w14:paraId="0D4CFB7A">
            <w:pPr>
              <w:widowControl w:val="0"/>
              <w:adjustRightInd/>
              <w:snapToGrid/>
              <w:spacing w:line="360" w:lineRule="exact"/>
              <w:outlineLvl w:val="9"/>
              <w:rPr>
                <w:rFonts w:ascii="宋体" w:hAnsi="宋体" w:cs="宋体"/>
                <w:color w:val="auto"/>
                <w:sz w:val="22"/>
                <w:highlight w:val="none"/>
              </w:rPr>
            </w:pPr>
          </w:p>
        </w:tc>
      </w:tr>
      <w:tr w14:paraId="34D0D4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720AF24">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3</w:t>
            </w:r>
          </w:p>
        </w:tc>
        <w:tc>
          <w:tcPr>
            <w:tcW w:w="1404" w:type="pct"/>
          </w:tcPr>
          <w:p w14:paraId="0120BDB4">
            <w:pPr>
              <w:widowControl w:val="0"/>
              <w:adjustRightInd/>
              <w:snapToGrid/>
              <w:spacing w:line="360" w:lineRule="exact"/>
              <w:outlineLvl w:val="9"/>
              <w:rPr>
                <w:rFonts w:ascii="宋体" w:hAnsi="宋体" w:cs="宋体"/>
                <w:color w:val="auto"/>
                <w:sz w:val="22"/>
                <w:highlight w:val="none"/>
              </w:rPr>
            </w:pPr>
          </w:p>
        </w:tc>
        <w:tc>
          <w:tcPr>
            <w:tcW w:w="1545" w:type="pct"/>
          </w:tcPr>
          <w:p w14:paraId="222FAF19">
            <w:pPr>
              <w:widowControl w:val="0"/>
              <w:adjustRightInd/>
              <w:snapToGrid/>
              <w:spacing w:line="360" w:lineRule="exact"/>
              <w:outlineLvl w:val="9"/>
              <w:rPr>
                <w:rFonts w:ascii="宋体" w:hAnsi="宋体" w:cs="宋体"/>
                <w:color w:val="auto"/>
                <w:sz w:val="22"/>
                <w:highlight w:val="none"/>
              </w:rPr>
            </w:pPr>
          </w:p>
        </w:tc>
        <w:tc>
          <w:tcPr>
            <w:tcW w:w="1481" w:type="pct"/>
          </w:tcPr>
          <w:p w14:paraId="2BD8BE71">
            <w:pPr>
              <w:widowControl w:val="0"/>
              <w:adjustRightInd/>
              <w:snapToGrid/>
              <w:spacing w:line="360" w:lineRule="exact"/>
              <w:outlineLvl w:val="9"/>
              <w:rPr>
                <w:rFonts w:ascii="宋体" w:hAnsi="宋体" w:cs="宋体"/>
                <w:color w:val="auto"/>
                <w:sz w:val="22"/>
                <w:highlight w:val="none"/>
              </w:rPr>
            </w:pPr>
          </w:p>
        </w:tc>
      </w:tr>
      <w:tr w14:paraId="61834E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240C6A7">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4</w:t>
            </w:r>
          </w:p>
        </w:tc>
        <w:tc>
          <w:tcPr>
            <w:tcW w:w="1404" w:type="pct"/>
          </w:tcPr>
          <w:p w14:paraId="084A7D8C">
            <w:pPr>
              <w:widowControl w:val="0"/>
              <w:adjustRightInd/>
              <w:snapToGrid/>
              <w:spacing w:line="360" w:lineRule="exact"/>
              <w:outlineLvl w:val="9"/>
              <w:rPr>
                <w:rFonts w:ascii="宋体" w:hAnsi="宋体" w:cs="宋体"/>
                <w:color w:val="auto"/>
                <w:sz w:val="22"/>
                <w:highlight w:val="none"/>
              </w:rPr>
            </w:pPr>
          </w:p>
        </w:tc>
        <w:tc>
          <w:tcPr>
            <w:tcW w:w="1545" w:type="pct"/>
          </w:tcPr>
          <w:p w14:paraId="25F49260">
            <w:pPr>
              <w:widowControl w:val="0"/>
              <w:adjustRightInd/>
              <w:snapToGrid/>
              <w:spacing w:line="360" w:lineRule="exact"/>
              <w:outlineLvl w:val="9"/>
              <w:rPr>
                <w:rFonts w:ascii="宋体" w:hAnsi="宋体" w:cs="宋体"/>
                <w:color w:val="auto"/>
                <w:sz w:val="22"/>
                <w:highlight w:val="none"/>
              </w:rPr>
            </w:pPr>
          </w:p>
        </w:tc>
        <w:tc>
          <w:tcPr>
            <w:tcW w:w="1481" w:type="pct"/>
          </w:tcPr>
          <w:p w14:paraId="5A55C45D">
            <w:pPr>
              <w:widowControl w:val="0"/>
              <w:adjustRightInd/>
              <w:snapToGrid/>
              <w:spacing w:line="360" w:lineRule="exact"/>
              <w:outlineLvl w:val="9"/>
              <w:rPr>
                <w:rFonts w:ascii="宋体" w:hAnsi="宋体" w:cs="宋体"/>
                <w:color w:val="auto"/>
                <w:sz w:val="22"/>
                <w:highlight w:val="none"/>
              </w:rPr>
            </w:pPr>
          </w:p>
        </w:tc>
      </w:tr>
      <w:tr w14:paraId="78AB22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8A970FD">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5</w:t>
            </w:r>
          </w:p>
        </w:tc>
        <w:tc>
          <w:tcPr>
            <w:tcW w:w="1404" w:type="pct"/>
          </w:tcPr>
          <w:p w14:paraId="45C301DD">
            <w:pPr>
              <w:widowControl w:val="0"/>
              <w:adjustRightInd/>
              <w:snapToGrid/>
              <w:spacing w:line="360" w:lineRule="exact"/>
              <w:outlineLvl w:val="9"/>
              <w:rPr>
                <w:rFonts w:ascii="宋体" w:hAnsi="宋体" w:cs="宋体"/>
                <w:color w:val="auto"/>
                <w:sz w:val="22"/>
                <w:highlight w:val="none"/>
              </w:rPr>
            </w:pPr>
          </w:p>
        </w:tc>
        <w:tc>
          <w:tcPr>
            <w:tcW w:w="1545" w:type="pct"/>
          </w:tcPr>
          <w:p w14:paraId="35A796ED">
            <w:pPr>
              <w:widowControl w:val="0"/>
              <w:adjustRightInd/>
              <w:snapToGrid/>
              <w:spacing w:line="360" w:lineRule="exact"/>
              <w:outlineLvl w:val="9"/>
              <w:rPr>
                <w:rFonts w:ascii="宋体" w:hAnsi="宋体" w:cs="宋体"/>
                <w:color w:val="auto"/>
                <w:sz w:val="22"/>
                <w:highlight w:val="none"/>
              </w:rPr>
            </w:pPr>
          </w:p>
        </w:tc>
        <w:tc>
          <w:tcPr>
            <w:tcW w:w="1481" w:type="pct"/>
          </w:tcPr>
          <w:p w14:paraId="3837EA5A">
            <w:pPr>
              <w:widowControl w:val="0"/>
              <w:adjustRightInd/>
              <w:snapToGrid/>
              <w:spacing w:line="360" w:lineRule="exact"/>
              <w:outlineLvl w:val="9"/>
              <w:rPr>
                <w:rFonts w:ascii="宋体" w:hAnsi="宋体" w:cs="宋体"/>
                <w:color w:val="auto"/>
                <w:sz w:val="22"/>
                <w:highlight w:val="none"/>
              </w:rPr>
            </w:pPr>
          </w:p>
        </w:tc>
      </w:tr>
      <w:tr w14:paraId="2C79CE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793ECC3">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6</w:t>
            </w:r>
          </w:p>
        </w:tc>
        <w:tc>
          <w:tcPr>
            <w:tcW w:w="1404" w:type="pct"/>
          </w:tcPr>
          <w:p w14:paraId="274B385C">
            <w:pPr>
              <w:widowControl w:val="0"/>
              <w:adjustRightInd/>
              <w:snapToGrid/>
              <w:spacing w:line="360" w:lineRule="exact"/>
              <w:outlineLvl w:val="9"/>
              <w:rPr>
                <w:rFonts w:ascii="宋体" w:hAnsi="宋体" w:cs="宋体"/>
                <w:color w:val="auto"/>
                <w:sz w:val="22"/>
                <w:highlight w:val="none"/>
              </w:rPr>
            </w:pPr>
          </w:p>
        </w:tc>
        <w:tc>
          <w:tcPr>
            <w:tcW w:w="1545" w:type="pct"/>
          </w:tcPr>
          <w:p w14:paraId="64D816D1">
            <w:pPr>
              <w:widowControl w:val="0"/>
              <w:adjustRightInd/>
              <w:snapToGrid/>
              <w:spacing w:line="360" w:lineRule="exact"/>
              <w:outlineLvl w:val="9"/>
              <w:rPr>
                <w:rFonts w:ascii="宋体" w:hAnsi="宋体" w:cs="宋体"/>
                <w:color w:val="auto"/>
                <w:sz w:val="22"/>
                <w:highlight w:val="none"/>
              </w:rPr>
            </w:pPr>
          </w:p>
        </w:tc>
        <w:tc>
          <w:tcPr>
            <w:tcW w:w="1481" w:type="pct"/>
          </w:tcPr>
          <w:p w14:paraId="6B7C8A53">
            <w:pPr>
              <w:widowControl w:val="0"/>
              <w:adjustRightInd/>
              <w:snapToGrid/>
              <w:spacing w:line="360" w:lineRule="exact"/>
              <w:outlineLvl w:val="9"/>
              <w:rPr>
                <w:rFonts w:ascii="宋体" w:hAnsi="宋体" w:cs="宋体"/>
                <w:color w:val="auto"/>
                <w:sz w:val="22"/>
                <w:highlight w:val="none"/>
              </w:rPr>
            </w:pPr>
          </w:p>
        </w:tc>
      </w:tr>
      <w:tr w14:paraId="46F7E8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42A3537">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7</w:t>
            </w:r>
          </w:p>
        </w:tc>
        <w:tc>
          <w:tcPr>
            <w:tcW w:w="1404" w:type="pct"/>
          </w:tcPr>
          <w:p w14:paraId="2182899D">
            <w:pPr>
              <w:widowControl w:val="0"/>
              <w:adjustRightInd/>
              <w:snapToGrid/>
              <w:spacing w:line="360" w:lineRule="exact"/>
              <w:outlineLvl w:val="9"/>
              <w:rPr>
                <w:rFonts w:ascii="宋体" w:hAnsi="宋体" w:cs="宋体"/>
                <w:color w:val="auto"/>
                <w:sz w:val="22"/>
                <w:highlight w:val="none"/>
              </w:rPr>
            </w:pPr>
          </w:p>
        </w:tc>
        <w:tc>
          <w:tcPr>
            <w:tcW w:w="1545" w:type="pct"/>
          </w:tcPr>
          <w:p w14:paraId="2A1449C1">
            <w:pPr>
              <w:widowControl w:val="0"/>
              <w:adjustRightInd/>
              <w:snapToGrid/>
              <w:spacing w:line="360" w:lineRule="exact"/>
              <w:outlineLvl w:val="9"/>
              <w:rPr>
                <w:rFonts w:ascii="宋体" w:hAnsi="宋体" w:cs="宋体"/>
                <w:color w:val="auto"/>
                <w:sz w:val="22"/>
                <w:highlight w:val="none"/>
              </w:rPr>
            </w:pPr>
          </w:p>
        </w:tc>
        <w:tc>
          <w:tcPr>
            <w:tcW w:w="1481" w:type="pct"/>
          </w:tcPr>
          <w:p w14:paraId="24B119C6">
            <w:pPr>
              <w:widowControl w:val="0"/>
              <w:adjustRightInd/>
              <w:snapToGrid/>
              <w:spacing w:line="360" w:lineRule="exact"/>
              <w:outlineLvl w:val="9"/>
              <w:rPr>
                <w:rFonts w:ascii="宋体" w:hAnsi="宋体" w:cs="宋体"/>
                <w:color w:val="auto"/>
                <w:sz w:val="22"/>
                <w:highlight w:val="none"/>
              </w:rPr>
            </w:pPr>
          </w:p>
        </w:tc>
      </w:tr>
      <w:tr w14:paraId="164901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2E63DE1">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8</w:t>
            </w:r>
          </w:p>
        </w:tc>
        <w:tc>
          <w:tcPr>
            <w:tcW w:w="1404" w:type="pct"/>
          </w:tcPr>
          <w:p w14:paraId="26651C62">
            <w:pPr>
              <w:widowControl w:val="0"/>
              <w:adjustRightInd/>
              <w:snapToGrid/>
              <w:spacing w:line="360" w:lineRule="exact"/>
              <w:outlineLvl w:val="9"/>
              <w:rPr>
                <w:rFonts w:ascii="宋体" w:hAnsi="宋体" w:cs="宋体"/>
                <w:color w:val="auto"/>
                <w:sz w:val="22"/>
                <w:highlight w:val="none"/>
              </w:rPr>
            </w:pPr>
          </w:p>
        </w:tc>
        <w:tc>
          <w:tcPr>
            <w:tcW w:w="1545" w:type="pct"/>
          </w:tcPr>
          <w:p w14:paraId="0FD59CDA">
            <w:pPr>
              <w:widowControl w:val="0"/>
              <w:adjustRightInd/>
              <w:snapToGrid/>
              <w:spacing w:line="360" w:lineRule="exact"/>
              <w:outlineLvl w:val="9"/>
              <w:rPr>
                <w:rFonts w:ascii="宋体" w:hAnsi="宋体" w:cs="宋体"/>
                <w:color w:val="auto"/>
                <w:sz w:val="22"/>
                <w:highlight w:val="none"/>
              </w:rPr>
            </w:pPr>
          </w:p>
        </w:tc>
        <w:tc>
          <w:tcPr>
            <w:tcW w:w="1481" w:type="pct"/>
          </w:tcPr>
          <w:p w14:paraId="0F4CCFA1">
            <w:pPr>
              <w:widowControl w:val="0"/>
              <w:adjustRightInd/>
              <w:snapToGrid/>
              <w:spacing w:line="360" w:lineRule="exact"/>
              <w:outlineLvl w:val="9"/>
              <w:rPr>
                <w:rFonts w:ascii="宋体" w:hAnsi="宋体" w:cs="宋体"/>
                <w:color w:val="auto"/>
                <w:sz w:val="22"/>
                <w:highlight w:val="none"/>
              </w:rPr>
            </w:pPr>
          </w:p>
        </w:tc>
      </w:tr>
      <w:tr w14:paraId="1A5032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ABED763">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9</w:t>
            </w:r>
          </w:p>
        </w:tc>
        <w:tc>
          <w:tcPr>
            <w:tcW w:w="1404" w:type="pct"/>
          </w:tcPr>
          <w:p w14:paraId="70240983">
            <w:pPr>
              <w:widowControl w:val="0"/>
              <w:adjustRightInd/>
              <w:snapToGrid/>
              <w:spacing w:line="360" w:lineRule="exact"/>
              <w:outlineLvl w:val="9"/>
              <w:rPr>
                <w:rFonts w:ascii="宋体" w:hAnsi="宋体" w:cs="宋体"/>
                <w:color w:val="auto"/>
                <w:sz w:val="22"/>
                <w:highlight w:val="none"/>
              </w:rPr>
            </w:pPr>
          </w:p>
        </w:tc>
        <w:tc>
          <w:tcPr>
            <w:tcW w:w="1545" w:type="pct"/>
          </w:tcPr>
          <w:p w14:paraId="279D0935">
            <w:pPr>
              <w:widowControl w:val="0"/>
              <w:adjustRightInd/>
              <w:snapToGrid/>
              <w:spacing w:line="360" w:lineRule="exact"/>
              <w:outlineLvl w:val="9"/>
              <w:rPr>
                <w:rFonts w:ascii="宋体" w:hAnsi="宋体" w:cs="宋体"/>
                <w:color w:val="auto"/>
                <w:sz w:val="22"/>
                <w:highlight w:val="none"/>
              </w:rPr>
            </w:pPr>
          </w:p>
        </w:tc>
        <w:tc>
          <w:tcPr>
            <w:tcW w:w="1481" w:type="pct"/>
          </w:tcPr>
          <w:p w14:paraId="52E31B14">
            <w:pPr>
              <w:widowControl w:val="0"/>
              <w:adjustRightInd/>
              <w:snapToGrid/>
              <w:spacing w:line="360" w:lineRule="exact"/>
              <w:outlineLvl w:val="9"/>
              <w:rPr>
                <w:rFonts w:ascii="宋体" w:hAnsi="宋体" w:cs="宋体"/>
                <w:color w:val="auto"/>
                <w:sz w:val="22"/>
                <w:highlight w:val="none"/>
              </w:rPr>
            </w:pPr>
          </w:p>
        </w:tc>
      </w:tr>
      <w:tr w14:paraId="70B5CD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F1C4288">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10</w:t>
            </w:r>
          </w:p>
        </w:tc>
        <w:tc>
          <w:tcPr>
            <w:tcW w:w="1404" w:type="pct"/>
          </w:tcPr>
          <w:p w14:paraId="437A006B">
            <w:pPr>
              <w:widowControl w:val="0"/>
              <w:adjustRightInd/>
              <w:snapToGrid/>
              <w:spacing w:line="360" w:lineRule="exact"/>
              <w:outlineLvl w:val="9"/>
              <w:rPr>
                <w:rFonts w:ascii="宋体" w:hAnsi="宋体" w:cs="宋体"/>
                <w:color w:val="auto"/>
                <w:sz w:val="22"/>
                <w:highlight w:val="none"/>
              </w:rPr>
            </w:pPr>
          </w:p>
        </w:tc>
        <w:tc>
          <w:tcPr>
            <w:tcW w:w="1545" w:type="pct"/>
          </w:tcPr>
          <w:p w14:paraId="110D46D7">
            <w:pPr>
              <w:widowControl w:val="0"/>
              <w:adjustRightInd/>
              <w:snapToGrid/>
              <w:spacing w:line="360" w:lineRule="exact"/>
              <w:outlineLvl w:val="9"/>
              <w:rPr>
                <w:rFonts w:ascii="宋体" w:hAnsi="宋体" w:cs="宋体"/>
                <w:color w:val="auto"/>
                <w:sz w:val="22"/>
                <w:highlight w:val="none"/>
              </w:rPr>
            </w:pPr>
          </w:p>
        </w:tc>
        <w:tc>
          <w:tcPr>
            <w:tcW w:w="1481" w:type="pct"/>
          </w:tcPr>
          <w:p w14:paraId="25F45D65">
            <w:pPr>
              <w:widowControl w:val="0"/>
              <w:adjustRightInd/>
              <w:snapToGrid/>
              <w:spacing w:line="360" w:lineRule="exact"/>
              <w:outlineLvl w:val="9"/>
              <w:rPr>
                <w:rFonts w:ascii="宋体" w:hAnsi="宋体" w:cs="宋体"/>
                <w:color w:val="auto"/>
                <w:sz w:val="22"/>
                <w:highlight w:val="none"/>
              </w:rPr>
            </w:pPr>
          </w:p>
        </w:tc>
      </w:tr>
      <w:tr w14:paraId="59F040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C6B0695">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11</w:t>
            </w:r>
          </w:p>
        </w:tc>
        <w:tc>
          <w:tcPr>
            <w:tcW w:w="1404" w:type="pct"/>
          </w:tcPr>
          <w:p w14:paraId="304642B6">
            <w:pPr>
              <w:widowControl w:val="0"/>
              <w:adjustRightInd/>
              <w:snapToGrid/>
              <w:spacing w:line="360" w:lineRule="exact"/>
              <w:outlineLvl w:val="9"/>
              <w:rPr>
                <w:rFonts w:ascii="宋体" w:hAnsi="宋体" w:cs="宋体"/>
                <w:color w:val="auto"/>
                <w:sz w:val="22"/>
                <w:highlight w:val="none"/>
              </w:rPr>
            </w:pPr>
          </w:p>
        </w:tc>
        <w:tc>
          <w:tcPr>
            <w:tcW w:w="1545" w:type="pct"/>
          </w:tcPr>
          <w:p w14:paraId="0DC58F12">
            <w:pPr>
              <w:widowControl w:val="0"/>
              <w:adjustRightInd/>
              <w:snapToGrid/>
              <w:spacing w:line="360" w:lineRule="exact"/>
              <w:outlineLvl w:val="9"/>
              <w:rPr>
                <w:rFonts w:ascii="宋体" w:hAnsi="宋体" w:cs="宋体"/>
                <w:color w:val="auto"/>
                <w:sz w:val="22"/>
                <w:highlight w:val="none"/>
              </w:rPr>
            </w:pPr>
          </w:p>
        </w:tc>
        <w:tc>
          <w:tcPr>
            <w:tcW w:w="1481" w:type="pct"/>
          </w:tcPr>
          <w:p w14:paraId="7379E4A7">
            <w:pPr>
              <w:widowControl w:val="0"/>
              <w:adjustRightInd/>
              <w:snapToGrid/>
              <w:spacing w:line="360" w:lineRule="exact"/>
              <w:outlineLvl w:val="9"/>
              <w:rPr>
                <w:rFonts w:ascii="宋体" w:hAnsi="宋体" w:cs="宋体"/>
                <w:color w:val="auto"/>
                <w:sz w:val="22"/>
                <w:highlight w:val="none"/>
              </w:rPr>
            </w:pPr>
          </w:p>
        </w:tc>
      </w:tr>
      <w:tr w14:paraId="4EAF63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4660DF2">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12</w:t>
            </w:r>
          </w:p>
        </w:tc>
        <w:tc>
          <w:tcPr>
            <w:tcW w:w="1404" w:type="pct"/>
          </w:tcPr>
          <w:p w14:paraId="6701EF9E">
            <w:pPr>
              <w:widowControl w:val="0"/>
              <w:adjustRightInd/>
              <w:snapToGrid/>
              <w:spacing w:line="360" w:lineRule="exact"/>
              <w:outlineLvl w:val="9"/>
              <w:rPr>
                <w:rFonts w:ascii="宋体" w:hAnsi="宋体" w:cs="宋体"/>
                <w:color w:val="auto"/>
                <w:sz w:val="22"/>
                <w:highlight w:val="none"/>
              </w:rPr>
            </w:pPr>
          </w:p>
        </w:tc>
        <w:tc>
          <w:tcPr>
            <w:tcW w:w="1545" w:type="pct"/>
          </w:tcPr>
          <w:p w14:paraId="45259C62">
            <w:pPr>
              <w:widowControl w:val="0"/>
              <w:adjustRightInd/>
              <w:snapToGrid/>
              <w:spacing w:line="360" w:lineRule="exact"/>
              <w:outlineLvl w:val="9"/>
              <w:rPr>
                <w:rFonts w:ascii="宋体" w:hAnsi="宋体" w:cs="宋体"/>
                <w:color w:val="auto"/>
                <w:sz w:val="22"/>
                <w:highlight w:val="none"/>
              </w:rPr>
            </w:pPr>
          </w:p>
        </w:tc>
        <w:tc>
          <w:tcPr>
            <w:tcW w:w="1481" w:type="pct"/>
          </w:tcPr>
          <w:p w14:paraId="1F32335A">
            <w:pPr>
              <w:widowControl w:val="0"/>
              <w:adjustRightInd/>
              <w:snapToGrid/>
              <w:spacing w:line="360" w:lineRule="exact"/>
              <w:outlineLvl w:val="9"/>
              <w:rPr>
                <w:rFonts w:ascii="宋体" w:hAnsi="宋体" w:cs="宋体"/>
                <w:color w:val="auto"/>
                <w:sz w:val="22"/>
                <w:highlight w:val="none"/>
              </w:rPr>
            </w:pPr>
          </w:p>
        </w:tc>
      </w:tr>
      <w:tr w14:paraId="2EC20C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9586263">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13</w:t>
            </w:r>
          </w:p>
        </w:tc>
        <w:tc>
          <w:tcPr>
            <w:tcW w:w="1404" w:type="pct"/>
          </w:tcPr>
          <w:p w14:paraId="715108BB">
            <w:pPr>
              <w:widowControl w:val="0"/>
              <w:adjustRightInd/>
              <w:snapToGrid/>
              <w:spacing w:line="360" w:lineRule="exact"/>
              <w:outlineLvl w:val="9"/>
              <w:rPr>
                <w:rFonts w:ascii="宋体" w:hAnsi="宋体" w:cs="宋体"/>
                <w:color w:val="auto"/>
                <w:sz w:val="22"/>
                <w:highlight w:val="none"/>
              </w:rPr>
            </w:pPr>
          </w:p>
        </w:tc>
        <w:tc>
          <w:tcPr>
            <w:tcW w:w="1545" w:type="pct"/>
          </w:tcPr>
          <w:p w14:paraId="7A99426D">
            <w:pPr>
              <w:widowControl w:val="0"/>
              <w:adjustRightInd/>
              <w:snapToGrid/>
              <w:spacing w:line="360" w:lineRule="exact"/>
              <w:outlineLvl w:val="9"/>
              <w:rPr>
                <w:rFonts w:ascii="宋体" w:hAnsi="宋体" w:cs="宋体"/>
                <w:color w:val="auto"/>
                <w:sz w:val="22"/>
                <w:highlight w:val="none"/>
              </w:rPr>
            </w:pPr>
          </w:p>
        </w:tc>
        <w:tc>
          <w:tcPr>
            <w:tcW w:w="1481" w:type="pct"/>
          </w:tcPr>
          <w:p w14:paraId="25DAAE9A">
            <w:pPr>
              <w:widowControl w:val="0"/>
              <w:adjustRightInd/>
              <w:snapToGrid/>
              <w:spacing w:line="360" w:lineRule="exact"/>
              <w:outlineLvl w:val="9"/>
              <w:rPr>
                <w:rFonts w:ascii="宋体" w:hAnsi="宋体" w:cs="宋体"/>
                <w:color w:val="auto"/>
                <w:sz w:val="22"/>
                <w:highlight w:val="none"/>
              </w:rPr>
            </w:pPr>
          </w:p>
        </w:tc>
      </w:tr>
      <w:tr w14:paraId="562E2E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F05D4CB">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14</w:t>
            </w:r>
          </w:p>
        </w:tc>
        <w:tc>
          <w:tcPr>
            <w:tcW w:w="1404" w:type="pct"/>
          </w:tcPr>
          <w:p w14:paraId="193628DA">
            <w:pPr>
              <w:widowControl w:val="0"/>
              <w:adjustRightInd/>
              <w:snapToGrid/>
              <w:spacing w:line="360" w:lineRule="exact"/>
              <w:outlineLvl w:val="9"/>
              <w:rPr>
                <w:rFonts w:ascii="宋体" w:hAnsi="宋体" w:cs="宋体"/>
                <w:color w:val="auto"/>
                <w:sz w:val="22"/>
                <w:highlight w:val="none"/>
              </w:rPr>
            </w:pPr>
          </w:p>
        </w:tc>
        <w:tc>
          <w:tcPr>
            <w:tcW w:w="1545" w:type="pct"/>
          </w:tcPr>
          <w:p w14:paraId="2E3831AC">
            <w:pPr>
              <w:widowControl w:val="0"/>
              <w:adjustRightInd/>
              <w:snapToGrid/>
              <w:spacing w:line="360" w:lineRule="exact"/>
              <w:outlineLvl w:val="9"/>
              <w:rPr>
                <w:rFonts w:ascii="宋体" w:hAnsi="宋体" w:cs="宋体"/>
                <w:color w:val="auto"/>
                <w:sz w:val="22"/>
                <w:highlight w:val="none"/>
              </w:rPr>
            </w:pPr>
          </w:p>
        </w:tc>
        <w:tc>
          <w:tcPr>
            <w:tcW w:w="1481" w:type="pct"/>
          </w:tcPr>
          <w:p w14:paraId="4652279A">
            <w:pPr>
              <w:widowControl w:val="0"/>
              <w:adjustRightInd/>
              <w:snapToGrid/>
              <w:spacing w:line="360" w:lineRule="exact"/>
              <w:outlineLvl w:val="9"/>
              <w:rPr>
                <w:rFonts w:ascii="宋体" w:hAnsi="宋体" w:cs="宋体"/>
                <w:color w:val="auto"/>
                <w:sz w:val="22"/>
                <w:highlight w:val="none"/>
              </w:rPr>
            </w:pPr>
          </w:p>
        </w:tc>
      </w:tr>
      <w:tr w14:paraId="3AA4A3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3B31B77">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15</w:t>
            </w:r>
          </w:p>
        </w:tc>
        <w:tc>
          <w:tcPr>
            <w:tcW w:w="1404" w:type="pct"/>
          </w:tcPr>
          <w:p w14:paraId="42EF187F">
            <w:pPr>
              <w:widowControl w:val="0"/>
              <w:adjustRightInd/>
              <w:snapToGrid/>
              <w:spacing w:line="360" w:lineRule="exact"/>
              <w:outlineLvl w:val="9"/>
              <w:rPr>
                <w:rFonts w:ascii="宋体" w:hAnsi="宋体" w:cs="宋体"/>
                <w:color w:val="auto"/>
                <w:sz w:val="22"/>
                <w:highlight w:val="none"/>
              </w:rPr>
            </w:pPr>
          </w:p>
        </w:tc>
        <w:tc>
          <w:tcPr>
            <w:tcW w:w="1545" w:type="pct"/>
          </w:tcPr>
          <w:p w14:paraId="45658185">
            <w:pPr>
              <w:widowControl w:val="0"/>
              <w:adjustRightInd/>
              <w:snapToGrid/>
              <w:spacing w:line="360" w:lineRule="exact"/>
              <w:outlineLvl w:val="9"/>
              <w:rPr>
                <w:rFonts w:ascii="宋体" w:hAnsi="宋体" w:cs="宋体"/>
                <w:color w:val="auto"/>
                <w:sz w:val="22"/>
                <w:highlight w:val="none"/>
              </w:rPr>
            </w:pPr>
          </w:p>
        </w:tc>
        <w:tc>
          <w:tcPr>
            <w:tcW w:w="1481" w:type="pct"/>
          </w:tcPr>
          <w:p w14:paraId="102747C7">
            <w:pPr>
              <w:widowControl w:val="0"/>
              <w:adjustRightInd/>
              <w:snapToGrid/>
              <w:spacing w:line="360" w:lineRule="exact"/>
              <w:outlineLvl w:val="9"/>
              <w:rPr>
                <w:rFonts w:ascii="宋体" w:hAnsi="宋体" w:cs="宋体"/>
                <w:color w:val="auto"/>
                <w:sz w:val="22"/>
                <w:highlight w:val="none"/>
              </w:rPr>
            </w:pPr>
          </w:p>
        </w:tc>
      </w:tr>
      <w:tr w14:paraId="4FCACC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64A9469">
            <w:pPr>
              <w:widowControl w:val="0"/>
              <w:adjustRightInd/>
              <w:snapToGrid/>
              <w:spacing w:line="360" w:lineRule="exact"/>
              <w:ind w:firstLine="220" w:firstLineChars="100"/>
              <w:outlineLvl w:val="9"/>
              <w:rPr>
                <w:rFonts w:hint="default" w:ascii="宋体" w:hAnsi="宋体" w:eastAsia="宋体" w:cs="宋体"/>
                <w:color w:val="auto"/>
                <w:sz w:val="22"/>
                <w:highlight w:val="none"/>
                <w:lang w:val="en-US" w:eastAsia="zh-CN"/>
              </w:rPr>
            </w:pPr>
            <w:r>
              <w:rPr>
                <w:rFonts w:hint="eastAsia" w:ascii="宋体" w:hAnsi="宋体" w:cs="宋体"/>
                <w:color w:val="auto"/>
                <w:sz w:val="22"/>
                <w:highlight w:val="none"/>
                <w:lang w:val="en-US" w:eastAsia="zh-CN"/>
              </w:rPr>
              <w:t>16</w:t>
            </w:r>
          </w:p>
        </w:tc>
        <w:tc>
          <w:tcPr>
            <w:tcW w:w="1404" w:type="pct"/>
          </w:tcPr>
          <w:p w14:paraId="426306A7">
            <w:pPr>
              <w:widowControl w:val="0"/>
              <w:adjustRightInd/>
              <w:snapToGrid/>
              <w:spacing w:line="360" w:lineRule="exact"/>
              <w:outlineLvl w:val="9"/>
              <w:rPr>
                <w:rFonts w:ascii="宋体" w:hAnsi="宋体" w:cs="宋体"/>
                <w:color w:val="auto"/>
                <w:sz w:val="22"/>
                <w:highlight w:val="none"/>
              </w:rPr>
            </w:pPr>
          </w:p>
        </w:tc>
        <w:tc>
          <w:tcPr>
            <w:tcW w:w="1545" w:type="pct"/>
          </w:tcPr>
          <w:p w14:paraId="3475E2BE">
            <w:pPr>
              <w:widowControl w:val="0"/>
              <w:adjustRightInd/>
              <w:snapToGrid/>
              <w:spacing w:line="360" w:lineRule="exact"/>
              <w:outlineLvl w:val="9"/>
              <w:rPr>
                <w:rFonts w:ascii="宋体" w:hAnsi="宋体" w:cs="宋体"/>
                <w:color w:val="auto"/>
                <w:sz w:val="22"/>
                <w:highlight w:val="none"/>
              </w:rPr>
            </w:pPr>
          </w:p>
        </w:tc>
        <w:tc>
          <w:tcPr>
            <w:tcW w:w="1481" w:type="pct"/>
          </w:tcPr>
          <w:p w14:paraId="2587D365">
            <w:pPr>
              <w:widowControl w:val="0"/>
              <w:adjustRightInd/>
              <w:snapToGrid/>
              <w:spacing w:line="360" w:lineRule="exact"/>
              <w:outlineLvl w:val="9"/>
              <w:rPr>
                <w:rFonts w:ascii="宋体" w:hAnsi="宋体" w:cs="宋体"/>
                <w:color w:val="auto"/>
                <w:sz w:val="22"/>
                <w:highlight w:val="none"/>
              </w:rPr>
            </w:pPr>
          </w:p>
        </w:tc>
      </w:tr>
      <w:tr w14:paraId="3FAD6F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F9E29EE">
            <w:pPr>
              <w:widowControl w:val="0"/>
              <w:adjustRightInd/>
              <w:snapToGrid/>
              <w:spacing w:line="360" w:lineRule="exact"/>
              <w:ind w:firstLine="220" w:firstLineChars="100"/>
              <w:outlineLvl w:val="9"/>
              <w:rPr>
                <w:rFonts w:hint="default" w:ascii="宋体" w:hAnsi="宋体" w:eastAsia="宋体" w:cs="宋体"/>
                <w:color w:val="auto"/>
                <w:sz w:val="22"/>
                <w:highlight w:val="none"/>
                <w:lang w:val="en-US" w:eastAsia="zh-CN"/>
              </w:rPr>
            </w:pPr>
            <w:r>
              <w:rPr>
                <w:rFonts w:hint="eastAsia" w:ascii="宋体" w:hAnsi="宋体" w:cs="宋体"/>
                <w:color w:val="auto"/>
                <w:sz w:val="22"/>
                <w:highlight w:val="none"/>
                <w:lang w:val="en-US" w:eastAsia="zh-CN"/>
              </w:rPr>
              <w:t>17</w:t>
            </w:r>
          </w:p>
        </w:tc>
        <w:tc>
          <w:tcPr>
            <w:tcW w:w="1404" w:type="pct"/>
          </w:tcPr>
          <w:p w14:paraId="3A132AE9">
            <w:pPr>
              <w:widowControl w:val="0"/>
              <w:adjustRightInd/>
              <w:snapToGrid/>
              <w:spacing w:line="360" w:lineRule="exact"/>
              <w:outlineLvl w:val="9"/>
              <w:rPr>
                <w:rFonts w:ascii="宋体" w:hAnsi="宋体" w:cs="宋体"/>
                <w:color w:val="auto"/>
                <w:sz w:val="22"/>
                <w:highlight w:val="none"/>
              </w:rPr>
            </w:pPr>
          </w:p>
        </w:tc>
        <w:tc>
          <w:tcPr>
            <w:tcW w:w="1545" w:type="pct"/>
          </w:tcPr>
          <w:p w14:paraId="4B355EC5">
            <w:pPr>
              <w:widowControl w:val="0"/>
              <w:adjustRightInd/>
              <w:snapToGrid/>
              <w:spacing w:line="360" w:lineRule="exact"/>
              <w:outlineLvl w:val="9"/>
              <w:rPr>
                <w:rFonts w:ascii="宋体" w:hAnsi="宋体" w:cs="宋体"/>
                <w:color w:val="auto"/>
                <w:sz w:val="22"/>
                <w:highlight w:val="none"/>
              </w:rPr>
            </w:pPr>
          </w:p>
        </w:tc>
        <w:tc>
          <w:tcPr>
            <w:tcW w:w="1481" w:type="pct"/>
          </w:tcPr>
          <w:p w14:paraId="6451AB0B">
            <w:pPr>
              <w:widowControl w:val="0"/>
              <w:adjustRightInd/>
              <w:snapToGrid/>
              <w:spacing w:line="360" w:lineRule="exact"/>
              <w:outlineLvl w:val="9"/>
              <w:rPr>
                <w:rFonts w:ascii="宋体" w:hAnsi="宋体" w:cs="宋体"/>
                <w:color w:val="auto"/>
                <w:sz w:val="22"/>
                <w:highlight w:val="none"/>
              </w:rPr>
            </w:pPr>
          </w:p>
        </w:tc>
      </w:tr>
      <w:tr w14:paraId="5FD1C3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2815104">
            <w:pPr>
              <w:widowControl w:val="0"/>
              <w:adjustRightInd/>
              <w:snapToGrid/>
              <w:spacing w:line="360" w:lineRule="exact"/>
              <w:ind w:firstLine="220" w:firstLineChars="100"/>
              <w:outlineLvl w:val="9"/>
              <w:rPr>
                <w:rFonts w:hint="default" w:ascii="宋体" w:hAnsi="宋体" w:cs="宋体"/>
                <w:color w:val="auto"/>
                <w:sz w:val="22"/>
                <w:highlight w:val="none"/>
                <w:lang w:val="en-US" w:eastAsia="zh-CN"/>
              </w:rPr>
            </w:pPr>
            <w:r>
              <w:rPr>
                <w:rFonts w:hint="eastAsia" w:ascii="宋体" w:hAnsi="宋体" w:cs="宋体"/>
                <w:color w:val="auto"/>
                <w:sz w:val="22"/>
                <w:highlight w:val="none"/>
                <w:lang w:val="en-US" w:eastAsia="zh-CN"/>
              </w:rPr>
              <w:t>18</w:t>
            </w:r>
          </w:p>
        </w:tc>
        <w:tc>
          <w:tcPr>
            <w:tcW w:w="1404" w:type="pct"/>
          </w:tcPr>
          <w:p w14:paraId="1FC1527E">
            <w:pPr>
              <w:widowControl w:val="0"/>
              <w:adjustRightInd/>
              <w:snapToGrid/>
              <w:spacing w:line="360" w:lineRule="exact"/>
              <w:outlineLvl w:val="9"/>
              <w:rPr>
                <w:rFonts w:ascii="宋体" w:hAnsi="宋体" w:cs="宋体"/>
                <w:color w:val="auto"/>
                <w:sz w:val="22"/>
                <w:highlight w:val="none"/>
              </w:rPr>
            </w:pPr>
          </w:p>
        </w:tc>
        <w:tc>
          <w:tcPr>
            <w:tcW w:w="1545" w:type="pct"/>
          </w:tcPr>
          <w:p w14:paraId="354F90B4">
            <w:pPr>
              <w:widowControl w:val="0"/>
              <w:adjustRightInd/>
              <w:snapToGrid/>
              <w:spacing w:line="360" w:lineRule="exact"/>
              <w:outlineLvl w:val="9"/>
              <w:rPr>
                <w:rFonts w:ascii="宋体" w:hAnsi="宋体" w:cs="宋体"/>
                <w:color w:val="auto"/>
                <w:sz w:val="22"/>
                <w:highlight w:val="none"/>
              </w:rPr>
            </w:pPr>
          </w:p>
        </w:tc>
        <w:tc>
          <w:tcPr>
            <w:tcW w:w="1481" w:type="pct"/>
          </w:tcPr>
          <w:p w14:paraId="16FDE703">
            <w:pPr>
              <w:widowControl w:val="0"/>
              <w:adjustRightInd/>
              <w:snapToGrid/>
              <w:spacing w:line="360" w:lineRule="exact"/>
              <w:outlineLvl w:val="9"/>
              <w:rPr>
                <w:rFonts w:ascii="宋体" w:hAnsi="宋体" w:cs="宋体"/>
                <w:color w:val="auto"/>
                <w:sz w:val="22"/>
                <w:highlight w:val="none"/>
              </w:rPr>
            </w:pPr>
          </w:p>
        </w:tc>
      </w:tr>
      <w:tr w14:paraId="776EDA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250FCE9">
            <w:pPr>
              <w:widowControl w:val="0"/>
              <w:adjustRightInd/>
              <w:snapToGrid/>
              <w:spacing w:line="360" w:lineRule="exact"/>
              <w:ind w:firstLine="220" w:firstLineChars="100"/>
              <w:outlineLvl w:val="9"/>
              <w:rPr>
                <w:rFonts w:hint="default" w:ascii="宋体" w:hAnsi="宋体" w:cs="宋体"/>
                <w:color w:val="auto"/>
                <w:sz w:val="22"/>
                <w:highlight w:val="none"/>
                <w:lang w:val="en-US" w:eastAsia="zh-CN"/>
              </w:rPr>
            </w:pPr>
            <w:r>
              <w:rPr>
                <w:rFonts w:hint="eastAsia" w:ascii="宋体" w:hAnsi="宋体" w:cs="宋体"/>
                <w:color w:val="auto"/>
                <w:sz w:val="22"/>
                <w:highlight w:val="none"/>
                <w:lang w:val="en-US" w:eastAsia="zh-CN"/>
              </w:rPr>
              <w:t>19</w:t>
            </w:r>
          </w:p>
        </w:tc>
        <w:tc>
          <w:tcPr>
            <w:tcW w:w="1404" w:type="pct"/>
          </w:tcPr>
          <w:p w14:paraId="22C1D66E">
            <w:pPr>
              <w:widowControl w:val="0"/>
              <w:adjustRightInd/>
              <w:snapToGrid/>
              <w:spacing w:line="360" w:lineRule="exact"/>
              <w:outlineLvl w:val="9"/>
              <w:rPr>
                <w:rFonts w:ascii="宋体" w:hAnsi="宋体" w:cs="宋体"/>
                <w:color w:val="auto"/>
                <w:sz w:val="22"/>
                <w:highlight w:val="none"/>
              </w:rPr>
            </w:pPr>
          </w:p>
        </w:tc>
        <w:tc>
          <w:tcPr>
            <w:tcW w:w="1545" w:type="pct"/>
          </w:tcPr>
          <w:p w14:paraId="35CE163A">
            <w:pPr>
              <w:widowControl w:val="0"/>
              <w:adjustRightInd/>
              <w:snapToGrid/>
              <w:spacing w:line="360" w:lineRule="exact"/>
              <w:outlineLvl w:val="9"/>
              <w:rPr>
                <w:rFonts w:ascii="宋体" w:hAnsi="宋体" w:cs="宋体"/>
                <w:color w:val="auto"/>
                <w:sz w:val="22"/>
                <w:highlight w:val="none"/>
              </w:rPr>
            </w:pPr>
          </w:p>
        </w:tc>
        <w:tc>
          <w:tcPr>
            <w:tcW w:w="1481" w:type="pct"/>
          </w:tcPr>
          <w:p w14:paraId="1969EC40">
            <w:pPr>
              <w:widowControl w:val="0"/>
              <w:adjustRightInd/>
              <w:snapToGrid/>
              <w:spacing w:line="360" w:lineRule="exact"/>
              <w:outlineLvl w:val="9"/>
              <w:rPr>
                <w:rFonts w:ascii="宋体" w:hAnsi="宋体" w:cs="宋体"/>
                <w:color w:val="auto"/>
                <w:sz w:val="22"/>
                <w:highlight w:val="none"/>
              </w:rPr>
            </w:pPr>
          </w:p>
        </w:tc>
      </w:tr>
      <w:tr w14:paraId="41F797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82CBFC5">
            <w:pPr>
              <w:widowControl w:val="0"/>
              <w:adjustRightInd/>
              <w:snapToGrid/>
              <w:spacing w:line="360" w:lineRule="exact"/>
              <w:ind w:firstLine="220" w:firstLineChars="100"/>
              <w:outlineLvl w:val="9"/>
              <w:rPr>
                <w:rFonts w:hint="default" w:ascii="宋体" w:hAnsi="宋体" w:cs="宋体"/>
                <w:color w:val="auto"/>
                <w:sz w:val="22"/>
                <w:highlight w:val="none"/>
                <w:lang w:val="en-US" w:eastAsia="zh-CN"/>
              </w:rPr>
            </w:pPr>
            <w:r>
              <w:rPr>
                <w:rFonts w:hint="eastAsia" w:ascii="宋体" w:hAnsi="宋体" w:cs="宋体"/>
                <w:color w:val="auto"/>
                <w:sz w:val="22"/>
                <w:highlight w:val="none"/>
                <w:lang w:val="en-US" w:eastAsia="zh-CN"/>
              </w:rPr>
              <w:t>20</w:t>
            </w:r>
          </w:p>
        </w:tc>
        <w:tc>
          <w:tcPr>
            <w:tcW w:w="1404" w:type="pct"/>
          </w:tcPr>
          <w:p w14:paraId="491D95FC">
            <w:pPr>
              <w:widowControl w:val="0"/>
              <w:adjustRightInd/>
              <w:snapToGrid/>
              <w:spacing w:line="360" w:lineRule="exact"/>
              <w:outlineLvl w:val="9"/>
              <w:rPr>
                <w:rFonts w:ascii="宋体" w:hAnsi="宋体" w:cs="宋体"/>
                <w:color w:val="auto"/>
                <w:sz w:val="22"/>
                <w:highlight w:val="none"/>
              </w:rPr>
            </w:pPr>
          </w:p>
        </w:tc>
        <w:tc>
          <w:tcPr>
            <w:tcW w:w="1545" w:type="pct"/>
          </w:tcPr>
          <w:p w14:paraId="1C21451D">
            <w:pPr>
              <w:widowControl w:val="0"/>
              <w:adjustRightInd/>
              <w:snapToGrid/>
              <w:spacing w:line="360" w:lineRule="exact"/>
              <w:outlineLvl w:val="9"/>
              <w:rPr>
                <w:rFonts w:ascii="宋体" w:hAnsi="宋体" w:cs="宋体"/>
                <w:color w:val="auto"/>
                <w:sz w:val="22"/>
                <w:highlight w:val="none"/>
              </w:rPr>
            </w:pPr>
          </w:p>
        </w:tc>
        <w:tc>
          <w:tcPr>
            <w:tcW w:w="1481" w:type="pct"/>
          </w:tcPr>
          <w:p w14:paraId="0AE97132">
            <w:pPr>
              <w:widowControl w:val="0"/>
              <w:adjustRightInd/>
              <w:snapToGrid/>
              <w:spacing w:line="360" w:lineRule="exact"/>
              <w:outlineLvl w:val="9"/>
              <w:rPr>
                <w:rFonts w:ascii="宋体" w:hAnsi="宋体" w:cs="宋体"/>
                <w:color w:val="auto"/>
                <w:sz w:val="22"/>
                <w:highlight w:val="none"/>
              </w:rPr>
            </w:pPr>
          </w:p>
        </w:tc>
      </w:tr>
    </w:tbl>
    <w:p w14:paraId="5B272AE2">
      <w:pPr>
        <w:keepNext w:val="0"/>
        <w:keepLines w:val="0"/>
        <w:pageBreakBefore w:val="0"/>
        <w:widowControl w:val="0"/>
        <w:kinsoku/>
        <w:wordWrap/>
        <w:overflowPunct/>
        <w:topLinePunct w:val="0"/>
        <w:autoSpaceDE/>
        <w:autoSpaceDN/>
        <w:bidi w:val="0"/>
        <w:adjustRightInd/>
        <w:snapToGrid/>
        <w:spacing w:line="460" w:lineRule="exact"/>
        <w:ind w:firstLine="420" w:firstLineChars="200"/>
        <w:jc w:val="both"/>
        <w:textAlignment w:val="auto"/>
        <w:outlineLvl w:val="9"/>
        <w:rPr>
          <w:rFonts w:hint="eastAsia" w:ascii="宋体" w:hAnsi="宋体" w:eastAsia="宋体" w:cs="宋体"/>
          <w:color w:val="auto"/>
          <w:highlight w:val="none"/>
        </w:rPr>
      </w:pPr>
      <w:r>
        <w:rPr>
          <w:rFonts w:hint="eastAsia" w:ascii="宋体" w:hAnsi="宋体" w:eastAsia="宋体" w:cs="宋体"/>
          <w:color w:val="auto"/>
          <w:highlight w:val="none"/>
        </w:rPr>
        <w:t>备注：</w:t>
      </w:r>
    </w:p>
    <w:p w14:paraId="037077B5">
      <w:pPr>
        <w:keepNext w:val="0"/>
        <w:keepLines w:val="0"/>
        <w:pageBreakBefore w:val="0"/>
        <w:widowControl w:val="0"/>
        <w:numPr>
          <w:ilvl w:val="0"/>
          <w:numId w:val="0"/>
        </w:numPr>
        <w:kinsoku/>
        <w:wordWrap/>
        <w:overflowPunct/>
        <w:topLinePunct w:val="0"/>
        <w:autoSpaceDE/>
        <w:autoSpaceDN/>
        <w:bidi w:val="0"/>
        <w:adjustRightInd/>
        <w:snapToGrid/>
        <w:spacing w:line="460" w:lineRule="exact"/>
        <w:ind w:firstLine="420" w:firstLineChars="200"/>
        <w:jc w:val="both"/>
        <w:textAlignment w:val="auto"/>
        <w:outlineLvl w:val="9"/>
        <w:rPr>
          <w:rFonts w:hint="eastAsia" w:ascii="宋体" w:hAnsi="宋体" w:eastAsia="宋体" w:cs="宋体"/>
          <w:color w:val="auto"/>
          <w:highlight w:val="none"/>
          <w:lang w:val="en-US" w:eastAsia="zh-CN"/>
        </w:rPr>
      </w:pPr>
      <w:r>
        <w:rPr>
          <w:rFonts w:hint="eastAsia" w:ascii="宋体" w:hAnsi="宋体" w:eastAsia="宋体" w:cs="宋体"/>
          <w:color w:val="auto"/>
          <w:sz w:val="21"/>
          <w:szCs w:val="22"/>
          <w:highlight w:val="none"/>
          <w:lang w:val="en-US" w:eastAsia="zh-CN" w:bidi="ar-SA"/>
        </w:rPr>
        <w:t>1.</w:t>
      </w:r>
      <w:r>
        <w:rPr>
          <w:rFonts w:hint="eastAsia" w:ascii="宋体" w:hAnsi="宋体" w:eastAsia="宋体" w:cs="宋体"/>
          <w:color w:val="auto"/>
          <w:highlight w:val="none"/>
        </w:rPr>
        <w:t>以上为拟投入本项目运输车辆清单，</w:t>
      </w:r>
      <w:r>
        <w:rPr>
          <w:rFonts w:hint="eastAsia" w:ascii="宋体" w:hAnsi="宋体" w:eastAsia="宋体" w:cs="宋体"/>
          <w:color w:val="auto"/>
          <w:highlight w:val="none"/>
          <w:lang w:val="en-US" w:eastAsia="zh-CN"/>
        </w:rPr>
        <w:t>投标人</w:t>
      </w:r>
      <w:r>
        <w:rPr>
          <w:rFonts w:hint="eastAsia" w:ascii="宋体" w:hAnsi="宋体" w:eastAsia="宋体" w:cs="宋体"/>
          <w:color w:val="auto"/>
          <w:highlight w:val="none"/>
        </w:rPr>
        <w:t>可根据情况增加，不得减少。</w:t>
      </w:r>
      <w:r>
        <w:rPr>
          <w:rFonts w:hint="eastAsia" w:ascii="宋体" w:hAnsi="宋体" w:eastAsia="宋体" w:cs="宋体"/>
          <w:color w:val="auto"/>
          <w:highlight w:val="none"/>
          <w:lang w:val="en-US" w:eastAsia="zh-CN"/>
        </w:rPr>
        <w:t>以上</w:t>
      </w:r>
      <w:r>
        <w:rPr>
          <w:rFonts w:hint="eastAsia" w:ascii="宋体" w:hAnsi="宋体" w:eastAsia="宋体" w:cs="宋体"/>
          <w:color w:val="auto"/>
          <w:highlight w:val="none"/>
        </w:rPr>
        <w:t>名单为初步填写，后续如需更换，</w:t>
      </w:r>
      <w:r>
        <w:rPr>
          <w:rFonts w:hint="eastAsia" w:ascii="宋体" w:hAnsi="宋体" w:eastAsia="宋体" w:cs="宋体"/>
          <w:color w:val="auto"/>
          <w:highlight w:val="none"/>
          <w:lang w:val="en-US" w:eastAsia="zh-CN"/>
        </w:rPr>
        <w:t>需</w:t>
      </w:r>
      <w:r>
        <w:rPr>
          <w:rFonts w:hint="eastAsia" w:ascii="宋体" w:hAnsi="宋体" w:eastAsia="宋体" w:cs="宋体"/>
          <w:color w:val="auto"/>
          <w:highlight w:val="none"/>
        </w:rPr>
        <w:t>征得采购人</w:t>
      </w:r>
      <w:r>
        <w:rPr>
          <w:rFonts w:hint="eastAsia" w:ascii="宋体" w:hAnsi="宋体" w:eastAsia="宋体" w:cs="宋体"/>
          <w:color w:val="auto"/>
          <w:highlight w:val="none"/>
          <w:lang w:val="en-US" w:eastAsia="zh-CN"/>
        </w:rPr>
        <w:t>书面</w:t>
      </w:r>
      <w:r>
        <w:rPr>
          <w:rFonts w:hint="eastAsia" w:ascii="宋体" w:hAnsi="宋体" w:eastAsia="宋体" w:cs="宋体"/>
          <w:color w:val="auto"/>
          <w:highlight w:val="none"/>
        </w:rPr>
        <w:t>同意后方可更换。非投标人自有车辆的，需提供投标人与承租人的租赁合同或合作协议，均加盖公章；</w:t>
      </w:r>
      <w:r>
        <w:rPr>
          <w:rFonts w:hint="eastAsia" w:ascii="宋体" w:hAnsi="宋体" w:eastAsia="宋体" w:cs="宋体"/>
          <w:color w:val="auto"/>
          <w:highlight w:val="none"/>
          <w:lang w:val="en-US" w:eastAsia="zh-CN"/>
        </w:rPr>
        <w:t>合同履约过程中，成交人每少一辆</w:t>
      </w:r>
      <w:r>
        <w:rPr>
          <w:rFonts w:hint="eastAsia" w:ascii="宋体" w:hAnsi="宋体" w:cs="宋体"/>
          <w:color w:val="auto"/>
          <w:highlight w:val="none"/>
          <w:lang w:val="en-US" w:eastAsia="zh-CN"/>
        </w:rPr>
        <w:t>处以</w:t>
      </w:r>
      <w:r>
        <w:rPr>
          <w:rFonts w:hint="eastAsia" w:ascii="宋体" w:hAnsi="宋体" w:eastAsia="宋体" w:cs="宋体"/>
          <w:color w:val="auto"/>
          <w:highlight w:val="none"/>
          <w:lang w:val="en-US" w:eastAsia="zh-CN"/>
        </w:rPr>
        <w:t>10000元处罚，超过3辆的采购人有权无责解除合同并没收履约保证金。</w:t>
      </w:r>
    </w:p>
    <w:p w14:paraId="5AE04AC5">
      <w:pPr>
        <w:keepNext w:val="0"/>
        <w:keepLines w:val="0"/>
        <w:pageBreakBefore w:val="0"/>
        <w:widowControl w:val="0"/>
        <w:kinsoku/>
        <w:wordWrap/>
        <w:overflowPunct/>
        <w:topLinePunct w:val="0"/>
        <w:autoSpaceDE/>
        <w:autoSpaceDN/>
        <w:bidi w:val="0"/>
        <w:adjustRightInd/>
        <w:snapToGrid/>
        <w:spacing w:line="460" w:lineRule="exact"/>
        <w:ind w:firstLine="420" w:firstLineChars="200"/>
        <w:jc w:val="both"/>
        <w:textAlignment w:val="auto"/>
        <w:outlineLvl w:val="9"/>
        <w:rPr>
          <w:rFonts w:hint="eastAsia" w:ascii="宋体" w:hAnsi="宋体" w:eastAsia="宋体" w:cs="宋体"/>
          <w:color w:val="auto"/>
          <w:highlight w:val="none"/>
        </w:rPr>
      </w:pPr>
      <w:r>
        <w:rPr>
          <w:rFonts w:hint="eastAsia" w:ascii="宋体" w:hAnsi="宋体" w:eastAsia="宋体" w:cs="宋体"/>
          <w:color w:val="auto"/>
          <w:highlight w:val="none"/>
          <w:lang w:val="en-US" w:eastAsia="zh-CN"/>
        </w:rPr>
        <w:t>2.</w:t>
      </w:r>
      <w:r>
        <w:rPr>
          <w:rFonts w:hint="eastAsia" w:ascii="宋体" w:hAnsi="宋体" w:eastAsia="宋体" w:cs="宋体"/>
          <w:color w:val="auto"/>
          <w:highlight w:val="none"/>
        </w:rPr>
        <w:t>资料要求：</w:t>
      </w:r>
    </w:p>
    <w:p w14:paraId="063A1876">
      <w:pPr>
        <w:keepNext w:val="0"/>
        <w:keepLines w:val="0"/>
        <w:pageBreakBefore w:val="0"/>
        <w:widowControl w:val="0"/>
        <w:kinsoku/>
        <w:wordWrap/>
        <w:overflowPunct/>
        <w:topLinePunct w:val="0"/>
        <w:autoSpaceDE/>
        <w:autoSpaceDN/>
        <w:bidi w:val="0"/>
        <w:adjustRightInd/>
        <w:snapToGrid/>
        <w:spacing w:line="460" w:lineRule="exact"/>
        <w:ind w:firstLine="420" w:firstLineChars="200"/>
        <w:jc w:val="both"/>
        <w:textAlignment w:val="auto"/>
        <w:outlineLvl w:val="9"/>
        <w:rPr>
          <w:rFonts w:hint="eastAsia" w:ascii="宋体" w:hAnsi="宋体" w:eastAsia="宋体" w:cs="宋体"/>
          <w:color w:val="auto"/>
          <w:highlight w:val="none"/>
          <w:lang w:eastAsia="zh-CN"/>
        </w:rPr>
      </w:pPr>
      <w:r>
        <w:rPr>
          <w:rFonts w:hint="eastAsia" w:ascii="宋体" w:hAnsi="宋体" w:eastAsia="宋体" w:cs="宋体"/>
          <w:color w:val="auto"/>
          <w:highlight w:val="none"/>
        </w:rPr>
        <w:t>【投标时提供】</w:t>
      </w:r>
      <w:r>
        <w:rPr>
          <w:rFonts w:hint="eastAsia" w:ascii="宋体" w:hAnsi="宋体" w:eastAsia="宋体" w:cs="宋体"/>
          <w:color w:val="auto"/>
          <w:highlight w:val="none"/>
          <w:lang w:val="en-US" w:eastAsia="zh-CN"/>
        </w:rPr>
        <w:t>上述</w:t>
      </w:r>
      <w:r>
        <w:rPr>
          <w:rFonts w:hint="eastAsia" w:ascii="宋体" w:hAnsi="宋体" w:eastAsia="宋体" w:cs="宋体"/>
          <w:color w:val="auto"/>
          <w:highlight w:val="none"/>
        </w:rPr>
        <w:t>运输车辆的《道路运输证》</w:t>
      </w:r>
      <w:r>
        <w:rPr>
          <w:rFonts w:hint="eastAsia" w:ascii="宋体" w:hAnsi="宋体" w:eastAsia="宋体" w:cs="宋体"/>
          <w:color w:val="auto"/>
          <w:highlight w:val="none"/>
          <w:lang w:val="en-US" w:eastAsia="zh-CN"/>
        </w:rPr>
        <w:t>且经营范围包括“危险货物运输”</w:t>
      </w:r>
      <w:r>
        <w:rPr>
          <w:rFonts w:hint="eastAsia" w:ascii="宋体" w:hAnsi="宋体" w:eastAsia="宋体" w:cs="宋体"/>
          <w:color w:val="auto"/>
          <w:highlight w:val="none"/>
        </w:rPr>
        <w:t>（加盖公章）；非投标人自有车辆的，需提供投标人与承租人的租赁合同或合作协议，均加盖公章</w:t>
      </w:r>
      <w:r>
        <w:rPr>
          <w:rFonts w:hint="eastAsia" w:ascii="宋体" w:hAnsi="宋体" w:eastAsia="宋体" w:cs="宋体"/>
          <w:color w:val="auto"/>
          <w:highlight w:val="none"/>
          <w:lang w:eastAsia="zh-CN"/>
        </w:rPr>
        <w:t>。</w:t>
      </w:r>
    </w:p>
    <w:p w14:paraId="236F0D4A">
      <w:pPr>
        <w:keepNext w:val="0"/>
        <w:keepLines w:val="0"/>
        <w:pageBreakBefore w:val="0"/>
        <w:widowControl w:val="0"/>
        <w:kinsoku/>
        <w:wordWrap/>
        <w:overflowPunct/>
        <w:topLinePunct w:val="0"/>
        <w:autoSpaceDE/>
        <w:autoSpaceDN/>
        <w:bidi w:val="0"/>
        <w:adjustRightInd/>
        <w:snapToGrid/>
        <w:spacing w:line="460" w:lineRule="exact"/>
        <w:ind w:firstLine="420" w:firstLineChars="200"/>
        <w:jc w:val="both"/>
        <w:textAlignment w:val="auto"/>
        <w:outlineLvl w:val="9"/>
        <w:rPr>
          <w:rFonts w:hint="eastAsia" w:ascii="宋体" w:hAnsi="宋体"/>
          <w:b/>
          <w:color w:val="auto"/>
          <w:sz w:val="21"/>
          <w:szCs w:val="21"/>
          <w:highlight w:val="none"/>
        </w:rPr>
      </w:pPr>
      <w:r>
        <w:rPr>
          <w:rFonts w:hint="eastAsia" w:ascii="宋体" w:hAnsi="宋体" w:eastAsia="宋体" w:cs="宋体"/>
          <w:color w:val="auto"/>
          <w:highlight w:val="none"/>
        </w:rPr>
        <w:t>【中标后向</w:t>
      </w:r>
      <w:r>
        <w:rPr>
          <w:rFonts w:hint="eastAsia" w:ascii="宋体" w:hAnsi="宋体" w:eastAsia="宋体" w:cs="宋体"/>
          <w:color w:val="auto"/>
          <w:highlight w:val="none"/>
          <w:lang w:val="en-US" w:eastAsia="zh-CN"/>
        </w:rPr>
        <w:t>采购人</w:t>
      </w:r>
      <w:r>
        <w:rPr>
          <w:rFonts w:hint="eastAsia" w:ascii="宋体" w:hAnsi="宋体" w:eastAsia="宋体" w:cs="宋体"/>
          <w:color w:val="auto"/>
          <w:highlight w:val="none"/>
        </w:rPr>
        <w:t>备案】运输车辆的行驶证、道路运输证、强制险保单、商业险保单、危险货物承运人保单、GPS定位系统安装证明、视频监控接入证明等。</w:t>
      </w:r>
      <w:r>
        <w:rPr>
          <w:rFonts w:hint="eastAsia" w:ascii="宋体" w:hAnsi="宋体"/>
          <w:b/>
          <w:color w:val="auto"/>
          <w:sz w:val="21"/>
          <w:szCs w:val="21"/>
          <w:highlight w:val="none"/>
        </w:rPr>
        <w:br w:type="page"/>
      </w:r>
    </w:p>
    <w:p w14:paraId="0660F714">
      <w:pPr>
        <w:outlineLvl w:val="9"/>
        <w:rPr>
          <w:rFonts w:hint="eastAsia" w:ascii="宋体" w:hAnsi="宋体"/>
          <w:b/>
          <w:color w:val="auto"/>
          <w:sz w:val="21"/>
          <w:szCs w:val="21"/>
          <w:highlight w:val="none"/>
        </w:rPr>
      </w:pPr>
      <w:r>
        <w:rPr>
          <w:rFonts w:hint="eastAsia" w:ascii="宋体" w:hAnsi="宋体"/>
          <w:b/>
          <w:color w:val="auto"/>
          <w:sz w:val="21"/>
          <w:szCs w:val="21"/>
          <w:highlight w:val="none"/>
        </w:rPr>
        <w:t>技术需求书附件</w:t>
      </w:r>
      <w:r>
        <w:rPr>
          <w:rFonts w:hint="eastAsia" w:ascii="宋体" w:hAnsi="宋体"/>
          <w:b/>
          <w:color w:val="auto"/>
          <w:sz w:val="21"/>
          <w:szCs w:val="21"/>
          <w:highlight w:val="none"/>
          <w:lang w:val="en-US" w:eastAsia="zh-CN"/>
        </w:rPr>
        <w:t>2</w:t>
      </w:r>
      <w:r>
        <w:rPr>
          <w:rFonts w:hint="eastAsia" w:ascii="宋体" w:hAnsi="宋体"/>
          <w:b/>
          <w:color w:val="auto"/>
          <w:sz w:val="21"/>
          <w:szCs w:val="21"/>
          <w:highlight w:val="none"/>
        </w:rPr>
        <w:t xml:space="preserve">：《运输人员花名册》 </w:t>
      </w:r>
    </w:p>
    <w:tbl>
      <w:tblPr>
        <w:tblStyle w:val="30"/>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8"/>
        <w:gridCol w:w="2393"/>
        <w:gridCol w:w="2634"/>
        <w:gridCol w:w="2525"/>
      </w:tblGrid>
      <w:tr w14:paraId="196A52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68" w:type="pct"/>
          </w:tcPr>
          <w:p w14:paraId="086BA54A">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序号</w:t>
            </w:r>
          </w:p>
        </w:tc>
        <w:tc>
          <w:tcPr>
            <w:tcW w:w="1404" w:type="pct"/>
          </w:tcPr>
          <w:p w14:paraId="5055CA22">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人员名单</w:t>
            </w:r>
          </w:p>
        </w:tc>
        <w:tc>
          <w:tcPr>
            <w:tcW w:w="1545" w:type="pct"/>
          </w:tcPr>
          <w:p w14:paraId="32CE037F">
            <w:pPr>
              <w:widowControl w:val="0"/>
              <w:adjustRightInd/>
              <w:snapToGrid/>
              <w:spacing w:line="360" w:lineRule="exact"/>
              <w:ind w:firstLine="220" w:firstLineChars="100"/>
              <w:jc w:val="center"/>
              <w:outlineLvl w:val="9"/>
              <w:rPr>
                <w:rFonts w:ascii="宋体" w:hAnsi="宋体" w:cs="宋体"/>
                <w:color w:val="auto"/>
                <w:sz w:val="22"/>
                <w:highlight w:val="none"/>
              </w:rPr>
            </w:pPr>
            <w:r>
              <w:rPr>
                <w:rFonts w:hint="eastAsia" w:ascii="宋体" w:hAnsi="宋体" w:cs="宋体"/>
                <w:color w:val="auto"/>
                <w:sz w:val="22"/>
                <w:highlight w:val="none"/>
              </w:rPr>
              <w:t>证照（类别）</w:t>
            </w:r>
          </w:p>
        </w:tc>
        <w:tc>
          <w:tcPr>
            <w:tcW w:w="1481" w:type="pct"/>
          </w:tcPr>
          <w:p w14:paraId="3E1C914C">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备注</w:t>
            </w:r>
          </w:p>
        </w:tc>
      </w:tr>
      <w:tr w14:paraId="4A2B52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08DBCFD">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1</w:t>
            </w:r>
          </w:p>
        </w:tc>
        <w:tc>
          <w:tcPr>
            <w:tcW w:w="1404" w:type="pct"/>
          </w:tcPr>
          <w:p w14:paraId="3157B2AD">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3E8DE35C">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70648C03">
            <w:pPr>
              <w:widowControl w:val="0"/>
              <w:adjustRightInd/>
              <w:snapToGrid/>
              <w:spacing w:line="360" w:lineRule="exact"/>
              <w:jc w:val="center"/>
              <w:outlineLvl w:val="9"/>
              <w:rPr>
                <w:rFonts w:ascii="宋体" w:hAnsi="宋体" w:cs="宋体"/>
                <w:color w:val="auto"/>
                <w:sz w:val="22"/>
                <w:highlight w:val="none"/>
              </w:rPr>
            </w:pPr>
          </w:p>
        </w:tc>
      </w:tr>
      <w:tr w14:paraId="0FE95C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E544049">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2</w:t>
            </w:r>
          </w:p>
        </w:tc>
        <w:tc>
          <w:tcPr>
            <w:tcW w:w="1404" w:type="pct"/>
          </w:tcPr>
          <w:p w14:paraId="3EE29EBC">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64B92E0F">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247C1D87">
            <w:pPr>
              <w:widowControl w:val="0"/>
              <w:adjustRightInd/>
              <w:snapToGrid/>
              <w:spacing w:line="360" w:lineRule="exact"/>
              <w:jc w:val="center"/>
              <w:outlineLvl w:val="9"/>
              <w:rPr>
                <w:rFonts w:ascii="宋体" w:hAnsi="宋体" w:cs="宋体"/>
                <w:color w:val="auto"/>
                <w:sz w:val="22"/>
                <w:highlight w:val="none"/>
              </w:rPr>
            </w:pPr>
          </w:p>
        </w:tc>
      </w:tr>
      <w:tr w14:paraId="55D709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F606C29">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3</w:t>
            </w:r>
          </w:p>
        </w:tc>
        <w:tc>
          <w:tcPr>
            <w:tcW w:w="1404" w:type="pct"/>
          </w:tcPr>
          <w:p w14:paraId="690D20D1">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6401C5D1">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25E45FD7">
            <w:pPr>
              <w:widowControl w:val="0"/>
              <w:adjustRightInd/>
              <w:snapToGrid/>
              <w:spacing w:line="360" w:lineRule="exact"/>
              <w:jc w:val="center"/>
              <w:outlineLvl w:val="9"/>
              <w:rPr>
                <w:rFonts w:ascii="宋体" w:hAnsi="宋体" w:cs="宋体"/>
                <w:color w:val="auto"/>
                <w:sz w:val="22"/>
                <w:highlight w:val="none"/>
              </w:rPr>
            </w:pPr>
          </w:p>
        </w:tc>
      </w:tr>
      <w:tr w14:paraId="32CDF4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A30228E">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4</w:t>
            </w:r>
          </w:p>
        </w:tc>
        <w:tc>
          <w:tcPr>
            <w:tcW w:w="1404" w:type="pct"/>
          </w:tcPr>
          <w:p w14:paraId="75F7ECC2">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56269CBB">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0137C088">
            <w:pPr>
              <w:widowControl w:val="0"/>
              <w:adjustRightInd/>
              <w:snapToGrid/>
              <w:spacing w:line="360" w:lineRule="exact"/>
              <w:jc w:val="center"/>
              <w:outlineLvl w:val="9"/>
              <w:rPr>
                <w:rFonts w:ascii="宋体" w:hAnsi="宋体" w:cs="宋体"/>
                <w:color w:val="auto"/>
                <w:sz w:val="22"/>
                <w:highlight w:val="none"/>
              </w:rPr>
            </w:pPr>
          </w:p>
        </w:tc>
      </w:tr>
      <w:tr w14:paraId="41DB12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CBAE67C">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5</w:t>
            </w:r>
          </w:p>
        </w:tc>
        <w:tc>
          <w:tcPr>
            <w:tcW w:w="1404" w:type="pct"/>
          </w:tcPr>
          <w:p w14:paraId="5B8D18A5">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4064B25D">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6C4280EB">
            <w:pPr>
              <w:widowControl w:val="0"/>
              <w:adjustRightInd/>
              <w:snapToGrid/>
              <w:spacing w:line="360" w:lineRule="exact"/>
              <w:jc w:val="center"/>
              <w:outlineLvl w:val="9"/>
              <w:rPr>
                <w:rFonts w:ascii="宋体" w:hAnsi="宋体" w:cs="宋体"/>
                <w:color w:val="auto"/>
                <w:sz w:val="22"/>
                <w:highlight w:val="none"/>
              </w:rPr>
            </w:pPr>
          </w:p>
        </w:tc>
      </w:tr>
      <w:tr w14:paraId="025AA3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6191DF1">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6</w:t>
            </w:r>
          </w:p>
        </w:tc>
        <w:tc>
          <w:tcPr>
            <w:tcW w:w="1404" w:type="pct"/>
          </w:tcPr>
          <w:p w14:paraId="303CC681">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009C1338">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7C31B29E">
            <w:pPr>
              <w:widowControl w:val="0"/>
              <w:adjustRightInd/>
              <w:snapToGrid/>
              <w:spacing w:line="360" w:lineRule="exact"/>
              <w:jc w:val="center"/>
              <w:outlineLvl w:val="9"/>
              <w:rPr>
                <w:rFonts w:ascii="宋体" w:hAnsi="宋体" w:cs="宋体"/>
                <w:color w:val="auto"/>
                <w:sz w:val="22"/>
                <w:highlight w:val="none"/>
              </w:rPr>
            </w:pPr>
          </w:p>
        </w:tc>
      </w:tr>
      <w:tr w14:paraId="0C3396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C3EF9C6">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7</w:t>
            </w:r>
          </w:p>
        </w:tc>
        <w:tc>
          <w:tcPr>
            <w:tcW w:w="1404" w:type="pct"/>
          </w:tcPr>
          <w:p w14:paraId="307CFEC1">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4D983283">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68003C4A">
            <w:pPr>
              <w:widowControl w:val="0"/>
              <w:adjustRightInd/>
              <w:snapToGrid/>
              <w:spacing w:line="360" w:lineRule="exact"/>
              <w:jc w:val="center"/>
              <w:outlineLvl w:val="9"/>
              <w:rPr>
                <w:rFonts w:ascii="宋体" w:hAnsi="宋体" w:cs="宋体"/>
                <w:color w:val="auto"/>
                <w:sz w:val="22"/>
                <w:highlight w:val="none"/>
              </w:rPr>
            </w:pPr>
          </w:p>
        </w:tc>
      </w:tr>
      <w:tr w14:paraId="7C15EE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5CCF012">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8</w:t>
            </w:r>
          </w:p>
        </w:tc>
        <w:tc>
          <w:tcPr>
            <w:tcW w:w="1404" w:type="pct"/>
          </w:tcPr>
          <w:p w14:paraId="16B6F1B7">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7C86FE25">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56E91DB0">
            <w:pPr>
              <w:widowControl w:val="0"/>
              <w:adjustRightInd/>
              <w:snapToGrid/>
              <w:spacing w:line="360" w:lineRule="exact"/>
              <w:jc w:val="center"/>
              <w:outlineLvl w:val="9"/>
              <w:rPr>
                <w:rFonts w:ascii="宋体" w:hAnsi="宋体" w:cs="宋体"/>
                <w:color w:val="auto"/>
                <w:sz w:val="22"/>
                <w:highlight w:val="none"/>
              </w:rPr>
            </w:pPr>
          </w:p>
        </w:tc>
      </w:tr>
      <w:tr w14:paraId="4113F3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97F2C21">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9</w:t>
            </w:r>
          </w:p>
        </w:tc>
        <w:tc>
          <w:tcPr>
            <w:tcW w:w="1404" w:type="pct"/>
          </w:tcPr>
          <w:p w14:paraId="012EC776">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4DF729C0">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6E501ACF">
            <w:pPr>
              <w:widowControl w:val="0"/>
              <w:adjustRightInd/>
              <w:snapToGrid/>
              <w:spacing w:line="360" w:lineRule="exact"/>
              <w:jc w:val="center"/>
              <w:outlineLvl w:val="9"/>
              <w:rPr>
                <w:rFonts w:ascii="宋体" w:hAnsi="宋体" w:cs="宋体"/>
                <w:color w:val="auto"/>
                <w:sz w:val="22"/>
                <w:highlight w:val="none"/>
              </w:rPr>
            </w:pPr>
          </w:p>
        </w:tc>
      </w:tr>
      <w:tr w14:paraId="3C010C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BB3E183">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10</w:t>
            </w:r>
          </w:p>
        </w:tc>
        <w:tc>
          <w:tcPr>
            <w:tcW w:w="1404" w:type="pct"/>
          </w:tcPr>
          <w:p w14:paraId="0103056E">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270D4D3E">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3B60B8C3">
            <w:pPr>
              <w:widowControl w:val="0"/>
              <w:adjustRightInd/>
              <w:snapToGrid/>
              <w:spacing w:line="360" w:lineRule="exact"/>
              <w:jc w:val="center"/>
              <w:outlineLvl w:val="9"/>
              <w:rPr>
                <w:rFonts w:ascii="宋体" w:hAnsi="宋体" w:cs="宋体"/>
                <w:color w:val="auto"/>
                <w:sz w:val="22"/>
                <w:highlight w:val="none"/>
              </w:rPr>
            </w:pPr>
          </w:p>
        </w:tc>
      </w:tr>
      <w:tr w14:paraId="2758B5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CA13A04">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11</w:t>
            </w:r>
          </w:p>
        </w:tc>
        <w:tc>
          <w:tcPr>
            <w:tcW w:w="1404" w:type="pct"/>
          </w:tcPr>
          <w:p w14:paraId="05648F1D">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272E9D14">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0055C159">
            <w:pPr>
              <w:widowControl w:val="0"/>
              <w:adjustRightInd/>
              <w:snapToGrid/>
              <w:spacing w:line="360" w:lineRule="exact"/>
              <w:jc w:val="center"/>
              <w:outlineLvl w:val="9"/>
              <w:rPr>
                <w:rFonts w:ascii="宋体" w:hAnsi="宋体" w:cs="宋体"/>
                <w:color w:val="auto"/>
                <w:sz w:val="22"/>
                <w:highlight w:val="none"/>
              </w:rPr>
            </w:pPr>
          </w:p>
        </w:tc>
      </w:tr>
      <w:tr w14:paraId="34143F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FB091B3">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12</w:t>
            </w:r>
          </w:p>
        </w:tc>
        <w:tc>
          <w:tcPr>
            <w:tcW w:w="1404" w:type="pct"/>
          </w:tcPr>
          <w:p w14:paraId="31F2CC5B">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3633AB23">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2612DB51">
            <w:pPr>
              <w:widowControl w:val="0"/>
              <w:adjustRightInd/>
              <w:snapToGrid/>
              <w:spacing w:line="360" w:lineRule="exact"/>
              <w:jc w:val="center"/>
              <w:outlineLvl w:val="9"/>
              <w:rPr>
                <w:rFonts w:ascii="宋体" w:hAnsi="宋体" w:cs="宋体"/>
                <w:color w:val="auto"/>
                <w:sz w:val="22"/>
                <w:highlight w:val="none"/>
              </w:rPr>
            </w:pPr>
          </w:p>
        </w:tc>
      </w:tr>
      <w:tr w14:paraId="69BC07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C6436C8">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13</w:t>
            </w:r>
          </w:p>
        </w:tc>
        <w:tc>
          <w:tcPr>
            <w:tcW w:w="1404" w:type="pct"/>
          </w:tcPr>
          <w:p w14:paraId="63818DE5">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09BDBCD3">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0507AB2F">
            <w:pPr>
              <w:widowControl w:val="0"/>
              <w:adjustRightInd/>
              <w:snapToGrid/>
              <w:spacing w:line="360" w:lineRule="exact"/>
              <w:jc w:val="center"/>
              <w:outlineLvl w:val="9"/>
              <w:rPr>
                <w:rFonts w:ascii="宋体" w:hAnsi="宋体" w:cs="宋体"/>
                <w:color w:val="auto"/>
                <w:sz w:val="22"/>
                <w:highlight w:val="none"/>
              </w:rPr>
            </w:pPr>
          </w:p>
        </w:tc>
      </w:tr>
      <w:tr w14:paraId="398D88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CFE6D01">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14</w:t>
            </w:r>
          </w:p>
        </w:tc>
        <w:tc>
          <w:tcPr>
            <w:tcW w:w="1404" w:type="pct"/>
          </w:tcPr>
          <w:p w14:paraId="6126AF8E">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680D6001">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19893E3D">
            <w:pPr>
              <w:widowControl w:val="0"/>
              <w:adjustRightInd/>
              <w:snapToGrid/>
              <w:spacing w:line="360" w:lineRule="exact"/>
              <w:jc w:val="center"/>
              <w:outlineLvl w:val="9"/>
              <w:rPr>
                <w:rFonts w:ascii="宋体" w:hAnsi="宋体" w:cs="宋体"/>
                <w:color w:val="auto"/>
                <w:sz w:val="22"/>
                <w:highlight w:val="none"/>
              </w:rPr>
            </w:pPr>
          </w:p>
        </w:tc>
      </w:tr>
      <w:tr w14:paraId="48A409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6E34099">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15</w:t>
            </w:r>
          </w:p>
        </w:tc>
        <w:tc>
          <w:tcPr>
            <w:tcW w:w="1404" w:type="pct"/>
          </w:tcPr>
          <w:p w14:paraId="3B8B9E9E">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3FC95CA3">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5625766B">
            <w:pPr>
              <w:widowControl w:val="0"/>
              <w:adjustRightInd/>
              <w:snapToGrid/>
              <w:spacing w:line="360" w:lineRule="exact"/>
              <w:jc w:val="center"/>
              <w:outlineLvl w:val="9"/>
              <w:rPr>
                <w:rFonts w:ascii="宋体" w:hAnsi="宋体" w:cs="宋体"/>
                <w:color w:val="auto"/>
                <w:sz w:val="22"/>
                <w:highlight w:val="none"/>
              </w:rPr>
            </w:pPr>
          </w:p>
        </w:tc>
      </w:tr>
      <w:tr w14:paraId="5E80D1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5312601">
            <w:pPr>
              <w:widowControl w:val="0"/>
              <w:adjustRightInd/>
              <w:snapToGrid/>
              <w:spacing w:line="360" w:lineRule="exact"/>
              <w:jc w:val="center"/>
              <w:outlineLvl w:val="9"/>
              <w:rPr>
                <w:rFonts w:hint="default" w:ascii="宋体" w:hAnsi="宋体" w:eastAsia="宋体" w:cs="宋体"/>
                <w:color w:val="auto"/>
                <w:sz w:val="22"/>
                <w:highlight w:val="none"/>
                <w:lang w:val="en-US" w:eastAsia="zh-CN"/>
              </w:rPr>
            </w:pPr>
            <w:r>
              <w:rPr>
                <w:rFonts w:hint="eastAsia" w:ascii="宋体" w:hAnsi="宋体" w:cs="宋体"/>
                <w:color w:val="auto"/>
                <w:sz w:val="22"/>
                <w:highlight w:val="none"/>
                <w:lang w:val="en-US" w:eastAsia="zh-CN"/>
              </w:rPr>
              <w:t>16</w:t>
            </w:r>
          </w:p>
        </w:tc>
        <w:tc>
          <w:tcPr>
            <w:tcW w:w="1404" w:type="pct"/>
          </w:tcPr>
          <w:p w14:paraId="625FE1C5">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0031E12F">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096FD44F">
            <w:pPr>
              <w:widowControl w:val="0"/>
              <w:adjustRightInd/>
              <w:snapToGrid/>
              <w:spacing w:line="360" w:lineRule="exact"/>
              <w:jc w:val="center"/>
              <w:outlineLvl w:val="9"/>
              <w:rPr>
                <w:rFonts w:ascii="宋体" w:hAnsi="宋体" w:cs="宋体"/>
                <w:color w:val="auto"/>
                <w:sz w:val="22"/>
                <w:highlight w:val="none"/>
              </w:rPr>
            </w:pPr>
          </w:p>
        </w:tc>
      </w:tr>
      <w:tr w14:paraId="2C3DF2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8CD7019">
            <w:pPr>
              <w:widowControl w:val="0"/>
              <w:adjustRightInd/>
              <w:snapToGrid/>
              <w:spacing w:line="360" w:lineRule="exact"/>
              <w:jc w:val="center"/>
              <w:outlineLvl w:val="9"/>
              <w:rPr>
                <w:rFonts w:hint="default" w:ascii="宋体" w:hAnsi="宋体" w:eastAsia="宋体" w:cs="宋体"/>
                <w:color w:val="auto"/>
                <w:sz w:val="22"/>
                <w:highlight w:val="none"/>
                <w:lang w:val="en-US" w:eastAsia="zh-CN"/>
              </w:rPr>
            </w:pPr>
            <w:r>
              <w:rPr>
                <w:rFonts w:hint="eastAsia" w:ascii="宋体" w:hAnsi="宋体" w:cs="宋体"/>
                <w:color w:val="auto"/>
                <w:sz w:val="22"/>
                <w:highlight w:val="none"/>
                <w:lang w:val="en-US" w:eastAsia="zh-CN"/>
              </w:rPr>
              <w:t>17</w:t>
            </w:r>
          </w:p>
        </w:tc>
        <w:tc>
          <w:tcPr>
            <w:tcW w:w="1404" w:type="pct"/>
          </w:tcPr>
          <w:p w14:paraId="02713E54">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593D027E">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290ED55A">
            <w:pPr>
              <w:widowControl w:val="0"/>
              <w:adjustRightInd/>
              <w:snapToGrid/>
              <w:spacing w:line="360" w:lineRule="exact"/>
              <w:jc w:val="center"/>
              <w:outlineLvl w:val="9"/>
              <w:rPr>
                <w:rFonts w:ascii="宋体" w:hAnsi="宋体" w:cs="宋体"/>
                <w:color w:val="auto"/>
                <w:sz w:val="22"/>
                <w:highlight w:val="none"/>
              </w:rPr>
            </w:pPr>
          </w:p>
        </w:tc>
      </w:tr>
      <w:tr w14:paraId="6CB168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D1D7E73">
            <w:pPr>
              <w:widowControl w:val="0"/>
              <w:adjustRightInd/>
              <w:snapToGrid/>
              <w:spacing w:line="360" w:lineRule="exact"/>
              <w:jc w:val="center"/>
              <w:outlineLvl w:val="9"/>
              <w:rPr>
                <w:rFonts w:hint="default" w:ascii="宋体" w:hAnsi="宋体" w:cs="宋体"/>
                <w:color w:val="auto"/>
                <w:sz w:val="22"/>
                <w:highlight w:val="none"/>
                <w:lang w:val="en-US" w:eastAsia="zh-CN"/>
              </w:rPr>
            </w:pPr>
            <w:r>
              <w:rPr>
                <w:rFonts w:hint="eastAsia" w:ascii="宋体" w:hAnsi="宋体" w:cs="宋体"/>
                <w:color w:val="auto"/>
                <w:sz w:val="22"/>
                <w:highlight w:val="none"/>
                <w:lang w:val="en-US" w:eastAsia="zh-CN"/>
              </w:rPr>
              <w:t>18</w:t>
            </w:r>
          </w:p>
        </w:tc>
        <w:tc>
          <w:tcPr>
            <w:tcW w:w="1404" w:type="pct"/>
          </w:tcPr>
          <w:p w14:paraId="43EF5238">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44FB89C2">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36FF0C65">
            <w:pPr>
              <w:widowControl w:val="0"/>
              <w:adjustRightInd/>
              <w:snapToGrid/>
              <w:spacing w:line="360" w:lineRule="exact"/>
              <w:jc w:val="center"/>
              <w:outlineLvl w:val="9"/>
              <w:rPr>
                <w:rFonts w:ascii="宋体" w:hAnsi="宋体" w:cs="宋体"/>
                <w:color w:val="auto"/>
                <w:sz w:val="22"/>
                <w:highlight w:val="none"/>
              </w:rPr>
            </w:pPr>
          </w:p>
        </w:tc>
      </w:tr>
      <w:tr w14:paraId="71D81A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C83EABF">
            <w:pPr>
              <w:widowControl w:val="0"/>
              <w:adjustRightInd/>
              <w:snapToGrid/>
              <w:spacing w:line="360" w:lineRule="exact"/>
              <w:jc w:val="center"/>
              <w:outlineLvl w:val="9"/>
              <w:rPr>
                <w:rFonts w:hint="default" w:ascii="宋体" w:hAnsi="宋体" w:cs="宋体"/>
                <w:color w:val="auto"/>
                <w:sz w:val="22"/>
                <w:highlight w:val="none"/>
                <w:lang w:val="en-US" w:eastAsia="zh-CN"/>
              </w:rPr>
            </w:pPr>
            <w:r>
              <w:rPr>
                <w:rFonts w:hint="eastAsia" w:ascii="宋体" w:hAnsi="宋体" w:cs="宋体"/>
                <w:color w:val="auto"/>
                <w:sz w:val="22"/>
                <w:highlight w:val="none"/>
                <w:lang w:val="en-US" w:eastAsia="zh-CN"/>
              </w:rPr>
              <w:t>19</w:t>
            </w:r>
          </w:p>
        </w:tc>
        <w:tc>
          <w:tcPr>
            <w:tcW w:w="1404" w:type="pct"/>
          </w:tcPr>
          <w:p w14:paraId="05280BE8">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470A1F2B">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00C72730">
            <w:pPr>
              <w:widowControl w:val="0"/>
              <w:adjustRightInd/>
              <w:snapToGrid/>
              <w:spacing w:line="360" w:lineRule="exact"/>
              <w:jc w:val="center"/>
              <w:outlineLvl w:val="9"/>
              <w:rPr>
                <w:rFonts w:ascii="宋体" w:hAnsi="宋体" w:cs="宋体"/>
                <w:color w:val="auto"/>
                <w:sz w:val="22"/>
                <w:highlight w:val="none"/>
              </w:rPr>
            </w:pPr>
          </w:p>
        </w:tc>
      </w:tr>
      <w:tr w14:paraId="3E35FA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674CCD8">
            <w:pPr>
              <w:widowControl w:val="0"/>
              <w:adjustRightInd/>
              <w:snapToGrid/>
              <w:spacing w:line="360" w:lineRule="exact"/>
              <w:jc w:val="center"/>
              <w:outlineLvl w:val="9"/>
              <w:rPr>
                <w:rFonts w:hint="default" w:ascii="宋体" w:hAnsi="宋体" w:cs="宋体"/>
                <w:color w:val="auto"/>
                <w:sz w:val="22"/>
                <w:highlight w:val="none"/>
                <w:lang w:val="en-US" w:eastAsia="zh-CN"/>
              </w:rPr>
            </w:pPr>
            <w:r>
              <w:rPr>
                <w:rFonts w:hint="eastAsia" w:ascii="宋体" w:hAnsi="宋体" w:cs="宋体"/>
                <w:color w:val="auto"/>
                <w:sz w:val="22"/>
                <w:highlight w:val="none"/>
                <w:lang w:val="en-US" w:eastAsia="zh-CN"/>
              </w:rPr>
              <w:t>20</w:t>
            </w:r>
          </w:p>
        </w:tc>
        <w:tc>
          <w:tcPr>
            <w:tcW w:w="1404" w:type="pct"/>
          </w:tcPr>
          <w:p w14:paraId="5545D249">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3A5CCD3D">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541BFDC4">
            <w:pPr>
              <w:widowControl w:val="0"/>
              <w:adjustRightInd/>
              <w:snapToGrid/>
              <w:spacing w:line="360" w:lineRule="exact"/>
              <w:jc w:val="center"/>
              <w:outlineLvl w:val="9"/>
              <w:rPr>
                <w:rFonts w:ascii="宋体" w:hAnsi="宋体" w:cs="宋体"/>
                <w:color w:val="auto"/>
                <w:sz w:val="22"/>
                <w:highlight w:val="none"/>
              </w:rPr>
            </w:pPr>
          </w:p>
        </w:tc>
      </w:tr>
    </w:tbl>
    <w:p w14:paraId="2B5B517A">
      <w:pPr>
        <w:keepNext w:val="0"/>
        <w:keepLines w:val="0"/>
        <w:pageBreakBefore w:val="0"/>
        <w:widowControl w:val="0"/>
        <w:kinsoku/>
        <w:wordWrap/>
        <w:overflowPunct/>
        <w:topLinePunct w:val="0"/>
        <w:autoSpaceDE/>
        <w:autoSpaceDN/>
        <w:bidi w:val="0"/>
        <w:adjustRightInd/>
        <w:snapToGrid/>
        <w:spacing w:line="400" w:lineRule="exact"/>
        <w:ind w:firstLine="440" w:firstLineChars="200"/>
        <w:jc w:val="both"/>
        <w:textAlignment w:val="auto"/>
        <w:rPr>
          <w:rFonts w:hint="eastAsia" w:ascii="宋体" w:hAnsi="宋体" w:cs="宋体"/>
          <w:color w:val="auto"/>
          <w:sz w:val="22"/>
          <w:highlight w:val="none"/>
        </w:rPr>
      </w:pPr>
      <w:r>
        <w:rPr>
          <w:rFonts w:hint="eastAsia" w:ascii="宋体" w:hAnsi="宋体" w:cs="宋体"/>
          <w:color w:val="auto"/>
          <w:sz w:val="22"/>
          <w:highlight w:val="none"/>
        </w:rPr>
        <w:t>备注：</w:t>
      </w:r>
    </w:p>
    <w:p w14:paraId="351BC0FF">
      <w:pPr>
        <w:keepNext w:val="0"/>
        <w:keepLines w:val="0"/>
        <w:pageBreakBefore w:val="0"/>
        <w:widowControl w:val="0"/>
        <w:kinsoku/>
        <w:wordWrap/>
        <w:overflowPunct/>
        <w:topLinePunct w:val="0"/>
        <w:autoSpaceDE/>
        <w:autoSpaceDN/>
        <w:bidi w:val="0"/>
        <w:adjustRightInd/>
        <w:snapToGrid/>
        <w:spacing w:line="400" w:lineRule="exact"/>
        <w:ind w:firstLine="440" w:firstLineChars="200"/>
        <w:jc w:val="both"/>
        <w:textAlignment w:val="auto"/>
        <w:rPr>
          <w:rFonts w:hint="eastAsia" w:ascii="宋体" w:hAnsi="宋体" w:cs="宋体"/>
          <w:color w:val="auto"/>
          <w:sz w:val="22"/>
          <w:highlight w:val="none"/>
        </w:rPr>
      </w:pPr>
      <w:r>
        <w:rPr>
          <w:rFonts w:hint="eastAsia" w:ascii="宋体" w:hAnsi="宋体" w:cs="宋体"/>
          <w:color w:val="auto"/>
          <w:sz w:val="22"/>
          <w:highlight w:val="none"/>
        </w:rPr>
        <w:t>1、投标人须</w:t>
      </w:r>
      <w:r>
        <w:rPr>
          <w:rFonts w:hint="eastAsia" w:ascii="宋体" w:hAnsi="宋体" w:cs="宋体"/>
          <w:color w:val="auto"/>
          <w:sz w:val="22"/>
          <w:highlight w:val="none"/>
          <w:lang w:val="en-US" w:eastAsia="zh-CN"/>
        </w:rPr>
        <w:t>根据《运输车辆名册》车辆数量配备驾驶员、押运员，及调度、后勤、管理等人员</w:t>
      </w:r>
      <w:r>
        <w:rPr>
          <w:rFonts w:hint="eastAsia" w:ascii="宋体" w:hAnsi="宋体" w:cs="宋体"/>
          <w:color w:val="auto"/>
          <w:sz w:val="22"/>
          <w:highlight w:val="none"/>
        </w:rPr>
        <w:t>。如驾驶员和押运员非投标人自有员工的，需提供投标人与承租人的租赁合同或合作协议</w:t>
      </w:r>
      <w:r>
        <w:rPr>
          <w:rFonts w:hint="eastAsia" w:ascii="宋体" w:hAnsi="宋体" w:cs="宋体"/>
          <w:color w:val="auto"/>
          <w:sz w:val="22"/>
          <w:highlight w:val="none"/>
          <w:lang w:eastAsia="zh-CN"/>
        </w:rPr>
        <w:t>，</w:t>
      </w:r>
      <w:r>
        <w:rPr>
          <w:rFonts w:hint="eastAsia" w:ascii="宋体" w:hAnsi="宋体" w:cs="宋体"/>
          <w:color w:val="auto"/>
          <w:sz w:val="22"/>
          <w:highlight w:val="none"/>
          <w:lang w:val="en-US" w:eastAsia="zh-CN"/>
        </w:rPr>
        <w:t>加盖公章</w:t>
      </w:r>
      <w:r>
        <w:rPr>
          <w:rFonts w:hint="eastAsia" w:ascii="宋体" w:hAnsi="宋体" w:cs="宋体"/>
          <w:color w:val="auto"/>
          <w:sz w:val="22"/>
          <w:highlight w:val="none"/>
        </w:rPr>
        <w:t>；具体人员名单为初步填写，后续如需更换，</w:t>
      </w:r>
      <w:r>
        <w:rPr>
          <w:rFonts w:hint="eastAsia" w:ascii="宋体" w:hAnsi="宋体" w:cs="宋体"/>
          <w:color w:val="auto"/>
          <w:sz w:val="22"/>
          <w:highlight w:val="none"/>
          <w:lang w:val="en-US" w:eastAsia="zh-CN"/>
        </w:rPr>
        <w:t>需</w:t>
      </w:r>
      <w:r>
        <w:rPr>
          <w:rFonts w:hint="eastAsia" w:ascii="宋体" w:hAnsi="宋体" w:cs="宋体"/>
          <w:color w:val="auto"/>
          <w:sz w:val="22"/>
          <w:highlight w:val="none"/>
        </w:rPr>
        <w:t>征得采购人</w:t>
      </w:r>
      <w:r>
        <w:rPr>
          <w:rFonts w:hint="eastAsia" w:ascii="宋体" w:hAnsi="宋体" w:cs="宋体"/>
          <w:color w:val="auto"/>
          <w:sz w:val="22"/>
          <w:highlight w:val="none"/>
          <w:lang w:val="en-US" w:eastAsia="zh-CN"/>
        </w:rPr>
        <w:t>书面</w:t>
      </w:r>
      <w:r>
        <w:rPr>
          <w:rFonts w:hint="eastAsia" w:ascii="宋体" w:hAnsi="宋体" w:cs="宋体"/>
          <w:color w:val="auto"/>
          <w:sz w:val="22"/>
          <w:highlight w:val="none"/>
        </w:rPr>
        <w:t>同意后方可更换。</w:t>
      </w:r>
    </w:p>
    <w:p w14:paraId="61B7BAA8">
      <w:pPr>
        <w:keepNext w:val="0"/>
        <w:keepLines w:val="0"/>
        <w:pageBreakBefore w:val="0"/>
        <w:widowControl w:val="0"/>
        <w:kinsoku/>
        <w:wordWrap/>
        <w:overflowPunct/>
        <w:topLinePunct w:val="0"/>
        <w:autoSpaceDE/>
        <w:autoSpaceDN/>
        <w:bidi w:val="0"/>
        <w:adjustRightInd/>
        <w:snapToGrid/>
        <w:spacing w:line="400" w:lineRule="exact"/>
        <w:ind w:firstLine="440" w:firstLineChars="200"/>
        <w:jc w:val="both"/>
        <w:textAlignment w:val="auto"/>
        <w:rPr>
          <w:rFonts w:hint="eastAsia" w:ascii="宋体" w:hAnsi="宋体" w:cs="宋体"/>
          <w:color w:val="auto"/>
          <w:sz w:val="22"/>
          <w:highlight w:val="none"/>
        </w:rPr>
      </w:pPr>
      <w:r>
        <w:rPr>
          <w:rFonts w:hint="eastAsia" w:ascii="宋体" w:hAnsi="宋体" w:cs="宋体"/>
          <w:color w:val="auto"/>
          <w:sz w:val="22"/>
          <w:highlight w:val="none"/>
          <w:lang w:val="en-US" w:eastAsia="zh-CN"/>
        </w:rPr>
        <w:t>2</w:t>
      </w:r>
      <w:r>
        <w:rPr>
          <w:rFonts w:hint="eastAsia" w:ascii="宋体" w:hAnsi="宋体" w:cs="宋体"/>
          <w:color w:val="auto"/>
          <w:sz w:val="22"/>
          <w:highlight w:val="none"/>
        </w:rPr>
        <w:t>、资料要求：</w:t>
      </w:r>
    </w:p>
    <w:p w14:paraId="0D70E48F">
      <w:pPr>
        <w:keepNext w:val="0"/>
        <w:keepLines w:val="0"/>
        <w:pageBreakBefore w:val="0"/>
        <w:widowControl w:val="0"/>
        <w:kinsoku/>
        <w:wordWrap/>
        <w:overflowPunct/>
        <w:topLinePunct w:val="0"/>
        <w:autoSpaceDE/>
        <w:autoSpaceDN/>
        <w:bidi w:val="0"/>
        <w:adjustRightInd/>
        <w:snapToGrid/>
        <w:spacing w:line="400" w:lineRule="exact"/>
        <w:ind w:firstLine="442" w:firstLineChars="200"/>
        <w:jc w:val="both"/>
        <w:textAlignment w:val="auto"/>
        <w:rPr>
          <w:rFonts w:hint="eastAsia" w:ascii="宋体" w:hAnsi="宋体" w:cs="宋体"/>
          <w:color w:val="auto"/>
          <w:sz w:val="22"/>
          <w:highlight w:val="none"/>
        </w:rPr>
      </w:pPr>
      <w:r>
        <w:rPr>
          <w:rFonts w:hint="eastAsia" w:ascii="宋体" w:hAnsi="宋体" w:cs="宋体"/>
          <w:b/>
          <w:bCs/>
          <w:color w:val="auto"/>
          <w:sz w:val="22"/>
          <w:highlight w:val="none"/>
        </w:rPr>
        <w:t>【投标时提供】</w:t>
      </w:r>
      <w:r>
        <w:rPr>
          <w:rFonts w:hint="eastAsia" w:ascii="宋体" w:hAnsi="宋体" w:cs="宋体"/>
          <w:color w:val="auto"/>
          <w:sz w:val="22"/>
          <w:highlight w:val="none"/>
        </w:rPr>
        <w:t>驾驶员的《道路运输从业人员从业资格证》且从业资格类别包括“道路危险货物运输</w:t>
      </w:r>
      <w:r>
        <w:rPr>
          <w:rFonts w:hint="eastAsia" w:ascii="宋体" w:hAnsi="宋体" w:cs="宋体"/>
          <w:color w:val="auto"/>
          <w:sz w:val="22"/>
          <w:highlight w:val="none"/>
          <w:lang w:val="en-US" w:eastAsia="zh-CN"/>
        </w:rPr>
        <w:t>驾驶员</w:t>
      </w:r>
      <w:r>
        <w:rPr>
          <w:rFonts w:hint="eastAsia" w:ascii="宋体" w:hAnsi="宋体" w:cs="宋体"/>
          <w:color w:val="auto"/>
          <w:sz w:val="22"/>
          <w:highlight w:val="none"/>
        </w:rPr>
        <w:t>”及押运员的《道路运输从业人员从业资格证》且从业资格类别包括“道路危险货物运输押运人员”，加盖公章。</w:t>
      </w:r>
    </w:p>
    <w:p w14:paraId="78B38794">
      <w:pPr>
        <w:keepNext w:val="0"/>
        <w:keepLines w:val="0"/>
        <w:pageBreakBefore w:val="0"/>
        <w:kinsoku/>
        <w:wordWrap/>
        <w:overflowPunct/>
        <w:topLinePunct w:val="0"/>
        <w:autoSpaceDE/>
        <w:autoSpaceDN/>
        <w:bidi w:val="0"/>
        <w:spacing w:line="400" w:lineRule="exact"/>
        <w:ind w:firstLine="442" w:firstLineChars="200"/>
        <w:jc w:val="both"/>
        <w:textAlignment w:val="auto"/>
        <w:rPr>
          <w:rFonts w:hint="eastAsia" w:ascii="宋体" w:hAnsi="宋体"/>
          <w:b/>
          <w:color w:val="auto"/>
          <w:sz w:val="21"/>
          <w:szCs w:val="21"/>
          <w:highlight w:val="none"/>
        </w:rPr>
      </w:pPr>
      <w:r>
        <w:rPr>
          <w:rFonts w:hint="eastAsia" w:ascii="宋体" w:hAnsi="宋体" w:cs="宋体"/>
          <w:b/>
          <w:bCs/>
          <w:color w:val="auto"/>
          <w:sz w:val="22"/>
          <w:highlight w:val="none"/>
        </w:rPr>
        <w:t>【中标后</w:t>
      </w:r>
      <w:r>
        <w:rPr>
          <w:rFonts w:hint="eastAsia" w:ascii="宋体" w:hAnsi="宋体" w:cs="宋体"/>
          <w:b/>
          <w:bCs/>
          <w:color w:val="auto"/>
          <w:sz w:val="22"/>
          <w:highlight w:val="none"/>
          <w:lang w:val="en-US" w:eastAsia="zh-CN"/>
        </w:rPr>
        <w:t>向甲方备案</w:t>
      </w:r>
      <w:r>
        <w:rPr>
          <w:rFonts w:hint="eastAsia" w:ascii="宋体" w:hAnsi="宋体" w:cs="宋体"/>
          <w:b/>
          <w:bCs/>
          <w:color w:val="auto"/>
          <w:sz w:val="22"/>
          <w:highlight w:val="none"/>
        </w:rPr>
        <w:t>】</w:t>
      </w:r>
      <w:r>
        <w:rPr>
          <w:rFonts w:hint="eastAsia" w:ascii="宋体" w:hAnsi="宋体" w:cs="宋体"/>
          <w:color w:val="auto"/>
          <w:sz w:val="22"/>
          <w:highlight w:val="none"/>
        </w:rPr>
        <w:t>驾驶员的身份证、</w:t>
      </w:r>
      <w:r>
        <w:rPr>
          <w:rFonts w:hint="eastAsia" w:ascii="宋体" w:hAnsi="宋体" w:cs="宋体"/>
          <w:color w:val="auto"/>
          <w:sz w:val="22"/>
          <w:highlight w:val="none"/>
          <w:lang w:val="en-US" w:eastAsia="zh-CN"/>
        </w:rPr>
        <w:t>驾驶证、</w:t>
      </w:r>
      <w:r>
        <w:rPr>
          <w:rFonts w:hint="eastAsia" w:ascii="宋体" w:hAnsi="宋体" w:cs="宋体"/>
          <w:color w:val="auto"/>
          <w:sz w:val="22"/>
          <w:highlight w:val="none"/>
        </w:rPr>
        <w:t>《道路运输从业人员从业资格证》</w:t>
      </w:r>
      <w:r>
        <w:rPr>
          <w:rFonts w:hint="eastAsia" w:ascii="宋体" w:hAnsi="宋体" w:cs="宋体"/>
          <w:color w:val="auto"/>
          <w:sz w:val="22"/>
          <w:highlight w:val="none"/>
          <w:lang w:val="en-US" w:eastAsia="zh-CN"/>
        </w:rPr>
        <w:t>和保险证明等；押运员的身份证、</w:t>
      </w:r>
      <w:r>
        <w:rPr>
          <w:rFonts w:hint="eastAsia" w:ascii="宋体" w:hAnsi="宋体" w:cs="宋体"/>
          <w:color w:val="auto"/>
          <w:sz w:val="22"/>
          <w:highlight w:val="none"/>
        </w:rPr>
        <w:t>《道路运输从业人员从业资格证》</w:t>
      </w:r>
      <w:r>
        <w:rPr>
          <w:rFonts w:hint="eastAsia" w:ascii="宋体" w:hAnsi="宋体" w:cs="宋体"/>
          <w:color w:val="auto"/>
          <w:sz w:val="22"/>
          <w:highlight w:val="none"/>
          <w:lang w:val="en-US" w:eastAsia="zh-CN"/>
        </w:rPr>
        <w:t>和保险证明等。</w:t>
      </w:r>
      <w:r>
        <w:rPr>
          <w:rFonts w:hint="eastAsia" w:ascii="宋体" w:hAnsi="宋体"/>
          <w:b/>
          <w:color w:val="auto"/>
          <w:sz w:val="21"/>
          <w:szCs w:val="21"/>
          <w:highlight w:val="none"/>
        </w:rPr>
        <w:br w:type="page"/>
      </w:r>
    </w:p>
    <w:bookmarkEnd w:id="306"/>
    <w:bookmarkEnd w:id="307"/>
    <w:bookmarkEnd w:id="308"/>
    <w:bookmarkEnd w:id="309"/>
    <w:bookmarkEnd w:id="310"/>
    <w:p w14:paraId="35514FB0">
      <w:pPr>
        <w:spacing w:line="360" w:lineRule="auto"/>
        <w:ind w:left="0" w:leftChars="0" w:firstLine="0" w:firstLineChars="0"/>
        <w:outlineLvl w:val="9"/>
        <w:rPr>
          <w:rFonts w:ascii="Times New Roman" w:hAnsi="Times New Roman" w:cs="Times New Roman"/>
          <w:b/>
          <w:color w:val="auto"/>
          <w:szCs w:val="21"/>
          <w:highlight w:val="none"/>
        </w:rPr>
      </w:pPr>
      <w:bookmarkStart w:id="311" w:name="_Toc11338"/>
      <w:bookmarkStart w:id="312" w:name="_Toc178"/>
      <w:bookmarkStart w:id="313" w:name="_Toc1615"/>
      <w:bookmarkStart w:id="314" w:name="_Toc31396"/>
      <w:bookmarkStart w:id="315" w:name="_Toc13147"/>
      <w:bookmarkStart w:id="316" w:name="_Toc5122"/>
      <w:bookmarkStart w:id="317" w:name="_Toc12157"/>
      <w:bookmarkStart w:id="318" w:name="_Toc4688"/>
      <w:bookmarkStart w:id="319" w:name="_Toc10357"/>
      <w:bookmarkStart w:id="320" w:name="_Toc13374"/>
      <w:bookmarkStart w:id="321" w:name="_Toc21105"/>
      <w:bookmarkStart w:id="322" w:name="_Toc1052"/>
      <w:bookmarkStart w:id="323" w:name="_Toc30494"/>
      <w:r>
        <w:rPr>
          <w:rFonts w:hint="eastAsia" w:ascii="宋体" w:hAnsi="宋体"/>
          <w:b/>
          <w:color w:val="auto"/>
          <w:sz w:val="21"/>
          <w:szCs w:val="21"/>
          <w:highlight w:val="none"/>
          <w:lang w:val="en-US" w:eastAsia="zh-CN"/>
        </w:rPr>
        <w:t>合同</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3</w:t>
      </w:r>
      <w:r>
        <w:rPr>
          <w:rFonts w:ascii="Times New Roman" w:hAnsi="Times New Roman" w:cs="Times New Roman"/>
          <w:b/>
          <w:color w:val="auto"/>
          <w:szCs w:val="21"/>
          <w:highlight w:val="none"/>
        </w:rPr>
        <w:t>《</w:t>
      </w:r>
      <w:r>
        <w:rPr>
          <w:rFonts w:hint="eastAsia" w:ascii="Times New Roman" w:hAnsi="Times New Roman" w:cs="Times New Roman"/>
          <w:b/>
          <w:color w:val="auto"/>
          <w:szCs w:val="21"/>
          <w:highlight w:val="none"/>
        </w:rPr>
        <w:t>危险废物运输费单价表</w:t>
      </w:r>
      <w:r>
        <w:rPr>
          <w:rFonts w:ascii="Times New Roman" w:hAnsi="Times New Roman" w:cs="Times New Roman"/>
          <w:b/>
          <w:color w:val="auto"/>
          <w:szCs w:val="21"/>
          <w:highlight w:val="none"/>
        </w:rPr>
        <w:t>》</w:t>
      </w:r>
      <w:bookmarkEnd w:id="311"/>
      <w:bookmarkEnd w:id="312"/>
      <w:bookmarkEnd w:id="313"/>
      <w:bookmarkEnd w:id="314"/>
      <w:bookmarkEnd w:id="315"/>
      <w:bookmarkEnd w:id="316"/>
      <w:bookmarkEnd w:id="317"/>
      <w:bookmarkEnd w:id="318"/>
      <w:bookmarkEnd w:id="319"/>
      <w:bookmarkEnd w:id="320"/>
      <w:bookmarkEnd w:id="321"/>
      <w:bookmarkEnd w:id="322"/>
      <w:bookmarkEnd w:id="323"/>
    </w:p>
    <w:p w14:paraId="3DE23E86">
      <w:pPr>
        <w:adjustRightInd/>
        <w:snapToGrid/>
        <w:spacing w:line="360" w:lineRule="exact"/>
        <w:outlineLvl w:val="9"/>
        <w:rPr>
          <w:rFonts w:ascii="Times New Roman" w:hAnsi="Times New Roman" w:cs="Times New Roman"/>
          <w:b/>
          <w:color w:val="auto"/>
          <w:szCs w:val="21"/>
          <w:highlight w:val="none"/>
        </w:rPr>
      </w:pPr>
    </w:p>
    <w:p w14:paraId="3F0CB530">
      <w:pPr>
        <w:adjustRightInd/>
        <w:snapToGrid/>
        <w:spacing w:line="360" w:lineRule="exact"/>
        <w:outlineLvl w:val="9"/>
        <w:rPr>
          <w:rFonts w:ascii="Times New Roman" w:hAnsi="Times New Roman" w:cs="Times New Roman"/>
          <w:b/>
          <w:color w:val="auto"/>
          <w:szCs w:val="21"/>
          <w:highlight w:val="none"/>
        </w:rPr>
      </w:pPr>
    </w:p>
    <w:p w14:paraId="4F8E96B6">
      <w:pPr>
        <w:adjustRightInd/>
        <w:snapToGrid/>
        <w:spacing w:line="360" w:lineRule="exact"/>
        <w:outlineLvl w:val="9"/>
        <w:rPr>
          <w:rFonts w:ascii="Times New Roman" w:hAnsi="Times New Roman" w:cs="Times New Roman"/>
          <w:b/>
          <w:color w:val="auto"/>
          <w:szCs w:val="21"/>
          <w:highlight w:val="none"/>
        </w:rPr>
      </w:pPr>
    </w:p>
    <w:p w14:paraId="45FCDB70">
      <w:pPr>
        <w:adjustRightInd/>
        <w:snapToGrid/>
        <w:spacing w:line="360" w:lineRule="exact"/>
        <w:outlineLvl w:val="9"/>
        <w:rPr>
          <w:rFonts w:ascii="Times New Roman" w:hAnsi="Times New Roman" w:cs="Times New Roman"/>
          <w:b/>
          <w:color w:val="auto"/>
          <w:szCs w:val="21"/>
          <w:highlight w:val="none"/>
        </w:rPr>
      </w:pPr>
    </w:p>
    <w:p w14:paraId="37EC739C">
      <w:pPr>
        <w:adjustRightInd/>
        <w:snapToGrid/>
        <w:spacing w:line="360" w:lineRule="exact"/>
        <w:outlineLvl w:val="9"/>
        <w:rPr>
          <w:rFonts w:ascii="Times New Roman" w:hAnsi="Times New Roman" w:cs="Times New Roman"/>
          <w:b/>
          <w:color w:val="auto"/>
          <w:szCs w:val="21"/>
          <w:highlight w:val="none"/>
        </w:rPr>
      </w:pPr>
    </w:p>
    <w:p w14:paraId="03BD51FA">
      <w:pPr>
        <w:adjustRightInd/>
        <w:snapToGrid/>
        <w:spacing w:line="360" w:lineRule="exact"/>
        <w:outlineLvl w:val="9"/>
        <w:rPr>
          <w:rFonts w:ascii="Times New Roman" w:hAnsi="Times New Roman" w:cs="Times New Roman"/>
          <w:b/>
          <w:color w:val="auto"/>
          <w:szCs w:val="21"/>
          <w:highlight w:val="none"/>
        </w:rPr>
      </w:pPr>
    </w:p>
    <w:p w14:paraId="40F5D1EE">
      <w:pPr>
        <w:adjustRightInd/>
        <w:snapToGrid/>
        <w:spacing w:line="360" w:lineRule="exact"/>
        <w:outlineLvl w:val="9"/>
        <w:rPr>
          <w:rFonts w:ascii="Times New Roman" w:hAnsi="Times New Roman" w:cs="Times New Roman"/>
          <w:b/>
          <w:color w:val="auto"/>
          <w:szCs w:val="21"/>
          <w:highlight w:val="none"/>
        </w:rPr>
      </w:pPr>
      <w:bookmarkStart w:id="324" w:name="_Toc8996"/>
      <w:bookmarkStart w:id="325" w:name="_Toc3578"/>
    </w:p>
    <w:p w14:paraId="7A58EFB3">
      <w:pPr>
        <w:adjustRightInd/>
        <w:snapToGrid/>
        <w:spacing w:line="360" w:lineRule="exact"/>
        <w:outlineLvl w:val="9"/>
        <w:rPr>
          <w:rFonts w:ascii="Times New Roman" w:hAnsi="Times New Roman" w:cs="Times New Roman"/>
          <w:b/>
          <w:color w:val="auto"/>
          <w:szCs w:val="21"/>
          <w:highlight w:val="none"/>
        </w:rPr>
      </w:pPr>
    </w:p>
    <w:p w14:paraId="6B6D3B86">
      <w:pPr>
        <w:adjustRightInd/>
        <w:snapToGrid/>
        <w:spacing w:line="360" w:lineRule="exact"/>
        <w:outlineLvl w:val="9"/>
        <w:rPr>
          <w:rFonts w:ascii="Times New Roman" w:hAnsi="Times New Roman" w:cs="Times New Roman"/>
          <w:b/>
          <w:color w:val="auto"/>
          <w:szCs w:val="21"/>
          <w:highlight w:val="none"/>
        </w:rPr>
      </w:pPr>
    </w:p>
    <w:p w14:paraId="007DF74F">
      <w:pPr>
        <w:adjustRightInd/>
        <w:snapToGrid/>
        <w:spacing w:line="360" w:lineRule="exact"/>
        <w:outlineLvl w:val="9"/>
        <w:rPr>
          <w:rFonts w:ascii="Times New Roman" w:hAnsi="Times New Roman" w:cs="Times New Roman"/>
          <w:b/>
          <w:color w:val="auto"/>
          <w:szCs w:val="21"/>
          <w:highlight w:val="none"/>
        </w:rPr>
      </w:pPr>
    </w:p>
    <w:p w14:paraId="31694E64">
      <w:pPr>
        <w:adjustRightInd/>
        <w:snapToGrid/>
        <w:spacing w:line="360" w:lineRule="exact"/>
        <w:outlineLvl w:val="9"/>
        <w:rPr>
          <w:rFonts w:ascii="Times New Roman" w:hAnsi="Times New Roman" w:cs="Times New Roman"/>
          <w:b/>
          <w:color w:val="auto"/>
          <w:szCs w:val="21"/>
          <w:highlight w:val="none"/>
        </w:rPr>
      </w:pPr>
    </w:p>
    <w:p w14:paraId="39B754AF">
      <w:pPr>
        <w:adjustRightInd/>
        <w:snapToGrid/>
        <w:spacing w:line="360" w:lineRule="exact"/>
        <w:outlineLvl w:val="9"/>
        <w:rPr>
          <w:rFonts w:ascii="Times New Roman" w:hAnsi="Times New Roman" w:cs="Times New Roman"/>
          <w:b/>
          <w:color w:val="auto"/>
          <w:szCs w:val="21"/>
          <w:highlight w:val="none"/>
        </w:rPr>
      </w:pPr>
    </w:p>
    <w:p w14:paraId="7AE64520">
      <w:pPr>
        <w:adjustRightInd/>
        <w:snapToGrid/>
        <w:spacing w:line="360" w:lineRule="exact"/>
        <w:outlineLvl w:val="9"/>
        <w:rPr>
          <w:rFonts w:ascii="Times New Roman" w:hAnsi="Times New Roman" w:cs="Times New Roman"/>
          <w:b/>
          <w:color w:val="auto"/>
          <w:szCs w:val="21"/>
          <w:highlight w:val="none"/>
        </w:rPr>
      </w:pPr>
    </w:p>
    <w:p w14:paraId="1CBF569C">
      <w:pPr>
        <w:adjustRightInd/>
        <w:snapToGrid/>
        <w:spacing w:line="360" w:lineRule="exact"/>
        <w:outlineLvl w:val="9"/>
        <w:rPr>
          <w:rFonts w:ascii="Times New Roman" w:hAnsi="Times New Roman" w:cs="Times New Roman"/>
          <w:b/>
          <w:color w:val="auto"/>
          <w:szCs w:val="21"/>
          <w:highlight w:val="none"/>
        </w:rPr>
      </w:pPr>
    </w:p>
    <w:p w14:paraId="79127FF4">
      <w:pPr>
        <w:adjustRightInd/>
        <w:snapToGrid/>
        <w:spacing w:line="360" w:lineRule="exact"/>
        <w:outlineLvl w:val="9"/>
        <w:rPr>
          <w:rFonts w:ascii="Times New Roman" w:hAnsi="Times New Roman" w:cs="Times New Roman"/>
          <w:b/>
          <w:color w:val="auto"/>
          <w:szCs w:val="21"/>
          <w:highlight w:val="none"/>
        </w:rPr>
      </w:pPr>
    </w:p>
    <w:p w14:paraId="12FB2CCF">
      <w:pPr>
        <w:adjustRightInd/>
        <w:snapToGrid/>
        <w:spacing w:line="360" w:lineRule="exact"/>
        <w:outlineLvl w:val="9"/>
        <w:rPr>
          <w:rFonts w:ascii="Times New Roman" w:hAnsi="Times New Roman" w:cs="Times New Roman"/>
          <w:b/>
          <w:color w:val="auto"/>
          <w:szCs w:val="21"/>
          <w:highlight w:val="none"/>
        </w:rPr>
      </w:pPr>
    </w:p>
    <w:p w14:paraId="4E03EF10">
      <w:pPr>
        <w:adjustRightInd/>
        <w:snapToGrid/>
        <w:spacing w:line="360" w:lineRule="exact"/>
        <w:outlineLvl w:val="9"/>
        <w:rPr>
          <w:rFonts w:ascii="Times New Roman" w:hAnsi="Times New Roman" w:cs="Times New Roman"/>
          <w:b/>
          <w:color w:val="auto"/>
          <w:szCs w:val="21"/>
          <w:highlight w:val="none"/>
        </w:rPr>
      </w:pPr>
    </w:p>
    <w:p w14:paraId="19959635">
      <w:pPr>
        <w:adjustRightInd/>
        <w:snapToGrid/>
        <w:spacing w:line="360" w:lineRule="exact"/>
        <w:outlineLvl w:val="9"/>
        <w:rPr>
          <w:rFonts w:ascii="Times New Roman" w:hAnsi="Times New Roman" w:cs="Times New Roman"/>
          <w:b/>
          <w:color w:val="auto"/>
          <w:szCs w:val="21"/>
          <w:highlight w:val="none"/>
        </w:rPr>
      </w:pPr>
    </w:p>
    <w:p w14:paraId="3AF4C26F">
      <w:pPr>
        <w:adjustRightInd/>
        <w:snapToGrid/>
        <w:spacing w:line="360" w:lineRule="exact"/>
        <w:outlineLvl w:val="9"/>
        <w:rPr>
          <w:rFonts w:ascii="Times New Roman" w:hAnsi="Times New Roman" w:cs="Times New Roman"/>
          <w:b/>
          <w:color w:val="auto"/>
          <w:szCs w:val="21"/>
          <w:highlight w:val="none"/>
        </w:rPr>
      </w:pPr>
    </w:p>
    <w:p w14:paraId="1822B1E4">
      <w:pPr>
        <w:adjustRightInd/>
        <w:snapToGrid/>
        <w:spacing w:line="360" w:lineRule="exact"/>
        <w:outlineLvl w:val="9"/>
        <w:rPr>
          <w:rFonts w:ascii="Times New Roman" w:hAnsi="Times New Roman" w:cs="Times New Roman"/>
          <w:b/>
          <w:color w:val="auto"/>
          <w:szCs w:val="21"/>
          <w:highlight w:val="none"/>
        </w:rPr>
      </w:pPr>
    </w:p>
    <w:p w14:paraId="57637E0D">
      <w:pPr>
        <w:adjustRightInd/>
        <w:snapToGrid/>
        <w:spacing w:line="360" w:lineRule="exact"/>
        <w:outlineLvl w:val="9"/>
        <w:rPr>
          <w:rFonts w:ascii="Times New Roman" w:hAnsi="Times New Roman" w:cs="Times New Roman"/>
          <w:b/>
          <w:color w:val="auto"/>
          <w:szCs w:val="21"/>
          <w:highlight w:val="none"/>
        </w:rPr>
      </w:pPr>
    </w:p>
    <w:p w14:paraId="68E7CB3A">
      <w:pPr>
        <w:adjustRightInd/>
        <w:snapToGrid/>
        <w:spacing w:line="360" w:lineRule="exact"/>
        <w:outlineLvl w:val="9"/>
        <w:rPr>
          <w:rFonts w:ascii="Times New Roman" w:hAnsi="Times New Roman" w:cs="Times New Roman"/>
          <w:b/>
          <w:color w:val="auto"/>
          <w:szCs w:val="21"/>
          <w:highlight w:val="none"/>
        </w:rPr>
      </w:pPr>
    </w:p>
    <w:p w14:paraId="14782631">
      <w:pPr>
        <w:adjustRightInd/>
        <w:snapToGrid/>
        <w:spacing w:line="360" w:lineRule="exact"/>
        <w:outlineLvl w:val="9"/>
        <w:rPr>
          <w:rFonts w:ascii="Times New Roman" w:hAnsi="Times New Roman" w:cs="Times New Roman"/>
          <w:b/>
          <w:color w:val="auto"/>
          <w:szCs w:val="21"/>
          <w:highlight w:val="none"/>
        </w:rPr>
      </w:pPr>
    </w:p>
    <w:p w14:paraId="54B12A64">
      <w:pPr>
        <w:adjustRightInd/>
        <w:snapToGrid/>
        <w:spacing w:line="360" w:lineRule="exact"/>
        <w:outlineLvl w:val="9"/>
        <w:rPr>
          <w:rFonts w:ascii="Times New Roman" w:hAnsi="Times New Roman" w:cs="Times New Roman"/>
          <w:b/>
          <w:color w:val="auto"/>
          <w:szCs w:val="21"/>
          <w:highlight w:val="none"/>
        </w:rPr>
      </w:pPr>
    </w:p>
    <w:p w14:paraId="67553415">
      <w:pPr>
        <w:adjustRightInd/>
        <w:snapToGrid/>
        <w:spacing w:line="360" w:lineRule="exact"/>
        <w:outlineLvl w:val="9"/>
        <w:rPr>
          <w:rFonts w:ascii="Times New Roman" w:hAnsi="Times New Roman" w:cs="Times New Roman"/>
          <w:b/>
          <w:color w:val="auto"/>
          <w:szCs w:val="21"/>
          <w:highlight w:val="none"/>
        </w:rPr>
      </w:pPr>
      <w:bookmarkStart w:id="326" w:name="_Toc10825"/>
      <w:bookmarkStart w:id="327" w:name="_Toc20310"/>
      <w:bookmarkStart w:id="328" w:name="_Toc16189"/>
    </w:p>
    <w:p w14:paraId="4BED7B93">
      <w:pPr>
        <w:adjustRightInd/>
        <w:snapToGrid/>
        <w:spacing w:line="360" w:lineRule="exact"/>
        <w:outlineLvl w:val="9"/>
        <w:rPr>
          <w:rFonts w:ascii="Times New Roman" w:hAnsi="Times New Roman" w:cs="Times New Roman"/>
          <w:b/>
          <w:color w:val="auto"/>
          <w:szCs w:val="21"/>
          <w:highlight w:val="none"/>
        </w:rPr>
      </w:pPr>
    </w:p>
    <w:p w14:paraId="7BA9EEFF">
      <w:pPr>
        <w:adjustRightInd/>
        <w:snapToGrid/>
        <w:spacing w:line="360" w:lineRule="exact"/>
        <w:outlineLvl w:val="9"/>
        <w:rPr>
          <w:rFonts w:ascii="Times New Roman" w:hAnsi="Times New Roman" w:cs="Times New Roman"/>
          <w:b/>
          <w:color w:val="auto"/>
          <w:szCs w:val="21"/>
          <w:highlight w:val="none"/>
        </w:rPr>
      </w:pPr>
    </w:p>
    <w:p w14:paraId="396AD7F8">
      <w:pPr>
        <w:adjustRightInd/>
        <w:snapToGrid/>
        <w:spacing w:line="360" w:lineRule="exact"/>
        <w:outlineLvl w:val="9"/>
        <w:rPr>
          <w:rFonts w:ascii="Times New Roman" w:hAnsi="Times New Roman" w:cs="Times New Roman"/>
          <w:b/>
          <w:color w:val="auto"/>
          <w:szCs w:val="21"/>
          <w:highlight w:val="none"/>
        </w:rPr>
      </w:pPr>
    </w:p>
    <w:p w14:paraId="2203AC8F">
      <w:pPr>
        <w:adjustRightInd/>
        <w:snapToGrid/>
        <w:spacing w:line="360" w:lineRule="exact"/>
        <w:outlineLvl w:val="9"/>
        <w:rPr>
          <w:rFonts w:ascii="Times New Roman" w:hAnsi="Times New Roman" w:cs="Times New Roman"/>
          <w:b/>
          <w:color w:val="auto"/>
          <w:szCs w:val="21"/>
          <w:highlight w:val="none"/>
        </w:rPr>
      </w:pPr>
    </w:p>
    <w:p w14:paraId="63985D16">
      <w:pPr>
        <w:adjustRightInd/>
        <w:snapToGrid/>
        <w:spacing w:line="360" w:lineRule="exact"/>
        <w:outlineLvl w:val="9"/>
        <w:rPr>
          <w:rFonts w:ascii="Times New Roman" w:hAnsi="Times New Roman" w:cs="Times New Roman"/>
          <w:b/>
          <w:color w:val="auto"/>
          <w:szCs w:val="21"/>
          <w:highlight w:val="none"/>
        </w:rPr>
      </w:pPr>
    </w:p>
    <w:p w14:paraId="59D95609">
      <w:pPr>
        <w:adjustRightInd/>
        <w:snapToGrid/>
        <w:spacing w:line="360" w:lineRule="exact"/>
        <w:outlineLvl w:val="9"/>
        <w:rPr>
          <w:rFonts w:ascii="Times New Roman" w:hAnsi="Times New Roman" w:cs="Times New Roman"/>
          <w:b/>
          <w:color w:val="auto"/>
          <w:szCs w:val="21"/>
          <w:highlight w:val="none"/>
        </w:rPr>
      </w:pPr>
    </w:p>
    <w:p w14:paraId="46E1151C">
      <w:pPr>
        <w:adjustRightInd/>
        <w:snapToGrid/>
        <w:spacing w:line="360" w:lineRule="exact"/>
        <w:outlineLvl w:val="9"/>
        <w:rPr>
          <w:rFonts w:ascii="Times New Roman" w:hAnsi="Times New Roman" w:cs="Times New Roman"/>
          <w:b/>
          <w:color w:val="auto"/>
          <w:szCs w:val="21"/>
          <w:highlight w:val="none"/>
        </w:rPr>
      </w:pPr>
    </w:p>
    <w:p w14:paraId="0F319356">
      <w:pPr>
        <w:adjustRightInd/>
        <w:snapToGrid/>
        <w:spacing w:line="360" w:lineRule="exact"/>
        <w:outlineLvl w:val="9"/>
        <w:rPr>
          <w:rFonts w:ascii="Times New Roman" w:hAnsi="Times New Roman" w:cs="Times New Roman"/>
          <w:b/>
          <w:color w:val="auto"/>
          <w:szCs w:val="21"/>
          <w:highlight w:val="none"/>
        </w:rPr>
      </w:pPr>
    </w:p>
    <w:p w14:paraId="240BC26A">
      <w:pPr>
        <w:adjustRightInd/>
        <w:snapToGrid/>
        <w:spacing w:line="360" w:lineRule="exact"/>
        <w:outlineLvl w:val="9"/>
        <w:rPr>
          <w:rFonts w:ascii="Times New Roman" w:hAnsi="Times New Roman" w:cs="Times New Roman"/>
          <w:b/>
          <w:color w:val="auto"/>
          <w:szCs w:val="21"/>
          <w:highlight w:val="none"/>
        </w:rPr>
      </w:pPr>
    </w:p>
    <w:p w14:paraId="252BC9C4">
      <w:pPr>
        <w:adjustRightInd/>
        <w:snapToGrid/>
        <w:spacing w:line="360" w:lineRule="exact"/>
        <w:outlineLvl w:val="9"/>
        <w:rPr>
          <w:rFonts w:ascii="Times New Roman" w:hAnsi="Times New Roman" w:cs="Times New Roman"/>
          <w:b/>
          <w:color w:val="auto"/>
          <w:szCs w:val="21"/>
          <w:highlight w:val="none"/>
        </w:rPr>
      </w:pPr>
    </w:p>
    <w:p w14:paraId="55D4EB50">
      <w:pPr>
        <w:adjustRightInd/>
        <w:snapToGrid/>
        <w:spacing w:line="360" w:lineRule="exact"/>
        <w:outlineLvl w:val="9"/>
        <w:rPr>
          <w:rFonts w:ascii="Times New Roman" w:hAnsi="Times New Roman" w:cs="Times New Roman"/>
          <w:b/>
          <w:color w:val="auto"/>
          <w:szCs w:val="21"/>
          <w:highlight w:val="none"/>
        </w:rPr>
      </w:pPr>
    </w:p>
    <w:p w14:paraId="4DB4BCD5">
      <w:pPr>
        <w:adjustRightInd/>
        <w:snapToGrid/>
        <w:spacing w:line="360" w:lineRule="exact"/>
        <w:outlineLvl w:val="9"/>
        <w:rPr>
          <w:rFonts w:ascii="Times New Roman" w:hAnsi="Times New Roman" w:cs="Times New Roman"/>
          <w:b/>
          <w:color w:val="auto"/>
          <w:szCs w:val="21"/>
          <w:highlight w:val="none"/>
        </w:rPr>
      </w:pPr>
    </w:p>
    <w:p w14:paraId="50A63F71">
      <w:pPr>
        <w:adjustRightInd/>
        <w:snapToGrid/>
        <w:spacing w:line="360" w:lineRule="exact"/>
        <w:outlineLvl w:val="9"/>
        <w:rPr>
          <w:rFonts w:ascii="Times New Roman" w:hAnsi="Times New Roman" w:cs="Times New Roman"/>
          <w:b/>
          <w:color w:val="auto"/>
          <w:szCs w:val="21"/>
          <w:highlight w:val="none"/>
        </w:rPr>
      </w:pPr>
      <w:bookmarkStart w:id="329" w:name="_Toc21088"/>
      <w:bookmarkStart w:id="330" w:name="_Toc17617"/>
      <w:bookmarkStart w:id="331" w:name="_Toc21217"/>
      <w:bookmarkStart w:id="332" w:name="_Toc6261"/>
      <w:bookmarkStart w:id="333" w:name="_Toc15354"/>
      <w:bookmarkStart w:id="334" w:name="_Toc11100"/>
      <w:bookmarkStart w:id="335" w:name="_Toc25235"/>
      <w:bookmarkStart w:id="336" w:name="_Toc11889"/>
      <w:r>
        <w:rPr>
          <w:rFonts w:hint="eastAsia" w:ascii="宋体" w:hAnsi="宋体"/>
          <w:b/>
          <w:color w:val="auto"/>
          <w:sz w:val="21"/>
          <w:szCs w:val="21"/>
          <w:highlight w:val="none"/>
          <w:lang w:val="en-US" w:eastAsia="zh-CN"/>
        </w:rPr>
        <w:t>合同</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4</w:t>
      </w:r>
      <w:r>
        <w:rPr>
          <w:rFonts w:ascii="Times New Roman" w:hAnsi="Times New Roman" w:cs="Times New Roman"/>
          <w:b/>
          <w:color w:val="auto"/>
          <w:szCs w:val="21"/>
          <w:highlight w:val="none"/>
        </w:rPr>
        <w:t>《运输杂费及计费规则》</w:t>
      </w:r>
      <w:bookmarkEnd w:id="324"/>
      <w:bookmarkEnd w:id="325"/>
      <w:bookmarkEnd w:id="326"/>
      <w:bookmarkEnd w:id="327"/>
      <w:bookmarkEnd w:id="328"/>
      <w:bookmarkEnd w:id="329"/>
      <w:bookmarkEnd w:id="330"/>
      <w:bookmarkEnd w:id="331"/>
      <w:bookmarkEnd w:id="332"/>
      <w:bookmarkEnd w:id="333"/>
      <w:bookmarkEnd w:id="334"/>
      <w:bookmarkEnd w:id="335"/>
      <w:bookmarkEnd w:id="336"/>
    </w:p>
    <w:tbl>
      <w:tblPr>
        <w:tblStyle w:val="30"/>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142"/>
        <w:gridCol w:w="2708"/>
        <w:gridCol w:w="1845"/>
        <w:gridCol w:w="2824"/>
      </w:tblGrid>
      <w:tr w14:paraId="113F4EE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30" w:hRule="atLeast"/>
        </w:trPr>
        <w:tc>
          <w:tcPr>
            <w:tcW w:w="114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C69D8B">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项目</w:t>
            </w:r>
          </w:p>
        </w:tc>
        <w:tc>
          <w:tcPr>
            <w:tcW w:w="2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DBE880">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规则</w:t>
            </w:r>
          </w:p>
        </w:tc>
        <w:tc>
          <w:tcPr>
            <w:tcW w:w="18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68478E">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计费</w:t>
            </w:r>
          </w:p>
        </w:tc>
        <w:tc>
          <w:tcPr>
            <w:tcW w:w="2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D200E2">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备注</w:t>
            </w:r>
          </w:p>
        </w:tc>
      </w:tr>
      <w:tr w14:paraId="627843C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14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CEAC3A">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过磅费</w:t>
            </w:r>
          </w:p>
        </w:tc>
        <w:tc>
          <w:tcPr>
            <w:tcW w:w="2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326819">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采购人的客户要求以第三方地磅为准，需在第三方地磅过磅，产生的过磅费用</w:t>
            </w:r>
          </w:p>
        </w:tc>
        <w:tc>
          <w:tcPr>
            <w:tcW w:w="18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09F7FD">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按实际执行</w:t>
            </w:r>
          </w:p>
        </w:tc>
        <w:tc>
          <w:tcPr>
            <w:tcW w:w="2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5F8412">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对账需提供：过磅单、收据</w:t>
            </w:r>
          </w:p>
        </w:tc>
      </w:tr>
      <w:tr w14:paraId="75786E1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0" w:hRule="atLeast"/>
        </w:trPr>
        <w:tc>
          <w:tcPr>
            <w:tcW w:w="114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14E3EB">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顺带包装物费用</w:t>
            </w:r>
          </w:p>
        </w:tc>
        <w:tc>
          <w:tcPr>
            <w:tcW w:w="2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C47563">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顺带包装物按照重量计费：</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1、单车带20个及以上200L桶；</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2、单车带10个及以上吨桶；</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3、单车带50个及以上卡板；</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符合以上任一项即可计费，否则不予计费</w:t>
            </w:r>
          </w:p>
        </w:tc>
        <w:tc>
          <w:tcPr>
            <w:tcW w:w="18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FCEF6B">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200元/车</w:t>
            </w:r>
          </w:p>
        </w:tc>
        <w:tc>
          <w:tcPr>
            <w:tcW w:w="2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DE7EC3">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对账需提供：包装物交接单，重量核对清单</w:t>
            </w:r>
          </w:p>
        </w:tc>
      </w:tr>
      <w:tr w14:paraId="0F1BC8C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114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BCA3E5">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专车送包装物</w:t>
            </w:r>
          </w:p>
        </w:tc>
        <w:tc>
          <w:tcPr>
            <w:tcW w:w="2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465079">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需专车送包装物的</w:t>
            </w:r>
          </w:p>
        </w:tc>
        <w:tc>
          <w:tcPr>
            <w:tcW w:w="18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9FF55D">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按运价的70%计费</w:t>
            </w:r>
          </w:p>
        </w:tc>
        <w:tc>
          <w:tcPr>
            <w:tcW w:w="2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4C0C6A">
            <w:pPr>
              <w:spacing w:line="240" w:lineRule="auto"/>
              <w:jc w:val="center"/>
              <w:rPr>
                <w:rFonts w:hint="eastAsia" w:ascii="宋体" w:hAnsi="宋体" w:eastAsia="宋体" w:cs="宋体"/>
                <w:i w:val="0"/>
                <w:iCs w:val="0"/>
                <w:color w:val="auto"/>
                <w:sz w:val="20"/>
                <w:szCs w:val="20"/>
                <w:highlight w:val="none"/>
                <w:u w:val="none"/>
              </w:rPr>
            </w:pPr>
          </w:p>
        </w:tc>
      </w:tr>
      <w:tr w14:paraId="486807B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80" w:hRule="atLeast"/>
        </w:trPr>
        <w:tc>
          <w:tcPr>
            <w:tcW w:w="1142" w:type="dxa"/>
            <w:tcBorders>
              <w:top w:val="single" w:color="000000" w:sz="4" w:space="0"/>
              <w:left w:val="single" w:color="000000" w:sz="4" w:space="0"/>
              <w:bottom w:val="single" w:color="auto" w:sz="4" w:space="0"/>
              <w:right w:val="single" w:color="000000" w:sz="4" w:space="0"/>
            </w:tcBorders>
            <w:shd w:val="clear" w:color="auto" w:fill="auto"/>
            <w:noWrap/>
            <w:vAlign w:val="center"/>
          </w:tcPr>
          <w:p w14:paraId="7463B0AA">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拼车费</w:t>
            </w:r>
          </w:p>
        </w:tc>
        <w:tc>
          <w:tcPr>
            <w:tcW w:w="2708" w:type="dxa"/>
            <w:tcBorders>
              <w:top w:val="single" w:color="000000" w:sz="4" w:space="0"/>
              <w:left w:val="single" w:color="000000" w:sz="4" w:space="0"/>
              <w:bottom w:val="single" w:color="auto" w:sz="4" w:space="0"/>
              <w:right w:val="single" w:color="000000" w:sz="4" w:space="0"/>
            </w:tcBorders>
            <w:shd w:val="clear" w:color="auto" w:fill="auto"/>
            <w:vAlign w:val="center"/>
          </w:tcPr>
          <w:p w14:paraId="5E3ACE62">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1、同一工业园区的不同客户，不计算拼车费；</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2、不同工业园区，同一“区/县/镇”按100元/家计算拼车费；</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3、不同“区/县/镇”按150元/家计算拼车费。</w:t>
            </w:r>
          </w:p>
        </w:tc>
        <w:tc>
          <w:tcPr>
            <w:tcW w:w="18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ABB055">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按规则</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100元/家</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或</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150元/家</w:t>
            </w:r>
          </w:p>
        </w:tc>
        <w:tc>
          <w:tcPr>
            <w:tcW w:w="2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CB6881">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原则上不顺路不予拼车；“区/县/镇”的定义以报价单的“区/县/镇”划分为准。</w:t>
            </w:r>
          </w:p>
        </w:tc>
      </w:tr>
      <w:tr w14:paraId="3CE92AC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818" w:hRule="atLeast"/>
        </w:trPr>
        <w:tc>
          <w:tcPr>
            <w:tcW w:w="1142"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1C0C06E">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装卸费</w:t>
            </w:r>
          </w:p>
        </w:tc>
        <w:tc>
          <w:tcPr>
            <w:tcW w:w="2708" w:type="dxa"/>
            <w:tcBorders>
              <w:top w:val="single" w:color="auto" w:sz="4" w:space="0"/>
              <w:left w:val="single" w:color="auto" w:sz="4" w:space="0"/>
              <w:bottom w:val="single" w:color="auto" w:sz="4" w:space="0"/>
              <w:right w:val="single" w:color="auto" w:sz="4" w:space="0"/>
            </w:tcBorders>
            <w:shd w:val="clear" w:color="auto" w:fill="auto"/>
            <w:vAlign w:val="center"/>
          </w:tcPr>
          <w:p w14:paraId="1DBA9608">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按装卸费标准执行。</w:t>
            </w:r>
          </w:p>
        </w:tc>
        <w:tc>
          <w:tcPr>
            <w:tcW w:w="1845" w:type="dxa"/>
            <w:tcBorders>
              <w:top w:val="single" w:color="000000" w:sz="4" w:space="0"/>
              <w:left w:val="single" w:color="auto" w:sz="4" w:space="0"/>
              <w:bottom w:val="single" w:color="000000" w:sz="4" w:space="0"/>
              <w:right w:val="single" w:color="000000" w:sz="4" w:space="0"/>
            </w:tcBorders>
            <w:shd w:val="clear" w:color="auto" w:fill="auto"/>
            <w:vAlign w:val="center"/>
          </w:tcPr>
          <w:p w14:paraId="268620C6">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见装卸费标准</w:t>
            </w:r>
          </w:p>
        </w:tc>
        <w:tc>
          <w:tcPr>
            <w:tcW w:w="2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447FBE">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费用的申请：</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1、每月制作搬运打包费申请表，表内必须包含收运日期、客户名称、搬运废物的重量，同时提供对应客户现场能体现打包服务的水印照片和短视频，视频及照片文件名须按“日期+客户+重量”格式命名，并电子版打包发至采购人留存。</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2、提供对账单纸质时，须将对应的水印照片打印出来作为结算凭证，对账纸质资料每页盖章。</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3、无法提供上述资料的不予支付打包费用（客户现场不允许携带手机的，可与客户沟通协助拍摄，协商不成的需要提前告知采购人，以便采购人与客户确认打包服务属实）。</w:t>
            </w:r>
          </w:p>
        </w:tc>
      </w:tr>
      <w:tr w14:paraId="7C03DF6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142" w:type="dxa"/>
            <w:tcBorders>
              <w:top w:val="single" w:color="auto" w:sz="4" w:space="0"/>
              <w:left w:val="single" w:color="000000" w:sz="4" w:space="0"/>
              <w:bottom w:val="single" w:color="000000" w:sz="4" w:space="0"/>
              <w:right w:val="single" w:color="000000" w:sz="4" w:space="0"/>
            </w:tcBorders>
            <w:shd w:val="clear" w:color="auto" w:fill="auto"/>
            <w:noWrap/>
            <w:vAlign w:val="center"/>
          </w:tcPr>
          <w:p w14:paraId="61B42161">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放空费</w:t>
            </w:r>
          </w:p>
        </w:tc>
        <w:tc>
          <w:tcPr>
            <w:tcW w:w="2708" w:type="dxa"/>
            <w:tcBorders>
              <w:top w:val="single" w:color="auto" w:sz="4" w:space="0"/>
              <w:left w:val="single" w:color="000000" w:sz="4" w:space="0"/>
              <w:bottom w:val="single" w:color="000000" w:sz="4" w:space="0"/>
              <w:right w:val="single" w:color="000000" w:sz="4" w:space="0"/>
            </w:tcBorders>
            <w:shd w:val="clear" w:color="auto" w:fill="FFFFFF"/>
            <w:vAlign w:val="center"/>
          </w:tcPr>
          <w:p w14:paraId="42A59C34">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采购人派单给到运输公司，运输公司已开始承接运输任务后，由于采购人或其客户原因导致该批次废物无法收运，运输公司空车往返产生的相关费用</w:t>
            </w:r>
          </w:p>
        </w:tc>
        <w:tc>
          <w:tcPr>
            <w:tcW w:w="18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113CF88">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运价的60%</w:t>
            </w:r>
          </w:p>
        </w:tc>
        <w:tc>
          <w:tcPr>
            <w:tcW w:w="282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4C00A22">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不提供放空费情况如下：</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1、因不可抗力如台风等因素无法收运的；</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2、运输单位车辆故障无法按时抵达客户现场装货的；</w:t>
            </w:r>
          </w:p>
        </w:tc>
      </w:tr>
      <w:tr w14:paraId="7A58FB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0" w:hRule="atLeast"/>
        </w:trPr>
        <w:tc>
          <w:tcPr>
            <w:tcW w:w="114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F0188A">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押车费</w:t>
            </w:r>
          </w:p>
        </w:tc>
        <w:tc>
          <w:tcPr>
            <w:tcW w:w="270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126CEA5">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采购人派单给到运输公司，运输公司已承接该批次废物，但因采购人或其客户原因导致无法当天完成卸货释放运输公司运力，货物需要滞留在车上过夜产生的相关费用，按车型付压车费</w:t>
            </w:r>
          </w:p>
        </w:tc>
        <w:tc>
          <w:tcPr>
            <w:tcW w:w="18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2611B5C">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5.2米厢车：600元/夜</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7.6米厢车：800元/夜</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9.6米厢车：1000元/夜</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12米挂车：1200元/夜</w:t>
            </w:r>
          </w:p>
        </w:tc>
        <w:tc>
          <w:tcPr>
            <w:tcW w:w="282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DA8D34F">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Style w:val="87"/>
                <w:color w:val="auto"/>
                <w:sz w:val="20"/>
                <w:szCs w:val="20"/>
                <w:highlight w:val="none"/>
                <w:lang w:val="en-US" w:eastAsia="zh-CN" w:bidi="ar"/>
              </w:rPr>
              <w:t>不提供押车费情况如下：</w:t>
            </w:r>
            <w:r>
              <w:rPr>
                <w:rStyle w:val="87"/>
                <w:color w:val="auto"/>
                <w:sz w:val="20"/>
                <w:szCs w:val="20"/>
                <w:highlight w:val="none"/>
                <w:lang w:val="en-US" w:eastAsia="zh-CN" w:bidi="ar"/>
              </w:rPr>
              <w:br w:type="textWrapping"/>
            </w:r>
            <w:r>
              <w:rPr>
                <w:rStyle w:val="87"/>
                <w:color w:val="auto"/>
                <w:sz w:val="20"/>
                <w:szCs w:val="20"/>
                <w:highlight w:val="none"/>
                <w:lang w:val="en-US" w:eastAsia="zh-CN" w:bidi="ar"/>
              </w:rPr>
              <w:t>1、</w:t>
            </w:r>
            <w:r>
              <w:rPr>
                <w:rStyle w:val="88"/>
                <w:color w:val="auto"/>
                <w:sz w:val="20"/>
                <w:szCs w:val="20"/>
                <w:highlight w:val="none"/>
                <w:lang w:val="en-US" w:eastAsia="zh-CN" w:bidi="ar"/>
              </w:rPr>
              <w:t>因客户运距远，无法当天及时返回导致押车的；</w:t>
            </w:r>
            <w:r>
              <w:rPr>
                <w:rStyle w:val="87"/>
                <w:color w:val="auto"/>
                <w:sz w:val="20"/>
                <w:szCs w:val="20"/>
                <w:highlight w:val="none"/>
                <w:lang w:val="en-US" w:eastAsia="zh-CN" w:bidi="ar"/>
              </w:rPr>
              <w:br w:type="textWrapping"/>
            </w:r>
            <w:r>
              <w:rPr>
                <w:rStyle w:val="87"/>
                <w:color w:val="auto"/>
                <w:sz w:val="20"/>
                <w:szCs w:val="20"/>
                <w:highlight w:val="none"/>
                <w:lang w:val="en-US" w:eastAsia="zh-CN" w:bidi="ar"/>
              </w:rPr>
              <w:t>2、因不可抗力如台风等因素无法卸货导致押车的；</w:t>
            </w:r>
            <w:r>
              <w:rPr>
                <w:rStyle w:val="87"/>
                <w:color w:val="auto"/>
                <w:sz w:val="20"/>
                <w:szCs w:val="20"/>
                <w:highlight w:val="none"/>
                <w:lang w:val="en-US" w:eastAsia="zh-CN" w:bidi="ar"/>
              </w:rPr>
              <w:br w:type="textWrapping"/>
            </w:r>
            <w:r>
              <w:rPr>
                <w:rStyle w:val="87"/>
                <w:color w:val="auto"/>
                <w:sz w:val="20"/>
                <w:szCs w:val="20"/>
                <w:highlight w:val="none"/>
                <w:lang w:val="en-US" w:eastAsia="zh-CN" w:bidi="ar"/>
              </w:rPr>
              <w:t>3、运输单位车辆故障无法按时抵达采购人厂区卸货导致押车的；</w:t>
            </w:r>
            <w:r>
              <w:rPr>
                <w:rStyle w:val="87"/>
                <w:color w:val="auto"/>
                <w:sz w:val="20"/>
                <w:szCs w:val="20"/>
                <w:highlight w:val="none"/>
                <w:lang w:val="en-US" w:eastAsia="zh-CN" w:bidi="ar"/>
              </w:rPr>
              <w:br w:type="textWrapping"/>
            </w:r>
            <w:r>
              <w:rPr>
                <w:rStyle w:val="87"/>
                <w:color w:val="auto"/>
                <w:sz w:val="20"/>
                <w:szCs w:val="20"/>
                <w:highlight w:val="none"/>
                <w:lang w:val="en-US" w:eastAsia="zh-CN" w:bidi="ar"/>
              </w:rPr>
              <w:t>4、非工作时间段进场，且未在当天提前报备（下午16时前报备）导致进场后无法卸货押车的；</w:t>
            </w:r>
          </w:p>
        </w:tc>
      </w:tr>
      <w:tr w14:paraId="54B1AD6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14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AC791B">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机械租赁费</w:t>
            </w:r>
          </w:p>
        </w:tc>
        <w:tc>
          <w:tcPr>
            <w:tcW w:w="2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8BCC82">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因甲方客户装卸货物需要，经采购人同意，需外请叉车、挖掘机、吸污设备进行装货的。</w:t>
            </w:r>
          </w:p>
        </w:tc>
        <w:tc>
          <w:tcPr>
            <w:tcW w:w="18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929F3A">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按照实际价格结算</w:t>
            </w:r>
          </w:p>
        </w:tc>
        <w:tc>
          <w:tcPr>
            <w:tcW w:w="2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0388D4">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对账需提供：带水印的现场照片、收据或付款记录。费用由运输单位垫付，计入当月运输对账单中，于当月开具运输服务发票进行对账结算。</w:t>
            </w:r>
          </w:p>
        </w:tc>
      </w:tr>
      <w:tr w14:paraId="34387D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114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1C80B0">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剧毒运输</w:t>
            </w:r>
          </w:p>
        </w:tc>
        <w:tc>
          <w:tcPr>
            <w:tcW w:w="2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731B22">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成交人不得因资质问题跳单，</w:t>
            </w:r>
            <w:r>
              <w:rPr>
                <w:rFonts w:hint="eastAsia" w:ascii="宋体" w:hAnsi="宋体" w:cs="宋体"/>
                <w:i w:val="0"/>
                <w:iCs w:val="0"/>
                <w:color w:val="auto"/>
                <w:kern w:val="0"/>
                <w:sz w:val="20"/>
                <w:szCs w:val="20"/>
                <w:highlight w:val="none"/>
                <w:u w:val="none"/>
                <w:lang w:val="en-US" w:eastAsia="zh-CN" w:bidi="ar"/>
              </w:rPr>
              <w:t>采购人</w:t>
            </w:r>
            <w:r>
              <w:rPr>
                <w:rFonts w:hint="eastAsia" w:ascii="宋体" w:hAnsi="宋体" w:eastAsia="宋体" w:cs="宋体"/>
                <w:i w:val="0"/>
                <w:iCs w:val="0"/>
                <w:color w:val="auto"/>
                <w:kern w:val="0"/>
                <w:sz w:val="20"/>
                <w:szCs w:val="20"/>
                <w:highlight w:val="none"/>
                <w:u w:val="none"/>
                <w:lang w:val="en-US" w:eastAsia="zh-CN" w:bidi="ar"/>
              </w:rPr>
              <w:t>按正常运输价格上浮500元/车支付运费</w:t>
            </w:r>
          </w:p>
        </w:tc>
        <w:tc>
          <w:tcPr>
            <w:tcW w:w="18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169574">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500元/车</w:t>
            </w:r>
          </w:p>
        </w:tc>
        <w:tc>
          <w:tcPr>
            <w:tcW w:w="2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C173A4">
            <w:pPr>
              <w:spacing w:line="240" w:lineRule="auto"/>
              <w:jc w:val="center"/>
              <w:rPr>
                <w:rFonts w:hint="eastAsia" w:ascii="宋体" w:hAnsi="宋体" w:eastAsia="宋体" w:cs="宋体"/>
                <w:i w:val="0"/>
                <w:iCs w:val="0"/>
                <w:color w:val="auto"/>
                <w:sz w:val="20"/>
                <w:szCs w:val="20"/>
                <w:highlight w:val="none"/>
                <w:u w:val="none"/>
              </w:rPr>
            </w:pPr>
          </w:p>
        </w:tc>
      </w:tr>
    </w:tbl>
    <w:p w14:paraId="0022D6A1">
      <w:pPr>
        <w:rPr>
          <w:rFonts w:hint="eastAsia" w:ascii="宋体" w:hAnsi="宋体" w:eastAsia="宋体" w:cs="宋体"/>
          <w:b/>
          <w:color w:val="auto"/>
          <w:sz w:val="21"/>
          <w:szCs w:val="21"/>
          <w:highlight w:val="none"/>
          <w:lang w:val="en-US" w:eastAsia="zh-CN"/>
        </w:rPr>
      </w:pPr>
      <w:bookmarkStart w:id="337" w:name="_Toc31861"/>
      <w:bookmarkStart w:id="338" w:name="_Toc20615"/>
      <w:bookmarkStart w:id="339" w:name="_Toc26821"/>
      <w:bookmarkStart w:id="340" w:name="_Toc20386"/>
      <w:bookmarkStart w:id="341" w:name="_Toc1554"/>
      <w:bookmarkStart w:id="342" w:name="_Toc25826"/>
      <w:bookmarkStart w:id="343" w:name="_Toc19916"/>
      <w:bookmarkStart w:id="344" w:name="_Toc15895"/>
      <w:bookmarkStart w:id="345" w:name="_Toc19496"/>
      <w:bookmarkStart w:id="346" w:name="_Toc31837"/>
      <w:bookmarkStart w:id="347" w:name="_Toc15923"/>
      <w:bookmarkStart w:id="348" w:name="_Toc18959"/>
      <w:bookmarkStart w:id="349" w:name="_Toc11480"/>
      <w:r>
        <w:rPr>
          <w:rFonts w:hint="eastAsia" w:ascii="宋体" w:hAnsi="宋体" w:eastAsia="宋体" w:cs="宋体"/>
          <w:b/>
          <w:color w:val="auto"/>
          <w:sz w:val="21"/>
          <w:szCs w:val="21"/>
          <w:highlight w:val="none"/>
          <w:lang w:val="en-US" w:eastAsia="zh-CN"/>
        </w:rPr>
        <w:br w:type="page"/>
      </w:r>
    </w:p>
    <w:p w14:paraId="2B0A7C12">
      <w:pPr>
        <w:keepNext w:val="0"/>
        <w:keepLines w:val="0"/>
        <w:pageBreakBefore w:val="0"/>
        <w:widowControl w:val="0"/>
        <w:kinsoku/>
        <w:wordWrap/>
        <w:overflowPunct/>
        <w:topLinePunct w:val="0"/>
        <w:autoSpaceDE/>
        <w:autoSpaceDN/>
        <w:bidi w:val="0"/>
        <w:adjustRightInd/>
        <w:snapToGrid/>
        <w:spacing w:line="360" w:lineRule="auto"/>
        <w:jc w:val="left"/>
        <w:textAlignment w:val="auto"/>
        <w:outlineLvl w:val="9"/>
        <w:rPr>
          <w:rFonts w:hint="eastAsia" w:ascii="宋体" w:hAnsi="宋体" w:eastAsia="宋体" w:cs="宋体"/>
          <w:b/>
          <w:color w:val="auto"/>
          <w:szCs w:val="21"/>
          <w:highlight w:val="none"/>
        </w:rPr>
      </w:pPr>
      <w:r>
        <w:rPr>
          <w:rFonts w:hint="eastAsia" w:ascii="宋体" w:hAnsi="宋体" w:eastAsia="宋体" w:cs="宋体"/>
          <w:b/>
          <w:color w:val="auto"/>
          <w:sz w:val="21"/>
          <w:szCs w:val="21"/>
          <w:highlight w:val="none"/>
          <w:lang w:val="en-US" w:eastAsia="zh-CN"/>
        </w:rPr>
        <w:t>合同</w:t>
      </w:r>
      <w:r>
        <w:rPr>
          <w:rFonts w:hint="eastAsia" w:ascii="宋体" w:hAnsi="宋体" w:eastAsia="宋体" w:cs="宋体"/>
          <w:b/>
          <w:color w:val="auto"/>
          <w:szCs w:val="21"/>
          <w:highlight w:val="none"/>
        </w:rPr>
        <w:t>附件</w:t>
      </w:r>
      <w:r>
        <w:rPr>
          <w:rFonts w:hint="eastAsia" w:ascii="宋体" w:hAnsi="宋体" w:eastAsia="宋体" w:cs="宋体"/>
          <w:b/>
          <w:color w:val="auto"/>
          <w:szCs w:val="21"/>
          <w:highlight w:val="none"/>
          <w:lang w:val="en-US" w:eastAsia="zh-CN"/>
        </w:rPr>
        <w:t>5</w:t>
      </w:r>
      <w:r>
        <w:rPr>
          <w:rFonts w:hint="eastAsia" w:ascii="宋体" w:hAnsi="宋体" w:eastAsia="宋体" w:cs="宋体"/>
          <w:b/>
          <w:color w:val="auto"/>
          <w:szCs w:val="21"/>
          <w:highlight w:val="none"/>
        </w:rPr>
        <w:t>《东莞市新东欣环保投资有限公司承运单位违规行为处罚条款》</w:t>
      </w:r>
      <w:bookmarkEnd w:id="337"/>
      <w:bookmarkEnd w:id="338"/>
      <w:bookmarkEnd w:id="339"/>
      <w:bookmarkEnd w:id="340"/>
      <w:bookmarkEnd w:id="341"/>
      <w:bookmarkEnd w:id="342"/>
      <w:bookmarkEnd w:id="343"/>
      <w:bookmarkEnd w:id="344"/>
      <w:bookmarkEnd w:id="345"/>
      <w:bookmarkEnd w:id="346"/>
      <w:bookmarkEnd w:id="347"/>
      <w:bookmarkEnd w:id="348"/>
      <w:bookmarkEnd w:id="349"/>
    </w:p>
    <w:tbl>
      <w:tblPr>
        <w:tblStyle w:val="30"/>
        <w:tblpPr w:leftFromText="180" w:rightFromText="180" w:vertAnchor="text" w:horzAnchor="page" w:tblpX="1906" w:tblpY="467"/>
        <w:tblOverlap w:val="never"/>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529"/>
        <w:gridCol w:w="454"/>
        <w:gridCol w:w="5138"/>
        <w:gridCol w:w="2303"/>
      </w:tblGrid>
      <w:tr w14:paraId="5DDE221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trPr>
        <w:tc>
          <w:tcPr>
            <w:tcW w:w="8424" w:type="dxa"/>
            <w:gridSpan w:val="4"/>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D097549">
            <w:pPr>
              <w:keepNext w:val="0"/>
              <w:keepLines w:val="0"/>
              <w:widowControl/>
              <w:suppressLineNumbers w:val="0"/>
              <w:spacing w:line="240" w:lineRule="auto"/>
              <w:jc w:val="center"/>
              <w:textAlignment w:val="center"/>
              <w:outlineLvl w:val="9"/>
              <w:rPr>
                <w:rFonts w:hint="eastAsia" w:ascii="宋体" w:hAnsi="宋体" w:eastAsia="宋体" w:cs="宋体"/>
                <w:b/>
                <w:bCs/>
                <w:i w:val="0"/>
                <w:iCs w:val="0"/>
                <w:color w:val="auto"/>
                <w:kern w:val="0"/>
                <w:sz w:val="20"/>
                <w:szCs w:val="20"/>
                <w:highlight w:val="none"/>
                <w:u w:val="none"/>
                <w:lang w:val="en-US" w:eastAsia="zh-CN" w:bidi="ar"/>
              </w:rPr>
            </w:pPr>
            <w:r>
              <w:rPr>
                <w:rFonts w:hint="eastAsia" w:ascii="宋体" w:hAnsi="宋体" w:eastAsia="宋体" w:cs="宋体"/>
                <w:b/>
                <w:bCs/>
                <w:i w:val="0"/>
                <w:iCs w:val="0"/>
                <w:color w:val="auto"/>
                <w:kern w:val="0"/>
                <w:sz w:val="20"/>
                <w:szCs w:val="20"/>
                <w:highlight w:val="none"/>
                <w:u w:val="none"/>
                <w:lang w:val="en-US" w:eastAsia="zh-CN" w:bidi="ar"/>
              </w:rPr>
              <w:t>东莞市新东欣环保投资有限公司承运单位违规行为处罚条款</w:t>
            </w:r>
          </w:p>
          <w:p w14:paraId="59395609">
            <w:pPr>
              <w:keepNext w:val="0"/>
              <w:keepLines w:val="0"/>
              <w:widowControl/>
              <w:suppressLineNumbers w:val="0"/>
              <w:spacing w:line="240" w:lineRule="auto"/>
              <w:jc w:val="both"/>
              <w:textAlignment w:val="center"/>
              <w:outlineLvl w:val="9"/>
              <w:rPr>
                <w:rFonts w:hint="eastAsia" w:ascii="宋体" w:hAnsi="宋体" w:eastAsia="宋体" w:cs="宋体"/>
                <w:b/>
                <w:bCs/>
                <w:i w:val="0"/>
                <w:iCs w:val="0"/>
                <w:color w:val="auto"/>
                <w:kern w:val="0"/>
                <w:sz w:val="20"/>
                <w:szCs w:val="20"/>
                <w:highlight w:val="none"/>
                <w:u w:val="none"/>
                <w:lang w:val="en-US" w:eastAsia="zh-CN" w:bidi="ar"/>
              </w:rPr>
            </w:pPr>
            <w:r>
              <w:rPr>
                <w:rFonts w:hint="eastAsia" w:ascii="宋体" w:hAnsi="宋体" w:eastAsia="宋体" w:cs="宋体"/>
                <w:b/>
                <w:bCs/>
                <w:i w:val="0"/>
                <w:iCs w:val="0"/>
                <w:color w:val="auto"/>
                <w:kern w:val="0"/>
                <w:sz w:val="20"/>
                <w:szCs w:val="20"/>
                <w:highlight w:val="none"/>
                <w:u w:val="none"/>
                <w:lang w:val="en-US" w:eastAsia="zh-CN" w:bidi="ar"/>
              </w:rPr>
              <w:t>说明：</w:t>
            </w:r>
            <w:r>
              <w:rPr>
                <w:rFonts w:hint="eastAsia" w:ascii="宋体" w:hAnsi="宋体" w:eastAsia="宋体" w:cs="宋体"/>
                <w:b/>
                <w:bCs/>
                <w:color w:val="auto"/>
                <w:sz w:val="20"/>
                <w:szCs w:val="20"/>
                <w:highlight w:val="none"/>
                <w:u w:val="none"/>
                <w:lang w:val="en-US" w:eastAsia="zh-CN" w:bidi="ar"/>
              </w:rPr>
              <w:t>以下</w:t>
            </w:r>
            <w:r>
              <w:rPr>
                <w:rFonts w:hint="eastAsia" w:ascii="宋体" w:hAnsi="宋体" w:eastAsia="宋体" w:cs="宋体"/>
                <w:b/>
                <w:bCs/>
                <w:color w:val="auto"/>
                <w:sz w:val="20"/>
                <w:szCs w:val="20"/>
                <w:highlight w:val="none"/>
                <w:u w:val="none"/>
                <w:lang w:bidi="ar"/>
              </w:rPr>
              <w:t>罚款属于违约金，均为人民币</w:t>
            </w:r>
            <w:r>
              <w:rPr>
                <w:rFonts w:hint="eastAsia" w:ascii="宋体" w:hAnsi="宋体" w:eastAsia="宋体" w:cs="宋体"/>
                <w:b/>
                <w:bCs/>
                <w:color w:val="auto"/>
                <w:sz w:val="20"/>
                <w:szCs w:val="20"/>
                <w:highlight w:val="none"/>
                <w:u w:val="none"/>
                <w:lang w:eastAsia="zh-CN" w:bidi="ar"/>
              </w:rPr>
              <w:t>。</w:t>
            </w:r>
          </w:p>
        </w:tc>
      </w:tr>
      <w:tr w14:paraId="1F39904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trPr>
        <w:tc>
          <w:tcPr>
            <w:tcW w:w="8424" w:type="dxa"/>
            <w:gridSpan w:val="4"/>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22A12F">
            <w:pPr>
              <w:spacing w:line="240" w:lineRule="auto"/>
              <w:jc w:val="center"/>
              <w:outlineLvl w:val="9"/>
              <w:rPr>
                <w:rFonts w:hint="eastAsia" w:ascii="宋体" w:hAnsi="宋体" w:eastAsia="宋体" w:cs="宋体"/>
                <w:b/>
                <w:bCs/>
                <w:i w:val="0"/>
                <w:iCs w:val="0"/>
                <w:color w:val="auto"/>
                <w:sz w:val="20"/>
                <w:szCs w:val="20"/>
                <w:highlight w:val="none"/>
                <w:u w:val="none"/>
              </w:rPr>
            </w:pPr>
          </w:p>
        </w:tc>
      </w:tr>
      <w:tr w14:paraId="54070D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529" w:type="dxa"/>
            <w:tcBorders>
              <w:top w:val="single" w:color="000000" w:sz="4" w:space="0"/>
              <w:left w:val="single" w:color="000000" w:sz="4" w:space="0"/>
              <w:bottom w:val="single" w:color="000000" w:sz="4" w:space="0"/>
              <w:right w:val="nil"/>
            </w:tcBorders>
            <w:shd w:val="clear" w:color="auto" w:fill="auto"/>
            <w:vAlign w:val="center"/>
          </w:tcPr>
          <w:p w14:paraId="28600B1B">
            <w:pPr>
              <w:keepNext w:val="0"/>
              <w:keepLines w:val="0"/>
              <w:widowControl/>
              <w:suppressLineNumbers w:val="0"/>
              <w:spacing w:line="240" w:lineRule="auto"/>
              <w:jc w:val="center"/>
              <w:textAlignment w:val="center"/>
              <w:outlineLvl w:val="9"/>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项目分类</w:t>
            </w:r>
          </w:p>
        </w:tc>
        <w:tc>
          <w:tcPr>
            <w:tcW w:w="45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827880">
            <w:pPr>
              <w:keepNext w:val="0"/>
              <w:keepLines w:val="0"/>
              <w:widowControl/>
              <w:suppressLineNumbers w:val="0"/>
              <w:spacing w:line="240" w:lineRule="auto"/>
              <w:jc w:val="center"/>
              <w:textAlignment w:val="center"/>
              <w:outlineLvl w:val="9"/>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序号</w:t>
            </w:r>
          </w:p>
        </w:tc>
        <w:tc>
          <w:tcPr>
            <w:tcW w:w="51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A7AE820">
            <w:pPr>
              <w:keepNext w:val="0"/>
              <w:keepLines w:val="0"/>
              <w:widowControl/>
              <w:suppressLineNumbers w:val="0"/>
              <w:spacing w:line="240" w:lineRule="auto"/>
              <w:jc w:val="center"/>
              <w:textAlignment w:val="center"/>
              <w:outlineLvl w:val="9"/>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违规行为</w:t>
            </w:r>
          </w:p>
        </w:tc>
        <w:tc>
          <w:tcPr>
            <w:tcW w:w="230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A484E3">
            <w:pPr>
              <w:keepNext w:val="0"/>
              <w:keepLines w:val="0"/>
              <w:widowControl/>
              <w:suppressLineNumbers w:val="0"/>
              <w:spacing w:line="240" w:lineRule="auto"/>
              <w:jc w:val="center"/>
              <w:textAlignment w:val="center"/>
              <w:outlineLvl w:val="9"/>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处罚措施</w:t>
            </w:r>
          </w:p>
        </w:tc>
      </w:tr>
      <w:tr w14:paraId="144E025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52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83B9227">
            <w:pPr>
              <w:keepNext w:val="0"/>
              <w:keepLines w:val="0"/>
              <w:widowControl/>
              <w:suppressLineNumbers w:val="0"/>
              <w:spacing w:line="240" w:lineRule="auto"/>
              <w:jc w:val="center"/>
              <w:textAlignment w:val="center"/>
              <w:outlineLvl w:val="9"/>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条款明细</w:t>
            </w:r>
          </w:p>
        </w:tc>
        <w:tc>
          <w:tcPr>
            <w:tcW w:w="4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0D2EE67">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51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C543003">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送货单上的废物名称错误、包装物重量错扣、重量错计、数字顺序错填、不同废物重量错调、数量单位写错、现场未与客户一一核对确认送货单数据造成客户漏签字或者代替客户签字、送货单涂改或底联不清晰等造成送货单数据异常引起纠纷后经确认属于运输人员原因造成的</w:t>
            </w:r>
          </w:p>
        </w:tc>
        <w:tc>
          <w:tcPr>
            <w:tcW w:w="230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8DEE6AC">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罚款300元/次</w:t>
            </w:r>
          </w:p>
        </w:tc>
      </w:tr>
      <w:tr w14:paraId="3FD1641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trPr>
        <w:tc>
          <w:tcPr>
            <w:tcW w:w="52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75EB4C4">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74135AC">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w:t>
            </w:r>
          </w:p>
        </w:tc>
        <w:tc>
          <w:tcPr>
            <w:tcW w:w="51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329C1CF">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运输单位原因错扫、漏扫、迟扫联单，导致联单运输时间与实际运输时间不一致的；或者运输单位原因导致联单作废重新提交的。</w:t>
            </w:r>
          </w:p>
        </w:tc>
        <w:tc>
          <w:tcPr>
            <w:tcW w:w="230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D3CF838">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罚款300元/次</w:t>
            </w:r>
          </w:p>
        </w:tc>
      </w:tr>
      <w:tr w14:paraId="201DFBD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80" w:hRule="atLeast"/>
        </w:trPr>
        <w:tc>
          <w:tcPr>
            <w:tcW w:w="52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E40962E">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ED2630F">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3</w:t>
            </w:r>
          </w:p>
        </w:tc>
        <w:tc>
          <w:tcPr>
            <w:tcW w:w="51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F65F0E8">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运输人员操作不当导致废物</w:t>
            </w:r>
            <w:r>
              <w:rPr>
                <w:rFonts w:hint="eastAsia" w:ascii="宋体" w:hAnsi="宋体" w:cs="宋体"/>
                <w:i w:val="0"/>
                <w:iCs w:val="0"/>
                <w:color w:val="auto"/>
                <w:kern w:val="0"/>
                <w:sz w:val="20"/>
                <w:szCs w:val="20"/>
                <w:highlight w:val="none"/>
                <w:u w:val="none"/>
                <w:lang w:val="en-US" w:eastAsia="zh-CN" w:bidi="ar"/>
              </w:rPr>
              <w:t>泄漏</w:t>
            </w:r>
            <w:r>
              <w:rPr>
                <w:rFonts w:hint="eastAsia" w:ascii="宋体" w:hAnsi="宋体" w:eastAsia="宋体" w:cs="宋体"/>
                <w:i w:val="0"/>
                <w:iCs w:val="0"/>
                <w:color w:val="auto"/>
                <w:kern w:val="0"/>
                <w:sz w:val="20"/>
                <w:szCs w:val="20"/>
                <w:highlight w:val="none"/>
                <w:u w:val="none"/>
                <w:lang w:val="en-US" w:eastAsia="zh-CN" w:bidi="ar"/>
              </w:rPr>
              <w:t>或发生反应的：包括不限于收运前未检查废物包装、液位，包装物破损未及时发现，未按规范打包货装车，缠膜不牢导致废物倾倒，车辆防泄漏措施不当导致废物泄漏至路面。该异常现象发生的地点不限于采购人厂区、运输途中、采购人的客户厂区。</w:t>
            </w:r>
          </w:p>
        </w:tc>
        <w:tc>
          <w:tcPr>
            <w:tcW w:w="230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2D7BEC7">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罚款500元/次；</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造成环境污染事故的另行处罚；</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采购人的客户方有相关处罚规定并出具罚单的；</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以上情况择重者处罚</w:t>
            </w:r>
          </w:p>
        </w:tc>
      </w:tr>
      <w:tr w14:paraId="5EC38EA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60" w:hRule="atLeast"/>
        </w:trPr>
        <w:tc>
          <w:tcPr>
            <w:tcW w:w="52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03FDBC">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A777160">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4</w:t>
            </w:r>
          </w:p>
        </w:tc>
        <w:tc>
          <w:tcPr>
            <w:tcW w:w="51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3280327">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槽车运输前未清理罐内残留导致我司废物被污染，废物多项指标出现异常，处置成本上升或者有价废物贬值；废物在现场反应，存在安全隐患、或导致未遂事故、安全事故。</w:t>
            </w:r>
          </w:p>
        </w:tc>
        <w:tc>
          <w:tcPr>
            <w:tcW w:w="230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216422C">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1、污染：罚款500元并赔偿因废物指标异常导致的处置成本上涨和有价废物损失；</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2、反应：废物反应导致其他罚款或人身伤害的，需承担相关处罚，并承担相关行政、刑事处罚、民事责任。</w:t>
            </w:r>
          </w:p>
        </w:tc>
      </w:tr>
      <w:tr w14:paraId="73EC0F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52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60482CB">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6DAADAE">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5</w:t>
            </w:r>
          </w:p>
        </w:tc>
        <w:tc>
          <w:tcPr>
            <w:tcW w:w="51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77C9C11">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采购人的客户提出合理收运时间，运输公司确认可按要求时间到达，但最终运输人员未按约定时间抵达，且又未与客户协商达成其他一致的收运时间，导致投诉的，经确认属实。</w:t>
            </w:r>
          </w:p>
        </w:tc>
        <w:tc>
          <w:tcPr>
            <w:tcW w:w="230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4B16BE9">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罚款500元/次</w:t>
            </w:r>
          </w:p>
        </w:tc>
      </w:tr>
      <w:tr w14:paraId="0601E19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52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72947D2">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7370C2C">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6</w:t>
            </w:r>
          </w:p>
        </w:tc>
        <w:tc>
          <w:tcPr>
            <w:tcW w:w="51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E006906">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运输单位原因导致采购人或者采购人的客户方的设备设施损坏，或者造成人员伤害的。</w:t>
            </w:r>
          </w:p>
        </w:tc>
        <w:tc>
          <w:tcPr>
            <w:tcW w:w="230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3ED7D4F">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据实赔偿并加收罚款500元；采购人的客户方有相关处罚规定，并出具罚单的，择重者处罚。</w:t>
            </w:r>
          </w:p>
        </w:tc>
      </w:tr>
      <w:tr w14:paraId="73EA43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52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85DFF8C">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084C3E1">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7</w:t>
            </w:r>
          </w:p>
        </w:tc>
        <w:tc>
          <w:tcPr>
            <w:tcW w:w="51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E6E8057">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运输作业人员在采购人或者采购人的客户厂内禁止吸烟区吸烟，被现场管理人员发现，并出具书面处罚通知。</w:t>
            </w:r>
          </w:p>
        </w:tc>
        <w:tc>
          <w:tcPr>
            <w:tcW w:w="230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F1E1B9E">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罚款500元/人；</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采购人的客户有相关处罚规定，并出具罚单的，择重处罚。</w:t>
            </w:r>
          </w:p>
        </w:tc>
      </w:tr>
      <w:tr w14:paraId="24D7A6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52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9B2F487">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3335B57">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8</w:t>
            </w:r>
          </w:p>
        </w:tc>
        <w:tc>
          <w:tcPr>
            <w:tcW w:w="51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7379C23">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运输作业人员在采购人或者采购人的客户厂区内未按现场管理要求佩戴劳保用品，被现场管理人员发现，并出具书面处罚通知。</w:t>
            </w:r>
          </w:p>
        </w:tc>
        <w:tc>
          <w:tcPr>
            <w:tcW w:w="230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9C56C88">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罚款200元/人；</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采购人的客户有相关处罚规定，并出具罚单的，择重处罚。</w:t>
            </w:r>
          </w:p>
        </w:tc>
      </w:tr>
      <w:tr w14:paraId="29EDAD3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2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A03AEB">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CFC2DFD">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9</w:t>
            </w:r>
          </w:p>
        </w:tc>
        <w:tc>
          <w:tcPr>
            <w:tcW w:w="51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4711F54">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运输作业人员在采购人或者采购人的客户厂内未按限速规定行驶，被现场管理人员发现，并出具书面处罚通知。</w:t>
            </w:r>
          </w:p>
        </w:tc>
        <w:tc>
          <w:tcPr>
            <w:tcW w:w="230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A3ACC6F">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罚款200元/人；</w:t>
            </w:r>
            <w:r>
              <w:rPr>
                <w:rFonts w:hint="eastAsia" w:ascii="宋体" w:hAnsi="宋体" w:eastAsia="宋体" w:cs="宋体"/>
                <w:i w:val="0"/>
                <w:iCs w:val="0"/>
                <w:color w:val="auto"/>
                <w:kern w:val="0"/>
                <w:sz w:val="20"/>
                <w:szCs w:val="20"/>
                <w:highlight w:val="none"/>
                <w:u w:val="none"/>
                <w:lang w:val="en-US" w:eastAsia="zh-CN" w:bidi="ar"/>
              </w:rPr>
              <w:br w:type="textWrapping"/>
            </w:r>
            <w:r>
              <w:rPr>
                <w:rFonts w:hint="eastAsia" w:ascii="宋体" w:hAnsi="宋体" w:eastAsia="宋体" w:cs="宋体"/>
                <w:i w:val="0"/>
                <w:iCs w:val="0"/>
                <w:color w:val="auto"/>
                <w:kern w:val="0"/>
                <w:sz w:val="20"/>
                <w:szCs w:val="20"/>
                <w:highlight w:val="none"/>
                <w:u w:val="none"/>
                <w:lang w:val="en-US" w:eastAsia="zh-CN" w:bidi="ar"/>
              </w:rPr>
              <w:t>采购人的客户有相关处罚规定，并出具罚单的，择重处罚。</w:t>
            </w:r>
          </w:p>
        </w:tc>
      </w:tr>
      <w:tr w14:paraId="7E3B75B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2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8B47E93">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729D0B8">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10</w:t>
            </w:r>
          </w:p>
        </w:tc>
        <w:tc>
          <w:tcPr>
            <w:tcW w:w="51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07A368B">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除上述第6~9点外，运输作业人员在采购人或者采购人的客户厂内未遵守现场管理制度并引发投诉并出具罚单的其他情况。</w:t>
            </w:r>
          </w:p>
        </w:tc>
        <w:tc>
          <w:tcPr>
            <w:tcW w:w="230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4869293">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每一单罚款500元；客户有相关处罚规定，并出具罚单的，择重处罚。</w:t>
            </w:r>
          </w:p>
        </w:tc>
      </w:tr>
      <w:tr w14:paraId="0D99F6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52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75C4F8">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393C29E">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11</w:t>
            </w:r>
          </w:p>
        </w:tc>
        <w:tc>
          <w:tcPr>
            <w:tcW w:w="51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22F7FA1">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运输作业人员私自</w:t>
            </w:r>
            <w:r>
              <w:rPr>
                <w:rFonts w:hint="eastAsia" w:ascii="宋体" w:hAnsi="宋体" w:cs="宋体"/>
                <w:i w:val="0"/>
                <w:iCs w:val="0"/>
                <w:color w:val="auto"/>
                <w:kern w:val="0"/>
                <w:sz w:val="20"/>
                <w:szCs w:val="20"/>
                <w:highlight w:val="none"/>
                <w:u w:val="none"/>
                <w:lang w:val="en-US" w:eastAsia="zh-CN" w:bidi="ar"/>
              </w:rPr>
              <w:t>变卖</w:t>
            </w:r>
            <w:r>
              <w:rPr>
                <w:rFonts w:hint="eastAsia" w:ascii="宋体" w:hAnsi="宋体" w:eastAsia="宋体" w:cs="宋体"/>
                <w:i w:val="0"/>
                <w:iCs w:val="0"/>
                <w:color w:val="auto"/>
                <w:kern w:val="0"/>
                <w:sz w:val="20"/>
                <w:szCs w:val="20"/>
                <w:highlight w:val="none"/>
                <w:u w:val="none"/>
                <w:lang w:val="en-US" w:eastAsia="zh-CN" w:bidi="ar"/>
              </w:rPr>
              <w:t>采购人有价物资，包括但不限于：委托运输的具有市场价值的废物、具有市场价值的包装物、具有市场价值的其他物资。</w:t>
            </w:r>
          </w:p>
        </w:tc>
        <w:tc>
          <w:tcPr>
            <w:tcW w:w="230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0A80E04">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等价赔偿并解除合同扣除履约</w:t>
            </w:r>
            <w:r>
              <w:rPr>
                <w:rFonts w:hint="eastAsia" w:ascii="宋体" w:hAnsi="宋体" w:cs="宋体"/>
                <w:i w:val="0"/>
                <w:iCs w:val="0"/>
                <w:color w:val="auto"/>
                <w:kern w:val="0"/>
                <w:sz w:val="20"/>
                <w:szCs w:val="20"/>
                <w:highlight w:val="none"/>
                <w:u w:val="none"/>
                <w:lang w:val="en-US" w:eastAsia="zh-CN" w:bidi="ar"/>
              </w:rPr>
              <w:t>保证</w:t>
            </w:r>
            <w:r>
              <w:rPr>
                <w:rFonts w:hint="eastAsia" w:ascii="宋体" w:hAnsi="宋体" w:eastAsia="宋体" w:cs="宋体"/>
                <w:i w:val="0"/>
                <w:iCs w:val="0"/>
                <w:color w:val="auto"/>
                <w:kern w:val="0"/>
                <w:sz w:val="20"/>
                <w:szCs w:val="20"/>
                <w:highlight w:val="none"/>
                <w:u w:val="none"/>
                <w:lang w:val="en-US" w:eastAsia="zh-CN" w:bidi="ar"/>
              </w:rPr>
              <w:t>金；情节严重的报警处理。</w:t>
            </w:r>
          </w:p>
        </w:tc>
      </w:tr>
      <w:tr w14:paraId="16619CA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2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7389B3">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BF9AA57">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12</w:t>
            </w:r>
          </w:p>
        </w:tc>
        <w:tc>
          <w:tcPr>
            <w:tcW w:w="51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740256F">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运输作业人员在收运现场发现未贴</w:t>
            </w:r>
            <w:r>
              <w:rPr>
                <w:rFonts w:hint="eastAsia" w:ascii="宋体" w:hAnsi="宋体" w:cs="宋体"/>
                <w:i w:val="0"/>
                <w:iCs w:val="0"/>
                <w:color w:val="auto"/>
                <w:kern w:val="0"/>
                <w:sz w:val="20"/>
                <w:szCs w:val="20"/>
                <w:highlight w:val="none"/>
                <w:u w:val="none"/>
                <w:lang w:val="en-US" w:eastAsia="zh-CN" w:bidi="ar"/>
              </w:rPr>
              <w:t>标识</w:t>
            </w:r>
            <w:r>
              <w:rPr>
                <w:rFonts w:hint="eastAsia" w:ascii="宋体" w:hAnsi="宋体" w:eastAsia="宋体" w:cs="宋体"/>
                <w:i w:val="0"/>
                <w:iCs w:val="0"/>
                <w:color w:val="auto"/>
                <w:kern w:val="0"/>
                <w:sz w:val="20"/>
                <w:szCs w:val="20"/>
                <w:highlight w:val="none"/>
                <w:u w:val="none"/>
                <w:lang w:val="en-US" w:eastAsia="zh-CN" w:bidi="ar"/>
              </w:rPr>
              <w:t>、标签的废物，须履行提醒和纠正的义务。未履行前述义务且未使用我司提供的标签填写清楚所收废物名称或采取其他措施进行标识废物，将未贴任何</w:t>
            </w:r>
            <w:r>
              <w:rPr>
                <w:rFonts w:hint="eastAsia" w:ascii="宋体" w:hAnsi="宋体" w:cs="宋体"/>
                <w:i w:val="0"/>
                <w:iCs w:val="0"/>
                <w:color w:val="auto"/>
                <w:kern w:val="0"/>
                <w:sz w:val="20"/>
                <w:szCs w:val="20"/>
                <w:highlight w:val="none"/>
                <w:u w:val="none"/>
                <w:lang w:val="en-US" w:eastAsia="zh-CN" w:bidi="ar"/>
              </w:rPr>
              <w:t>标识</w:t>
            </w:r>
            <w:r>
              <w:rPr>
                <w:rFonts w:hint="eastAsia" w:ascii="宋体" w:hAnsi="宋体" w:eastAsia="宋体" w:cs="宋体"/>
                <w:i w:val="0"/>
                <w:iCs w:val="0"/>
                <w:color w:val="auto"/>
                <w:kern w:val="0"/>
                <w:sz w:val="20"/>
                <w:szCs w:val="20"/>
                <w:highlight w:val="none"/>
                <w:u w:val="none"/>
                <w:lang w:val="en-US" w:eastAsia="zh-CN" w:bidi="ar"/>
              </w:rPr>
              <w:t>、标签的废物收运进入采购人厂区的。</w:t>
            </w:r>
          </w:p>
        </w:tc>
        <w:tc>
          <w:tcPr>
            <w:tcW w:w="230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CDF2395">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罚款200元/次；若最终因此发生退货时，由运输公司承担退货费用</w:t>
            </w:r>
          </w:p>
        </w:tc>
      </w:tr>
      <w:tr w14:paraId="334F7AE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52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9CD4AF7">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C7BBF15">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13</w:t>
            </w:r>
          </w:p>
        </w:tc>
        <w:tc>
          <w:tcPr>
            <w:tcW w:w="51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6EF100B">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运输作业人员中途倾倒危险废物。</w:t>
            </w:r>
          </w:p>
        </w:tc>
        <w:tc>
          <w:tcPr>
            <w:tcW w:w="230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4A434A1">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报警处理并解除合同扣除履约</w:t>
            </w:r>
            <w:r>
              <w:rPr>
                <w:rFonts w:hint="eastAsia" w:ascii="宋体" w:hAnsi="宋体" w:cs="宋体"/>
                <w:i w:val="0"/>
                <w:iCs w:val="0"/>
                <w:color w:val="auto"/>
                <w:kern w:val="0"/>
                <w:sz w:val="20"/>
                <w:szCs w:val="20"/>
                <w:highlight w:val="none"/>
                <w:u w:val="none"/>
                <w:lang w:val="en-US" w:eastAsia="zh-CN" w:bidi="ar"/>
              </w:rPr>
              <w:t>保证</w:t>
            </w:r>
            <w:r>
              <w:rPr>
                <w:rFonts w:hint="eastAsia" w:ascii="宋体" w:hAnsi="宋体" w:eastAsia="宋体" w:cs="宋体"/>
                <w:i w:val="0"/>
                <w:iCs w:val="0"/>
                <w:color w:val="auto"/>
                <w:kern w:val="0"/>
                <w:sz w:val="20"/>
                <w:szCs w:val="20"/>
                <w:highlight w:val="none"/>
                <w:u w:val="none"/>
                <w:lang w:val="en-US" w:eastAsia="zh-CN" w:bidi="ar"/>
              </w:rPr>
              <w:t>金</w:t>
            </w:r>
          </w:p>
        </w:tc>
      </w:tr>
      <w:tr w14:paraId="780275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52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0043FF">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835203E">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14</w:t>
            </w:r>
          </w:p>
        </w:tc>
        <w:tc>
          <w:tcPr>
            <w:tcW w:w="51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4CEF6CB">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运输作业人员未听从采购人现场调度人员、现场操作人员的指挥，未按要求装货、填写单据、未在指定的地点卸货，不按照要求携带包装物，或私自领取包装物。</w:t>
            </w:r>
          </w:p>
        </w:tc>
        <w:tc>
          <w:tcPr>
            <w:tcW w:w="230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97F842A">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Style w:val="89"/>
                <w:color w:val="auto"/>
                <w:sz w:val="20"/>
                <w:szCs w:val="20"/>
                <w:highlight w:val="none"/>
                <w:lang w:val="en-US" w:eastAsia="zh-CN" w:bidi="ar"/>
              </w:rPr>
              <w:t>罚款1000元/次</w:t>
            </w:r>
          </w:p>
        </w:tc>
      </w:tr>
      <w:tr w14:paraId="5BFEC39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52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E5196DA">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ADC1B21">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15</w:t>
            </w:r>
          </w:p>
        </w:tc>
        <w:tc>
          <w:tcPr>
            <w:tcW w:w="51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FCAEA38">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危险货物运输车辆标识不全、无危险标志灯及危险货物标识牌。</w:t>
            </w:r>
          </w:p>
        </w:tc>
        <w:tc>
          <w:tcPr>
            <w:tcW w:w="230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341BF70">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罚款300元/车</w:t>
            </w:r>
          </w:p>
        </w:tc>
      </w:tr>
      <w:tr w14:paraId="59B0A0B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2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3284E97">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12F2A2A">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16</w:t>
            </w:r>
          </w:p>
        </w:tc>
        <w:tc>
          <w:tcPr>
            <w:tcW w:w="51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7E61EBE">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未安装防火罩、无导静电胶条或胶条未触地的。危险货物车辆技术等级未达到一级、未在检验有效期内的。危险货物运输车辆未配置相应的消防应急设施；消防应急设施未定期检查、保养、未在有效期限内的。</w:t>
            </w:r>
          </w:p>
        </w:tc>
        <w:tc>
          <w:tcPr>
            <w:tcW w:w="230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8921E41">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Style w:val="89"/>
                <w:color w:val="auto"/>
                <w:sz w:val="20"/>
                <w:szCs w:val="20"/>
                <w:highlight w:val="none"/>
                <w:lang w:val="en-US" w:eastAsia="zh-CN" w:bidi="ar"/>
              </w:rPr>
              <w:t>罚款1000元/车</w:t>
            </w:r>
          </w:p>
        </w:tc>
      </w:tr>
      <w:tr w14:paraId="1C3208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52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8C26673">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690A20D">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17</w:t>
            </w:r>
          </w:p>
        </w:tc>
        <w:tc>
          <w:tcPr>
            <w:tcW w:w="51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0B3B1F2">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运输作业人员未持证上岗或所持资格证过期失效的。</w:t>
            </w:r>
          </w:p>
        </w:tc>
        <w:tc>
          <w:tcPr>
            <w:tcW w:w="230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B9E8633">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罚款1000元/人</w:t>
            </w:r>
          </w:p>
        </w:tc>
      </w:tr>
      <w:tr w14:paraId="2B21CA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52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586DEEB">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10079A1">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18</w:t>
            </w:r>
          </w:p>
        </w:tc>
        <w:tc>
          <w:tcPr>
            <w:tcW w:w="51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F00D596">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车辆无危险货物运输许可证或证件过期失效的。</w:t>
            </w:r>
          </w:p>
        </w:tc>
        <w:tc>
          <w:tcPr>
            <w:tcW w:w="230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CAD5176">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罚款2000元/车</w:t>
            </w:r>
          </w:p>
        </w:tc>
      </w:tr>
      <w:tr w14:paraId="161E64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40" w:hRule="atLeast"/>
        </w:trPr>
        <w:tc>
          <w:tcPr>
            <w:tcW w:w="52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3985F5A">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EF95F75">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19</w:t>
            </w:r>
          </w:p>
        </w:tc>
        <w:tc>
          <w:tcPr>
            <w:tcW w:w="51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EE992E7">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收到同一个客户连续2次及以上投诉。</w:t>
            </w:r>
          </w:p>
        </w:tc>
        <w:tc>
          <w:tcPr>
            <w:tcW w:w="230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15D352A">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罚款5000元/次</w:t>
            </w:r>
          </w:p>
        </w:tc>
      </w:tr>
      <w:tr w14:paraId="06B75D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52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6417997">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A29148F">
            <w:pPr>
              <w:keepNext w:val="0"/>
              <w:keepLines w:val="0"/>
              <w:widowControl/>
              <w:suppressLineNumbers w:val="0"/>
              <w:spacing w:line="240" w:lineRule="auto"/>
              <w:jc w:val="center"/>
              <w:textAlignment w:val="center"/>
              <w:outlineLvl w:val="9"/>
              <w:rPr>
                <w:rFonts w:hint="eastAsia"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20</w:t>
            </w:r>
          </w:p>
        </w:tc>
        <w:tc>
          <w:tcPr>
            <w:tcW w:w="51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BCFCAB">
            <w:pPr>
              <w:keepNext w:val="0"/>
              <w:keepLines w:val="0"/>
              <w:widowControl/>
              <w:suppressLineNumbers w:val="0"/>
              <w:spacing w:line="240" w:lineRule="auto"/>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非因不可抗力因素（包括气象灾害、地质灾害、行政措施/管制、社会异常事件、战争）不安排车辆，或者无理由超时回复派车需求的，视为跳单。</w:t>
            </w:r>
          </w:p>
        </w:tc>
        <w:tc>
          <w:tcPr>
            <w:tcW w:w="230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BCD78B6">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按采购文件约定处罚条款进行处罚</w:t>
            </w:r>
          </w:p>
        </w:tc>
      </w:tr>
      <w:tr w14:paraId="2802526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5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C570E8">
            <w:pPr>
              <w:spacing w:line="240" w:lineRule="auto"/>
              <w:jc w:val="center"/>
              <w:outlineLvl w:val="9"/>
              <w:rPr>
                <w:rFonts w:hint="eastAsia" w:ascii="宋体" w:hAnsi="宋体" w:eastAsia="宋体" w:cs="宋体"/>
                <w:b/>
                <w:bCs/>
                <w:i w:val="0"/>
                <w:iCs w:val="0"/>
                <w:color w:val="auto"/>
                <w:sz w:val="20"/>
                <w:szCs w:val="20"/>
                <w:highlight w:val="none"/>
                <w:u w:val="none"/>
              </w:rPr>
            </w:pPr>
          </w:p>
        </w:tc>
        <w:tc>
          <w:tcPr>
            <w:tcW w:w="4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AB6A797">
            <w:pPr>
              <w:keepNext w:val="0"/>
              <w:keepLines w:val="0"/>
              <w:widowControl/>
              <w:suppressLineNumbers w:val="0"/>
              <w:spacing w:line="240" w:lineRule="auto"/>
              <w:jc w:val="center"/>
              <w:textAlignment w:val="center"/>
              <w:outlineLvl w:val="9"/>
              <w:rPr>
                <w:rFonts w:hint="default" w:ascii="宋体" w:hAnsi="宋体" w:eastAsia="宋体" w:cs="宋体"/>
                <w:i w:val="0"/>
                <w:iCs w:val="0"/>
                <w:color w:val="auto"/>
                <w:kern w:val="0"/>
                <w:sz w:val="20"/>
                <w:szCs w:val="20"/>
                <w:highlight w:val="none"/>
                <w:u w:val="none"/>
                <w:lang w:val="en-US" w:eastAsia="zh-CN" w:bidi="ar"/>
              </w:rPr>
            </w:pPr>
            <w:r>
              <w:rPr>
                <w:rFonts w:hint="eastAsia" w:ascii="宋体" w:hAnsi="宋体" w:cs="宋体"/>
                <w:i w:val="0"/>
                <w:iCs w:val="0"/>
                <w:color w:val="auto"/>
                <w:kern w:val="0"/>
                <w:sz w:val="20"/>
                <w:szCs w:val="20"/>
                <w:highlight w:val="none"/>
                <w:u w:val="none"/>
                <w:lang w:val="en-US" w:eastAsia="zh-CN" w:bidi="ar"/>
              </w:rPr>
              <w:t>21</w:t>
            </w:r>
          </w:p>
        </w:tc>
        <w:tc>
          <w:tcPr>
            <w:tcW w:w="51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3D4AD0">
            <w:pPr>
              <w:keepNext w:val="0"/>
              <w:keepLines w:val="0"/>
              <w:widowControl/>
              <w:suppressLineNumbers w:val="0"/>
              <w:spacing w:line="240" w:lineRule="auto"/>
              <w:jc w:val="center"/>
              <w:textAlignment w:val="center"/>
              <w:rPr>
                <w:rFonts w:hint="eastAsia" w:ascii="宋体" w:hAnsi="宋体" w:eastAsia="宋体" w:cs="宋体"/>
                <w:i w:val="0"/>
                <w:iCs w:val="0"/>
                <w:color w:val="auto"/>
                <w:kern w:val="0"/>
                <w:sz w:val="20"/>
                <w:szCs w:val="20"/>
                <w:highlight w:val="none"/>
                <w:u w:val="none"/>
                <w:lang w:val="en-US" w:eastAsia="zh-CN" w:bidi="ar"/>
              </w:rPr>
            </w:pPr>
            <w:r>
              <w:rPr>
                <w:rFonts w:hint="eastAsia" w:ascii="宋体" w:hAnsi="宋体" w:eastAsia="宋体" w:cs="宋体"/>
                <w:i w:val="0"/>
                <w:iCs w:val="0"/>
                <w:color w:val="auto"/>
                <w:kern w:val="0"/>
                <w:sz w:val="20"/>
                <w:szCs w:val="20"/>
                <w:highlight w:val="none"/>
                <w:u w:val="none"/>
                <w:lang w:val="en-US" w:eastAsia="zh-CN" w:bidi="ar"/>
              </w:rPr>
              <w:t>服务期间在信用中国上查询到运输公司有不良记录的</w:t>
            </w:r>
          </w:p>
        </w:tc>
        <w:tc>
          <w:tcPr>
            <w:tcW w:w="230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10A246B">
            <w:pPr>
              <w:keepNext w:val="0"/>
              <w:keepLines w:val="0"/>
              <w:widowControl/>
              <w:suppressLineNumbers w:val="0"/>
              <w:spacing w:line="240" w:lineRule="auto"/>
              <w:jc w:val="center"/>
              <w:textAlignment w:val="center"/>
              <w:rPr>
                <w:rFonts w:hint="eastAsia" w:ascii="宋体" w:hAnsi="宋体" w:eastAsia="宋体" w:cs="宋体"/>
                <w:b/>
                <w:bCs/>
                <w:i w:val="0"/>
                <w:iCs w:val="0"/>
                <w:color w:val="auto"/>
                <w:kern w:val="0"/>
                <w:sz w:val="20"/>
                <w:szCs w:val="20"/>
                <w:highlight w:val="none"/>
                <w:u w:val="none"/>
                <w:lang w:val="en-US" w:eastAsia="zh-CN" w:bidi="ar"/>
              </w:rPr>
            </w:pPr>
            <w:r>
              <w:rPr>
                <w:rFonts w:hint="eastAsia" w:ascii="宋体" w:hAnsi="宋体" w:eastAsia="宋体" w:cs="宋体"/>
                <w:b/>
                <w:bCs/>
                <w:i w:val="0"/>
                <w:iCs w:val="0"/>
                <w:color w:val="auto"/>
                <w:kern w:val="0"/>
                <w:sz w:val="20"/>
                <w:szCs w:val="20"/>
                <w:highlight w:val="none"/>
                <w:u w:val="none"/>
                <w:lang w:val="en-US" w:eastAsia="zh-CN" w:bidi="ar"/>
              </w:rPr>
              <w:t>解除合同扣除履约</w:t>
            </w:r>
            <w:r>
              <w:rPr>
                <w:rFonts w:hint="eastAsia" w:ascii="宋体" w:hAnsi="宋体" w:cs="宋体"/>
                <w:b/>
                <w:bCs/>
                <w:i w:val="0"/>
                <w:iCs w:val="0"/>
                <w:color w:val="auto"/>
                <w:kern w:val="0"/>
                <w:sz w:val="20"/>
                <w:szCs w:val="20"/>
                <w:highlight w:val="none"/>
                <w:u w:val="none"/>
                <w:lang w:val="en-US" w:eastAsia="zh-CN" w:bidi="ar"/>
              </w:rPr>
              <w:t>保证</w:t>
            </w:r>
            <w:r>
              <w:rPr>
                <w:rFonts w:hint="eastAsia" w:ascii="宋体" w:hAnsi="宋体" w:eastAsia="宋体" w:cs="宋体"/>
                <w:b/>
                <w:bCs/>
                <w:i w:val="0"/>
                <w:iCs w:val="0"/>
                <w:color w:val="auto"/>
                <w:kern w:val="0"/>
                <w:sz w:val="20"/>
                <w:szCs w:val="20"/>
                <w:highlight w:val="none"/>
                <w:u w:val="none"/>
                <w:lang w:val="en-US" w:eastAsia="zh-CN" w:bidi="ar"/>
              </w:rPr>
              <w:t>金</w:t>
            </w:r>
          </w:p>
        </w:tc>
      </w:tr>
      <w:tr w14:paraId="44D9FFC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2" w:hRule="atLeast"/>
        </w:trPr>
        <w:tc>
          <w:tcPr>
            <w:tcW w:w="6121" w:type="dxa"/>
            <w:gridSpan w:val="3"/>
            <w:tcBorders>
              <w:top w:val="nil"/>
              <w:left w:val="nil"/>
              <w:bottom w:val="nil"/>
              <w:right w:val="nil"/>
            </w:tcBorders>
            <w:shd w:val="clear" w:color="auto" w:fill="auto"/>
            <w:vAlign w:val="center"/>
          </w:tcPr>
          <w:p w14:paraId="57296C6B">
            <w:pPr>
              <w:keepNext w:val="0"/>
              <w:keepLines w:val="0"/>
              <w:widowControl/>
              <w:suppressLineNumbers w:val="0"/>
              <w:spacing w:line="240" w:lineRule="auto"/>
              <w:jc w:val="left"/>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我司确认上述条款内容无误，如发生违规行为，愿按照上述条款执行！</w:t>
            </w:r>
          </w:p>
        </w:tc>
        <w:tc>
          <w:tcPr>
            <w:tcW w:w="2303" w:type="dxa"/>
            <w:tcBorders>
              <w:top w:val="nil"/>
              <w:left w:val="nil"/>
              <w:bottom w:val="nil"/>
              <w:right w:val="nil"/>
            </w:tcBorders>
            <w:shd w:val="clear" w:color="auto" w:fill="auto"/>
            <w:vAlign w:val="center"/>
          </w:tcPr>
          <w:p w14:paraId="72B37A00">
            <w:pPr>
              <w:spacing w:line="240" w:lineRule="auto"/>
              <w:jc w:val="center"/>
              <w:outlineLvl w:val="9"/>
              <w:rPr>
                <w:rFonts w:hint="eastAsia" w:ascii="宋体" w:hAnsi="宋体" w:eastAsia="宋体" w:cs="宋体"/>
                <w:i w:val="0"/>
                <w:iCs w:val="0"/>
                <w:color w:val="auto"/>
                <w:sz w:val="20"/>
                <w:szCs w:val="20"/>
                <w:highlight w:val="none"/>
                <w:u w:val="none"/>
              </w:rPr>
            </w:pPr>
          </w:p>
        </w:tc>
      </w:tr>
      <w:tr w14:paraId="038BB76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1" w:hRule="atLeast"/>
        </w:trPr>
        <w:tc>
          <w:tcPr>
            <w:tcW w:w="6121" w:type="dxa"/>
            <w:gridSpan w:val="3"/>
            <w:tcBorders>
              <w:top w:val="nil"/>
              <w:left w:val="nil"/>
              <w:bottom w:val="nil"/>
              <w:right w:val="nil"/>
            </w:tcBorders>
            <w:shd w:val="clear" w:color="auto" w:fill="auto"/>
            <w:vAlign w:val="center"/>
          </w:tcPr>
          <w:p w14:paraId="05A1910F">
            <w:pPr>
              <w:keepNext w:val="0"/>
              <w:keepLines w:val="0"/>
              <w:widowControl/>
              <w:suppressLineNumbers w:val="0"/>
              <w:spacing w:line="240" w:lineRule="auto"/>
              <w:jc w:val="left"/>
              <w:textAlignment w:val="center"/>
              <w:outlineLvl w:val="9"/>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运输单位签字（盖章）/日期：</w:t>
            </w:r>
          </w:p>
        </w:tc>
        <w:tc>
          <w:tcPr>
            <w:tcW w:w="2303" w:type="dxa"/>
            <w:tcBorders>
              <w:top w:val="nil"/>
              <w:left w:val="nil"/>
              <w:bottom w:val="nil"/>
              <w:right w:val="nil"/>
            </w:tcBorders>
            <w:shd w:val="clear" w:color="auto" w:fill="auto"/>
            <w:vAlign w:val="center"/>
          </w:tcPr>
          <w:p w14:paraId="080E3703">
            <w:pPr>
              <w:spacing w:line="240" w:lineRule="auto"/>
              <w:jc w:val="center"/>
              <w:outlineLvl w:val="9"/>
              <w:rPr>
                <w:rFonts w:hint="eastAsia" w:ascii="宋体" w:hAnsi="宋体" w:eastAsia="宋体" w:cs="宋体"/>
                <w:i w:val="0"/>
                <w:iCs w:val="0"/>
                <w:color w:val="auto"/>
                <w:sz w:val="20"/>
                <w:szCs w:val="20"/>
                <w:highlight w:val="none"/>
                <w:u w:val="none"/>
              </w:rPr>
            </w:pPr>
          </w:p>
        </w:tc>
      </w:tr>
    </w:tbl>
    <w:p w14:paraId="0324C508">
      <w:pPr>
        <w:jc w:val="left"/>
        <w:outlineLvl w:val="9"/>
        <w:rPr>
          <w:rFonts w:ascii="黑体" w:eastAsia="黑体"/>
          <w:color w:val="auto"/>
          <w:sz w:val="28"/>
          <w:szCs w:val="28"/>
          <w:highlight w:val="none"/>
        </w:rPr>
        <w:sectPr>
          <w:pgSz w:w="11906" w:h="16838"/>
          <w:pgMar w:top="1418" w:right="1800" w:bottom="1440" w:left="1800" w:header="851" w:footer="992" w:gutter="0"/>
          <w:pgBorders>
            <w:top w:val="none" w:sz="0" w:space="0"/>
            <w:left w:val="none" w:sz="0" w:space="0"/>
            <w:bottom w:val="none" w:sz="0" w:space="0"/>
            <w:right w:val="none" w:sz="0" w:space="0"/>
          </w:pgBorders>
          <w:pgNumType w:fmt="decimal"/>
          <w:cols w:space="720" w:num="1"/>
          <w:docGrid w:type="lines" w:linePitch="312" w:charSpace="0"/>
        </w:sectPr>
      </w:pPr>
    </w:p>
    <w:p w14:paraId="46FF7C4A">
      <w:pPr>
        <w:jc w:val="left"/>
        <w:outlineLvl w:val="9"/>
        <w:rPr>
          <w:rFonts w:hint="eastAsia" w:cs="Times New Roman"/>
          <w:b/>
          <w:color w:val="auto"/>
          <w:szCs w:val="21"/>
          <w:highlight w:val="none"/>
          <w:lang w:val="en-US" w:eastAsia="zh-CN"/>
        </w:rPr>
      </w:pPr>
      <w:bookmarkStart w:id="350" w:name="_Toc5040"/>
      <w:bookmarkStart w:id="351" w:name="_Toc14538"/>
      <w:bookmarkStart w:id="352" w:name="_Toc12706"/>
      <w:bookmarkStart w:id="353" w:name="_Toc7791"/>
      <w:bookmarkStart w:id="354" w:name="_Toc25598"/>
      <w:bookmarkStart w:id="355" w:name="_Toc10438"/>
      <w:bookmarkStart w:id="356" w:name="_Toc4173"/>
      <w:bookmarkStart w:id="357" w:name="_Toc12575"/>
      <w:bookmarkStart w:id="358" w:name="_Toc27175"/>
      <w:bookmarkStart w:id="359" w:name="_Toc27082"/>
      <w:bookmarkStart w:id="360" w:name="_Toc27588"/>
      <w:bookmarkStart w:id="361" w:name="_Toc30359"/>
      <w:r>
        <w:rPr>
          <w:rFonts w:hint="eastAsia" w:ascii="宋体" w:hAnsi="宋体"/>
          <w:b/>
          <w:color w:val="auto"/>
          <w:sz w:val="21"/>
          <w:szCs w:val="21"/>
          <w:highlight w:val="none"/>
          <w:lang w:val="en-US" w:eastAsia="zh-CN"/>
        </w:rPr>
        <w:t>合同</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6</w:t>
      </w:r>
      <w:r>
        <w:rPr>
          <w:rFonts w:ascii="Times New Roman" w:hAnsi="Times New Roman" w:cs="Times New Roman"/>
          <w:b/>
          <w:color w:val="auto"/>
          <w:szCs w:val="21"/>
          <w:highlight w:val="none"/>
        </w:rPr>
        <w:t>《</w:t>
      </w:r>
      <w:r>
        <w:rPr>
          <w:rFonts w:hint="eastAsia" w:cs="Times New Roman"/>
          <w:b/>
          <w:color w:val="auto"/>
          <w:szCs w:val="21"/>
          <w:highlight w:val="none"/>
          <w:lang w:val="en-US" w:eastAsia="zh-CN"/>
        </w:rPr>
        <w:t>运输商季度考核评分表》</w:t>
      </w:r>
      <w:bookmarkEnd w:id="350"/>
      <w:bookmarkEnd w:id="351"/>
      <w:bookmarkEnd w:id="352"/>
      <w:bookmarkEnd w:id="353"/>
      <w:bookmarkEnd w:id="354"/>
      <w:bookmarkEnd w:id="355"/>
      <w:bookmarkEnd w:id="356"/>
      <w:bookmarkEnd w:id="357"/>
      <w:bookmarkEnd w:id="358"/>
      <w:bookmarkEnd w:id="359"/>
      <w:bookmarkEnd w:id="360"/>
      <w:bookmarkEnd w:id="361"/>
    </w:p>
    <w:p w14:paraId="389B2AB7">
      <w:pPr>
        <w:jc w:val="left"/>
        <w:outlineLvl w:val="9"/>
        <w:rPr>
          <w:rFonts w:hint="eastAsia" w:cs="Times New Roman"/>
          <w:b/>
          <w:color w:val="auto"/>
          <w:szCs w:val="21"/>
          <w:highlight w:val="none"/>
          <w:lang w:val="en-US" w:eastAsia="zh-CN"/>
        </w:rPr>
      </w:pPr>
      <w:r>
        <w:rPr>
          <w:rFonts w:hint="eastAsia" w:ascii="方正小标宋简体" w:hAnsi="方正小标宋简体" w:eastAsia="方正小标宋简体" w:cs="方正小标宋简体"/>
          <w:color w:val="auto"/>
          <w:sz w:val="28"/>
          <w:szCs w:val="22"/>
          <w:highlight w:val="none"/>
          <w:lang w:val="en-US"/>
        </w:rPr>
        <w:drawing>
          <wp:inline distT="0" distB="0" distL="114300" distR="114300">
            <wp:extent cx="1275080" cy="429895"/>
            <wp:effectExtent l="0" t="0" r="1270" b="0"/>
            <wp:docPr id="10" name="图片 10" descr="东实环境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东实环境logo"/>
                    <pic:cNvPicPr>
                      <a:picLocks noChangeAspect="1"/>
                    </pic:cNvPicPr>
                  </pic:nvPicPr>
                  <pic:blipFill>
                    <a:blip r:embed="rId16"/>
                    <a:stretch>
                      <a:fillRect/>
                    </a:stretch>
                  </pic:blipFill>
                  <pic:spPr>
                    <a:xfrm>
                      <a:off x="0" y="0"/>
                      <a:ext cx="1275080" cy="429895"/>
                    </a:xfrm>
                    <a:prstGeom prst="rect">
                      <a:avLst/>
                    </a:prstGeom>
                    <a:noFill/>
                    <a:ln>
                      <a:noFill/>
                    </a:ln>
                  </pic:spPr>
                </pic:pic>
              </a:graphicData>
            </a:graphic>
          </wp:inline>
        </w:drawing>
      </w:r>
    </w:p>
    <w:tbl>
      <w:tblPr>
        <w:tblStyle w:val="30"/>
        <w:tblW w:w="4998" w:type="pct"/>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108" w:type="dxa"/>
          <w:bottom w:w="0" w:type="dxa"/>
          <w:right w:w="108" w:type="dxa"/>
        </w:tblCellMar>
      </w:tblPr>
      <w:tblGrid>
        <w:gridCol w:w="426"/>
        <w:gridCol w:w="396"/>
        <w:gridCol w:w="259"/>
        <w:gridCol w:w="3737"/>
        <w:gridCol w:w="939"/>
        <w:gridCol w:w="486"/>
        <w:gridCol w:w="397"/>
        <w:gridCol w:w="319"/>
        <w:gridCol w:w="1560"/>
      </w:tblGrid>
      <w:tr w14:paraId="7A7AD9C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614" w:hRule="atLeast"/>
          <w:jc w:val="center"/>
        </w:trPr>
        <w:tc>
          <w:tcPr>
            <w:tcW w:w="5000" w:type="pct"/>
            <w:gridSpan w:val="9"/>
            <w:noWrap w:val="0"/>
            <w:vAlign w:val="center"/>
          </w:tcPr>
          <w:p w14:paraId="03A35957">
            <w:pPr>
              <w:spacing w:line="240" w:lineRule="auto"/>
              <w:jc w:val="center"/>
              <w:outlineLvl w:val="9"/>
              <w:rPr>
                <w:rFonts w:hint="eastAsia" w:ascii="方正小标宋简体" w:hAnsi="方正小标宋简体" w:eastAsia="方正小标宋简体" w:cs="方正小标宋简体"/>
                <w:color w:val="auto"/>
                <w:sz w:val="28"/>
                <w:szCs w:val="28"/>
                <w:highlight w:val="none"/>
              </w:rPr>
            </w:pPr>
            <w:r>
              <w:rPr>
                <w:rFonts w:hint="eastAsia" w:ascii="方正小标宋简体" w:hAnsi="方正小标宋简体" w:eastAsia="方正小标宋简体" w:cs="方正小标宋简体"/>
                <w:color w:val="auto"/>
                <w:sz w:val="28"/>
                <w:szCs w:val="28"/>
                <w:highlight w:val="none"/>
                <w:lang w:val="en-US"/>
              </w:rPr>
              <w:t>东莞市新东欣环保投资</w:t>
            </w:r>
            <w:r>
              <w:rPr>
                <w:rFonts w:hint="eastAsia" w:ascii="方正小标宋简体" w:hAnsi="方正小标宋简体" w:eastAsia="方正小标宋简体" w:cs="方正小标宋简体"/>
                <w:color w:val="auto"/>
                <w:sz w:val="28"/>
                <w:szCs w:val="28"/>
                <w:highlight w:val="none"/>
              </w:rPr>
              <w:t>有限公司</w:t>
            </w:r>
          </w:p>
          <w:p w14:paraId="7BE9EEC1">
            <w:pPr>
              <w:spacing w:line="240" w:lineRule="auto"/>
              <w:jc w:val="center"/>
              <w:outlineLvl w:val="9"/>
              <w:rPr>
                <w:rFonts w:eastAsia="宋体" w:cs="Arial"/>
                <w:color w:val="auto"/>
                <w:sz w:val="18"/>
                <w:szCs w:val="18"/>
                <w:highlight w:val="none"/>
                <w:lang w:val="fr-FR"/>
              </w:rPr>
            </w:pPr>
            <w:r>
              <w:rPr>
                <w:rFonts w:ascii="Times New Roman" w:hAnsi="Times New Roman" w:eastAsia="宋体"/>
                <w:color w:val="auto"/>
                <w:sz w:val="18"/>
                <w:szCs w:val="18"/>
                <w:highlight w:val="none"/>
                <w:lang w:val="en-US"/>
              </w:rPr>
              <w:t>Dongguan Xin Dongxin Environmental Protection Investment</w:t>
            </w:r>
            <w:r>
              <w:rPr>
                <w:rFonts w:ascii="Times New Roman" w:hAnsi="Times New Roman" w:eastAsia="宋体"/>
                <w:color w:val="auto"/>
                <w:sz w:val="18"/>
                <w:szCs w:val="18"/>
                <w:highlight w:val="none"/>
                <w:lang w:val="fr-FR"/>
              </w:rPr>
              <w:t xml:space="preserve"> Co., Ltd.</w:t>
            </w:r>
          </w:p>
        </w:tc>
      </w:tr>
      <w:tr w14:paraId="0F3D153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87" w:hRule="atLeast"/>
          <w:jc w:val="center"/>
        </w:trPr>
        <w:tc>
          <w:tcPr>
            <w:tcW w:w="5000" w:type="pct"/>
            <w:gridSpan w:val="9"/>
            <w:noWrap w:val="0"/>
            <w:vAlign w:val="center"/>
          </w:tcPr>
          <w:p w14:paraId="786A07DF">
            <w:pPr>
              <w:spacing w:line="240" w:lineRule="auto"/>
              <w:jc w:val="center"/>
              <w:outlineLvl w:val="9"/>
              <w:rPr>
                <w:rFonts w:ascii="Times New Roman" w:hAnsi="Times New Roman" w:eastAsia="宋体"/>
                <w:color w:val="auto"/>
                <w:sz w:val="18"/>
                <w:szCs w:val="18"/>
                <w:highlight w:val="none"/>
                <w:lang w:val="en-US"/>
              </w:rPr>
            </w:pPr>
            <w:r>
              <w:rPr>
                <w:rFonts w:hint="eastAsia" w:ascii="宋体" w:hAnsi="宋体" w:eastAsia="宋体"/>
                <w:color w:val="auto"/>
                <w:sz w:val="21"/>
                <w:szCs w:val="21"/>
                <w:highlight w:val="none"/>
              </w:rPr>
              <w:t>运输商季度考核评分表</w:t>
            </w:r>
          </w:p>
        </w:tc>
      </w:tr>
      <w:tr w14:paraId="24B4B6F4">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375" w:hRule="atLeast"/>
          <w:jc w:val="center"/>
        </w:trPr>
        <w:tc>
          <w:tcPr>
            <w:tcW w:w="634" w:type="pct"/>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1B4BF7EF">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考核目的</w:t>
            </w:r>
          </w:p>
        </w:tc>
        <w:tc>
          <w:tcPr>
            <w:tcW w:w="4365" w:type="pct"/>
            <w:gridSpan w:val="6"/>
            <w:tcBorders>
              <w:top w:val="single" w:color="auto" w:sz="4" w:space="0"/>
              <w:left w:val="single" w:color="auto" w:sz="4" w:space="0"/>
              <w:bottom w:val="single" w:color="auto" w:sz="4" w:space="0"/>
              <w:right w:val="single" w:color="auto" w:sz="4" w:space="0"/>
            </w:tcBorders>
            <w:shd w:val="clear" w:color="auto" w:fill="FFFFFF"/>
            <w:noWrap w:val="0"/>
            <w:vAlign w:val="center"/>
          </w:tcPr>
          <w:p w14:paraId="31C4A07E">
            <w:pPr>
              <w:overflowPunct/>
              <w:autoSpaceDE/>
              <w:autoSpaceDN/>
              <w:adjustRightInd/>
              <w:spacing w:line="320" w:lineRule="exact"/>
              <w:ind w:right="-380" w:rightChars="-181"/>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为规范运输商管理，督促运输商提高运输服务质量制定本考核评分表；</w:t>
            </w:r>
          </w:p>
        </w:tc>
      </w:tr>
      <w:tr w14:paraId="31C414AA">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375" w:hRule="atLeast"/>
          <w:jc w:val="center"/>
        </w:trPr>
        <w:tc>
          <w:tcPr>
            <w:tcW w:w="634" w:type="pct"/>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39AC0761">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考核分级</w:t>
            </w:r>
          </w:p>
        </w:tc>
        <w:tc>
          <w:tcPr>
            <w:tcW w:w="4365" w:type="pct"/>
            <w:gridSpan w:val="6"/>
            <w:tcBorders>
              <w:top w:val="single" w:color="auto" w:sz="4" w:space="0"/>
              <w:left w:val="single" w:color="auto" w:sz="4" w:space="0"/>
              <w:bottom w:val="single" w:color="auto" w:sz="4" w:space="0"/>
              <w:right w:val="single" w:color="auto" w:sz="4" w:space="0"/>
            </w:tcBorders>
            <w:shd w:val="clear" w:color="auto" w:fill="FFFFFF"/>
            <w:noWrap w:val="0"/>
            <w:vAlign w:val="center"/>
          </w:tcPr>
          <w:p w14:paraId="1C0CC573">
            <w:pPr>
              <w:overflowPunct/>
              <w:autoSpaceDE/>
              <w:adjustRightInd/>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总体评分</w:t>
            </w:r>
          </w:p>
          <w:p w14:paraId="31F59450">
            <w:pPr>
              <w:overflowPunct/>
              <w:autoSpaceDE/>
              <w:adjustRightInd/>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A级：考评得分＞80分</w:t>
            </w:r>
          </w:p>
          <w:p w14:paraId="4CC5E337">
            <w:pPr>
              <w:overflowPunct/>
              <w:autoSpaceDE/>
              <w:adjustRightInd/>
              <w:rPr>
                <w:rFonts w:hint="eastAsia" w:ascii="宋体" w:hAnsi="宋体" w:eastAsia="宋体" w:cs="宋体"/>
                <w:color w:val="auto"/>
                <w:sz w:val="18"/>
                <w:szCs w:val="18"/>
                <w:highlight w:val="none"/>
                <w:lang w:val="en-US"/>
              </w:rPr>
            </w:pPr>
            <w:r>
              <w:rPr>
                <w:rFonts w:ascii="宋体" w:hAnsi="宋体" w:eastAsia="宋体" w:cs="宋体"/>
                <w:color w:val="auto"/>
                <w:sz w:val="18"/>
                <w:szCs w:val="18"/>
                <w:highlight w:val="none"/>
                <w:lang w:val="en-US"/>
              </w:rPr>
              <w:t>B</w:t>
            </w:r>
            <w:r>
              <w:rPr>
                <w:rFonts w:hint="eastAsia" w:ascii="宋体" w:hAnsi="宋体" w:eastAsia="宋体" w:cs="宋体"/>
                <w:color w:val="auto"/>
                <w:sz w:val="18"/>
                <w:szCs w:val="18"/>
                <w:highlight w:val="none"/>
                <w:lang w:val="en-US"/>
              </w:rPr>
              <w:t>级：70分＜考评得分≤80分</w:t>
            </w:r>
          </w:p>
          <w:p w14:paraId="7DA209D2">
            <w:pPr>
              <w:overflowPunct/>
              <w:autoSpaceDE/>
              <w:autoSpaceDN/>
              <w:adjustRightInd/>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color w:val="auto"/>
                <w:sz w:val="18"/>
                <w:szCs w:val="18"/>
                <w:highlight w:val="none"/>
                <w:lang w:val="en-US"/>
              </w:rPr>
              <w:t>C级：考评得分≤70分</w:t>
            </w:r>
          </w:p>
        </w:tc>
      </w:tr>
      <w:tr w14:paraId="1BD90EE3">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375" w:hRule="atLeast"/>
          <w:jc w:val="center"/>
        </w:trPr>
        <w:tc>
          <w:tcPr>
            <w:tcW w:w="634" w:type="pct"/>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1B2828DD">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考核细则</w:t>
            </w:r>
          </w:p>
        </w:tc>
        <w:tc>
          <w:tcPr>
            <w:tcW w:w="4365" w:type="pct"/>
            <w:gridSpan w:val="6"/>
            <w:tcBorders>
              <w:top w:val="single" w:color="auto" w:sz="4" w:space="0"/>
              <w:left w:val="single" w:color="auto" w:sz="4" w:space="0"/>
              <w:bottom w:val="single" w:color="auto" w:sz="4" w:space="0"/>
              <w:right w:val="single" w:color="auto" w:sz="4" w:space="0"/>
            </w:tcBorders>
            <w:shd w:val="clear" w:color="auto" w:fill="FFFFFF"/>
            <w:noWrap w:val="0"/>
            <w:vAlign w:val="center"/>
          </w:tcPr>
          <w:p w14:paraId="4FBDF421">
            <w:pPr>
              <w:numPr>
                <w:ilvl w:val="0"/>
                <w:numId w:val="1"/>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季度考核评分级别为B级，扣除运输款项1</w:t>
            </w:r>
            <w:r>
              <w:rPr>
                <w:rFonts w:ascii="宋体" w:hAnsi="宋体" w:eastAsia="宋体" w:cs="宋体"/>
                <w:color w:val="auto"/>
                <w:sz w:val="18"/>
                <w:szCs w:val="18"/>
                <w:highlight w:val="none"/>
                <w:lang w:val="en-US"/>
              </w:rPr>
              <w:t>000</w:t>
            </w:r>
            <w:r>
              <w:rPr>
                <w:rFonts w:hint="eastAsia" w:ascii="宋体" w:hAnsi="宋体" w:eastAsia="宋体" w:cs="宋体"/>
                <w:color w:val="auto"/>
                <w:sz w:val="18"/>
                <w:szCs w:val="18"/>
                <w:highlight w:val="none"/>
                <w:lang w:val="en-US"/>
              </w:rPr>
              <w:t>元，并在最近的一个月的运输费对账中进行扣减；</w:t>
            </w:r>
          </w:p>
          <w:p w14:paraId="2C28B267">
            <w:pPr>
              <w:numPr>
                <w:ilvl w:val="0"/>
                <w:numId w:val="1"/>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连续2个季度评分为B级，降低其派单数量；</w:t>
            </w:r>
          </w:p>
          <w:p w14:paraId="23F0F30B">
            <w:pPr>
              <w:numPr>
                <w:ilvl w:val="0"/>
                <w:numId w:val="1"/>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季度考核评分级别为C级，经评分部门评估，可解除《运输服务合同》；</w:t>
            </w:r>
          </w:p>
          <w:p w14:paraId="1A0298EF">
            <w:pPr>
              <w:numPr>
                <w:ilvl w:val="0"/>
                <w:numId w:val="1"/>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不同评分部门对同一件事不重复扣分，同一考核扣分事件适用多条考核标准时以最严厉考核标准扣分且</w:t>
            </w:r>
          </w:p>
          <w:p w14:paraId="3C91BB30">
            <w:p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不重复扣分。</w:t>
            </w:r>
          </w:p>
        </w:tc>
      </w:tr>
      <w:tr w14:paraId="53BAE209">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375" w:hRule="atLeast"/>
          <w:jc w:val="center"/>
        </w:trPr>
        <w:tc>
          <w:tcPr>
            <w:tcW w:w="634" w:type="pct"/>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5862B2D6">
            <w:pPr>
              <w:overflowPunct/>
              <w:autoSpaceDE/>
              <w:autoSpaceDN/>
              <w:adjustRightInd/>
              <w:spacing w:line="320" w:lineRule="exact"/>
              <w:ind w:right="-380" w:rightChars="-181"/>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运输单位</w:t>
            </w:r>
          </w:p>
        </w:tc>
        <w:tc>
          <w:tcPr>
            <w:tcW w:w="2744" w:type="pct"/>
            <w:gridSpan w:val="2"/>
            <w:tcBorders>
              <w:top w:val="single" w:color="auto" w:sz="4" w:space="0"/>
              <w:left w:val="single" w:color="auto" w:sz="4" w:space="0"/>
              <w:bottom w:val="single" w:color="auto" w:sz="4" w:space="0"/>
              <w:right w:val="single" w:color="auto" w:sz="4" w:space="0"/>
            </w:tcBorders>
            <w:shd w:val="clear" w:color="auto" w:fill="FFFFFF"/>
            <w:noWrap w:val="0"/>
            <w:vAlign w:val="center"/>
          </w:tcPr>
          <w:p w14:paraId="586D6776">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p>
        </w:tc>
        <w:tc>
          <w:tcPr>
            <w:tcW w:w="706" w:type="pct"/>
            <w:gridSpan w:val="3"/>
            <w:tcBorders>
              <w:top w:val="single" w:color="auto" w:sz="4" w:space="0"/>
              <w:left w:val="single" w:color="auto" w:sz="4" w:space="0"/>
              <w:bottom w:val="single" w:color="auto" w:sz="4" w:space="0"/>
              <w:right w:val="single" w:color="auto" w:sz="4" w:space="0"/>
            </w:tcBorders>
            <w:shd w:val="clear" w:color="auto" w:fill="FFFFFF"/>
            <w:noWrap w:val="0"/>
            <w:vAlign w:val="center"/>
          </w:tcPr>
          <w:p w14:paraId="4A4F181F">
            <w:pPr>
              <w:overflowPunct/>
              <w:autoSpaceDE/>
              <w:autoSpaceDN/>
              <w:adjustRightInd/>
              <w:spacing w:line="320" w:lineRule="exact"/>
              <w:ind w:right="-380" w:rightChars="-181"/>
              <w:jc w:val="both"/>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考核周期</w:t>
            </w:r>
          </w:p>
        </w:tc>
        <w:tc>
          <w:tcPr>
            <w:tcW w:w="914" w:type="pct"/>
            <w:tcBorders>
              <w:top w:val="single" w:color="auto" w:sz="4" w:space="0"/>
              <w:left w:val="single" w:color="auto" w:sz="4" w:space="0"/>
              <w:bottom w:val="single" w:color="auto" w:sz="4" w:space="0"/>
              <w:right w:val="single" w:color="auto" w:sz="4" w:space="0"/>
            </w:tcBorders>
            <w:shd w:val="clear" w:color="auto" w:fill="FFFFFF"/>
            <w:noWrap w:val="0"/>
            <w:vAlign w:val="center"/>
          </w:tcPr>
          <w:p w14:paraId="5BD1A54D">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p>
        </w:tc>
      </w:tr>
      <w:tr w14:paraId="71FE2BAC">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375" w:hRule="atLeast"/>
          <w:jc w:val="center"/>
        </w:trPr>
        <w:tc>
          <w:tcPr>
            <w:tcW w:w="5000" w:type="pct"/>
            <w:gridSpan w:val="9"/>
            <w:tcBorders>
              <w:top w:val="single" w:color="auto" w:sz="4" w:space="0"/>
              <w:left w:val="single" w:color="auto" w:sz="4" w:space="0"/>
              <w:bottom w:val="single" w:color="auto" w:sz="4" w:space="0"/>
              <w:right w:val="single" w:color="auto" w:sz="4" w:space="0"/>
            </w:tcBorders>
            <w:shd w:val="clear" w:color="auto" w:fill="C0C0C0"/>
            <w:noWrap/>
            <w:vAlign w:val="center"/>
          </w:tcPr>
          <w:p w14:paraId="2332CA0B">
            <w:pPr>
              <w:overflowPunct/>
              <w:autoSpaceDE/>
              <w:autoSpaceDN/>
              <w:adjustRightInd/>
              <w:spacing w:line="320" w:lineRule="exact"/>
              <w:ind w:right="-380" w:rightChars="-181"/>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A.考核内容</w:t>
            </w:r>
          </w:p>
        </w:tc>
      </w:tr>
      <w:tr w14:paraId="3147F2BF">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495" w:hRule="atLeast"/>
          <w:jc w:val="center"/>
        </w:trPr>
        <w:tc>
          <w:tcPr>
            <w:tcW w:w="2827" w:type="pct"/>
            <w:gridSpan w:val="4"/>
            <w:tcBorders>
              <w:top w:val="single" w:color="auto" w:sz="4" w:space="0"/>
              <w:left w:val="single" w:color="auto" w:sz="4" w:space="0"/>
              <w:bottom w:val="single" w:color="auto" w:sz="4" w:space="0"/>
              <w:right w:val="single" w:color="auto" w:sz="4" w:space="0"/>
            </w:tcBorders>
            <w:shd w:val="clear" w:color="auto" w:fill="FFFFFF"/>
            <w:noWrap/>
            <w:vAlign w:val="center"/>
          </w:tcPr>
          <w:p w14:paraId="629491FC">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评分项目</w:t>
            </w:r>
          </w:p>
        </w:tc>
        <w:tc>
          <w:tcPr>
            <w:tcW w:w="551" w:type="pct"/>
            <w:tcBorders>
              <w:top w:val="nil"/>
              <w:left w:val="nil"/>
              <w:bottom w:val="single" w:color="auto" w:sz="4" w:space="0"/>
              <w:right w:val="single" w:color="auto" w:sz="4" w:space="0"/>
            </w:tcBorders>
            <w:shd w:val="clear" w:color="auto" w:fill="FFFFFF"/>
            <w:noWrap/>
            <w:vAlign w:val="center"/>
          </w:tcPr>
          <w:p w14:paraId="1FC6C46A">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评分部门</w:t>
            </w:r>
          </w:p>
        </w:tc>
        <w:tc>
          <w:tcPr>
            <w:tcW w:w="285" w:type="pct"/>
            <w:tcBorders>
              <w:top w:val="nil"/>
              <w:left w:val="nil"/>
              <w:bottom w:val="single" w:color="auto" w:sz="4" w:space="0"/>
              <w:right w:val="single" w:color="auto" w:sz="4" w:space="0"/>
            </w:tcBorders>
            <w:shd w:val="clear" w:color="auto" w:fill="FFFFFF"/>
            <w:noWrap w:val="0"/>
            <w:vAlign w:val="center"/>
          </w:tcPr>
          <w:p w14:paraId="61ADD986">
            <w:pPr>
              <w:overflowPunct/>
              <w:autoSpaceDE/>
              <w:autoSpaceDN/>
              <w:adjustRightInd/>
              <w:spacing w:line="320" w:lineRule="exact"/>
              <w:jc w:val="center"/>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分值</w:t>
            </w:r>
          </w:p>
        </w:tc>
        <w:tc>
          <w:tcPr>
            <w:tcW w:w="233" w:type="pct"/>
            <w:tcBorders>
              <w:top w:val="nil"/>
              <w:left w:val="nil"/>
              <w:bottom w:val="single" w:color="auto" w:sz="4" w:space="0"/>
              <w:right w:val="single" w:color="auto" w:sz="4" w:space="0"/>
            </w:tcBorders>
            <w:shd w:val="clear" w:color="auto" w:fill="FFFFFF"/>
            <w:noWrap w:val="0"/>
            <w:vAlign w:val="center"/>
          </w:tcPr>
          <w:p w14:paraId="6EB16ED8">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得分</w:t>
            </w:r>
          </w:p>
        </w:tc>
        <w:tc>
          <w:tcPr>
            <w:tcW w:w="1102" w:type="pct"/>
            <w:gridSpan w:val="2"/>
            <w:tcBorders>
              <w:top w:val="nil"/>
              <w:left w:val="nil"/>
              <w:bottom w:val="single" w:color="auto" w:sz="4" w:space="0"/>
              <w:right w:val="single" w:color="auto" w:sz="4" w:space="0"/>
            </w:tcBorders>
            <w:shd w:val="clear" w:color="auto" w:fill="FFFFFF"/>
            <w:noWrap/>
            <w:vAlign w:val="center"/>
          </w:tcPr>
          <w:p w14:paraId="61F1D021">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评分说明</w:t>
            </w:r>
          </w:p>
        </w:tc>
      </w:tr>
      <w:tr w14:paraId="414C3EE9">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535" w:hRule="atLeast"/>
          <w:jc w:val="center"/>
        </w:trPr>
        <w:tc>
          <w:tcPr>
            <w:tcW w:w="250" w:type="pct"/>
            <w:vMerge w:val="restart"/>
            <w:tcBorders>
              <w:top w:val="nil"/>
              <w:left w:val="single" w:color="auto" w:sz="4" w:space="0"/>
              <w:right w:val="single" w:color="auto" w:sz="4" w:space="0"/>
            </w:tcBorders>
            <w:noWrap w:val="0"/>
            <w:vAlign w:val="center"/>
          </w:tcPr>
          <w:p w14:paraId="3F2A4CE6">
            <w:pPr>
              <w:jc w:val="center"/>
              <w:rPr>
                <w:rFonts w:ascii="宋体" w:hAnsi="宋体" w:eastAsia="宋体" w:cs="宋体"/>
                <w:color w:val="auto"/>
                <w:sz w:val="21"/>
                <w:szCs w:val="21"/>
                <w:highlight w:val="none"/>
                <w:lang w:val="en-US"/>
              </w:rPr>
            </w:pPr>
            <w:r>
              <w:rPr>
                <w:rFonts w:hint="eastAsia" w:ascii="宋体" w:hAnsi="宋体" w:eastAsia="宋体" w:cs="宋体"/>
                <w:color w:val="auto"/>
                <w:sz w:val="21"/>
                <w:szCs w:val="21"/>
                <w:highlight w:val="none"/>
                <w:lang w:val="en-US"/>
              </w:rPr>
              <w:t>安全环保</w:t>
            </w:r>
          </w:p>
        </w:tc>
        <w:tc>
          <w:tcPr>
            <w:tcW w:w="232" w:type="pct"/>
            <w:tcBorders>
              <w:top w:val="nil"/>
              <w:left w:val="nil"/>
              <w:bottom w:val="single" w:color="auto" w:sz="4" w:space="0"/>
              <w:right w:val="single" w:color="auto" w:sz="4" w:space="0"/>
            </w:tcBorders>
            <w:noWrap w:val="0"/>
            <w:vAlign w:val="center"/>
          </w:tcPr>
          <w:p w14:paraId="3E0231A8">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w:t>
            </w:r>
          </w:p>
        </w:tc>
        <w:tc>
          <w:tcPr>
            <w:tcW w:w="2345" w:type="pct"/>
            <w:gridSpan w:val="2"/>
            <w:tcBorders>
              <w:top w:val="nil"/>
              <w:left w:val="nil"/>
              <w:bottom w:val="single" w:color="auto" w:sz="4" w:space="0"/>
              <w:right w:val="single" w:color="auto" w:sz="4" w:space="0"/>
            </w:tcBorders>
            <w:noWrap w:val="0"/>
            <w:vAlign w:val="center"/>
          </w:tcPr>
          <w:p w14:paraId="6059DF54">
            <w:pPr>
              <w:overflowPunct/>
              <w:autoSpaceDE/>
              <w:autoSpaceDN/>
              <w:adjustRightInd/>
              <w:spacing w:line="320" w:lineRule="exact"/>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在“客户现场、运输途中、新东欣公司”发生</w:t>
            </w:r>
            <w:r>
              <w:rPr>
                <w:rFonts w:hint="eastAsia" w:ascii="宋体" w:hAnsi="宋体" w:cs="宋体"/>
                <w:color w:val="auto"/>
                <w:sz w:val="18"/>
                <w:szCs w:val="18"/>
                <w:highlight w:val="none"/>
                <w:lang w:val="en-US" w:eastAsia="zh-CN"/>
              </w:rPr>
              <w:t>泄漏</w:t>
            </w:r>
            <w:r>
              <w:rPr>
                <w:rFonts w:hint="eastAsia" w:ascii="宋体" w:hAnsi="宋体" w:eastAsia="宋体" w:cs="宋体"/>
                <w:color w:val="auto"/>
                <w:sz w:val="18"/>
                <w:szCs w:val="18"/>
                <w:highlight w:val="none"/>
                <w:lang w:val="en-US"/>
              </w:rPr>
              <w:t>。</w:t>
            </w:r>
          </w:p>
        </w:tc>
        <w:tc>
          <w:tcPr>
            <w:tcW w:w="551" w:type="pct"/>
            <w:tcBorders>
              <w:top w:val="nil"/>
              <w:left w:val="nil"/>
              <w:bottom w:val="single" w:color="auto" w:sz="4" w:space="0"/>
              <w:right w:val="single" w:color="auto" w:sz="4" w:space="0"/>
            </w:tcBorders>
            <w:noWrap w:val="0"/>
            <w:vAlign w:val="center"/>
          </w:tcPr>
          <w:p w14:paraId="38C3847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rPr>
              <w:t>市场</w:t>
            </w:r>
            <w:r>
              <w:rPr>
                <w:rFonts w:hint="eastAsia" w:ascii="宋体" w:hAnsi="宋体" w:eastAsia="宋体" w:cs="宋体"/>
                <w:color w:val="auto"/>
                <w:sz w:val="18"/>
                <w:szCs w:val="18"/>
                <w:highlight w:val="none"/>
                <w:lang w:val="en-US" w:eastAsia="zh-CN"/>
              </w:rPr>
              <w:t>中心</w:t>
            </w:r>
          </w:p>
          <w:p w14:paraId="41F9A029">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rPr>
              <w:t>物控</w:t>
            </w:r>
            <w:r>
              <w:rPr>
                <w:rFonts w:hint="eastAsia" w:ascii="宋体" w:hAnsi="宋体" w:eastAsia="宋体" w:cs="宋体"/>
                <w:color w:val="auto"/>
                <w:sz w:val="18"/>
                <w:szCs w:val="18"/>
                <w:highlight w:val="none"/>
                <w:lang w:val="en-US" w:eastAsia="zh-CN"/>
              </w:rPr>
              <w:t>车间</w:t>
            </w:r>
          </w:p>
          <w:p w14:paraId="0BED1F35">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安全环境部</w:t>
            </w:r>
          </w:p>
        </w:tc>
        <w:tc>
          <w:tcPr>
            <w:tcW w:w="285" w:type="pct"/>
            <w:tcBorders>
              <w:top w:val="nil"/>
              <w:left w:val="nil"/>
              <w:bottom w:val="single" w:color="auto" w:sz="4" w:space="0"/>
              <w:right w:val="single" w:color="auto" w:sz="4" w:space="0"/>
            </w:tcBorders>
            <w:noWrap w:val="0"/>
            <w:vAlign w:val="center"/>
          </w:tcPr>
          <w:p w14:paraId="1049AA78">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233" w:type="pct"/>
            <w:tcBorders>
              <w:top w:val="nil"/>
              <w:left w:val="nil"/>
              <w:bottom w:val="single" w:color="auto" w:sz="4" w:space="0"/>
              <w:right w:val="single" w:color="auto" w:sz="4" w:space="0"/>
            </w:tcBorders>
            <w:noWrap w:val="0"/>
            <w:vAlign w:val="center"/>
          </w:tcPr>
          <w:p w14:paraId="1E4D9BB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02" w:type="pct"/>
            <w:gridSpan w:val="2"/>
            <w:tcBorders>
              <w:top w:val="nil"/>
              <w:left w:val="nil"/>
              <w:bottom w:val="single" w:color="auto" w:sz="4" w:space="0"/>
              <w:right w:val="single" w:color="auto" w:sz="4" w:space="0"/>
            </w:tcBorders>
            <w:noWrap w:val="0"/>
            <w:vAlign w:val="center"/>
          </w:tcPr>
          <w:p w14:paraId="13A77BA6">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104C273B">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420" w:hRule="atLeast"/>
          <w:jc w:val="center"/>
        </w:trPr>
        <w:tc>
          <w:tcPr>
            <w:tcW w:w="250" w:type="pct"/>
            <w:vMerge w:val="continue"/>
            <w:tcBorders>
              <w:left w:val="single" w:color="auto" w:sz="4" w:space="0"/>
              <w:right w:val="single" w:color="auto" w:sz="4" w:space="0"/>
            </w:tcBorders>
            <w:noWrap w:val="0"/>
            <w:vAlign w:val="center"/>
          </w:tcPr>
          <w:p w14:paraId="378F90A0">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232" w:type="pct"/>
            <w:tcBorders>
              <w:top w:val="nil"/>
              <w:left w:val="nil"/>
              <w:bottom w:val="single" w:color="auto" w:sz="4" w:space="0"/>
              <w:right w:val="single" w:color="auto" w:sz="4" w:space="0"/>
            </w:tcBorders>
            <w:noWrap w:val="0"/>
            <w:vAlign w:val="center"/>
          </w:tcPr>
          <w:p w14:paraId="6F25E928">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2</w:t>
            </w:r>
          </w:p>
        </w:tc>
        <w:tc>
          <w:tcPr>
            <w:tcW w:w="2345" w:type="pct"/>
            <w:gridSpan w:val="2"/>
            <w:tcBorders>
              <w:top w:val="nil"/>
              <w:left w:val="nil"/>
              <w:bottom w:val="single" w:color="auto" w:sz="4" w:space="0"/>
              <w:right w:val="single" w:color="auto" w:sz="4" w:space="0"/>
            </w:tcBorders>
            <w:noWrap w:val="0"/>
            <w:vAlign w:val="center"/>
          </w:tcPr>
          <w:p w14:paraId="52FA623A">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在服务过程中发生“人、车、设备、运输的货物”相关的事故。</w:t>
            </w:r>
          </w:p>
        </w:tc>
        <w:tc>
          <w:tcPr>
            <w:tcW w:w="551" w:type="pct"/>
            <w:tcBorders>
              <w:top w:val="nil"/>
              <w:left w:val="nil"/>
              <w:bottom w:val="single" w:color="auto" w:sz="4" w:space="0"/>
              <w:right w:val="single" w:color="auto" w:sz="4" w:space="0"/>
            </w:tcBorders>
            <w:noWrap w:val="0"/>
            <w:vAlign w:val="center"/>
          </w:tcPr>
          <w:p w14:paraId="694A3398">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p w14:paraId="17C54EBA">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物控车间</w:t>
            </w:r>
          </w:p>
          <w:p w14:paraId="77F6BF8B">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安全环境部</w:t>
            </w:r>
          </w:p>
        </w:tc>
        <w:tc>
          <w:tcPr>
            <w:tcW w:w="285" w:type="pct"/>
            <w:tcBorders>
              <w:top w:val="nil"/>
              <w:left w:val="nil"/>
              <w:bottom w:val="single" w:color="auto" w:sz="4" w:space="0"/>
              <w:right w:val="single" w:color="auto" w:sz="4" w:space="0"/>
            </w:tcBorders>
            <w:noWrap w:val="0"/>
            <w:vAlign w:val="center"/>
          </w:tcPr>
          <w:p w14:paraId="04F1A23F">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233" w:type="pct"/>
            <w:tcBorders>
              <w:top w:val="nil"/>
              <w:left w:val="nil"/>
              <w:bottom w:val="single" w:color="auto" w:sz="4" w:space="0"/>
              <w:right w:val="single" w:color="auto" w:sz="4" w:space="0"/>
            </w:tcBorders>
            <w:noWrap w:val="0"/>
            <w:vAlign w:val="center"/>
          </w:tcPr>
          <w:p w14:paraId="287C0064">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102" w:type="pct"/>
            <w:gridSpan w:val="2"/>
            <w:tcBorders>
              <w:top w:val="nil"/>
              <w:left w:val="nil"/>
              <w:bottom w:val="single" w:color="auto" w:sz="4" w:space="0"/>
              <w:right w:val="single" w:color="auto" w:sz="4" w:space="0"/>
            </w:tcBorders>
            <w:noWrap w:val="0"/>
            <w:vAlign w:val="center"/>
          </w:tcPr>
          <w:p w14:paraId="269E210A">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1118D334">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420" w:hRule="atLeast"/>
          <w:jc w:val="center"/>
        </w:trPr>
        <w:tc>
          <w:tcPr>
            <w:tcW w:w="250" w:type="pct"/>
            <w:vMerge w:val="continue"/>
            <w:tcBorders>
              <w:left w:val="single" w:color="auto" w:sz="4" w:space="0"/>
              <w:right w:val="single" w:color="auto" w:sz="4" w:space="0"/>
            </w:tcBorders>
            <w:noWrap w:val="0"/>
            <w:vAlign w:val="center"/>
          </w:tcPr>
          <w:p w14:paraId="6259933C">
            <w:pPr>
              <w:jc w:val="center"/>
              <w:rPr>
                <w:rFonts w:hint="eastAsia" w:ascii="宋体" w:hAnsi="宋体" w:eastAsia="宋体" w:cs="宋体"/>
                <w:color w:val="auto"/>
                <w:sz w:val="18"/>
                <w:szCs w:val="18"/>
                <w:highlight w:val="none"/>
                <w:lang w:val="en-US"/>
              </w:rPr>
            </w:pPr>
          </w:p>
        </w:tc>
        <w:tc>
          <w:tcPr>
            <w:tcW w:w="232" w:type="pct"/>
            <w:tcBorders>
              <w:top w:val="single" w:color="auto" w:sz="4" w:space="0"/>
              <w:left w:val="nil"/>
              <w:bottom w:val="single" w:color="auto" w:sz="4" w:space="0"/>
              <w:right w:val="single" w:color="auto" w:sz="4" w:space="0"/>
            </w:tcBorders>
            <w:noWrap w:val="0"/>
            <w:vAlign w:val="center"/>
          </w:tcPr>
          <w:p w14:paraId="3A0504B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3</w:t>
            </w:r>
          </w:p>
        </w:tc>
        <w:tc>
          <w:tcPr>
            <w:tcW w:w="2345" w:type="pct"/>
            <w:gridSpan w:val="2"/>
            <w:tcBorders>
              <w:top w:val="nil"/>
              <w:left w:val="nil"/>
              <w:bottom w:val="single" w:color="auto" w:sz="4" w:space="0"/>
              <w:right w:val="single" w:color="auto" w:sz="4" w:space="0"/>
            </w:tcBorders>
            <w:noWrap w:val="0"/>
            <w:vAlign w:val="center"/>
          </w:tcPr>
          <w:p w14:paraId="60B85219">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在服务过程中未正确佩戴劳保用品。</w:t>
            </w:r>
          </w:p>
        </w:tc>
        <w:tc>
          <w:tcPr>
            <w:tcW w:w="551" w:type="pct"/>
            <w:tcBorders>
              <w:top w:val="nil"/>
              <w:left w:val="nil"/>
              <w:bottom w:val="single" w:color="auto" w:sz="4" w:space="0"/>
              <w:right w:val="single" w:color="auto" w:sz="4" w:space="0"/>
            </w:tcBorders>
            <w:noWrap w:val="0"/>
            <w:vAlign w:val="center"/>
          </w:tcPr>
          <w:p w14:paraId="56FCF9D6">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p w14:paraId="5EF6EEE5">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物控车间</w:t>
            </w:r>
          </w:p>
          <w:p w14:paraId="0CF835A9">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安全环境部</w:t>
            </w:r>
          </w:p>
        </w:tc>
        <w:tc>
          <w:tcPr>
            <w:tcW w:w="285" w:type="pct"/>
            <w:tcBorders>
              <w:top w:val="nil"/>
              <w:left w:val="nil"/>
              <w:bottom w:val="single" w:color="auto" w:sz="4" w:space="0"/>
              <w:right w:val="single" w:color="auto" w:sz="4" w:space="0"/>
            </w:tcBorders>
            <w:noWrap w:val="0"/>
            <w:vAlign w:val="center"/>
          </w:tcPr>
          <w:p w14:paraId="0A70CD48">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233" w:type="pct"/>
            <w:tcBorders>
              <w:top w:val="nil"/>
              <w:left w:val="nil"/>
              <w:bottom w:val="single" w:color="auto" w:sz="4" w:space="0"/>
              <w:right w:val="single" w:color="auto" w:sz="4" w:space="0"/>
            </w:tcBorders>
            <w:noWrap w:val="0"/>
            <w:vAlign w:val="center"/>
          </w:tcPr>
          <w:p w14:paraId="10DA988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02" w:type="pct"/>
            <w:gridSpan w:val="2"/>
            <w:tcBorders>
              <w:top w:val="nil"/>
              <w:left w:val="nil"/>
              <w:bottom w:val="single" w:color="auto" w:sz="4" w:space="0"/>
              <w:right w:val="single" w:color="auto" w:sz="4" w:space="0"/>
            </w:tcBorders>
            <w:noWrap w:val="0"/>
            <w:vAlign w:val="center"/>
          </w:tcPr>
          <w:p w14:paraId="00670AC5">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26E7F127">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273" w:hRule="atLeast"/>
          <w:jc w:val="center"/>
        </w:trPr>
        <w:tc>
          <w:tcPr>
            <w:tcW w:w="250" w:type="pct"/>
            <w:vMerge w:val="continue"/>
            <w:tcBorders>
              <w:left w:val="single" w:color="auto" w:sz="4" w:space="0"/>
              <w:bottom w:val="single" w:color="000000" w:sz="4" w:space="0"/>
              <w:right w:val="single" w:color="auto" w:sz="4" w:space="0"/>
            </w:tcBorders>
            <w:noWrap w:val="0"/>
            <w:vAlign w:val="center"/>
          </w:tcPr>
          <w:p w14:paraId="360B1D9D">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232" w:type="pct"/>
            <w:tcBorders>
              <w:top w:val="nil"/>
              <w:left w:val="nil"/>
              <w:bottom w:val="single" w:color="auto" w:sz="4" w:space="0"/>
              <w:right w:val="single" w:color="auto" w:sz="4" w:space="0"/>
            </w:tcBorders>
            <w:noWrap w:val="0"/>
            <w:vAlign w:val="center"/>
          </w:tcPr>
          <w:p w14:paraId="775F30B3">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4</w:t>
            </w:r>
          </w:p>
        </w:tc>
        <w:tc>
          <w:tcPr>
            <w:tcW w:w="2345" w:type="pct"/>
            <w:gridSpan w:val="2"/>
            <w:tcBorders>
              <w:top w:val="nil"/>
              <w:left w:val="nil"/>
              <w:bottom w:val="nil"/>
              <w:right w:val="nil"/>
            </w:tcBorders>
            <w:noWrap/>
            <w:vAlign w:val="center"/>
          </w:tcPr>
          <w:p w14:paraId="29E07EF4">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服务车辆未配置了合适的消防用品或应急物资。</w:t>
            </w:r>
          </w:p>
        </w:tc>
        <w:tc>
          <w:tcPr>
            <w:tcW w:w="551" w:type="pct"/>
            <w:tcBorders>
              <w:top w:val="nil"/>
              <w:left w:val="single" w:color="auto" w:sz="4" w:space="0"/>
              <w:bottom w:val="single" w:color="auto" w:sz="4" w:space="0"/>
              <w:right w:val="single" w:color="auto" w:sz="4" w:space="0"/>
            </w:tcBorders>
            <w:noWrap w:val="0"/>
            <w:vAlign w:val="center"/>
          </w:tcPr>
          <w:p w14:paraId="6A484FE3">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p w14:paraId="6BCF90CA">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物控车间</w:t>
            </w:r>
          </w:p>
          <w:p w14:paraId="63289859">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安全环境部</w:t>
            </w:r>
          </w:p>
        </w:tc>
        <w:tc>
          <w:tcPr>
            <w:tcW w:w="285" w:type="pct"/>
            <w:tcBorders>
              <w:top w:val="nil"/>
              <w:left w:val="nil"/>
              <w:bottom w:val="single" w:color="auto" w:sz="4" w:space="0"/>
              <w:right w:val="single" w:color="auto" w:sz="4" w:space="0"/>
            </w:tcBorders>
            <w:noWrap w:val="0"/>
            <w:vAlign w:val="center"/>
          </w:tcPr>
          <w:p w14:paraId="0AFDF4EA">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233" w:type="pct"/>
            <w:tcBorders>
              <w:top w:val="nil"/>
              <w:left w:val="nil"/>
              <w:bottom w:val="single" w:color="auto" w:sz="4" w:space="0"/>
              <w:right w:val="single" w:color="auto" w:sz="4" w:space="0"/>
            </w:tcBorders>
            <w:noWrap w:val="0"/>
            <w:vAlign w:val="center"/>
          </w:tcPr>
          <w:p w14:paraId="42056CBA">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102" w:type="pct"/>
            <w:gridSpan w:val="2"/>
            <w:tcBorders>
              <w:top w:val="nil"/>
              <w:left w:val="nil"/>
              <w:bottom w:val="single" w:color="auto" w:sz="4" w:space="0"/>
              <w:right w:val="single" w:color="auto" w:sz="4" w:space="0"/>
            </w:tcBorders>
            <w:noWrap w:val="0"/>
            <w:vAlign w:val="center"/>
          </w:tcPr>
          <w:p w14:paraId="3C919A1E">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2C049FE1">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540" w:hRule="atLeast"/>
          <w:jc w:val="center"/>
        </w:trPr>
        <w:tc>
          <w:tcPr>
            <w:tcW w:w="250" w:type="pct"/>
            <w:vMerge w:val="restart"/>
            <w:tcBorders>
              <w:top w:val="nil"/>
              <w:left w:val="single" w:color="auto" w:sz="4" w:space="0"/>
              <w:right w:val="single" w:color="auto" w:sz="4" w:space="0"/>
            </w:tcBorders>
            <w:noWrap w:val="0"/>
            <w:vAlign w:val="center"/>
          </w:tcPr>
          <w:p w14:paraId="3FB6ABE9">
            <w:pPr>
              <w:overflowPunct/>
              <w:autoSpaceDE/>
              <w:autoSpaceDN/>
              <w:adjustRightInd/>
              <w:jc w:val="center"/>
              <w:textAlignment w:val="auto"/>
              <w:rPr>
                <w:rFonts w:ascii="宋体" w:hAnsi="宋体" w:eastAsia="宋体" w:cs="宋体"/>
                <w:color w:val="auto"/>
                <w:sz w:val="21"/>
                <w:szCs w:val="21"/>
                <w:highlight w:val="none"/>
                <w:lang w:val="en-US"/>
              </w:rPr>
            </w:pPr>
            <w:r>
              <w:rPr>
                <w:rFonts w:hint="eastAsia" w:ascii="宋体" w:hAnsi="宋体" w:eastAsia="宋体" w:cs="宋体"/>
                <w:color w:val="auto"/>
                <w:sz w:val="21"/>
                <w:szCs w:val="21"/>
                <w:highlight w:val="none"/>
                <w:lang w:val="en-US"/>
              </w:rPr>
              <w:t>服务质量</w:t>
            </w:r>
          </w:p>
        </w:tc>
        <w:tc>
          <w:tcPr>
            <w:tcW w:w="232" w:type="pct"/>
            <w:tcBorders>
              <w:top w:val="nil"/>
              <w:left w:val="nil"/>
              <w:bottom w:val="single" w:color="auto" w:sz="4" w:space="0"/>
              <w:right w:val="single" w:color="auto" w:sz="4" w:space="0"/>
            </w:tcBorders>
            <w:noWrap w:val="0"/>
            <w:vAlign w:val="center"/>
          </w:tcPr>
          <w:p w14:paraId="666F0C62">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2345" w:type="pct"/>
            <w:gridSpan w:val="2"/>
            <w:tcBorders>
              <w:top w:val="single" w:color="auto" w:sz="4" w:space="0"/>
              <w:left w:val="nil"/>
              <w:bottom w:val="single" w:color="auto" w:sz="4" w:space="0"/>
              <w:right w:val="single" w:color="auto" w:sz="4" w:space="0"/>
            </w:tcBorders>
            <w:noWrap w:val="0"/>
            <w:vAlign w:val="center"/>
          </w:tcPr>
          <w:p w14:paraId="60D343D0">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因运力不足导致跳单。</w:t>
            </w:r>
          </w:p>
        </w:tc>
        <w:tc>
          <w:tcPr>
            <w:tcW w:w="551" w:type="pct"/>
            <w:tcBorders>
              <w:top w:val="nil"/>
              <w:left w:val="nil"/>
              <w:bottom w:val="single" w:color="auto" w:sz="4" w:space="0"/>
              <w:right w:val="single" w:color="auto" w:sz="4" w:space="0"/>
            </w:tcBorders>
            <w:noWrap w:val="0"/>
            <w:vAlign w:val="center"/>
          </w:tcPr>
          <w:p w14:paraId="663B83D5">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tc>
        <w:tc>
          <w:tcPr>
            <w:tcW w:w="285" w:type="pct"/>
            <w:tcBorders>
              <w:top w:val="nil"/>
              <w:left w:val="nil"/>
              <w:bottom w:val="single" w:color="auto" w:sz="4" w:space="0"/>
              <w:right w:val="single" w:color="auto" w:sz="4" w:space="0"/>
            </w:tcBorders>
            <w:noWrap w:val="0"/>
            <w:vAlign w:val="center"/>
          </w:tcPr>
          <w:p w14:paraId="4F485509">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233" w:type="pct"/>
            <w:tcBorders>
              <w:top w:val="nil"/>
              <w:left w:val="nil"/>
              <w:bottom w:val="single" w:color="auto" w:sz="4" w:space="0"/>
              <w:right w:val="single" w:color="auto" w:sz="4" w:space="0"/>
            </w:tcBorders>
            <w:noWrap w:val="0"/>
            <w:vAlign w:val="center"/>
          </w:tcPr>
          <w:p w14:paraId="0203816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02" w:type="pct"/>
            <w:gridSpan w:val="2"/>
            <w:tcBorders>
              <w:top w:val="nil"/>
              <w:left w:val="nil"/>
              <w:bottom w:val="single" w:color="auto" w:sz="4" w:space="0"/>
              <w:right w:val="single" w:color="auto" w:sz="4" w:space="0"/>
            </w:tcBorders>
            <w:noWrap w:val="0"/>
            <w:vAlign w:val="center"/>
          </w:tcPr>
          <w:p w14:paraId="48AF274B">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每次扣1分；</w:t>
            </w:r>
          </w:p>
        </w:tc>
      </w:tr>
      <w:tr w14:paraId="5BAD4A23">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540" w:hRule="atLeast"/>
          <w:jc w:val="center"/>
        </w:trPr>
        <w:tc>
          <w:tcPr>
            <w:tcW w:w="250" w:type="pct"/>
            <w:vMerge w:val="continue"/>
            <w:tcBorders>
              <w:left w:val="single" w:color="auto" w:sz="4" w:space="0"/>
              <w:right w:val="single" w:color="auto" w:sz="4" w:space="0"/>
            </w:tcBorders>
            <w:noWrap w:val="0"/>
            <w:vAlign w:val="center"/>
          </w:tcPr>
          <w:p w14:paraId="69D4870A">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232" w:type="pct"/>
            <w:tcBorders>
              <w:top w:val="nil"/>
              <w:left w:val="nil"/>
              <w:bottom w:val="single" w:color="auto" w:sz="4" w:space="0"/>
              <w:right w:val="single" w:color="auto" w:sz="4" w:space="0"/>
            </w:tcBorders>
            <w:noWrap w:val="0"/>
            <w:vAlign w:val="center"/>
          </w:tcPr>
          <w:p w14:paraId="7B9A7793">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6</w:t>
            </w:r>
          </w:p>
        </w:tc>
        <w:tc>
          <w:tcPr>
            <w:tcW w:w="2345" w:type="pct"/>
            <w:gridSpan w:val="2"/>
            <w:tcBorders>
              <w:top w:val="nil"/>
              <w:left w:val="nil"/>
              <w:bottom w:val="single" w:color="auto" w:sz="4" w:space="0"/>
              <w:right w:val="single" w:color="auto" w:sz="4" w:space="0"/>
            </w:tcBorders>
            <w:noWrap w:val="0"/>
            <w:vAlign w:val="center"/>
          </w:tcPr>
          <w:p w14:paraId="52E5A70F">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正常派单情况下，未按时响应新东欣派单计划。</w:t>
            </w:r>
          </w:p>
        </w:tc>
        <w:tc>
          <w:tcPr>
            <w:tcW w:w="551" w:type="pct"/>
            <w:tcBorders>
              <w:top w:val="nil"/>
              <w:left w:val="nil"/>
              <w:bottom w:val="single" w:color="auto" w:sz="4" w:space="0"/>
              <w:right w:val="single" w:color="auto" w:sz="4" w:space="0"/>
            </w:tcBorders>
            <w:noWrap w:val="0"/>
            <w:vAlign w:val="center"/>
          </w:tcPr>
          <w:p w14:paraId="25ABF14D">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tc>
        <w:tc>
          <w:tcPr>
            <w:tcW w:w="285" w:type="pct"/>
            <w:tcBorders>
              <w:top w:val="nil"/>
              <w:left w:val="nil"/>
              <w:bottom w:val="single" w:color="auto" w:sz="4" w:space="0"/>
              <w:right w:val="single" w:color="auto" w:sz="4" w:space="0"/>
            </w:tcBorders>
            <w:noWrap w:val="0"/>
            <w:vAlign w:val="center"/>
          </w:tcPr>
          <w:p w14:paraId="0D7A7280">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233" w:type="pct"/>
            <w:tcBorders>
              <w:top w:val="nil"/>
              <w:left w:val="nil"/>
              <w:bottom w:val="single" w:color="auto" w:sz="4" w:space="0"/>
              <w:right w:val="single" w:color="auto" w:sz="4" w:space="0"/>
            </w:tcBorders>
            <w:noWrap w:val="0"/>
            <w:vAlign w:val="center"/>
          </w:tcPr>
          <w:p w14:paraId="70E36F6F">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02" w:type="pct"/>
            <w:gridSpan w:val="2"/>
            <w:tcBorders>
              <w:top w:val="nil"/>
              <w:left w:val="nil"/>
              <w:bottom w:val="single" w:color="auto" w:sz="4" w:space="0"/>
              <w:right w:val="single" w:color="auto" w:sz="4" w:space="0"/>
            </w:tcBorders>
            <w:noWrap w:val="0"/>
            <w:vAlign w:val="center"/>
          </w:tcPr>
          <w:p w14:paraId="58A55356">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不按时，每次扣0.5分；</w:t>
            </w:r>
          </w:p>
        </w:tc>
      </w:tr>
      <w:tr w14:paraId="49730E09">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540" w:hRule="atLeast"/>
          <w:jc w:val="center"/>
        </w:trPr>
        <w:tc>
          <w:tcPr>
            <w:tcW w:w="250" w:type="pct"/>
            <w:vMerge w:val="continue"/>
            <w:tcBorders>
              <w:left w:val="single" w:color="auto" w:sz="4" w:space="0"/>
              <w:right w:val="single" w:color="auto" w:sz="4" w:space="0"/>
            </w:tcBorders>
            <w:noWrap w:val="0"/>
            <w:vAlign w:val="center"/>
          </w:tcPr>
          <w:p w14:paraId="6B0DF20C">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232" w:type="pct"/>
            <w:tcBorders>
              <w:top w:val="nil"/>
              <w:left w:val="nil"/>
              <w:bottom w:val="single" w:color="auto" w:sz="4" w:space="0"/>
              <w:right w:val="single" w:color="auto" w:sz="4" w:space="0"/>
            </w:tcBorders>
            <w:noWrap w:val="0"/>
            <w:vAlign w:val="center"/>
          </w:tcPr>
          <w:p w14:paraId="5E414979">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7</w:t>
            </w:r>
          </w:p>
        </w:tc>
        <w:tc>
          <w:tcPr>
            <w:tcW w:w="2345" w:type="pct"/>
            <w:gridSpan w:val="2"/>
            <w:tcBorders>
              <w:top w:val="nil"/>
              <w:left w:val="nil"/>
              <w:bottom w:val="single" w:color="auto" w:sz="4" w:space="0"/>
              <w:right w:val="single" w:color="auto" w:sz="4" w:space="0"/>
            </w:tcBorders>
            <w:noWrap w:val="0"/>
            <w:vAlign w:val="center"/>
          </w:tcPr>
          <w:p w14:paraId="599D7830">
            <w:pPr>
              <w:overflowPunct/>
              <w:autoSpaceDE/>
              <w:autoSpaceDN/>
              <w:adjustRightInd/>
              <w:spacing w:line="320" w:lineRule="exact"/>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未按约定时间抵达客户现场，且未与客户提供沟通取得同意，导致客户投诉的</w:t>
            </w:r>
          </w:p>
        </w:tc>
        <w:tc>
          <w:tcPr>
            <w:tcW w:w="551" w:type="pct"/>
            <w:tcBorders>
              <w:top w:val="nil"/>
              <w:left w:val="nil"/>
              <w:bottom w:val="single" w:color="auto" w:sz="4" w:space="0"/>
              <w:right w:val="single" w:color="auto" w:sz="4" w:space="0"/>
            </w:tcBorders>
            <w:noWrap w:val="0"/>
            <w:vAlign w:val="center"/>
          </w:tcPr>
          <w:p w14:paraId="7A980EC7">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tc>
        <w:tc>
          <w:tcPr>
            <w:tcW w:w="285" w:type="pct"/>
            <w:tcBorders>
              <w:top w:val="nil"/>
              <w:left w:val="nil"/>
              <w:bottom w:val="single" w:color="auto" w:sz="4" w:space="0"/>
              <w:right w:val="single" w:color="auto" w:sz="4" w:space="0"/>
            </w:tcBorders>
            <w:noWrap w:val="0"/>
            <w:vAlign w:val="center"/>
          </w:tcPr>
          <w:p w14:paraId="6BEBEDBD">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233" w:type="pct"/>
            <w:tcBorders>
              <w:top w:val="nil"/>
              <w:left w:val="nil"/>
              <w:bottom w:val="single" w:color="auto" w:sz="4" w:space="0"/>
              <w:right w:val="single" w:color="auto" w:sz="4" w:space="0"/>
            </w:tcBorders>
            <w:noWrap w:val="0"/>
            <w:vAlign w:val="center"/>
          </w:tcPr>
          <w:p w14:paraId="0AFE86E5">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02" w:type="pct"/>
            <w:gridSpan w:val="2"/>
            <w:tcBorders>
              <w:top w:val="nil"/>
              <w:left w:val="nil"/>
              <w:bottom w:val="single" w:color="auto" w:sz="4" w:space="0"/>
              <w:right w:val="single" w:color="auto" w:sz="4" w:space="0"/>
            </w:tcBorders>
            <w:noWrap w:val="0"/>
            <w:vAlign w:val="center"/>
          </w:tcPr>
          <w:p w14:paraId="2CE23302">
            <w:pPr>
              <w:overflowPunct/>
              <w:autoSpaceDE/>
              <w:autoSpaceDN/>
              <w:adjustRightInd/>
              <w:spacing w:line="320" w:lineRule="exact"/>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造成投诉，每次扣1分；</w:t>
            </w:r>
          </w:p>
        </w:tc>
      </w:tr>
      <w:tr w14:paraId="60C60914">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540" w:hRule="atLeast"/>
          <w:jc w:val="center"/>
        </w:trPr>
        <w:tc>
          <w:tcPr>
            <w:tcW w:w="250" w:type="pct"/>
            <w:vMerge w:val="continue"/>
            <w:tcBorders>
              <w:left w:val="single" w:color="auto" w:sz="4" w:space="0"/>
              <w:right w:val="single" w:color="auto" w:sz="4" w:space="0"/>
            </w:tcBorders>
            <w:noWrap w:val="0"/>
            <w:vAlign w:val="center"/>
          </w:tcPr>
          <w:p w14:paraId="1B06EC1B">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232" w:type="pct"/>
            <w:tcBorders>
              <w:top w:val="nil"/>
              <w:left w:val="nil"/>
              <w:bottom w:val="single" w:color="auto" w:sz="4" w:space="0"/>
              <w:right w:val="single" w:color="auto" w:sz="4" w:space="0"/>
            </w:tcBorders>
            <w:noWrap w:val="0"/>
            <w:vAlign w:val="center"/>
          </w:tcPr>
          <w:p w14:paraId="07D39D72">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8</w:t>
            </w:r>
          </w:p>
        </w:tc>
        <w:tc>
          <w:tcPr>
            <w:tcW w:w="2345" w:type="pct"/>
            <w:gridSpan w:val="2"/>
            <w:tcBorders>
              <w:top w:val="nil"/>
              <w:left w:val="nil"/>
              <w:bottom w:val="single" w:color="auto" w:sz="4" w:space="0"/>
              <w:right w:val="single" w:color="auto" w:sz="4" w:space="0"/>
            </w:tcBorders>
            <w:noWrap w:val="0"/>
            <w:vAlign w:val="center"/>
          </w:tcPr>
          <w:p w14:paraId="2BEDBD40">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运输服务过程发生异常情况，未在30分钟内反馈给新东欣调度人员（包括装卸货、数量异常、废物异常、沟通异常等）。</w:t>
            </w:r>
          </w:p>
        </w:tc>
        <w:tc>
          <w:tcPr>
            <w:tcW w:w="551" w:type="pct"/>
            <w:tcBorders>
              <w:top w:val="nil"/>
              <w:left w:val="nil"/>
              <w:bottom w:val="single" w:color="auto" w:sz="4" w:space="0"/>
              <w:right w:val="single" w:color="auto" w:sz="4" w:space="0"/>
            </w:tcBorders>
            <w:noWrap w:val="0"/>
            <w:vAlign w:val="center"/>
          </w:tcPr>
          <w:p w14:paraId="09012AB6">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tc>
        <w:tc>
          <w:tcPr>
            <w:tcW w:w="285" w:type="pct"/>
            <w:tcBorders>
              <w:top w:val="nil"/>
              <w:left w:val="nil"/>
              <w:bottom w:val="single" w:color="auto" w:sz="4" w:space="0"/>
              <w:right w:val="single" w:color="auto" w:sz="4" w:space="0"/>
            </w:tcBorders>
            <w:noWrap w:val="0"/>
            <w:vAlign w:val="center"/>
          </w:tcPr>
          <w:p w14:paraId="468B5120">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233" w:type="pct"/>
            <w:tcBorders>
              <w:top w:val="nil"/>
              <w:left w:val="nil"/>
              <w:bottom w:val="single" w:color="auto" w:sz="4" w:space="0"/>
              <w:right w:val="single" w:color="auto" w:sz="4" w:space="0"/>
            </w:tcBorders>
            <w:noWrap w:val="0"/>
            <w:vAlign w:val="center"/>
          </w:tcPr>
          <w:p w14:paraId="55A4AA89">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02" w:type="pct"/>
            <w:gridSpan w:val="2"/>
            <w:tcBorders>
              <w:top w:val="nil"/>
              <w:left w:val="nil"/>
              <w:bottom w:val="single" w:color="auto" w:sz="4" w:space="0"/>
              <w:right w:val="single" w:color="auto" w:sz="4" w:space="0"/>
            </w:tcBorders>
            <w:noWrap w:val="0"/>
            <w:vAlign w:val="center"/>
          </w:tcPr>
          <w:p w14:paraId="3BB5F4EC">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不及时，每次扣0.5分；不反馈，每次扣1分；</w:t>
            </w:r>
          </w:p>
        </w:tc>
      </w:tr>
      <w:tr w14:paraId="3AF3D5D9">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549" w:hRule="atLeast"/>
          <w:jc w:val="center"/>
        </w:trPr>
        <w:tc>
          <w:tcPr>
            <w:tcW w:w="250" w:type="pct"/>
            <w:vMerge w:val="continue"/>
            <w:tcBorders>
              <w:left w:val="single" w:color="auto" w:sz="4" w:space="0"/>
              <w:right w:val="single" w:color="auto" w:sz="4" w:space="0"/>
            </w:tcBorders>
            <w:noWrap w:val="0"/>
            <w:vAlign w:val="center"/>
          </w:tcPr>
          <w:p w14:paraId="0E7F43B1">
            <w:pPr>
              <w:overflowPunct/>
              <w:autoSpaceDE/>
              <w:autoSpaceDN/>
              <w:adjustRightInd/>
              <w:spacing w:line="320" w:lineRule="exact"/>
              <w:jc w:val="center"/>
              <w:textAlignment w:val="auto"/>
              <w:rPr>
                <w:rFonts w:ascii="宋体" w:hAnsi="宋体" w:eastAsia="宋体" w:cs="宋体"/>
                <w:color w:val="auto"/>
                <w:sz w:val="21"/>
                <w:szCs w:val="21"/>
                <w:highlight w:val="none"/>
                <w:lang w:val="en-US"/>
              </w:rPr>
            </w:pPr>
          </w:p>
        </w:tc>
        <w:tc>
          <w:tcPr>
            <w:tcW w:w="232" w:type="pct"/>
            <w:tcBorders>
              <w:top w:val="nil"/>
              <w:left w:val="nil"/>
              <w:bottom w:val="single" w:color="auto" w:sz="4" w:space="0"/>
              <w:right w:val="single" w:color="auto" w:sz="4" w:space="0"/>
            </w:tcBorders>
            <w:noWrap w:val="0"/>
            <w:vAlign w:val="center"/>
          </w:tcPr>
          <w:p w14:paraId="55BF888E">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9</w:t>
            </w:r>
          </w:p>
        </w:tc>
        <w:tc>
          <w:tcPr>
            <w:tcW w:w="2345" w:type="pct"/>
            <w:gridSpan w:val="2"/>
            <w:tcBorders>
              <w:top w:val="nil"/>
              <w:left w:val="nil"/>
              <w:bottom w:val="single" w:color="auto" w:sz="4" w:space="0"/>
              <w:right w:val="single" w:color="auto" w:sz="4" w:space="0"/>
            </w:tcBorders>
            <w:noWrap w:val="0"/>
            <w:vAlign w:val="center"/>
          </w:tcPr>
          <w:p w14:paraId="04717151">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运输服务过程态度不佳，与客户或新东欣公司人员发生纠纷、冲突、或被投诉且经调查属实的情况。</w:t>
            </w:r>
          </w:p>
        </w:tc>
        <w:tc>
          <w:tcPr>
            <w:tcW w:w="551" w:type="pct"/>
            <w:tcBorders>
              <w:top w:val="nil"/>
              <w:left w:val="nil"/>
              <w:bottom w:val="single" w:color="auto" w:sz="4" w:space="0"/>
              <w:right w:val="single" w:color="auto" w:sz="4" w:space="0"/>
            </w:tcBorders>
            <w:noWrap w:val="0"/>
            <w:vAlign w:val="center"/>
          </w:tcPr>
          <w:p w14:paraId="33C01B02">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tc>
        <w:tc>
          <w:tcPr>
            <w:tcW w:w="285" w:type="pct"/>
            <w:tcBorders>
              <w:top w:val="nil"/>
              <w:left w:val="nil"/>
              <w:bottom w:val="single" w:color="auto" w:sz="4" w:space="0"/>
              <w:right w:val="single" w:color="auto" w:sz="4" w:space="0"/>
            </w:tcBorders>
            <w:noWrap w:val="0"/>
            <w:vAlign w:val="center"/>
          </w:tcPr>
          <w:p w14:paraId="654C5BA1">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233" w:type="pct"/>
            <w:tcBorders>
              <w:top w:val="nil"/>
              <w:left w:val="nil"/>
              <w:bottom w:val="single" w:color="auto" w:sz="4" w:space="0"/>
              <w:right w:val="single" w:color="auto" w:sz="4" w:space="0"/>
            </w:tcBorders>
            <w:noWrap w:val="0"/>
            <w:vAlign w:val="center"/>
          </w:tcPr>
          <w:p w14:paraId="733F21D4">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102" w:type="pct"/>
            <w:gridSpan w:val="2"/>
            <w:tcBorders>
              <w:top w:val="nil"/>
              <w:left w:val="nil"/>
              <w:bottom w:val="single" w:color="auto" w:sz="4" w:space="0"/>
              <w:right w:val="single" w:color="auto" w:sz="4" w:space="0"/>
            </w:tcBorders>
            <w:noWrap w:val="0"/>
            <w:vAlign w:val="center"/>
          </w:tcPr>
          <w:p w14:paraId="31DE62A0">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发生每次扣1分</w:t>
            </w:r>
          </w:p>
        </w:tc>
      </w:tr>
      <w:tr w14:paraId="4FCA9099">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459" w:hRule="atLeast"/>
          <w:jc w:val="center"/>
        </w:trPr>
        <w:tc>
          <w:tcPr>
            <w:tcW w:w="250" w:type="pct"/>
            <w:vMerge w:val="continue"/>
            <w:tcBorders>
              <w:left w:val="single" w:color="auto" w:sz="4" w:space="0"/>
              <w:right w:val="single" w:color="auto" w:sz="4" w:space="0"/>
            </w:tcBorders>
            <w:noWrap w:val="0"/>
            <w:vAlign w:val="center"/>
          </w:tcPr>
          <w:p w14:paraId="7E518782">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232" w:type="pct"/>
            <w:tcBorders>
              <w:top w:val="nil"/>
              <w:left w:val="nil"/>
              <w:bottom w:val="single" w:color="auto" w:sz="4" w:space="0"/>
              <w:right w:val="single" w:color="auto" w:sz="4" w:space="0"/>
            </w:tcBorders>
            <w:noWrap w:val="0"/>
            <w:vAlign w:val="center"/>
          </w:tcPr>
          <w:p w14:paraId="4B965004">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2345" w:type="pct"/>
            <w:gridSpan w:val="2"/>
            <w:tcBorders>
              <w:top w:val="nil"/>
              <w:left w:val="nil"/>
              <w:bottom w:val="single" w:color="auto" w:sz="4" w:space="0"/>
              <w:right w:val="single" w:color="auto" w:sz="4" w:space="0"/>
            </w:tcBorders>
            <w:noWrap w:val="0"/>
            <w:vAlign w:val="center"/>
          </w:tcPr>
          <w:p w14:paraId="4E51CD8F">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运输服务人员不专业，如：装车不合理、遇到废物发生异常时处置不合理、遇到车辆突发异常时处置不合理</w:t>
            </w:r>
          </w:p>
        </w:tc>
        <w:tc>
          <w:tcPr>
            <w:tcW w:w="551" w:type="pct"/>
            <w:tcBorders>
              <w:top w:val="nil"/>
              <w:left w:val="nil"/>
              <w:bottom w:val="single" w:color="auto" w:sz="4" w:space="0"/>
              <w:right w:val="single" w:color="auto" w:sz="4" w:space="0"/>
            </w:tcBorders>
            <w:noWrap w:val="0"/>
            <w:vAlign w:val="top"/>
          </w:tcPr>
          <w:p w14:paraId="6415A4B8">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p w14:paraId="6A8FDA4F">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物控车间</w:t>
            </w:r>
          </w:p>
          <w:p w14:paraId="5F8E4ED3">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安全环境部</w:t>
            </w:r>
          </w:p>
        </w:tc>
        <w:tc>
          <w:tcPr>
            <w:tcW w:w="285" w:type="pct"/>
            <w:tcBorders>
              <w:top w:val="nil"/>
              <w:left w:val="nil"/>
              <w:bottom w:val="single" w:color="auto" w:sz="4" w:space="0"/>
              <w:right w:val="single" w:color="auto" w:sz="4" w:space="0"/>
            </w:tcBorders>
            <w:noWrap w:val="0"/>
            <w:vAlign w:val="center"/>
          </w:tcPr>
          <w:p w14:paraId="539F0E5A">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15</w:t>
            </w:r>
          </w:p>
        </w:tc>
        <w:tc>
          <w:tcPr>
            <w:tcW w:w="233" w:type="pct"/>
            <w:tcBorders>
              <w:top w:val="nil"/>
              <w:left w:val="nil"/>
              <w:bottom w:val="single" w:color="auto" w:sz="4" w:space="0"/>
              <w:right w:val="single" w:color="auto" w:sz="4" w:space="0"/>
            </w:tcBorders>
            <w:noWrap w:val="0"/>
            <w:vAlign w:val="center"/>
          </w:tcPr>
          <w:p w14:paraId="4E49953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02" w:type="pct"/>
            <w:gridSpan w:val="2"/>
            <w:tcBorders>
              <w:top w:val="nil"/>
              <w:left w:val="nil"/>
              <w:bottom w:val="single" w:color="auto" w:sz="4" w:space="0"/>
              <w:right w:val="single" w:color="auto" w:sz="4" w:space="0"/>
            </w:tcBorders>
            <w:noWrap w:val="0"/>
            <w:vAlign w:val="center"/>
          </w:tcPr>
          <w:p w14:paraId="74F428A7">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不专业造成轻微事故每次扣1分；造成严重事故的，每次扣5分</w:t>
            </w:r>
          </w:p>
        </w:tc>
      </w:tr>
      <w:tr w14:paraId="45389628">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492" w:hRule="atLeast"/>
          <w:jc w:val="center"/>
        </w:trPr>
        <w:tc>
          <w:tcPr>
            <w:tcW w:w="250" w:type="pct"/>
            <w:vMerge w:val="restart"/>
            <w:tcBorders>
              <w:top w:val="nil"/>
              <w:left w:val="single" w:color="auto" w:sz="4" w:space="0"/>
              <w:right w:val="single" w:color="auto" w:sz="4" w:space="0"/>
            </w:tcBorders>
            <w:noWrap w:val="0"/>
            <w:vAlign w:val="center"/>
          </w:tcPr>
          <w:p w14:paraId="3922BD23">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其他</w:t>
            </w:r>
          </w:p>
        </w:tc>
        <w:tc>
          <w:tcPr>
            <w:tcW w:w="232" w:type="pct"/>
            <w:tcBorders>
              <w:top w:val="nil"/>
              <w:left w:val="nil"/>
              <w:bottom w:val="single" w:color="auto" w:sz="4" w:space="0"/>
              <w:right w:val="single" w:color="auto" w:sz="4" w:space="0"/>
            </w:tcBorders>
            <w:noWrap w:val="0"/>
            <w:vAlign w:val="center"/>
          </w:tcPr>
          <w:p w14:paraId="37953F60">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11</w:t>
            </w:r>
          </w:p>
        </w:tc>
        <w:tc>
          <w:tcPr>
            <w:tcW w:w="2345" w:type="pct"/>
            <w:gridSpan w:val="2"/>
            <w:tcBorders>
              <w:top w:val="nil"/>
              <w:left w:val="nil"/>
              <w:bottom w:val="single" w:color="auto" w:sz="4" w:space="0"/>
              <w:right w:val="single" w:color="auto" w:sz="4" w:space="0"/>
            </w:tcBorders>
            <w:noWrap w:val="0"/>
            <w:vAlign w:val="center"/>
          </w:tcPr>
          <w:p w14:paraId="6EB9CAFD">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现场收货的承运单未与客户确认并签字、或漏签字或代替客户签字，或运输公司人员将废物明细及数量填写错误或错扣皮重，导致新东欣入库后修改数据。</w:t>
            </w:r>
          </w:p>
        </w:tc>
        <w:tc>
          <w:tcPr>
            <w:tcW w:w="551" w:type="pct"/>
            <w:tcBorders>
              <w:top w:val="nil"/>
              <w:left w:val="nil"/>
              <w:bottom w:val="single" w:color="auto" w:sz="4" w:space="0"/>
              <w:right w:val="single" w:color="auto" w:sz="4" w:space="0"/>
            </w:tcBorders>
            <w:noWrap w:val="0"/>
            <w:vAlign w:val="center"/>
          </w:tcPr>
          <w:p w14:paraId="41AAA6C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p w14:paraId="496D6FF7">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物控车间</w:t>
            </w:r>
          </w:p>
        </w:tc>
        <w:tc>
          <w:tcPr>
            <w:tcW w:w="285" w:type="pct"/>
            <w:tcBorders>
              <w:top w:val="nil"/>
              <w:left w:val="nil"/>
              <w:bottom w:val="single" w:color="auto" w:sz="4" w:space="0"/>
              <w:right w:val="single" w:color="auto" w:sz="4" w:space="0"/>
            </w:tcBorders>
            <w:noWrap w:val="0"/>
            <w:vAlign w:val="center"/>
          </w:tcPr>
          <w:p w14:paraId="42AA53B1">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233" w:type="pct"/>
            <w:tcBorders>
              <w:top w:val="nil"/>
              <w:left w:val="nil"/>
              <w:bottom w:val="single" w:color="auto" w:sz="4" w:space="0"/>
              <w:right w:val="single" w:color="auto" w:sz="4" w:space="0"/>
            </w:tcBorders>
            <w:noWrap w:val="0"/>
            <w:vAlign w:val="center"/>
          </w:tcPr>
          <w:p w14:paraId="4ADC76C4">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02" w:type="pct"/>
            <w:gridSpan w:val="2"/>
            <w:tcBorders>
              <w:top w:val="nil"/>
              <w:left w:val="nil"/>
              <w:bottom w:val="single" w:color="auto" w:sz="4" w:space="0"/>
              <w:right w:val="single" w:color="auto" w:sz="4" w:space="0"/>
            </w:tcBorders>
            <w:noWrap w:val="0"/>
            <w:vAlign w:val="center"/>
          </w:tcPr>
          <w:p w14:paraId="045FF7FB">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每次扣0.5分</w:t>
            </w:r>
          </w:p>
        </w:tc>
      </w:tr>
      <w:tr w14:paraId="11BE8B70">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400" w:hRule="atLeast"/>
          <w:jc w:val="center"/>
        </w:trPr>
        <w:tc>
          <w:tcPr>
            <w:tcW w:w="250" w:type="pct"/>
            <w:vMerge w:val="continue"/>
            <w:tcBorders>
              <w:left w:val="single" w:color="auto" w:sz="4" w:space="0"/>
              <w:right w:val="single" w:color="auto" w:sz="4" w:space="0"/>
            </w:tcBorders>
            <w:noWrap w:val="0"/>
            <w:vAlign w:val="center"/>
          </w:tcPr>
          <w:p w14:paraId="4B2DACE9">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232" w:type="pct"/>
            <w:tcBorders>
              <w:top w:val="nil"/>
              <w:left w:val="nil"/>
              <w:bottom w:val="single" w:color="auto" w:sz="4" w:space="0"/>
              <w:right w:val="single" w:color="auto" w:sz="4" w:space="0"/>
            </w:tcBorders>
            <w:noWrap w:val="0"/>
            <w:vAlign w:val="center"/>
          </w:tcPr>
          <w:p w14:paraId="32E5F6FC">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12</w:t>
            </w:r>
          </w:p>
        </w:tc>
        <w:tc>
          <w:tcPr>
            <w:tcW w:w="2345" w:type="pct"/>
            <w:gridSpan w:val="2"/>
            <w:tcBorders>
              <w:top w:val="nil"/>
              <w:left w:val="nil"/>
              <w:bottom w:val="single" w:color="auto" w:sz="4" w:space="0"/>
              <w:right w:val="single" w:color="auto" w:sz="4" w:space="0"/>
            </w:tcBorders>
            <w:noWrap w:val="0"/>
            <w:vAlign w:val="center"/>
          </w:tcPr>
          <w:p w14:paraId="0D2EC404">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因运输人员原因导致漏扫联单或错扫联单</w:t>
            </w:r>
          </w:p>
        </w:tc>
        <w:tc>
          <w:tcPr>
            <w:tcW w:w="551" w:type="pct"/>
            <w:tcBorders>
              <w:top w:val="nil"/>
              <w:left w:val="nil"/>
              <w:bottom w:val="single" w:color="auto" w:sz="4" w:space="0"/>
              <w:right w:val="single" w:color="auto" w:sz="4" w:space="0"/>
            </w:tcBorders>
            <w:noWrap w:val="0"/>
            <w:vAlign w:val="center"/>
          </w:tcPr>
          <w:p w14:paraId="501BF49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tc>
        <w:tc>
          <w:tcPr>
            <w:tcW w:w="285" w:type="pct"/>
            <w:tcBorders>
              <w:top w:val="nil"/>
              <w:left w:val="nil"/>
              <w:bottom w:val="single" w:color="auto" w:sz="4" w:space="0"/>
              <w:right w:val="single" w:color="auto" w:sz="4" w:space="0"/>
            </w:tcBorders>
            <w:noWrap w:val="0"/>
            <w:vAlign w:val="center"/>
          </w:tcPr>
          <w:p w14:paraId="347A6500">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233" w:type="pct"/>
            <w:tcBorders>
              <w:top w:val="nil"/>
              <w:left w:val="nil"/>
              <w:bottom w:val="single" w:color="auto" w:sz="4" w:space="0"/>
              <w:right w:val="single" w:color="auto" w:sz="4" w:space="0"/>
            </w:tcBorders>
            <w:noWrap w:val="0"/>
            <w:vAlign w:val="center"/>
          </w:tcPr>
          <w:p w14:paraId="76624179">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02" w:type="pct"/>
            <w:gridSpan w:val="2"/>
            <w:tcBorders>
              <w:top w:val="nil"/>
              <w:left w:val="nil"/>
              <w:bottom w:val="single" w:color="auto" w:sz="4" w:space="0"/>
              <w:right w:val="single" w:color="auto" w:sz="4" w:space="0"/>
            </w:tcBorders>
            <w:noWrap w:val="0"/>
            <w:vAlign w:val="center"/>
          </w:tcPr>
          <w:p w14:paraId="6D266F69">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每次扣1分</w:t>
            </w:r>
          </w:p>
        </w:tc>
      </w:tr>
      <w:tr w14:paraId="05E3D519">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579" w:hRule="atLeast"/>
          <w:jc w:val="center"/>
        </w:trPr>
        <w:tc>
          <w:tcPr>
            <w:tcW w:w="250" w:type="pct"/>
            <w:vMerge w:val="continue"/>
            <w:tcBorders>
              <w:left w:val="single" w:color="auto" w:sz="4" w:space="0"/>
              <w:right w:val="single" w:color="auto" w:sz="4" w:space="0"/>
            </w:tcBorders>
            <w:noWrap w:val="0"/>
            <w:vAlign w:val="center"/>
          </w:tcPr>
          <w:p w14:paraId="7C6D7112">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232" w:type="pct"/>
            <w:tcBorders>
              <w:top w:val="nil"/>
              <w:left w:val="nil"/>
              <w:bottom w:val="single" w:color="auto" w:sz="4" w:space="0"/>
              <w:right w:val="single" w:color="auto" w:sz="4" w:space="0"/>
            </w:tcBorders>
            <w:noWrap w:val="0"/>
            <w:vAlign w:val="center"/>
          </w:tcPr>
          <w:p w14:paraId="0C37D359">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13</w:t>
            </w:r>
          </w:p>
        </w:tc>
        <w:tc>
          <w:tcPr>
            <w:tcW w:w="2345" w:type="pct"/>
            <w:gridSpan w:val="2"/>
            <w:tcBorders>
              <w:top w:val="nil"/>
              <w:left w:val="nil"/>
              <w:bottom w:val="single" w:color="auto" w:sz="4" w:space="0"/>
              <w:right w:val="single" w:color="auto" w:sz="4" w:space="0"/>
            </w:tcBorders>
            <w:noWrap w:val="0"/>
            <w:vAlign w:val="center"/>
          </w:tcPr>
          <w:p w14:paraId="7BDD4A53">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运输费对账资料和发票未按时提交，数据存在反复修改</w:t>
            </w:r>
          </w:p>
        </w:tc>
        <w:tc>
          <w:tcPr>
            <w:tcW w:w="551" w:type="pct"/>
            <w:tcBorders>
              <w:top w:val="nil"/>
              <w:left w:val="nil"/>
              <w:bottom w:val="single" w:color="auto" w:sz="4" w:space="0"/>
              <w:right w:val="single" w:color="auto" w:sz="4" w:space="0"/>
            </w:tcBorders>
            <w:noWrap w:val="0"/>
            <w:vAlign w:val="center"/>
          </w:tcPr>
          <w:p w14:paraId="5979F23B">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tc>
        <w:tc>
          <w:tcPr>
            <w:tcW w:w="285" w:type="pct"/>
            <w:tcBorders>
              <w:top w:val="nil"/>
              <w:left w:val="nil"/>
              <w:bottom w:val="single" w:color="auto" w:sz="4" w:space="0"/>
              <w:right w:val="single" w:color="auto" w:sz="4" w:space="0"/>
            </w:tcBorders>
            <w:noWrap w:val="0"/>
            <w:vAlign w:val="center"/>
          </w:tcPr>
          <w:p w14:paraId="267CBE92">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2</w:t>
            </w:r>
          </w:p>
        </w:tc>
        <w:tc>
          <w:tcPr>
            <w:tcW w:w="233" w:type="pct"/>
            <w:tcBorders>
              <w:top w:val="nil"/>
              <w:left w:val="nil"/>
              <w:bottom w:val="single" w:color="auto" w:sz="4" w:space="0"/>
              <w:right w:val="single" w:color="auto" w:sz="4" w:space="0"/>
            </w:tcBorders>
            <w:noWrap w:val="0"/>
            <w:vAlign w:val="center"/>
          </w:tcPr>
          <w:p w14:paraId="2ADCE958">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102" w:type="pct"/>
            <w:gridSpan w:val="2"/>
            <w:tcBorders>
              <w:top w:val="nil"/>
              <w:left w:val="nil"/>
              <w:bottom w:val="single" w:color="auto" w:sz="4" w:space="0"/>
              <w:right w:val="single" w:color="auto" w:sz="4" w:space="0"/>
            </w:tcBorders>
            <w:noWrap w:val="0"/>
            <w:vAlign w:val="center"/>
          </w:tcPr>
          <w:p w14:paraId="0C1256A1">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延迟提交一次扣0.2分；反复修改扣0.5分</w:t>
            </w:r>
          </w:p>
        </w:tc>
      </w:tr>
      <w:tr w14:paraId="5FE680F3">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486" w:hRule="atLeast"/>
          <w:jc w:val="center"/>
        </w:trPr>
        <w:tc>
          <w:tcPr>
            <w:tcW w:w="250" w:type="pct"/>
            <w:vMerge w:val="continue"/>
            <w:tcBorders>
              <w:left w:val="single" w:color="auto" w:sz="4" w:space="0"/>
              <w:right w:val="single" w:color="auto" w:sz="4" w:space="0"/>
            </w:tcBorders>
            <w:noWrap w:val="0"/>
            <w:vAlign w:val="center"/>
          </w:tcPr>
          <w:p w14:paraId="0ACD1635">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232" w:type="pct"/>
            <w:tcBorders>
              <w:top w:val="nil"/>
              <w:left w:val="nil"/>
              <w:bottom w:val="single" w:color="auto" w:sz="4" w:space="0"/>
              <w:right w:val="single" w:color="auto" w:sz="4" w:space="0"/>
            </w:tcBorders>
            <w:noWrap w:val="0"/>
            <w:vAlign w:val="center"/>
          </w:tcPr>
          <w:p w14:paraId="223FBF54">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14</w:t>
            </w:r>
          </w:p>
        </w:tc>
        <w:tc>
          <w:tcPr>
            <w:tcW w:w="2345" w:type="pct"/>
            <w:gridSpan w:val="2"/>
            <w:tcBorders>
              <w:top w:val="nil"/>
              <w:left w:val="nil"/>
              <w:bottom w:val="single" w:color="auto" w:sz="4" w:space="0"/>
              <w:right w:val="single" w:color="auto" w:sz="4" w:space="0"/>
            </w:tcBorders>
            <w:noWrap w:val="0"/>
            <w:vAlign w:val="center"/>
          </w:tcPr>
          <w:p w14:paraId="34C0A366">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整改报告未按时提交，整改措施不合理且无效</w:t>
            </w:r>
          </w:p>
        </w:tc>
        <w:tc>
          <w:tcPr>
            <w:tcW w:w="551" w:type="pct"/>
            <w:tcBorders>
              <w:top w:val="nil"/>
              <w:left w:val="nil"/>
              <w:bottom w:val="single" w:color="auto" w:sz="4" w:space="0"/>
              <w:right w:val="single" w:color="auto" w:sz="4" w:space="0"/>
            </w:tcBorders>
            <w:noWrap w:val="0"/>
            <w:vAlign w:val="center"/>
          </w:tcPr>
          <w:p w14:paraId="4368BEFB">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eastAsia="zh-CN"/>
              </w:rPr>
            </w:pPr>
            <w:r>
              <w:rPr>
                <w:rFonts w:hint="eastAsia" w:ascii="宋体" w:hAnsi="宋体" w:eastAsia="宋体" w:cs="宋体"/>
                <w:color w:val="auto"/>
                <w:sz w:val="18"/>
                <w:szCs w:val="18"/>
                <w:highlight w:val="none"/>
                <w:lang w:val="en-US" w:eastAsia="zh-CN"/>
              </w:rPr>
              <w:t>市场中心</w:t>
            </w:r>
          </w:p>
        </w:tc>
        <w:tc>
          <w:tcPr>
            <w:tcW w:w="285" w:type="pct"/>
            <w:tcBorders>
              <w:top w:val="nil"/>
              <w:left w:val="nil"/>
              <w:bottom w:val="single" w:color="auto" w:sz="4" w:space="0"/>
              <w:right w:val="single" w:color="auto" w:sz="4" w:space="0"/>
            </w:tcBorders>
            <w:noWrap w:val="0"/>
            <w:vAlign w:val="center"/>
          </w:tcPr>
          <w:p w14:paraId="38846479">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3</w:t>
            </w:r>
          </w:p>
        </w:tc>
        <w:tc>
          <w:tcPr>
            <w:tcW w:w="233" w:type="pct"/>
            <w:tcBorders>
              <w:top w:val="nil"/>
              <w:left w:val="nil"/>
              <w:bottom w:val="single" w:color="auto" w:sz="4" w:space="0"/>
              <w:right w:val="single" w:color="auto" w:sz="4" w:space="0"/>
            </w:tcBorders>
            <w:noWrap w:val="0"/>
            <w:vAlign w:val="center"/>
          </w:tcPr>
          <w:p w14:paraId="34911BC7">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102" w:type="pct"/>
            <w:gridSpan w:val="2"/>
            <w:tcBorders>
              <w:top w:val="nil"/>
              <w:left w:val="nil"/>
              <w:bottom w:val="single" w:color="auto" w:sz="4" w:space="0"/>
              <w:right w:val="single" w:color="auto" w:sz="4" w:space="0"/>
            </w:tcBorders>
            <w:noWrap w:val="0"/>
            <w:vAlign w:val="center"/>
          </w:tcPr>
          <w:p w14:paraId="561075DE">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不符合一次扣0.5分</w:t>
            </w:r>
          </w:p>
        </w:tc>
      </w:tr>
      <w:tr w14:paraId="4DE21DDB">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397" w:hRule="exact"/>
          <w:jc w:val="center"/>
        </w:trPr>
        <w:tc>
          <w:tcPr>
            <w:tcW w:w="3378" w:type="pct"/>
            <w:gridSpan w:val="5"/>
            <w:tcBorders>
              <w:top w:val="single" w:color="auto" w:sz="4" w:space="0"/>
              <w:left w:val="single" w:color="auto" w:sz="4" w:space="0"/>
              <w:bottom w:val="single" w:color="auto" w:sz="4" w:space="0"/>
              <w:right w:val="nil"/>
            </w:tcBorders>
            <w:noWrap w:val="0"/>
            <w:vAlign w:val="center"/>
          </w:tcPr>
          <w:p w14:paraId="5CE52D42">
            <w:pPr>
              <w:overflowPunct/>
              <w:autoSpaceDE/>
              <w:autoSpaceDN/>
              <w:adjustRightInd/>
              <w:spacing w:line="320" w:lineRule="exact"/>
              <w:jc w:val="center"/>
              <w:textAlignment w:val="auto"/>
              <w:rPr>
                <w:rFonts w:ascii="宋体" w:hAnsi="宋体" w:eastAsia="宋体" w:cs="宋体"/>
                <w:b/>
                <w:color w:val="auto"/>
                <w:sz w:val="18"/>
                <w:szCs w:val="18"/>
                <w:highlight w:val="none"/>
                <w:lang w:val="en-US"/>
              </w:rPr>
            </w:pPr>
            <w:r>
              <w:rPr>
                <w:rFonts w:hint="eastAsia" w:ascii="宋体" w:hAnsi="宋体" w:eastAsia="宋体" w:cs="宋体"/>
                <w:b/>
                <w:color w:val="auto"/>
                <w:sz w:val="18"/>
                <w:szCs w:val="18"/>
                <w:highlight w:val="none"/>
                <w:lang w:val="en-US"/>
              </w:rPr>
              <w:t>合计</w:t>
            </w:r>
          </w:p>
        </w:tc>
        <w:tc>
          <w:tcPr>
            <w:tcW w:w="285" w:type="pct"/>
            <w:tcBorders>
              <w:top w:val="nil"/>
              <w:left w:val="single" w:color="auto" w:sz="4" w:space="0"/>
              <w:bottom w:val="single" w:color="auto" w:sz="4" w:space="0"/>
              <w:right w:val="single" w:color="auto" w:sz="4" w:space="0"/>
            </w:tcBorders>
            <w:noWrap w:val="0"/>
            <w:vAlign w:val="center"/>
          </w:tcPr>
          <w:p w14:paraId="7DCACF0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100</w:t>
            </w:r>
          </w:p>
        </w:tc>
        <w:tc>
          <w:tcPr>
            <w:tcW w:w="233" w:type="pct"/>
            <w:tcBorders>
              <w:top w:val="nil"/>
              <w:left w:val="nil"/>
              <w:bottom w:val="single" w:color="auto" w:sz="4" w:space="0"/>
              <w:right w:val="single" w:color="auto" w:sz="4" w:space="0"/>
            </w:tcBorders>
            <w:noWrap w:val="0"/>
            <w:vAlign w:val="center"/>
          </w:tcPr>
          <w:p w14:paraId="4ACEE50E">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02" w:type="pct"/>
            <w:gridSpan w:val="2"/>
            <w:tcBorders>
              <w:top w:val="nil"/>
              <w:left w:val="nil"/>
              <w:bottom w:val="single" w:color="auto" w:sz="4" w:space="0"/>
              <w:right w:val="single" w:color="auto" w:sz="4" w:space="0"/>
            </w:tcBorders>
            <w:noWrap w:val="0"/>
            <w:vAlign w:val="center"/>
          </w:tcPr>
          <w:p w14:paraId="359FF7CC">
            <w:pPr>
              <w:overflowPunct/>
              <w:autoSpaceDE/>
              <w:autoSpaceDN/>
              <w:adjustRightInd/>
              <w:spacing w:line="320" w:lineRule="exact"/>
              <w:textAlignment w:val="auto"/>
              <w:rPr>
                <w:rFonts w:ascii="宋体" w:hAnsi="宋体" w:eastAsia="宋体" w:cs="宋体"/>
                <w:color w:val="auto"/>
                <w:sz w:val="18"/>
                <w:szCs w:val="18"/>
                <w:highlight w:val="none"/>
                <w:lang w:val="en-US"/>
              </w:rPr>
            </w:pPr>
          </w:p>
        </w:tc>
      </w:tr>
    </w:tbl>
    <w:p w14:paraId="43595241">
      <w:pPr>
        <w:tabs>
          <w:tab w:val="left" w:pos="8090"/>
        </w:tabs>
        <w:rPr>
          <w:rFonts w:hint="eastAsia" w:ascii="宋体" w:hAnsi="宋体" w:eastAsia="宋体"/>
          <w:color w:val="auto"/>
          <w:sz w:val="21"/>
          <w:szCs w:val="21"/>
          <w:highlight w:val="none"/>
          <w:lang w:val="en-US" w:eastAsia="zh-CN"/>
        </w:rPr>
      </w:pPr>
    </w:p>
    <w:p w14:paraId="74E2DFE9">
      <w:pPr>
        <w:tabs>
          <w:tab w:val="left" w:pos="8090"/>
        </w:tabs>
        <w:rPr>
          <w:rFonts w:hint="eastAsia" w:ascii="宋体" w:hAnsi="宋体" w:eastAsia="宋体"/>
          <w:color w:val="auto"/>
          <w:sz w:val="21"/>
          <w:szCs w:val="21"/>
          <w:highlight w:val="none"/>
          <w:lang w:val="en-US"/>
        </w:rPr>
      </w:pPr>
      <w:r>
        <w:rPr>
          <w:rFonts w:hint="eastAsia" w:ascii="宋体" w:hAnsi="宋体" w:eastAsia="宋体"/>
          <w:color w:val="auto"/>
          <w:sz w:val="21"/>
          <w:szCs w:val="21"/>
          <w:highlight w:val="none"/>
          <w:lang w:val="en-US" w:eastAsia="zh-CN"/>
        </w:rPr>
        <w:t>市场中心</w:t>
      </w:r>
      <w:r>
        <w:rPr>
          <w:rFonts w:hint="eastAsia" w:ascii="宋体" w:hAnsi="宋体" w:eastAsia="宋体"/>
          <w:color w:val="auto"/>
          <w:sz w:val="21"/>
          <w:szCs w:val="21"/>
          <w:highlight w:val="none"/>
          <w:lang w:val="en-US"/>
        </w:rPr>
        <w:t>签字：</w:t>
      </w:r>
    </w:p>
    <w:p w14:paraId="62C02076">
      <w:pPr>
        <w:tabs>
          <w:tab w:val="left" w:pos="8090"/>
        </w:tabs>
        <w:outlineLvl w:val="9"/>
        <w:rPr>
          <w:rFonts w:ascii="宋体" w:hAnsi="宋体" w:eastAsia="宋体"/>
          <w:color w:val="auto"/>
          <w:sz w:val="21"/>
          <w:szCs w:val="21"/>
          <w:highlight w:val="none"/>
          <w:lang w:val="en-US"/>
        </w:rPr>
      </w:pPr>
    </w:p>
    <w:p w14:paraId="49346708">
      <w:pPr>
        <w:rPr>
          <w:rFonts w:ascii="宋体" w:hAnsi="宋体" w:eastAsia="宋体"/>
          <w:color w:val="auto"/>
          <w:sz w:val="21"/>
          <w:szCs w:val="21"/>
          <w:highlight w:val="none"/>
          <w:lang w:val="en-US"/>
        </w:rPr>
      </w:pPr>
      <w:bookmarkStart w:id="362" w:name="_Toc5255"/>
      <w:bookmarkStart w:id="363" w:name="_Toc13230"/>
      <w:bookmarkStart w:id="364" w:name="_Toc11121"/>
      <w:bookmarkStart w:id="365" w:name="_Toc29622"/>
      <w:bookmarkStart w:id="366" w:name="_Toc29489"/>
      <w:bookmarkStart w:id="367" w:name="_Toc26460"/>
      <w:bookmarkStart w:id="368" w:name="_Toc28414"/>
      <w:bookmarkStart w:id="369" w:name="_Toc1338"/>
      <w:bookmarkStart w:id="370" w:name="_Toc5268"/>
      <w:bookmarkStart w:id="371" w:name="_Toc31500"/>
      <w:bookmarkStart w:id="372" w:name="_Toc25183"/>
      <w:bookmarkStart w:id="373" w:name="_Toc18299"/>
      <w:bookmarkStart w:id="374" w:name="_Toc3746"/>
      <w:r>
        <w:rPr>
          <w:rFonts w:ascii="宋体" w:hAnsi="宋体" w:eastAsia="宋体"/>
          <w:color w:val="auto"/>
          <w:sz w:val="21"/>
          <w:szCs w:val="21"/>
          <w:highlight w:val="none"/>
          <w:lang w:val="en-US"/>
        </w:rPr>
        <w:br w:type="page"/>
      </w:r>
    </w:p>
    <w:p w14:paraId="22C1DAF9">
      <w:pPr>
        <w:spacing w:line="240" w:lineRule="auto"/>
        <w:jc w:val="left"/>
        <w:outlineLvl w:val="9"/>
        <w:rPr>
          <w:rFonts w:hint="default" w:ascii="黑体" w:eastAsia="黑体"/>
          <w:color w:val="auto"/>
          <w:sz w:val="28"/>
          <w:szCs w:val="28"/>
          <w:highlight w:val="none"/>
          <w:lang w:val="en-US"/>
        </w:rPr>
      </w:pPr>
      <w:r>
        <w:rPr>
          <w:rFonts w:hint="eastAsia" w:ascii="宋体" w:hAnsi="宋体"/>
          <w:b/>
          <w:color w:val="auto"/>
          <w:sz w:val="21"/>
          <w:szCs w:val="21"/>
          <w:highlight w:val="none"/>
          <w:lang w:val="en-US" w:eastAsia="zh-CN"/>
        </w:rPr>
        <w:t>合同</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7</w:t>
      </w:r>
      <w:r>
        <w:rPr>
          <w:rFonts w:ascii="Times New Roman" w:hAnsi="Times New Roman" w:cs="Times New Roman"/>
          <w:b/>
          <w:color w:val="auto"/>
          <w:szCs w:val="21"/>
          <w:highlight w:val="none"/>
        </w:rPr>
        <w:t>《</w:t>
      </w:r>
      <w:r>
        <w:rPr>
          <w:rFonts w:hint="eastAsia" w:cs="Times New Roman"/>
          <w:b/>
          <w:color w:val="auto"/>
          <w:szCs w:val="21"/>
          <w:highlight w:val="none"/>
          <w:lang w:val="en-US" w:eastAsia="zh-CN"/>
        </w:rPr>
        <w:t>运输单位搬运费分级标准》</w:t>
      </w:r>
      <w:bookmarkEnd w:id="362"/>
      <w:bookmarkEnd w:id="363"/>
      <w:bookmarkEnd w:id="364"/>
      <w:bookmarkEnd w:id="365"/>
      <w:bookmarkEnd w:id="366"/>
      <w:bookmarkEnd w:id="367"/>
      <w:bookmarkEnd w:id="368"/>
      <w:bookmarkEnd w:id="369"/>
      <w:bookmarkEnd w:id="370"/>
      <w:bookmarkEnd w:id="371"/>
      <w:bookmarkEnd w:id="372"/>
      <w:bookmarkEnd w:id="373"/>
      <w:bookmarkEnd w:id="374"/>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58"/>
        <w:gridCol w:w="6238"/>
        <w:gridCol w:w="1326"/>
      </w:tblGrid>
      <w:tr w14:paraId="151945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2" w:type="pct"/>
          </w:tcPr>
          <w:p w14:paraId="6D9BD99D">
            <w:pPr>
              <w:spacing w:line="240" w:lineRule="auto"/>
              <w:jc w:val="center"/>
              <w:rPr>
                <w:rFonts w:hint="eastAsia" w:ascii="宋体" w:hAnsi="宋体" w:eastAsia="宋体" w:cs="宋体"/>
                <w:b/>
                <w:color w:val="auto"/>
                <w:sz w:val="21"/>
                <w:szCs w:val="21"/>
                <w:highlight w:val="none"/>
                <w:lang w:eastAsia="zh-CN"/>
              </w:rPr>
            </w:pPr>
            <w:bookmarkStart w:id="375" w:name="_Toc2880"/>
            <w:bookmarkStart w:id="376" w:name="_Toc22240"/>
            <w:bookmarkStart w:id="377" w:name="_Toc9882"/>
            <w:bookmarkStart w:id="378" w:name="_Toc13191"/>
            <w:bookmarkStart w:id="379" w:name="_Toc24341"/>
            <w:bookmarkStart w:id="380" w:name="_Toc10383"/>
            <w:bookmarkStart w:id="381" w:name="_Toc25687"/>
            <w:bookmarkStart w:id="382" w:name="_Toc3829"/>
            <w:bookmarkStart w:id="383" w:name="_Toc12783"/>
            <w:bookmarkStart w:id="384" w:name="_Toc23239"/>
            <w:bookmarkStart w:id="385" w:name="_Toc8404"/>
            <w:r>
              <w:rPr>
                <w:rFonts w:hint="eastAsia" w:ascii="宋体" w:hAnsi="宋体" w:eastAsia="宋体" w:cs="宋体"/>
                <w:b/>
                <w:color w:val="auto"/>
                <w:sz w:val="21"/>
                <w:szCs w:val="21"/>
                <w:highlight w:val="none"/>
                <w:lang w:val="en-US" w:eastAsia="zh-CN"/>
              </w:rPr>
              <w:t>类别</w:t>
            </w:r>
          </w:p>
        </w:tc>
        <w:tc>
          <w:tcPr>
            <w:tcW w:w="3659" w:type="pct"/>
          </w:tcPr>
          <w:p w14:paraId="0EF856B2">
            <w:pPr>
              <w:spacing w:line="240" w:lineRule="auto"/>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标准</w:t>
            </w:r>
          </w:p>
        </w:tc>
        <w:tc>
          <w:tcPr>
            <w:tcW w:w="777" w:type="pct"/>
          </w:tcPr>
          <w:p w14:paraId="6822AB7A">
            <w:pPr>
              <w:spacing w:line="240" w:lineRule="auto"/>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lang w:val="en-US" w:eastAsia="zh-CN"/>
              </w:rPr>
              <w:t>打包费</w:t>
            </w:r>
          </w:p>
        </w:tc>
      </w:tr>
      <w:tr w14:paraId="7D48CC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2" w:type="pct"/>
          </w:tcPr>
          <w:p w14:paraId="0E039D8A">
            <w:pPr>
              <w:tabs>
                <w:tab w:val="left" w:pos="358"/>
              </w:tabs>
              <w:spacing w:line="240" w:lineRule="auto"/>
              <w:jc w:val="center"/>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正常</w:t>
            </w:r>
          </w:p>
          <w:p w14:paraId="559D51FD">
            <w:pPr>
              <w:tabs>
                <w:tab w:val="left" w:pos="358"/>
              </w:tabs>
              <w:spacing w:line="240" w:lineRule="auto"/>
              <w:jc w:val="center"/>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服务</w:t>
            </w:r>
          </w:p>
        </w:tc>
        <w:tc>
          <w:tcPr>
            <w:tcW w:w="3659" w:type="pct"/>
          </w:tcPr>
          <w:p w14:paraId="7BC44974">
            <w:pPr>
              <w:spacing w:line="240" w:lineRule="auto"/>
              <w:jc w:val="left"/>
              <w:rPr>
                <w:rFonts w:hint="eastAsia" w:ascii="宋体" w:hAnsi="宋体" w:eastAsia="宋体" w:cs="宋体"/>
                <w:bCs/>
                <w:color w:val="auto"/>
                <w:sz w:val="21"/>
                <w:szCs w:val="21"/>
                <w:highlight w:val="none"/>
                <w:lang w:val="en-US" w:eastAsia="zh-CN"/>
              </w:rPr>
            </w:pPr>
            <w:r>
              <w:rPr>
                <w:rFonts w:hint="eastAsia" w:ascii="宋体" w:hAnsi="宋体" w:eastAsia="宋体" w:cs="宋体"/>
                <w:color w:val="auto"/>
                <w:sz w:val="21"/>
                <w:szCs w:val="21"/>
                <w:highlight w:val="none"/>
                <w:lang w:val="en-US" w:eastAsia="zh-CN"/>
              </w:rPr>
              <w:t>收运现场废物已码好卡板，</w:t>
            </w:r>
            <w:r>
              <w:rPr>
                <w:rFonts w:hint="eastAsia" w:ascii="宋体" w:hAnsi="宋体" w:eastAsia="宋体" w:cs="宋体"/>
                <w:bCs/>
                <w:color w:val="auto"/>
                <w:sz w:val="21"/>
                <w:szCs w:val="21"/>
                <w:highlight w:val="none"/>
              </w:rPr>
              <w:t>仅</w:t>
            </w:r>
            <w:r>
              <w:rPr>
                <w:rFonts w:hint="eastAsia" w:ascii="宋体" w:hAnsi="宋体" w:eastAsia="宋体" w:cs="宋体"/>
                <w:bCs/>
                <w:color w:val="auto"/>
                <w:sz w:val="21"/>
                <w:szCs w:val="21"/>
                <w:highlight w:val="none"/>
                <w:lang w:val="en-US" w:eastAsia="zh-CN"/>
              </w:rPr>
              <w:t>需要缠膜固定（采购人提供拉伸膜）和</w:t>
            </w:r>
            <w:r>
              <w:rPr>
                <w:rFonts w:hint="eastAsia" w:ascii="宋体" w:hAnsi="宋体" w:eastAsia="宋体" w:cs="宋体"/>
                <w:bCs/>
                <w:color w:val="auto"/>
                <w:sz w:val="21"/>
                <w:szCs w:val="21"/>
                <w:highlight w:val="none"/>
              </w:rPr>
              <w:t>使用手叉车上车，</w:t>
            </w:r>
            <w:r>
              <w:rPr>
                <w:rFonts w:hint="eastAsia" w:ascii="宋体" w:hAnsi="宋体" w:eastAsia="宋体" w:cs="宋体"/>
                <w:bCs/>
                <w:color w:val="auto"/>
                <w:sz w:val="21"/>
                <w:szCs w:val="21"/>
                <w:highlight w:val="none"/>
                <w:lang w:val="en-US" w:eastAsia="zh-CN"/>
              </w:rPr>
              <w:t>或者机动叉车装货时需要运输人员协助挂耳操作，属于正常服务，不额外支付装卸服务费。</w:t>
            </w:r>
          </w:p>
        </w:tc>
        <w:tc>
          <w:tcPr>
            <w:tcW w:w="777" w:type="pct"/>
            <w:vAlign w:val="center"/>
          </w:tcPr>
          <w:p w14:paraId="2255FFC7">
            <w:pPr>
              <w:spacing w:line="240" w:lineRule="auto"/>
              <w:jc w:val="center"/>
              <w:rPr>
                <w:rFonts w:hint="eastAsia" w:ascii="宋体" w:hAnsi="宋体" w:eastAsia="宋体" w:cs="宋体"/>
                <w:bCs/>
                <w:color w:val="auto"/>
                <w:sz w:val="21"/>
                <w:szCs w:val="21"/>
                <w:highlight w:val="none"/>
                <w:lang w:val="en-US" w:eastAsia="zh-CN"/>
              </w:rPr>
            </w:pPr>
            <w:r>
              <w:rPr>
                <w:rFonts w:hint="eastAsia" w:ascii="宋体" w:hAnsi="宋体" w:eastAsia="宋体" w:cs="宋体"/>
                <w:bCs/>
                <w:color w:val="auto"/>
                <w:sz w:val="21"/>
                <w:szCs w:val="21"/>
                <w:highlight w:val="none"/>
                <w:lang w:val="en-US" w:eastAsia="zh-CN"/>
              </w:rPr>
              <w:t>0元</w:t>
            </w:r>
          </w:p>
        </w:tc>
      </w:tr>
      <w:tr w14:paraId="41AA31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2" w:type="pct"/>
            <w:vAlign w:val="center"/>
          </w:tcPr>
          <w:p w14:paraId="131F98AA">
            <w:pPr>
              <w:spacing w:line="240" w:lineRule="auto"/>
              <w:jc w:val="center"/>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属于</w:t>
            </w:r>
          </w:p>
          <w:p w14:paraId="44FBD006">
            <w:pPr>
              <w:spacing w:line="240" w:lineRule="auto"/>
              <w:jc w:val="center"/>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搬运</w:t>
            </w:r>
          </w:p>
          <w:p w14:paraId="64BB04F4">
            <w:pPr>
              <w:spacing w:line="240" w:lineRule="auto"/>
              <w:jc w:val="center"/>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打包</w:t>
            </w:r>
          </w:p>
          <w:p w14:paraId="4EFA4F45">
            <w:pPr>
              <w:spacing w:line="240" w:lineRule="auto"/>
              <w:jc w:val="center"/>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服务</w:t>
            </w:r>
          </w:p>
          <w:p w14:paraId="432275B1">
            <w:pPr>
              <w:spacing w:line="240" w:lineRule="auto"/>
              <w:jc w:val="center"/>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的</w:t>
            </w:r>
          </w:p>
          <w:p w14:paraId="10E4EACA">
            <w:pPr>
              <w:spacing w:line="240" w:lineRule="auto"/>
              <w:jc w:val="center"/>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类型</w:t>
            </w:r>
          </w:p>
        </w:tc>
        <w:tc>
          <w:tcPr>
            <w:tcW w:w="3659" w:type="pct"/>
          </w:tcPr>
          <w:p w14:paraId="3910135C">
            <w:pPr>
              <w:numPr>
                <w:ilvl w:val="0"/>
                <w:numId w:val="9"/>
              </w:num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bCs/>
                <w:color w:val="auto"/>
                <w:sz w:val="21"/>
                <w:szCs w:val="21"/>
                <w:highlight w:val="none"/>
                <w:lang w:val="en-US" w:eastAsia="zh-CN"/>
              </w:rPr>
              <w:t>客户</w:t>
            </w:r>
            <w:r>
              <w:rPr>
                <w:rFonts w:hint="eastAsia" w:ascii="宋体" w:hAnsi="宋体" w:eastAsia="宋体" w:cs="宋体"/>
                <w:color w:val="auto"/>
                <w:sz w:val="21"/>
                <w:szCs w:val="21"/>
                <w:highlight w:val="none"/>
              </w:rPr>
              <w:t>废物码放不规范，需运输人员重新拆包并重新码板打包的。</w:t>
            </w:r>
          </w:p>
          <w:p w14:paraId="40B835BC">
            <w:pPr>
              <w:numPr>
                <w:ilvl w:val="0"/>
                <w:numId w:val="9"/>
              </w:num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桶装液体类废物，客户未提前码板，需运输人员搬上卡板的</w:t>
            </w:r>
            <w:r>
              <w:rPr>
                <w:rFonts w:hint="eastAsia" w:ascii="宋体" w:hAnsi="宋体" w:eastAsia="宋体" w:cs="宋体"/>
                <w:color w:val="auto"/>
                <w:sz w:val="21"/>
                <w:szCs w:val="21"/>
                <w:highlight w:val="none"/>
                <w:lang w:eastAsia="zh-CN"/>
              </w:rPr>
              <w:t>。</w:t>
            </w:r>
          </w:p>
          <w:p w14:paraId="60F6A5AD">
            <w:pPr>
              <w:numPr>
                <w:ilvl w:val="0"/>
                <w:numId w:val="9"/>
              </w:num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小袋装的固体废物，</w:t>
            </w:r>
            <w:r>
              <w:rPr>
                <w:rFonts w:hint="eastAsia" w:ascii="宋体" w:hAnsi="宋体" w:eastAsia="宋体" w:cs="宋体"/>
                <w:color w:val="auto"/>
                <w:sz w:val="21"/>
                <w:szCs w:val="21"/>
                <w:highlight w:val="none"/>
              </w:rPr>
              <w:t>客户未提前码板，需运输人员搬上卡板的</w:t>
            </w:r>
            <w:r>
              <w:rPr>
                <w:rFonts w:hint="eastAsia" w:ascii="宋体" w:hAnsi="宋体" w:eastAsia="宋体" w:cs="宋体"/>
                <w:color w:val="auto"/>
                <w:sz w:val="21"/>
                <w:szCs w:val="21"/>
                <w:highlight w:val="none"/>
                <w:lang w:eastAsia="zh-CN"/>
              </w:rPr>
              <w:t>。</w:t>
            </w:r>
          </w:p>
          <w:p w14:paraId="299FBB43">
            <w:pPr>
              <w:numPr>
                <w:ilvl w:val="0"/>
                <w:numId w:val="9"/>
              </w:num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散装的粉末状或污泥状固体废物，客户未提前装桶或装吨袋的，需要运输人员装桶或者装袋的。</w:t>
            </w:r>
          </w:p>
          <w:p w14:paraId="0D940C22">
            <w:pPr>
              <w:numPr>
                <w:ilvl w:val="0"/>
                <w:numId w:val="9"/>
              </w:num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装货现场条件限制，无法使用</w:t>
            </w:r>
            <w:r>
              <w:rPr>
                <w:rFonts w:hint="eastAsia" w:ascii="宋体" w:hAnsi="宋体" w:eastAsia="宋体" w:cs="宋体"/>
                <w:color w:val="auto"/>
                <w:sz w:val="21"/>
                <w:szCs w:val="21"/>
                <w:highlight w:val="none"/>
              </w:rPr>
              <w:t>手动叉车</w:t>
            </w:r>
            <w:r>
              <w:rPr>
                <w:rFonts w:hint="eastAsia" w:ascii="宋体" w:hAnsi="宋体" w:eastAsia="宋体" w:cs="宋体"/>
                <w:color w:val="auto"/>
                <w:sz w:val="21"/>
                <w:szCs w:val="21"/>
                <w:highlight w:val="none"/>
                <w:lang w:val="en-US" w:eastAsia="zh-CN"/>
              </w:rPr>
              <w:t>装货（例如台阶，无电梯的楼层），需要人工搬动转移货物的。</w:t>
            </w:r>
          </w:p>
          <w:p w14:paraId="75FC2BCC">
            <w:pPr>
              <w:numPr>
                <w:ilvl w:val="0"/>
                <w:numId w:val="0"/>
              </w:num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6、现场抽取废液的操作环境十分不便，需要人工反复上下或者管线超长</w:t>
            </w:r>
          </w:p>
        </w:tc>
        <w:tc>
          <w:tcPr>
            <w:tcW w:w="777" w:type="pct"/>
            <w:vAlign w:val="center"/>
          </w:tcPr>
          <w:p w14:paraId="7A30AE40">
            <w:pPr>
              <w:spacing w:line="240" w:lineRule="auto"/>
              <w:jc w:val="center"/>
              <w:rPr>
                <w:rFonts w:hint="eastAsia" w:ascii="宋体" w:hAnsi="宋体" w:eastAsia="宋体" w:cs="宋体"/>
                <w:bCs/>
                <w:color w:val="auto"/>
                <w:sz w:val="21"/>
                <w:szCs w:val="21"/>
                <w:highlight w:val="none"/>
                <w:lang w:val="en-US" w:eastAsia="zh-CN"/>
              </w:rPr>
            </w:pPr>
            <w:r>
              <w:rPr>
                <w:rFonts w:hint="eastAsia" w:ascii="宋体" w:hAnsi="宋体" w:eastAsia="宋体" w:cs="宋体"/>
                <w:bCs/>
                <w:color w:val="auto"/>
                <w:sz w:val="21"/>
                <w:szCs w:val="21"/>
                <w:highlight w:val="none"/>
                <w:lang w:val="en-US" w:eastAsia="zh-CN"/>
              </w:rPr>
              <w:t>按本表的</w:t>
            </w:r>
          </w:p>
          <w:p w14:paraId="38C3914E">
            <w:pPr>
              <w:spacing w:line="240" w:lineRule="auto"/>
              <w:jc w:val="center"/>
              <w:rPr>
                <w:rFonts w:hint="eastAsia" w:ascii="宋体" w:hAnsi="宋体" w:eastAsia="宋体" w:cs="宋体"/>
                <w:bCs/>
                <w:color w:val="auto"/>
                <w:sz w:val="21"/>
                <w:szCs w:val="21"/>
                <w:highlight w:val="none"/>
                <w:lang w:val="en-US" w:eastAsia="zh-CN"/>
              </w:rPr>
            </w:pPr>
            <w:r>
              <w:rPr>
                <w:rFonts w:hint="eastAsia" w:ascii="宋体" w:hAnsi="宋体" w:eastAsia="宋体" w:cs="宋体"/>
                <w:bCs/>
                <w:color w:val="auto"/>
                <w:sz w:val="21"/>
                <w:szCs w:val="21"/>
                <w:highlight w:val="none"/>
                <w:lang w:val="en-US" w:eastAsia="zh-CN"/>
              </w:rPr>
              <w:t>标准付费</w:t>
            </w:r>
          </w:p>
        </w:tc>
      </w:tr>
      <w:tr w14:paraId="291D51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4" w:hRule="atLeast"/>
        </w:trPr>
        <w:tc>
          <w:tcPr>
            <w:tcW w:w="562" w:type="pct"/>
            <w:vAlign w:val="center"/>
          </w:tcPr>
          <w:p w14:paraId="56247987">
            <w:pPr>
              <w:spacing w:line="240" w:lineRule="auto"/>
              <w:jc w:val="center"/>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5-6米</w:t>
            </w:r>
          </w:p>
          <w:p w14:paraId="0594EBAE">
            <w:pPr>
              <w:spacing w:line="240" w:lineRule="auto"/>
              <w:jc w:val="center"/>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厢车</w:t>
            </w:r>
          </w:p>
        </w:tc>
        <w:tc>
          <w:tcPr>
            <w:tcW w:w="3659" w:type="pct"/>
            <w:vAlign w:val="center"/>
          </w:tcPr>
          <w:p w14:paraId="3D223665">
            <w:pPr>
              <w:spacing w:line="240" w:lineRule="auto"/>
              <w:jc w:val="left"/>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符合上述类型</w:t>
            </w:r>
          </w:p>
        </w:tc>
        <w:tc>
          <w:tcPr>
            <w:tcW w:w="777" w:type="pct"/>
            <w:vAlign w:val="center"/>
          </w:tcPr>
          <w:p w14:paraId="648DA5C5">
            <w:pPr>
              <w:spacing w:line="24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100元/车</w:t>
            </w:r>
          </w:p>
        </w:tc>
      </w:tr>
      <w:tr w14:paraId="694803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562" w:type="pct"/>
            <w:vAlign w:val="center"/>
          </w:tcPr>
          <w:p w14:paraId="7383E9A8">
            <w:pPr>
              <w:spacing w:line="240" w:lineRule="auto"/>
              <w:jc w:val="center"/>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7-8米</w:t>
            </w:r>
          </w:p>
          <w:p w14:paraId="02902B48">
            <w:pPr>
              <w:spacing w:line="240" w:lineRule="auto"/>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lang w:val="en-US" w:eastAsia="zh-CN"/>
              </w:rPr>
              <w:t>厢车</w:t>
            </w:r>
          </w:p>
        </w:tc>
        <w:tc>
          <w:tcPr>
            <w:tcW w:w="3659" w:type="pct"/>
            <w:vAlign w:val="center"/>
          </w:tcPr>
          <w:p w14:paraId="4A828542">
            <w:p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符合上述类型</w:t>
            </w:r>
          </w:p>
        </w:tc>
        <w:tc>
          <w:tcPr>
            <w:tcW w:w="777" w:type="pct"/>
            <w:vAlign w:val="center"/>
          </w:tcPr>
          <w:p w14:paraId="0C3F08FA">
            <w:pPr>
              <w:spacing w:line="24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150元/车</w:t>
            </w:r>
          </w:p>
        </w:tc>
      </w:tr>
      <w:tr w14:paraId="236A4D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1" w:hRule="atLeast"/>
        </w:trPr>
        <w:tc>
          <w:tcPr>
            <w:tcW w:w="562" w:type="pct"/>
            <w:vAlign w:val="center"/>
          </w:tcPr>
          <w:p w14:paraId="76AF07E1">
            <w:pPr>
              <w:spacing w:line="240" w:lineRule="auto"/>
              <w:jc w:val="center"/>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9-10米</w:t>
            </w:r>
          </w:p>
          <w:p w14:paraId="298DC4D9">
            <w:pPr>
              <w:spacing w:line="240" w:lineRule="auto"/>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lang w:val="en-US" w:eastAsia="zh-CN"/>
              </w:rPr>
              <w:t>厢车</w:t>
            </w:r>
          </w:p>
        </w:tc>
        <w:tc>
          <w:tcPr>
            <w:tcW w:w="3659" w:type="pct"/>
            <w:vAlign w:val="center"/>
          </w:tcPr>
          <w:p w14:paraId="6A0227D9">
            <w:p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符合上述类型</w:t>
            </w:r>
          </w:p>
        </w:tc>
        <w:tc>
          <w:tcPr>
            <w:tcW w:w="777" w:type="pct"/>
            <w:vAlign w:val="center"/>
          </w:tcPr>
          <w:p w14:paraId="6FBF92A9">
            <w:pPr>
              <w:spacing w:line="24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250元/车</w:t>
            </w:r>
          </w:p>
        </w:tc>
      </w:tr>
      <w:tr w14:paraId="2BE22C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2" w:type="pct"/>
            <w:vAlign w:val="center"/>
          </w:tcPr>
          <w:p w14:paraId="49F0E963">
            <w:pPr>
              <w:spacing w:line="240" w:lineRule="auto"/>
              <w:jc w:val="center"/>
              <w:rPr>
                <w:rFonts w:hint="eastAsia" w:ascii="宋体" w:hAnsi="宋体" w:eastAsia="宋体" w:cs="宋体"/>
                <w:b/>
                <w:color w:val="auto"/>
                <w:sz w:val="21"/>
                <w:szCs w:val="21"/>
                <w:highlight w:val="none"/>
                <w:lang w:val="en-US" w:eastAsia="zh-CN"/>
              </w:rPr>
            </w:pPr>
            <w:r>
              <w:rPr>
                <w:rFonts w:hint="eastAsia" w:ascii="宋体" w:hAnsi="宋体" w:eastAsia="宋体" w:cs="宋体"/>
                <w:b/>
                <w:color w:val="auto"/>
                <w:sz w:val="21"/>
                <w:szCs w:val="21"/>
                <w:highlight w:val="none"/>
                <w:lang w:val="en-US" w:eastAsia="zh-CN"/>
              </w:rPr>
              <w:t>槽车</w:t>
            </w:r>
          </w:p>
        </w:tc>
        <w:tc>
          <w:tcPr>
            <w:tcW w:w="3659" w:type="pct"/>
            <w:vAlign w:val="center"/>
          </w:tcPr>
          <w:p w14:paraId="026F1273">
            <w:pPr>
              <w:spacing w:line="240" w:lineRule="auto"/>
              <w:jc w:val="left"/>
              <w:rPr>
                <w:rFonts w:hint="eastAsia" w:ascii="宋体" w:hAnsi="宋体" w:eastAsia="宋体" w:cs="宋体"/>
                <w:color w:val="auto"/>
                <w:sz w:val="21"/>
                <w:szCs w:val="21"/>
                <w:highlight w:val="none"/>
                <w:lang w:val="en-US"/>
              </w:rPr>
            </w:pPr>
            <w:r>
              <w:rPr>
                <w:rFonts w:hint="eastAsia" w:ascii="宋体" w:hAnsi="宋体" w:eastAsia="宋体" w:cs="宋体"/>
                <w:color w:val="auto"/>
                <w:sz w:val="21"/>
                <w:szCs w:val="21"/>
                <w:highlight w:val="none"/>
                <w:lang w:val="en-US" w:eastAsia="zh-CN"/>
              </w:rPr>
              <w:t>符合上述第6点</w:t>
            </w:r>
          </w:p>
        </w:tc>
        <w:tc>
          <w:tcPr>
            <w:tcW w:w="777" w:type="pct"/>
            <w:vAlign w:val="center"/>
          </w:tcPr>
          <w:p w14:paraId="2CC3E87E">
            <w:pPr>
              <w:spacing w:line="240" w:lineRule="auto"/>
              <w:jc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100元/车</w:t>
            </w:r>
          </w:p>
        </w:tc>
      </w:tr>
      <w:tr w14:paraId="3AB881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2" w:type="pct"/>
            <w:vAlign w:val="center"/>
          </w:tcPr>
          <w:p w14:paraId="7DE97251">
            <w:pPr>
              <w:spacing w:line="240" w:lineRule="auto"/>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特殊</w:t>
            </w:r>
          </w:p>
        </w:tc>
        <w:tc>
          <w:tcPr>
            <w:tcW w:w="3659" w:type="pct"/>
            <w:vAlign w:val="center"/>
          </w:tcPr>
          <w:p w14:paraId="7FD384EF">
            <w:p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现场</w:t>
            </w:r>
            <w:r>
              <w:rPr>
                <w:rFonts w:hint="eastAsia" w:ascii="宋体" w:hAnsi="宋体" w:eastAsia="宋体" w:cs="宋体"/>
                <w:color w:val="auto"/>
                <w:sz w:val="21"/>
                <w:szCs w:val="21"/>
                <w:highlight w:val="none"/>
                <w:lang w:val="en-US" w:eastAsia="zh-CN"/>
              </w:rPr>
              <w:t>打包工作量巨大，</w:t>
            </w:r>
            <w:r>
              <w:rPr>
                <w:rFonts w:hint="eastAsia" w:ascii="宋体" w:hAnsi="宋体" w:eastAsia="宋体" w:cs="宋体"/>
                <w:color w:val="auto"/>
                <w:sz w:val="21"/>
                <w:szCs w:val="21"/>
                <w:highlight w:val="none"/>
              </w:rPr>
              <w:t>不适用按车次支付搬运费，</w:t>
            </w:r>
            <w:r>
              <w:rPr>
                <w:rFonts w:hint="eastAsia" w:ascii="宋体" w:hAnsi="宋体" w:eastAsia="宋体" w:cs="宋体"/>
                <w:color w:val="auto"/>
                <w:sz w:val="21"/>
                <w:szCs w:val="21"/>
                <w:highlight w:val="none"/>
                <w:lang w:val="en-US" w:eastAsia="zh-CN"/>
              </w:rPr>
              <w:t>提供凭证，可</w:t>
            </w:r>
            <w:r>
              <w:rPr>
                <w:rFonts w:hint="eastAsia" w:ascii="宋体" w:hAnsi="宋体" w:eastAsia="宋体" w:cs="宋体"/>
                <w:color w:val="auto"/>
                <w:sz w:val="21"/>
                <w:szCs w:val="21"/>
                <w:highlight w:val="none"/>
              </w:rPr>
              <w:t>按吨支付搬运费。</w:t>
            </w:r>
          </w:p>
        </w:tc>
        <w:tc>
          <w:tcPr>
            <w:tcW w:w="777" w:type="pct"/>
            <w:vAlign w:val="center"/>
          </w:tcPr>
          <w:p w14:paraId="709FBA3C">
            <w:pPr>
              <w:spacing w:line="240" w:lineRule="auto"/>
              <w:jc w:val="cente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50元/吨</w:t>
            </w:r>
          </w:p>
        </w:tc>
      </w:tr>
      <w:tr w14:paraId="64CE91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2" w:type="pct"/>
            <w:vAlign w:val="center"/>
          </w:tcPr>
          <w:p w14:paraId="29BFA2A3">
            <w:pPr>
              <w:spacing w:line="240" w:lineRule="auto"/>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备注</w:t>
            </w:r>
          </w:p>
        </w:tc>
        <w:tc>
          <w:tcPr>
            <w:tcW w:w="4437" w:type="pct"/>
            <w:gridSpan w:val="2"/>
            <w:vAlign w:val="center"/>
          </w:tcPr>
          <w:p w14:paraId="02E05102">
            <w:p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费用的申请</w:t>
            </w:r>
            <w:r>
              <w:rPr>
                <w:rFonts w:hint="eastAsia" w:ascii="宋体" w:hAnsi="宋体" w:eastAsia="宋体" w:cs="宋体"/>
                <w:color w:val="auto"/>
                <w:sz w:val="21"/>
                <w:szCs w:val="21"/>
                <w:highlight w:val="none"/>
              </w:rPr>
              <w:t>：</w:t>
            </w:r>
          </w:p>
          <w:p w14:paraId="21DF0D48">
            <w:pPr>
              <w:numPr>
                <w:ilvl w:val="0"/>
                <w:numId w:val="2"/>
              </w:num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每月制作搬运</w:t>
            </w:r>
            <w:r>
              <w:rPr>
                <w:rFonts w:hint="eastAsia" w:ascii="宋体" w:hAnsi="宋体" w:eastAsia="宋体" w:cs="宋体"/>
                <w:color w:val="auto"/>
                <w:sz w:val="21"/>
                <w:szCs w:val="21"/>
                <w:highlight w:val="none"/>
                <w:lang w:val="en-US" w:eastAsia="zh-CN"/>
              </w:rPr>
              <w:t>打包</w:t>
            </w:r>
            <w:r>
              <w:rPr>
                <w:rFonts w:hint="eastAsia" w:ascii="宋体" w:hAnsi="宋体" w:eastAsia="宋体" w:cs="宋体"/>
                <w:color w:val="auto"/>
                <w:sz w:val="21"/>
                <w:szCs w:val="21"/>
                <w:highlight w:val="none"/>
              </w:rPr>
              <w:t>费申请表，表内必须</w:t>
            </w:r>
            <w:r>
              <w:rPr>
                <w:rFonts w:hint="eastAsia" w:ascii="宋体" w:hAnsi="宋体" w:eastAsia="宋体" w:cs="宋体"/>
                <w:color w:val="auto"/>
                <w:sz w:val="21"/>
                <w:szCs w:val="21"/>
                <w:highlight w:val="none"/>
                <w:lang w:val="en-US" w:eastAsia="zh-CN"/>
              </w:rPr>
              <w:t>包含收运</w:t>
            </w:r>
            <w:r>
              <w:rPr>
                <w:rFonts w:hint="eastAsia" w:ascii="宋体" w:hAnsi="宋体" w:eastAsia="宋体" w:cs="宋体"/>
                <w:color w:val="auto"/>
                <w:sz w:val="21"/>
                <w:szCs w:val="21"/>
                <w:highlight w:val="none"/>
              </w:rPr>
              <w:t>日期、客户名称、搬运废物的重量</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lang w:val="en-US" w:eastAsia="zh-CN"/>
              </w:rPr>
              <w:t>同时提供对应客户现场能体现打包服务的水印照片和短</w:t>
            </w:r>
            <w:r>
              <w:rPr>
                <w:rFonts w:hint="eastAsia" w:ascii="宋体" w:hAnsi="宋体" w:eastAsia="宋体" w:cs="宋体"/>
                <w:color w:val="auto"/>
                <w:sz w:val="21"/>
                <w:szCs w:val="21"/>
                <w:highlight w:val="none"/>
              </w:rPr>
              <w:t>视频</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lang w:val="en-US" w:eastAsia="zh-CN"/>
              </w:rPr>
              <w:t>视频及照片文件名须按</w:t>
            </w:r>
            <w:r>
              <w:rPr>
                <w:rFonts w:hint="eastAsia" w:ascii="宋体" w:hAnsi="宋体" w:eastAsia="宋体" w:cs="宋体"/>
                <w:color w:val="auto"/>
                <w:sz w:val="21"/>
                <w:szCs w:val="21"/>
                <w:highlight w:val="none"/>
              </w:rPr>
              <w:t>“日期+客户+重量”</w:t>
            </w:r>
            <w:r>
              <w:rPr>
                <w:rFonts w:hint="eastAsia" w:ascii="宋体" w:hAnsi="宋体" w:eastAsia="宋体" w:cs="宋体"/>
                <w:color w:val="auto"/>
                <w:sz w:val="21"/>
                <w:szCs w:val="21"/>
                <w:highlight w:val="none"/>
                <w:lang w:val="en-US" w:eastAsia="zh-CN"/>
              </w:rPr>
              <w:t>格式命名，并电子版</w:t>
            </w:r>
            <w:r>
              <w:rPr>
                <w:rFonts w:hint="eastAsia" w:ascii="宋体" w:hAnsi="宋体" w:eastAsia="宋体" w:cs="宋体"/>
                <w:color w:val="auto"/>
                <w:sz w:val="21"/>
                <w:szCs w:val="21"/>
                <w:highlight w:val="none"/>
              </w:rPr>
              <w:t>打包发至</w:t>
            </w:r>
            <w:r>
              <w:rPr>
                <w:rFonts w:hint="eastAsia" w:ascii="宋体" w:hAnsi="宋体" w:eastAsia="宋体" w:cs="宋体"/>
                <w:color w:val="auto"/>
                <w:sz w:val="21"/>
                <w:szCs w:val="21"/>
                <w:highlight w:val="none"/>
                <w:lang w:val="en-US" w:eastAsia="zh-CN"/>
              </w:rPr>
              <w:t>采购人</w:t>
            </w:r>
            <w:r>
              <w:rPr>
                <w:rFonts w:hint="eastAsia" w:ascii="宋体" w:hAnsi="宋体" w:eastAsia="宋体" w:cs="宋体"/>
                <w:color w:val="auto"/>
                <w:sz w:val="21"/>
                <w:szCs w:val="21"/>
                <w:highlight w:val="none"/>
              </w:rPr>
              <w:t>留存。</w:t>
            </w:r>
          </w:p>
          <w:p w14:paraId="651FC01D">
            <w:pPr>
              <w:numPr>
                <w:ilvl w:val="0"/>
                <w:numId w:val="2"/>
              </w:num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提供对账单纸质时，须将对应的水印照片打印出来作为结算凭证，对账纸质资料每页盖章。</w:t>
            </w:r>
          </w:p>
          <w:p w14:paraId="0EB82D14">
            <w:pPr>
              <w:numPr>
                <w:ilvl w:val="0"/>
                <w:numId w:val="0"/>
              </w:num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3、无法提供上述资料的不予支付打包费用（客户现场不允许携带手机的，可与客户沟通协助拍摄，协商不成的需要提前告知采购人，以便采购人与客户确认打包服务属实）</w:t>
            </w:r>
            <w:r>
              <w:rPr>
                <w:rFonts w:hint="eastAsia" w:ascii="宋体" w:hAnsi="宋体" w:eastAsia="宋体" w:cs="宋体"/>
                <w:color w:val="auto"/>
                <w:sz w:val="21"/>
                <w:szCs w:val="21"/>
                <w:highlight w:val="none"/>
              </w:rPr>
              <w:t>。</w:t>
            </w:r>
          </w:p>
        </w:tc>
      </w:tr>
    </w:tbl>
    <w:p w14:paraId="18E15422">
      <w:pPr>
        <w:outlineLvl w:val="9"/>
        <w:rPr>
          <w:rFonts w:hint="eastAsia" w:ascii="宋体" w:hAnsi="宋体"/>
          <w:b/>
          <w:color w:val="auto"/>
          <w:sz w:val="21"/>
          <w:szCs w:val="21"/>
          <w:highlight w:val="none"/>
          <w:lang w:val="en-US" w:eastAsia="zh-CN"/>
        </w:rPr>
      </w:pPr>
    </w:p>
    <w:p w14:paraId="5F2A074B">
      <w:pPr>
        <w:rPr>
          <w:rFonts w:hint="eastAsia" w:ascii="宋体" w:hAnsi="宋体"/>
          <w:b/>
          <w:color w:val="auto"/>
          <w:sz w:val="21"/>
          <w:szCs w:val="21"/>
          <w:highlight w:val="none"/>
          <w:lang w:val="en-US" w:eastAsia="zh-CN"/>
        </w:rPr>
      </w:pPr>
      <w:bookmarkStart w:id="386" w:name="_Toc18141"/>
      <w:bookmarkStart w:id="387" w:name="_Toc7634"/>
      <w:r>
        <w:rPr>
          <w:rFonts w:hint="eastAsia" w:ascii="宋体" w:hAnsi="宋体"/>
          <w:b/>
          <w:color w:val="auto"/>
          <w:sz w:val="21"/>
          <w:szCs w:val="21"/>
          <w:highlight w:val="none"/>
          <w:lang w:val="en-US" w:eastAsia="zh-CN"/>
        </w:rPr>
        <w:br w:type="page"/>
      </w:r>
    </w:p>
    <w:p w14:paraId="45F4E3F5">
      <w:pPr>
        <w:outlineLvl w:val="9"/>
        <w:rPr>
          <w:rFonts w:ascii="宋体" w:hAnsi="宋体"/>
          <w:b/>
          <w:color w:val="auto"/>
          <w:sz w:val="24"/>
          <w:highlight w:val="none"/>
        </w:rPr>
      </w:pPr>
      <w:r>
        <w:rPr>
          <w:rFonts w:hint="eastAsia" w:ascii="宋体" w:hAnsi="宋体"/>
          <w:b/>
          <w:color w:val="auto"/>
          <w:sz w:val="21"/>
          <w:szCs w:val="21"/>
          <w:highlight w:val="none"/>
          <w:lang w:val="en-US" w:eastAsia="zh-CN"/>
        </w:rPr>
        <w:t>合同</w:t>
      </w:r>
      <w:r>
        <w:rPr>
          <w:rFonts w:hint="eastAsia" w:ascii="宋体" w:hAnsi="宋体"/>
          <w:b/>
          <w:color w:val="auto"/>
          <w:sz w:val="21"/>
          <w:szCs w:val="21"/>
          <w:highlight w:val="none"/>
        </w:rPr>
        <w:t>附件8：《承运单》</w:t>
      </w:r>
      <w:bookmarkEnd w:id="375"/>
      <w:bookmarkEnd w:id="376"/>
      <w:bookmarkEnd w:id="377"/>
      <w:bookmarkEnd w:id="378"/>
      <w:bookmarkEnd w:id="379"/>
      <w:bookmarkEnd w:id="380"/>
      <w:bookmarkEnd w:id="381"/>
      <w:bookmarkEnd w:id="382"/>
      <w:bookmarkEnd w:id="383"/>
      <w:bookmarkEnd w:id="384"/>
      <w:bookmarkEnd w:id="385"/>
      <w:bookmarkEnd w:id="386"/>
      <w:bookmarkEnd w:id="387"/>
    </w:p>
    <w:tbl>
      <w:tblPr>
        <w:tblStyle w:val="30"/>
        <w:tblW w:w="5000" w:type="pct"/>
        <w:jc w:val="center"/>
        <w:tblLayout w:type="fixed"/>
        <w:tblCellMar>
          <w:top w:w="0" w:type="dxa"/>
          <w:left w:w="108" w:type="dxa"/>
          <w:bottom w:w="0" w:type="dxa"/>
          <w:right w:w="108" w:type="dxa"/>
        </w:tblCellMar>
      </w:tblPr>
      <w:tblGrid>
        <w:gridCol w:w="966"/>
        <w:gridCol w:w="973"/>
        <w:gridCol w:w="1024"/>
        <w:gridCol w:w="661"/>
        <w:gridCol w:w="1011"/>
        <w:gridCol w:w="1071"/>
        <w:gridCol w:w="1183"/>
        <w:gridCol w:w="816"/>
        <w:gridCol w:w="817"/>
      </w:tblGrid>
      <w:tr w14:paraId="54449ACC">
        <w:tblPrEx>
          <w:tblCellMar>
            <w:top w:w="0" w:type="dxa"/>
            <w:left w:w="108" w:type="dxa"/>
            <w:bottom w:w="0" w:type="dxa"/>
            <w:right w:w="108" w:type="dxa"/>
          </w:tblCellMar>
        </w:tblPrEx>
        <w:trPr>
          <w:trHeight w:val="500" w:hRule="atLeast"/>
          <w:jc w:val="center"/>
        </w:trPr>
        <w:tc>
          <w:tcPr>
            <w:tcW w:w="5000" w:type="pct"/>
            <w:gridSpan w:val="9"/>
            <w:tcBorders>
              <w:top w:val="nil"/>
              <w:left w:val="nil"/>
              <w:bottom w:val="nil"/>
              <w:right w:val="nil"/>
            </w:tcBorders>
            <w:noWrap/>
            <w:vAlign w:val="center"/>
          </w:tcPr>
          <w:p w14:paraId="5DDCDB7E">
            <w:pPr>
              <w:jc w:val="both"/>
              <w:textAlignment w:val="center"/>
              <w:outlineLvl w:val="9"/>
              <w:rPr>
                <w:rFonts w:hAnsi="宋体" w:cs="宋体"/>
                <w:b/>
                <w:bCs/>
                <w:color w:val="auto"/>
                <w:szCs w:val="21"/>
                <w:highlight w:val="none"/>
              </w:rPr>
            </w:pPr>
            <w:r>
              <w:rPr>
                <w:rFonts w:hint="eastAsia" w:hAnsi="宋体" w:cs="宋体"/>
                <w:b/>
                <w:bCs/>
                <w:color w:val="auto"/>
                <w:szCs w:val="21"/>
                <w:highlight w:val="none"/>
              </w:rPr>
              <w:t xml:space="preserve">承  运  单                                                   </w:t>
            </w:r>
            <w:r>
              <w:rPr>
                <w:rStyle w:val="85"/>
                <w:rFonts w:hint="default"/>
                <w:color w:val="auto"/>
                <w:sz w:val="21"/>
                <w:szCs w:val="21"/>
                <w:highlight w:val="none"/>
              </w:rPr>
              <w:t xml:space="preserve"> 编号：  XXXXXXXXX   </w:t>
            </w:r>
          </w:p>
        </w:tc>
      </w:tr>
      <w:tr w14:paraId="33700ECB">
        <w:tblPrEx>
          <w:tblCellMar>
            <w:top w:w="0" w:type="dxa"/>
            <w:left w:w="108" w:type="dxa"/>
            <w:bottom w:w="0" w:type="dxa"/>
            <w:right w:w="108" w:type="dxa"/>
          </w:tblCellMar>
        </w:tblPrEx>
        <w:trPr>
          <w:trHeight w:val="48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50812F8E">
            <w:pPr>
              <w:jc w:val="center"/>
              <w:textAlignment w:val="center"/>
              <w:outlineLvl w:val="9"/>
              <w:rPr>
                <w:rFonts w:hAnsi="宋体" w:cs="宋体"/>
                <w:color w:val="auto"/>
                <w:szCs w:val="21"/>
                <w:highlight w:val="none"/>
              </w:rPr>
            </w:pPr>
            <w:r>
              <w:rPr>
                <w:rFonts w:hint="eastAsia" w:hAnsi="宋体" w:cs="宋体"/>
                <w:color w:val="auto"/>
                <w:szCs w:val="21"/>
                <w:highlight w:val="none"/>
              </w:rPr>
              <w:t>产废单位：</w:t>
            </w:r>
          </w:p>
        </w:tc>
        <w:tc>
          <w:tcPr>
            <w:tcW w:w="1559" w:type="pct"/>
            <w:gridSpan w:val="3"/>
            <w:tcBorders>
              <w:top w:val="single" w:color="000000" w:sz="4" w:space="0"/>
              <w:left w:val="single" w:color="000000" w:sz="4" w:space="0"/>
              <w:bottom w:val="single" w:color="000000" w:sz="4" w:space="0"/>
              <w:right w:val="single" w:color="000000" w:sz="4" w:space="0"/>
            </w:tcBorders>
            <w:noWrap/>
            <w:vAlign w:val="center"/>
          </w:tcPr>
          <w:p w14:paraId="11BF46C2">
            <w:pPr>
              <w:outlineLvl w:val="9"/>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186F4468">
            <w:pPr>
              <w:jc w:val="both"/>
              <w:textAlignment w:val="center"/>
              <w:outlineLvl w:val="9"/>
              <w:rPr>
                <w:rFonts w:hAnsi="宋体" w:cs="宋体"/>
                <w:color w:val="auto"/>
                <w:szCs w:val="21"/>
                <w:highlight w:val="none"/>
              </w:rPr>
            </w:pPr>
            <w:r>
              <w:rPr>
                <w:rFonts w:hint="eastAsia" w:hAnsi="宋体" w:cs="宋体"/>
                <w:color w:val="auto"/>
                <w:szCs w:val="21"/>
                <w:highlight w:val="none"/>
              </w:rPr>
              <w:t>收运日期：</w:t>
            </w:r>
          </w:p>
        </w:tc>
        <w:tc>
          <w:tcPr>
            <w:tcW w:w="2280" w:type="pct"/>
            <w:gridSpan w:val="4"/>
            <w:tcBorders>
              <w:top w:val="single" w:color="000000" w:sz="4" w:space="0"/>
              <w:left w:val="single" w:color="000000" w:sz="4" w:space="0"/>
              <w:bottom w:val="single" w:color="000000" w:sz="4" w:space="0"/>
              <w:right w:val="single" w:color="000000" w:sz="4" w:space="0"/>
            </w:tcBorders>
            <w:noWrap/>
            <w:vAlign w:val="center"/>
          </w:tcPr>
          <w:p w14:paraId="194A292E">
            <w:pPr>
              <w:textAlignment w:val="center"/>
              <w:outlineLvl w:val="9"/>
              <w:rPr>
                <w:rFonts w:hAnsi="宋体" w:cs="宋体"/>
                <w:color w:val="auto"/>
                <w:szCs w:val="21"/>
                <w:highlight w:val="none"/>
              </w:rPr>
            </w:pPr>
            <w:r>
              <w:rPr>
                <w:rFonts w:hint="eastAsia" w:hAnsi="宋体" w:cs="宋体"/>
                <w:color w:val="auto"/>
                <w:szCs w:val="21"/>
                <w:highlight w:val="none"/>
              </w:rPr>
              <w:t>XX年XX月XX日</w:t>
            </w:r>
          </w:p>
        </w:tc>
      </w:tr>
      <w:tr w14:paraId="25B92345">
        <w:tblPrEx>
          <w:tblCellMar>
            <w:top w:w="0" w:type="dxa"/>
            <w:left w:w="108" w:type="dxa"/>
            <w:bottom w:w="0" w:type="dxa"/>
            <w:right w:w="108" w:type="dxa"/>
          </w:tblCellMar>
        </w:tblPrEx>
        <w:trPr>
          <w:trHeight w:val="500"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4BEB334F">
            <w:pPr>
              <w:jc w:val="center"/>
              <w:textAlignment w:val="center"/>
              <w:outlineLvl w:val="9"/>
              <w:rPr>
                <w:rFonts w:hAnsi="宋体" w:cs="宋体"/>
                <w:color w:val="auto"/>
                <w:szCs w:val="21"/>
                <w:highlight w:val="none"/>
              </w:rPr>
            </w:pPr>
            <w:r>
              <w:rPr>
                <w:rFonts w:hint="eastAsia" w:hAnsi="宋体" w:cs="宋体"/>
                <w:color w:val="auto"/>
                <w:szCs w:val="21"/>
                <w:highlight w:val="none"/>
              </w:rPr>
              <w:t>运输单位：</w:t>
            </w:r>
          </w:p>
        </w:tc>
        <w:tc>
          <w:tcPr>
            <w:tcW w:w="1559" w:type="pct"/>
            <w:gridSpan w:val="3"/>
            <w:tcBorders>
              <w:top w:val="single" w:color="000000" w:sz="4" w:space="0"/>
              <w:left w:val="single" w:color="000000" w:sz="4" w:space="0"/>
              <w:bottom w:val="single" w:color="000000" w:sz="4" w:space="0"/>
              <w:right w:val="single" w:color="000000" w:sz="4" w:space="0"/>
            </w:tcBorders>
            <w:noWrap/>
            <w:vAlign w:val="center"/>
          </w:tcPr>
          <w:p w14:paraId="30A45295">
            <w:pPr>
              <w:outlineLvl w:val="9"/>
              <w:rPr>
                <w:rFonts w:hAnsi="宋体" w:cs="宋体"/>
                <w:color w:val="auto"/>
                <w:szCs w:val="21"/>
                <w:highlight w:val="none"/>
              </w:rPr>
            </w:pPr>
          </w:p>
        </w:tc>
        <w:tc>
          <w:tcPr>
            <w:tcW w:w="593" w:type="pct"/>
            <w:vMerge w:val="restart"/>
            <w:tcBorders>
              <w:top w:val="single" w:color="000000" w:sz="4" w:space="0"/>
              <w:left w:val="single" w:color="000000" w:sz="4" w:space="0"/>
              <w:bottom w:val="single" w:color="000000" w:sz="4" w:space="0"/>
              <w:right w:val="single" w:color="000000" w:sz="4" w:space="0"/>
            </w:tcBorders>
            <w:vAlign w:val="center"/>
          </w:tcPr>
          <w:p w14:paraId="6F3B9670">
            <w:pPr>
              <w:jc w:val="center"/>
              <w:textAlignment w:val="center"/>
              <w:outlineLvl w:val="9"/>
              <w:rPr>
                <w:rFonts w:hAnsi="宋体" w:cs="宋体"/>
                <w:color w:val="auto"/>
                <w:szCs w:val="21"/>
                <w:highlight w:val="none"/>
              </w:rPr>
            </w:pPr>
            <w:r>
              <w:rPr>
                <w:rFonts w:hint="eastAsia" w:hAnsi="宋体" w:cs="宋体"/>
                <w:color w:val="auto"/>
                <w:szCs w:val="21"/>
                <w:highlight w:val="none"/>
              </w:rPr>
              <w:t>收运地址</w:t>
            </w:r>
          </w:p>
          <w:p w14:paraId="0B4DE6B4">
            <w:pPr>
              <w:jc w:val="center"/>
              <w:textAlignment w:val="center"/>
              <w:outlineLvl w:val="9"/>
              <w:rPr>
                <w:rFonts w:hAnsi="宋体" w:cs="宋体"/>
                <w:color w:val="auto"/>
                <w:szCs w:val="21"/>
                <w:highlight w:val="none"/>
              </w:rPr>
            </w:pPr>
            <w:r>
              <w:rPr>
                <w:rFonts w:hint="eastAsia" w:hAnsi="宋体" w:cs="宋体"/>
                <w:color w:val="auto"/>
                <w:szCs w:val="21"/>
                <w:highlight w:val="none"/>
              </w:rPr>
              <w:t>所属区域</w:t>
            </w:r>
          </w:p>
        </w:tc>
        <w:tc>
          <w:tcPr>
            <w:tcW w:w="2280" w:type="pct"/>
            <w:gridSpan w:val="4"/>
            <w:vMerge w:val="restart"/>
            <w:tcBorders>
              <w:top w:val="single" w:color="000000" w:sz="4" w:space="0"/>
              <w:left w:val="single" w:color="000000" w:sz="4" w:space="0"/>
              <w:bottom w:val="single" w:color="000000" w:sz="4" w:space="0"/>
              <w:right w:val="single" w:color="000000" w:sz="4" w:space="0"/>
            </w:tcBorders>
            <w:vAlign w:val="center"/>
          </w:tcPr>
          <w:p w14:paraId="41C9BA81">
            <w:pPr>
              <w:jc w:val="both"/>
              <w:textAlignment w:val="center"/>
              <w:outlineLvl w:val="9"/>
              <w:rPr>
                <w:rFonts w:hAnsi="宋体" w:cs="宋体"/>
                <w:color w:val="auto"/>
                <w:szCs w:val="21"/>
                <w:highlight w:val="none"/>
              </w:rPr>
            </w:pPr>
            <w:r>
              <w:rPr>
                <w:rFonts w:hint="eastAsia" w:hAnsi="宋体" w:cs="宋体"/>
                <w:color w:val="auto"/>
                <w:szCs w:val="21"/>
                <w:highlight w:val="none"/>
              </w:rPr>
              <w:t>□东莞 □广州 □深圳 □惠州 □中山</w:t>
            </w:r>
          </w:p>
          <w:p w14:paraId="5C40BA99">
            <w:pPr>
              <w:jc w:val="both"/>
              <w:textAlignment w:val="center"/>
              <w:outlineLvl w:val="9"/>
              <w:rPr>
                <w:rFonts w:hAnsi="宋体" w:cs="宋体"/>
                <w:color w:val="auto"/>
                <w:szCs w:val="21"/>
                <w:highlight w:val="none"/>
              </w:rPr>
            </w:pPr>
            <w:r>
              <w:rPr>
                <w:rFonts w:hint="eastAsia" w:hAnsi="宋体" w:cs="宋体"/>
                <w:color w:val="auto"/>
                <w:szCs w:val="21"/>
                <w:highlight w:val="none"/>
              </w:rPr>
              <w:t>□佛山 □珠海 □江门 □肇庆 □云浮</w:t>
            </w:r>
          </w:p>
          <w:p w14:paraId="2D8A284E">
            <w:pPr>
              <w:jc w:val="both"/>
              <w:textAlignment w:val="center"/>
              <w:outlineLvl w:val="9"/>
              <w:rPr>
                <w:rFonts w:hAnsi="宋体" w:cs="宋体"/>
                <w:color w:val="auto"/>
                <w:szCs w:val="21"/>
                <w:highlight w:val="none"/>
              </w:rPr>
            </w:pPr>
            <w:r>
              <w:rPr>
                <w:rFonts w:hint="eastAsia" w:hAnsi="宋体" w:cs="宋体"/>
                <w:color w:val="auto"/>
                <w:szCs w:val="21"/>
                <w:highlight w:val="none"/>
              </w:rPr>
              <w:t>□清远 □茂名 □湛江 □阳江 □汕尾</w:t>
            </w:r>
          </w:p>
          <w:p w14:paraId="215063CB">
            <w:pPr>
              <w:jc w:val="both"/>
              <w:textAlignment w:val="center"/>
              <w:outlineLvl w:val="9"/>
              <w:rPr>
                <w:rFonts w:hAnsi="宋体" w:cs="宋体"/>
                <w:color w:val="auto"/>
                <w:szCs w:val="21"/>
                <w:highlight w:val="none"/>
              </w:rPr>
            </w:pPr>
            <w:r>
              <w:rPr>
                <w:rFonts w:hint="eastAsia" w:hAnsi="宋体" w:cs="宋体"/>
                <w:color w:val="auto"/>
                <w:szCs w:val="21"/>
                <w:highlight w:val="none"/>
              </w:rPr>
              <w:t>□韶关 □揭阳 □河源 □梅州 □潮州</w:t>
            </w:r>
          </w:p>
          <w:p w14:paraId="6F4ABBAC">
            <w:pPr>
              <w:jc w:val="both"/>
              <w:textAlignment w:val="center"/>
              <w:outlineLvl w:val="9"/>
              <w:rPr>
                <w:rFonts w:hAnsi="宋体" w:cs="宋体"/>
                <w:color w:val="auto"/>
                <w:szCs w:val="21"/>
                <w:highlight w:val="none"/>
              </w:rPr>
            </w:pPr>
            <w:r>
              <w:rPr>
                <w:rFonts w:hint="eastAsia" w:hAnsi="宋体" w:cs="宋体"/>
                <w:color w:val="auto"/>
                <w:szCs w:val="21"/>
                <w:highlight w:val="none"/>
              </w:rPr>
              <w:t>□汕头</w:t>
            </w:r>
          </w:p>
        </w:tc>
      </w:tr>
      <w:tr w14:paraId="31FDFD03">
        <w:tblPrEx>
          <w:tblCellMar>
            <w:top w:w="0" w:type="dxa"/>
            <w:left w:w="108" w:type="dxa"/>
            <w:bottom w:w="0" w:type="dxa"/>
            <w:right w:w="108" w:type="dxa"/>
          </w:tblCellMar>
        </w:tblPrEx>
        <w:trPr>
          <w:trHeight w:val="500"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46C8C1CA">
            <w:pPr>
              <w:jc w:val="center"/>
              <w:textAlignment w:val="center"/>
              <w:outlineLvl w:val="9"/>
              <w:rPr>
                <w:rFonts w:hAnsi="宋体" w:cs="宋体"/>
                <w:color w:val="auto"/>
                <w:szCs w:val="21"/>
                <w:highlight w:val="none"/>
              </w:rPr>
            </w:pPr>
            <w:r>
              <w:rPr>
                <w:rFonts w:hint="eastAsia" w:hAnsi="宋体" w:cs="宋体"/>
                <w:color w:val="auto"/>
                <w:szCs w:val="21"/>
                <w:highlight w:val="none"/>
              </w:rPr>
              <w:t>处置单位：</w:t>
            </w:r>
          </w:p>
        </w:tc>
        <w:tc>
          <w:tcPr>
            <w:tcW w:w="1559" w:type="pct"/>
            <w:gridSpan w:val="3"/>
            <w:tcBorders>
              <w:top w:val="single" w:color="000000" w:sz="4" w:space="0"/>
              <w:left w:val="single" w:color="000000" w:sz="4" w:space="0"/>
              <w:bottom w:val="single" w:color="000000" w:sz="4" w:space="0"/>
              <w:right w:val="single" w:color="000000" w:sz="4" w:space="0"/>
            </w:tcBorders>
            <w:noWrap/>
            <w:vAlign w:val="center"/>
          </w:tcPr>
          <w:p w14:paraId="08A40CBC">
            <w:pPr>
              <w:textAlignment w:val="center"/>
              <w:outlineLvl w:val="9"/>
              <w:rPr>
                <w:rFonts w:hAnsi="宋体" w:cs="宋体"/>
                <w:color w:val="auto"/>
                <w:szCs w:val="21"/>
                <w:highlight w:val="none"/>
              </w:rPr>
            </w:pPr>
            <w:r>
              <w:rPr>
                <w:rFonts w:hint="eastAsia" w:hAnsi="宋体" w:cs="宋体"/>
                <w:color w:val="auto"/>
                <w:szCs w:val="21"/>
                <w:highlight w:val="none"/>
              </w:rPr>
              <w:t>东莞市新东欣环保投资有限公司</w:t>
            </w:r>
          </w:p>
        </w:tc>
        <w:tc>
          <w:tcPr>
            <w:tcW w:w="593" w:type="pct"/>
            <w:vMerge w:val="continue"/>
            <w:tcBorders>
              <w:top w:val="single" w:color="000000" w:sz="4" w:space="0"/>
              <w:left w:val="single" w:color="000000" w:sz="4" w:space="0"/>
              <w:bottom w:val="single" w:color="000000" w:sz="4" w:space="0"/>
              <w:right w:val="single" w:color="000000" w:sz="4" w:space="0"/>
            </w:tcBorders>
            <w:vAlign w:val="center"/>
          </w:tcPr>
          <w:p w14:paraId="7BA28A82">
            <w:pPr>
              <w:jc w:val="center"/>
              <w:outlineLvl w:val="9"/>
              <w:rPr>
                <w:rFonts w:hAnsi="宋体" w:cs="宋体"/>
                <w:color w:val="auto"/>
                <w:szCs w:val="21"/>
                <w:highlight w:val="none"/>
              </w:rPr>
            </w:pPr>
          </w:p>
        </w:tc>
        <w:tc>
          <w:tcPr>
            <w:tcW w:w="2280" w:type="pct"/>
            <w:gridSpan w:val="4"/>
            <w:vMerge w:val="continue"/>
            <w:tcBorders>
              <w:top w:val="single" w:color="000000" w:sz="4" w:space="0"/>
              <w:left w:val="single" w:color="000000" w:sz="4" w:space="0"/>
              <w:bottom w:val="single" w:color="000000" w:sz="4" w:space="0"/>
              <w:right w:val="single" w:color="000000" w:sz="4" w:space="0"/>
            </w:tcBorders>
            <w:vAlign w:val="center"/>
          </w:tcPr>
          <w:p w14:paraId="437C43F2">
            <w:pPr>
              <w:jc w:val="both"/>
              <w:outlineLvl w:val="9"/>
              <w:rPr>
                <w:rFonts w:hAnsi="宋体" w:cs="宋体"/>
                <w:color w:val="auto"/>
                <w:szCs w:val="21"/>
                <w:highlight w:val="none"/>
              </w:rPr>
            </w:pPr>
          </w:p>
        </w:tc>
      </w:tr>
      <w:tr w14:paraId="3F2D390B">
        <w:tblPrEx>
          <w:tblCellMar>
            <w:top w:w="0" w:type="dxa"/>
            <w:left w:w="108" w:type="dxa"/>
            <w:bottom w:w="0" w:type="dxa"/>
            <w:right w:w="108" w:type="dxa"/>
          </w:tblCellMar>
        </w:tblPrEx>
        <w:trPr>
          <w:trHeight w:val="810"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79C4226D">
            <w:pPr>
              <w:jc w:val="center"/>
              <w:textAlignment w:val="center"/>
              <w:outlineLvl w:val="9"/>
              <w:rPr>
                <w:rFonts w:hAnsi="宋体" w:cs="宋体"/>
                <w:color w:val="auto"/>
                <w:szCs w:val="21"/>
                <w:highlight w:val="none"/>
              </w:rPr>
            </w:pPr>
            <w:r>
              <w:rPr>
                <w:rFonts w:hint="eastAsia" w:hAnsi="宋体" w:cs="宋体"/>
                <w:color w:val="auto"/>
                <w:szCs w:val="21"/>
                <w:highlight w:val="none"/>
              </w:rPr>
              <w:t>序号</w:t>
            </w:r>
          </w:p>
        </w:tc>
        <w:tc>
          <w:tcPr>
            <w:tcW w:w="570" w:type="pct"/>
            <w:tcBorders>
              <w:top w:val="single" w:color="000000" w:sz="4" w:space="0"/>
              <w:left w:val="single" w:color="000000" w:sz="4" w:space="0"/>
              <w:bottom w:val="single" w:color="000000" w:sz="4" w:space="0"/>
              <w:right w:val="single" w:color="000000" w:sz="4" w:space="0"/>
            </w:tcBorders>
            <w:vAlign w:val="center"/>
          </w:tcPr>
          <w:p w14:paraId="45631571">
            <w:pPr>
              <w:jc w:val="center"/>
              <w:textAlignment w:val="center"/>
              <w:outlineLvl w:val="9"/>
              <w:rPr>
                <w:rFonts w:hAnsi="宋体" w:cs="宋体"/>
                <w:color w:val="auto"/>
                <w:szCs w:val="21"/>
                <w:highlight w:val="none"/>
              </w:rPr>
            </w:pPr>
            <w:r>
              <w:rPr>
                <w:rFonts w:hint="eastAsia" w:hAnsi="宋体" w:cs="宋体"/>
                <w:color w:val="auto"/>
                <w:szCs w:val="21"/>
                <w:highlight w:val="none"/>
              </w:rPr>
              <w:t>废物名称</w:t>
            </w:r>
          </w:p>
          <w:p w14:paraId="117292C9">
            <w:pPr>
              <w:jc w:val="center"/>
              <w:textAlignment w:val="center"/>
              <w:outlineLvl w:val="9"/>
              <w:rPr>
                <w:rFonts w:hAnsi="宋体" w:cs="宋体"/>
                <w:color w:val="auto"/>
                <w:szCs w:val="21"/>
                <w:highlight w:val="none"/>
              </w:rPr>
            </w:pPr>
            <w:r>
              <w:rPr>
                <w:rFonts w:hint="eastAsia" w:hAnsi="宋体" w:cs="宋体"/>
                <w:color w:val="auto"/>
                <w:szCs w:val="21"/>
                <w:highlight w:val="none"/>
              </w:rPr>
              <w:t>（按合同废物名称，每种废物写一行）</w:t>
            </w:r>
          </w:p>
        </w:tc>
        <w:tc>
          <w:tcPr>
            <w:tcW w:w="600" w:type="pct"/>
            <w:tcBorders>
              <w:top w:val="single" w:color="000000" w:sz="4" w:space="0"/>
              <w:left w:val="single" w:color="000000" w:sz="4" w:space="0"/>
              <w:bottom w:val="single" w:color="000000" w:sz="4" w:space="0"/>
              <w:right w:val="single" w:color="000000" w:sz="4" w:space="0"/>
            </w:tcBorders>
            <w:vAlign w:val="center"/>
          </w:tcPr>
          <w:p w14:paraId="7FB1EEAB">
            <w:pPr>
              <w:jc w:val="center"/>
              <w:textAlignment w:val="center"/>
              <w:outlineLvl w:val="9"/>
              <w:rPr>
                <w:rFonts w:hAnsi="宋体" w:cs="宋体"/>
                <w:color w:val="auto"/>
                <w:szCs w:val="21"/>
                <w:highlight w:val="none"/>
              </w:rPr>
            </w:pPr>
            <w:r>
              <w:rPr>
                <w:rFonts w:hint="eastAsia" w:hAnsi="宋体" w:cs="宋体"/>
                <w:color w:val="auto"/>
                <w:szCs w:val="21"/>
                <w:highlight w:val="none"/>
              </w:rPr>
              <w:t>包装方式</w:t>
            </w:r>
          </w:p>
          <w:p w14:paraId="5A903218">
            <w:pPr>
              <w:jc w:val="center"/>
              <w:textAlignment w:val="center"/>
              <w:outlineLvl w:val="9"/>
              <w:rPr>
                <w:rFonts w:hAnsi="宋体" w:cs="宋体"/>
                <w:color w:val="auto"/>
                <w:szCs w:val="21"/>
                <w:highlight w:val="none"/>
              </w:rPr>
            </w:pPr>
            <w:r>
              <w:rPr>
                <w:rFonts w:hint="eastAsia" w:hAnsi="宋体" w:cs="宋体"/>
                <w:color w:val="auto"/>
                <w:szCs w:val="21"/>
                <w:highlight w:val="none"/>
              </w:rPr>
              <w:t>（桶/袋/散装）</w:t>
            </w:r>
          </w:p>
        </w:tc>
        <w:tc>
          <w:tcPr>
            <w:tcW w:w="387" w:type="pct"/>
            <w:tcBorders>
              <w:top w:val="single" w:color="000000" w:sz="4" w:space="0"/>
              <w:left w:val="single" w:color="000000" w:sz="4" w:space="0"/>
              <w:bottom w:val="single" w:color="000000" w:sz="4" w:space="0"/>
              <w:right w:val="single" w:color="000000" w:sz="4" w:space="0"/>
            </w:tcBorders>
            <w:vAlign w:val="center"/>
          </w:tcPr>
          <w:p w14:paraId="22F12F4B">
            <w:pPr>
              <w:jc w:val="both"/>
              <w:textAlignment w:val="center"/>
              <w:outlineLvl w:val="9"/>
              <w:rPr>
                <w:rFonts w:hAnsi="宋体" w:cs="宋体"/>
                <w:color w:val="auto"/>
                <w:szCs w:val="21"/>
                <w:highlight w:val="none"/>
              </w:rPr>
            </w:pPr>
            <w:r>
              <w:rPr>
                <w:rFonts w:hint="eastAsia" w:hAnsi="宋体" w:cs="宋体"/>
                <w:color w:val="auto"/>
                <w:szCs w:val="21"/>
                <w:highlight w:val="none"/>
              </w:rPr>
              <w:t>包装物规格</w:t>
            </w:r>
          </w:p>
          <w:p w14:paraId="43C7B881">
            <w:pPr>
              <w:jc w:val="both"/>
              <w:textAlignment w:val="center"/>
              <w:outlineLvl w:val="9"/>
              <w:rPr>
                <w:rFonts w:hAnsi="宋体" w:cs="宋体"/>
                <w:color w:val="auto"/>
                <w:szCs w:val="21"/>
                <w:highlight w:val="none"/>
              </w:rPr>
            </w:pPr>
            <w:r>
              <w:rPr>
                <w:rFonts w:hint="eastAsia" w:hAnsi="宋体" w:cs="宋体"/>
                <w:color w:val="auto"/>
                <w:szCs w:val="21"/>
                <w:highlight w:val="none"/>
              </w:rPr>
              <w:t>(L/KG)</w:t>
            </w:r>
          </w:p>
        </w:tc>
        <w:tc>
          <w:tcPr>
            <w:tcW w:w="593" w:type="pct"/>
            <w:tcBorders>
              <w:top w:val="single" w:color="000000" w:sz="4" w:space="0"/>
              <w:left w:val="single" w:color="000000" w:sz="4" w:space="0"/>
              <w:bottom w:val="single" w:color="000000" w:sz="4" w:space="0"/>
              <w:right w:val="single" w:color="000000" w:sz="4" w:space="0"/>
            </w:tcBorders>
            <w:vAlign w:val="center"/>
          </w:tcPr>
          <w:p w14:paraId="371B7521">
            <w:pPr>
              <w:jc w:val="center"/>
              <w:textAlignment w:val="center"/>
              <w:outlineLvl w:val="9"/>
              <w:rPr>
                <w:rFonts w:hAnsi="宋体" w:cs="宋体"/>
                <w:color w:val="auto"/>
                <w:szCs w:val="21"/>
                <w:highlight w:val="none"/>
              </w:rPr>
            </w:pPr>
            <w:r>
              <w:rPr>
                <w:rFonts w:hint="eastAsia" w:hAnsi="宋体" w:cs="宋体"/>
                <w:color w:val="auto"/>
                <w:szCs w:val="21"/>
                <w:highlight w:val="none"/>
              </w:rPr>
              <w:t>数量</w:t>
            </w:r>
          </w:p>
          <w:p w14:paraId="2CAAEDF7">
            <w:pPr>
              <w:jc w:val="center"/>
              <w:textAlignment w:val="center"/>
              <w:outlineLvl w:val="9"/>
              <w:rPr>
                <w:rFonts w:hAnsi="宋体" w:cs="宋体"/>
                <w:color w:val="auto"/>
                <w:szCs w:val="21"/>
                <w:highlight w:val="none"/>
              </w:rPr>
            </w:pPr>
            <w:r>
              <w:rPr>
                <w:rFonts w:hint="eastAsia" w:hAnsi="宋体" w:cs="宋体"/>
                <w:color w:val="auto"/>
                <w:szCs w:val="21"/>
                <w:highlight w:val="none"/>
              </w:rPr>
              <w:t>（个）</w:t>
            </w: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51EDB4BC">
            <w:pPr>
              <w:jc w:val="center"/>
              <w:textAlignment w:val="center"/>
              <w:outlineLvl w:val="9"/>
              <w:rPr>
                <w:rFonts w:hAnsi="宋体" w:cs="宋体"/>
                <w:color w:val="auto"/>
                <w:szCs w:val="21"/>
                <w:highlight w:val="none"/>
              </w:rPr>
            </w:pPr>
            <w:r>
              <w:rPr>
                <w:rFonts w:hint="eastAsia" w:hAnsi="宋体" w:cs="宋体"/>
                <w:color w:val="auto"/>
                <w:szCs w:val="21"/>
                <w:highlight w:val="none"/>
              </w:rPr>
              <w:t>废物毛重</w:t>
            </w:r>
          </w:p>
          <w:p w14:paraId="4679B4AE">
            <w:pPr>
              <w:jc w:val="center"/>
              <w:textAlignment w:val="center"/>
              <w:outlineLvl w:val="9"/>
              <w:rPr>
                <w:rFonts w:hAnsi="宋体" w:cs="宋体"/>
                <w:b/>
                <w:bCs/>
                <w:color w:val="auto"/>
                <w:szCs w:val="21"/>
                <w:highlight w:val="none"/>
              </w:rPr>
            </w:pPr>
            <w:r>
              <w:rPr>
                <w:rFonts w:hint="eastAsia" w:hAnsi="宋体" w:cs="宋体"/>
                <w:color w:val="auto"/>
                <w:szCs w:val="21"/>
                <w:highlight w:val="none"/>
              </w:rPr>
              <w:t>（KG）</w:t>
            </w: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315339F9">
            <w:pPr>
              <w:jc w:val="both"/>
              <w:textAlignment w:val="center"/>
              <w:outlineLvl w:val="9"/>
              <w:rPr>
                <w:rStyle w:val="86"/>
                <w:rFonts w:ascii="宋体" w:hAnsi="宋体" w:eastAsia="宋体" w:cs="宋体"/>
                <w:b w:val="0"/>
                <w:bCs w:val="0"/>
                <w:color w:val="auto"/>
                <w:sz w:val="21"/>
                <w:szCs w:val="21"/>
                <w:highlight w:val="none"/>
              </w:rPr>
            </w:pPr>
            <w:r>
              <w:rPr>
                <w:rStyle w:val="86"/>
                <w:rFonts w:hint="eastAsia" w:ascii="宋体" w:hAnsi="宋体" w:eastAsia="宋体" w:cs="宋体"/>
                <w:b w:val="0"/>
                <w:bCs w:val="0"/>
                <w:color w:val="auto"/>
                <w:sz w:val="21"/>
                <w:szCs w:val="21"/>
                <w:highlight w:val="none"/>
              </w:rPr>
              <w:t>（卡板/桶）皮重</w:t>
            </w:r>
          </w:p>
          <w:p w14:paraId="218A3EDB">
            <w:pPr>
              <w:jc w:val="center"/>
              <w:textAlignment w:val="center"/>
              <w:outlineLvl w:val="9"/>
              <w:rPr>
                <w:rFonts w:hAnsi="宋体" w:cs="宋体"/>
                <w:b/>
                <w:bCs/>
                <w:color w:val="auto"/>
                <w:szCs w:val="21"/>
                <w:highlight w:val="none"/>
              </w:rPr>
            </w:pPr>
            <w:r>
              <w:rPr>
                <w:rFonts w:hint="eastAsia" w:hAnsi="宋体" w:cs="宋体"/>
                <w:color w:val="auto"/>
                <w:szCs w:val="21"/>
                <w:highlight w:val="none"/>
              </w:rPr>
              <w:t>（KG）</w:t>
            </w: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341BAAE2">
            <w:pPr>
              <w:jc w:val="center"/>
              <w:textAlignment w:val="center"/>
              <w:outlineLvl w:val="9"/>
              <w:rPr>
                <w:rFonts w:hAnsi="宋体" w:cs="宋体"/>
                <w:color w:val="auto"/>
                <w:szCs w:val="21"/>
                <w:highlight w:val="none"/>
              </w:rPr>
            </w:pPr>
            <w:r>
              <w:rPr>
                <w:rFonts w:hint="eastAsia" w:hAnsi="宋体" w:cs="宋体"/>
                <w:color w:val="auto"/>
                <w:szCs w:val="21"/>
                <w:highlight w:val="none"/>
              </w:rPr>
              <w:t>废物净重</w:t>
            </w:r>
          </w:p>
          <w:p w14:paraId="01E563C6">
            <w:pPr>
              <w:jc w:val="center"/>
              <w:textAlignment w:val="center"/>
              <w:outlineLvl w:val="9"/>
              <w:rPr>
                <w:rFonts w:hAnsi="宋体" w:cs="宋体"/>
                <w:color w:val="auto"/>
                <w:szCs w:val="21"/>
                <w:highlight w:val="none"/>
              </w:rPr>
            </w:pPr>
            <w:r>
              <w:rPr>
                <w:rFonts w:hint="eastAsia" w:hAnsi="宋体" w:cs="宋体"/>
                <w:color w:val="auto"/>
                <w:szCs w:val="21"/>
                <w:highlight w:val="none"/>
              </w:rPr>
              <w:t>（KG）</w:t>
            </w:r>
          </w:p>
        </w:tc>
        <w:tc>
          <w:tcPr>
            <w:tcW w:w="479" w:type="pct"/>
            <w:tcBorders>
              <w:top w:val="single" w:color="000000" w:sz="4" w:space="0"/>
              <w:left w:val="single" w:color="000000" w:sz="4" w:space="0"/>
              <w:bottom w:val="single" w:color="000000" w:sz="4" w:space="0"/>
              <w:right w:val="single" w:color="000000" w:sz="4" w:space="0"/>
            </w:tcBorders>
            <w:vAlign w:val="center"/>
          </w:tcPr>
          <w:p w14:paraId="7E08646E">
            <w:pPr>
              <w:jc w:val="both"/>
              <w:textAlignment w:val="center"/>
              <w:outlineLvl w:val="9"/>
              <w:rPr>
                <w:rFonts w:hAnsi="宋体" w:cs="宋体"/>
                <w:color w:val="auto"/>
                <w:szCs w:val="21"/>
                <w:highlight w:val="none"/>
              </w:rPr>
            </w:pPr>
            <w:r>
              <w:rPr>
                <w:rFonts w:hint="eastAsia" w:hAnsi="宋体" w:cs="宋体"/>
                <w:color w:val="auto"/>
                <w:szCs w:val="21"/>
                <w:highlight w:val="none"/>
              </w:rPr>
              <w:t>扣皮个数说明或其他备注</w:t>
            </w:r>
          </w:p>
        </w:tc>
      </w:tr>
      <w:tr w14:paraId="32398132">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1BC14889">
            <w:pPr>
              <w:jc w:val="center"/>
              <w:textAlignment w:val="center"/>
              <w:outlineLvl w:val="9"/>
              <w:rPr>
                <w:rFonts w:hAnsi="宋体" w:cs="宋体"/>
                <w:color w:val="auto"/>
                <w:szCs w:val="21"/>
                <w:highlight w:val="none"/>
              </w:rPr>
            </w:pPr>
            <w:r>
              <w:rPr>
                <w:rFonts w:hint="eastAsia" w:hAnsi="宋体" w:cs="宋体"/>
                <w:color w:val="auto"/>
                <w:szCs w:val="21"/>
                <w:highlight w:val="none"/>
              </w:rPr>
              <w:t>1</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7D45ADA6">
            <w:pPr>
              <w:jc w:val="center"/>
              <w:outlineLvl w:val="9"/>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14D28C38">
            <w:pPr>
              <w:jc w:val="center"/>
              <w:outlineLvl w:val="9"/>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38A35A5B">
            <w:pPr>
              <w:jc w:val="center"/>
              <w:outlineLvl w:val="9"/>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4EC3A67F">
            <w:pPr>
              <w:jc w:val="center"/>
              <w:outlineLvl w:val="9"/>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12B06BEF">
            <w:pPr>
              <w:jc w:val="center"/>
              <w:outlineLvl w:val="9"/>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256C13DA">
            <w:pPr>
              <w:jc w:val="center"/>
              <w:outlineLvl w:val="9"/>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284E3A4D">
            <w:pPr>
              <w:jc w:val="center"/>
              <w:outlineLvl w:val="9"/>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070410DB">
            <w:pPr>
              <w:jc w:val="center"/>
              <w:outlineLvl w:val="9"/>
              <w:rPr>
                <w:rFonts w:hAnsi="宋体" w:cs="宋体"/>
                <w:color w:val="auto"/>
                <w:szCs w:val="21"/>
                <w:highlight w:val="none"/>
              </w:rPr>
            </w:pPr>
          </w:p>
        </w:tc>
      </w:tr>
      <w:tr w14:paraId="71563B9D">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42DC218B">
            <w:pPr>
              <w:jc w:val="center"/>
              <w:textAlignment w:val="center"/>
              <w:outlineLvl w:val="9"/>
              <w:rPr>
                <w:rFonts w:hAnsi="宋体" w:cs="宋体"/>
                <w:color w:val="auto"/>
                <w:szCs w:val="21"/>
                <w:highlight w:val="none"/>
              </w:rPr>
            </w:pPr>
            <w:r>
              <w:rPr>
                <w:rFonts w:hint="eastAsia" w:hAnsi="宋体" w:cs="宋体"/>
                <w:color w:val="auto"/>
                <w:szCs w:val="21"/>
                <w:highlight w:val="none"/>
              </w:rPr>
              <w:t>2</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0BA1E84A">
            <w:pPr>
              <w:jc w:val="center"/>
              <w:outlineLvl w:val="9"/>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223B009E">
            <w:pPr>
              <w:jc w:val="center"/>
              <w:outlineLvl w:val="9"/>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3F842124">
            <w:pPr>
              <w:jc w:val="center"/>
              <w:outlineLvl w:val="9"/>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6880373A">
            <w:pPr>
              <w:jc w:val="center"/>
              <w:outlineLvl w:val="9"/>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450A2526">
            <w:pPr>
              <w:jc w:val="center"/>
              <w:outlineLvl w:val="9"/>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5C9BB341">
            <w:pPr>
              <w:jc w:val="center"/>
              <w:outlineLvl w:val="9"/>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49B7E4AD">
            <w:pPr>
              <w:jc w:val="center"/>
              <w:outlineLvl w:val="9"/>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0515DD10">
            <w:pPr>
              <w:jc w:val="center"/>
              <w:outlineLvl w:val="9"/>
              <w:rPr>
                <w:rFonts w:hAnsi="宋体" w:cs="宋体"/>
                <w:color w:val="auto"/>
                <w:szCs w:val="21"/>
                <w:highlight w:val="none"/>
              </w:rPr>
            </w:pPr>
          </w:p>
        </w:tc>
      </w:tr>
      <w:tr w14:paraId="704B98B6">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3A58E6A7">
            <w:pPr>
              <w:jc w:val="center"/>
              <w:textAlignment w:val="center"/>
              <w:outlineLvl w:val="9"/>
              <w:rPr>
                <w:rFonts w:hAnsi="宋体" w:cs="宋体"/>
                <w:color w:val="auto"/>
                <w:szCs w:val="21"/>
                <w:highlight w:val="none"/>
              </w:rPr>
            </w:pPr>
            <w:r>
              <w:rPr>
                <w:rFonts w:hint="eastAsia" w:hAnsi="宋体" w:cs="宋体"/>
                <w:color w:val="auto"/>
                <w:szCs w:val="21"/>
                <w:highlight w:val="none"/>
              </w:rPr>
              <w:t>3</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47B9214E">
            <w:pPr>
              <w:jc w:val="center"/>
              <w:outlineLvl w:val="9"/>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770C6247">
            <w:pPr>
              <w:jc w:val="center"/>
              <w:outlineLvl w:val="9"/>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20A730D2">
            <w:pPr>
              <w:jc w:val="center"/>
              <w:outlineLvl w:val="9"/>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1E95E02F">
            <w:pPr>
              <w:jc w:val="center"/>
              <w:outlineLvl w:val="9"/>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2F0F939B">
            <w:pPr>
              <w:jc w:val="center"/>
              <w:outlineLvl w:val="9"/>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54DCA228">
            <w:pPr>
              <w:jc w:val="center"/>
              <w:outlineLvl w:val="9"/>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7EDEEDD5">
            <w:pPr>
              <w:jc w:val="center"/>
              <w:outlineLvl w:val="9"/>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68FDA601">
            <w:pPr>
              <w:jc w:val="center"/>
              <w:outlineLvl w:val="9"/>
              <w:rPr>
                <w:rFonts w:hAnsi="宋体" w:cs="宋体"/>
                <w:color w:val="auto"/>
                <w:szCs w:val="21"/>
                <w:highlight w:val="none"/>
              </w:rPr>
            </w:pPr>
          </w:p>
        </w:tc>
      </w:tr>
      <w:tr w14:paraId="676569B8">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4C0187F2">
            <w:pPr>
              <w:jc w:val="center"/>
              <w:textAlignment w:val="center"/>
              <w:outlineLvl w:val="9"/>
              <w:rPr>
                <w:rFonts w:hAnsi="宋体" w:cs="宋体"/>
                <w:color w:val="auto"/>
                <w:szCs w:val="21"/>
                <w:highlight w:val="none"/>
              </w:rPr>
            </w:pPr>
            <w:r>
              <w:rPr>
                <w:rFonts w:hint="eastAsia" w:hAnsi="宋体" w:cs="宋体"/>
                <w:color w:val="auto"/>
                <w:szCs w:val="21"/>
                <w:highlight w:val="none"/>
              </w:rPr>
              <w:t>4</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763C758C">
            <w:pPr>
              <w:jc w:val="center"/>
              <w:outlineLvl w:val="9"/>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4DBBEAF6">
            <w:pPr>
              <w:jc w:val="center"/>
              <w:outlineLvl w:val="9"/>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6118651B">
            <w:pPr>
              <w:jc w:val="center"/>
              <w:outlineLvl w:val="9"/>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3EF040AB">
            <w:pPr>
              <w:jc w:val="center"/>
              <w:outlineLvl w:val="9"/>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004ACA36">
            <w:pPr>
              <w:jc w:val="center"/>
              <w:outlineLvl w:val="9"/>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11B48B39">
            <w:pPr>
              <w:jc w:val="center"/>
              <w:outlineLvl w:val="9"/>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4FF695E3">
            <w:pPr>
              <w:jc w:val="center"/>
              <w:outlineLvl w:val="9"/>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7F4F56A7">
            <w:pPr>
              <w:jc w:val="center"/>
              <w:outlineLvl w:val="9"/>
              <w:rPr>
                <w:rFonts w:hAnsi="宋体" w:cs="宋体"/>
                <w:color w:val="auto"/>
                <w:szCs w:val="21"/>
                <w:highlight w:val="none"/>
              </w:rPr>
            </w:pPr>
          </w:p>
        </w:tc>
      </w:tr>
      <w:tr w14:paraId="0ABA54A8">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39B9CB92">
            <w:pPr>
              <w:jc w:val="center"/>
              <w:textAlignment w:val="center"/>
              <w:outlineLvl w:val="9"/>
              <w:rPr>
                <w:rFonts w:hAnsi="宋体" w:cs="宋体"/>
                <w:color w:val="auto"/>
                <w:szCs w:val="21"/>
                <w:highlight w:val="none"/>
              </w:rPr>
            </w:pPr>
            <w:r>
              <w:rPr>
                <w:rFonts w:hint="eastAsia" w:hAnsi="宋体" w:cs="宋体"/>
                <w:color w:val="auto"/>
                <w:szCs w:val="21"/>
                <w:highlight w:val="none"/>
              </w:rPr>
              <w:t>5</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2751194B">
            <w:pPr>
              <w:jc w:val="center"/>
              <w:outlineLvl w:val="9"/>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45372920">
            <w:pPr>
              <w:jc w:val="center"/>
              <w:outlineLvl w:val="9"/>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39A55C44">
            <w:pPr>
              <w:jc w:val="center"/>
              <w:outlineLvl w:val="9"/>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1A334894">
            <w:pPr>
              <w:jc w:val="center"/>
              <w:outlineLvl w:val="9"/>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1189C5DE">
            <w:pPr>
              <w:jc w:val="center"/>
              <w:outlineLvl w:val="9"/>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563FDFEF">
            <w:pPr>
              <w:jc w:val="center"/>
              <w:outlineLvl w:val="9"/>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3A103FAB">
            <w:pPr>
              <w:jc w:val="center"/>
              <w:outlineLvl w:val="9"/>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35927591">
            <w:pPr>
              <w:jc w:val="center"/>
              <w:outlineLvl w:val="9"/>
              <w:rPr>
                <w:rFonts w:hAnsi="宋体" w:cs="宋体"/>
                <w:color w:val="auto"/>
                <w:szCs w:val="21"/>
                <w:highlight w:val="none"/>
              </w:rPr>
            </w:pPr>
          </w:p>
        </w:tc>
      </w:tr>
      <w:tr w14:paraId="31CB52AC">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55A56D40">
            <w:pPr>
              <w:jc w:val="center"/>
              <w:textAlignment w:val="center"/>
              <w:outlineLvl w:val="9"/>
              <w:rPr>
                <w:rFonts w:hAnsi="宋体" w:cs="宋体"/>
                <w:color w:val="auto"/>
                <w:szCs w:val="21"/>
                <w:highlight w:val="none"/>
              </w:rPr>
            </w:pPr>
            <w:r>
              <w:rPr>
                <w:rFonts w:hint="eastAsia" w:hAnsi="宋体" w:cs="宋体"/>
                <w:color w:val="auto"/>
                <w:szCs w:val="21"/>
                <w:highlight w:val="none"/>
              </w:rPr>
              <w:t>6</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75DFBB58">
            <w:pPr>
              <w:jc w:val="center"/>
              <w:outlineLvl w:val="9"/>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2566B3B0">
            <w:pPr>
              <w:jc w:val="center"/>
              <w:outlineLvl w:val="9"/>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6C60B5D5">
            <w:pPr>
              <w:jc w:val="center"/>
              <w:outlineLvl w:val="9"/>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7E539F25">
            <w:pPr>
              <w:jc w:val="center"/>
              <w:outlineLvl w:val="9"/>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377F4553">
            <w:pPr>
              <w:jc w:val="center"/>
              <w:outlineLvl w:val="9"/>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563606AE">
            <w:pPr>
              <w:jc w:val="center"/>
              <w:outlineLvl w:val="9"/>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2DB08888">
            <w:pPr>
              <w:jc w:val="center"/>
              <w:outlineLvl w:val="9"/>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717008FA">
            <w:pPr>
              <w:jc w:val="center"/>
              <w:outlineLvl w:val="9"/>
              <w:rPr>
                <w:rFonts w:hAnsi="宋体" w:cs="宋体"/>
                <w:color w:val="auto"/>
                <w:szCs w:val="21"/>
                <w:highlight w:val="none"/>
              </w:rPr>
            </w:pPr>
          </w:p>
        </w:tc>
      </w:tr>
      <w:tr w14:paraId="13C1AF60">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2F4602EF">
            <w:pPr>
              <w:jc w:val="center"/>
              <w:textAlignment w:val="center"/>
              <w:outlineLvl w:val="9"/>
              <w:rPr>
                <w:rFonts w:hAnsi="宋体" w:cs="宋体"/>
                <w:color w:val="auto"/>
                <w:szCs w:val="21"/>
                <w:highlight w:val="none"/>
              </w:rPr>
            </w:pPr>
            <w:r>
              <w:rPr>
                <w:rFonts w:hint="eastAsia" w:hAnsi="宋体" w:cs="宋体"/>
                <w:color w:val="auto"/>
                <w:szCs w:val="21"/>
                <w:highlight w:val="none"/>
              </w:rPr>
              <w:t>7</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5D63B1D2">
            <w:pPr>
              <w:jc w:val="center"/>
              <w:outlineLvl w:val="9"/>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3481CCB3">
            <w:pPr>
              <w:jc w:val="center"/>
              <w:outlineLvl w:val="9"/>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7E362119">
            <w:pPr>
              <w:jc w:val="center"/>
              <w:outlineLvl w:val="9"/>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4324AD5A">
            <w:pPr>
              <w:jc w:val="center"/>
              <w:outlineLvl w:val="9"/>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25392987">
            <w:pPr>
              <w:jc w:val="center"/>
              <w:outlineLvl w:val="9"/>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51D5AEA9">
            <w:pPr>
              <w:jc w:val="center"/>
              <w:outlineLvl w:val="9"/>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7CDD9928">
            <w:pPr>
              <w:jc w:val="center"/>
              <w:outlineLvl w:val="9"/>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501F02CF">
            <w:pPr>
              <w:jc w:val="center"/>
              <w:outlineLvl w:val="9"/>
              <w:rPr>
                <w:rFonts w:hAnsi="宋体" w:cs="宋体"/>
                <w:color w:val="auto"/>
                <w:szCs w:val="21"/>
                <w:highlight w:val="none"/>
              </w:rPr>
            </w:pPr>
          </w:p>
        </w:tc>
      </w:tr>
      <w:tr w14:paraId="605B9659">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0F425FB0">
            <w:pPr>
              <w:jc w:val="center"/>
              <w:textAlignment w:val="center"/>
              <w:outlineLvl w:val="9"/>
              <w:rPr>
                <w:rFonts w:hAnsi="宋体" w:cs="宋体"/>
                <w:color w:val="auto"/>
                <w:szCs w:val="21"/>
                <w:highlight w:val="none"/>
              </w:rPr>
            </w:pPr>
            <w:r>
              <w:rPr>
                <w:rFonts w:hint="eastAsia" w:hAnsi="宋体" w:cs="宋体"/>
                <w:color w:val="auto"/>
                <w:szCs w:val="21"/>
                <w:highlight w:val="none"/>
              </w:rPr>
              <w:t>8</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428B0931">
            <w:pPr>
              <w:jc w:val="center"/>
              <w:outlineLvl w:val="9"/>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5606A8DE">
            <w:pPr>
              <w:jc w:val="center"/>
              <w:outlineLvl w:val="9"/>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1310803B">
            <w:pPr>
              <w:jc w:val="center"/>
              <w:outlineLvl w:val="9"/>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341EB9FB">
            <w:pPr>
              <w:jc w:val="center"/>
              <w:outlineLvl w:val="9"/>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5D137CA1">
            <w:pPr>
              <w:jc w:val="center"/>
              <w:outlineLvl w:val="9"/>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733E42BD">
            <w:pPr>
              <w:jc w:val="center"/>
              <w:outlineLvl w:val="9"/>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0B56061A">
            <w:pPr>
              <w:jc w:val="center"/>
              <w:outlineLvl w:val="9"/>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624AAEDB">
            <w:pPr>
              <w:jc w:val="center"/>
              <w:outlineLvl w:val="9"/>
              <w:rPr>
                <w:rFonts w:hAnsi="宋体" w:cs="宋体"/>
                <w:color w:val="auto"/>
                <w:szCs w:val="21"/>
                <w:highlight w:val="none"/>
              </w:rPr>
            </w:pPr>
          </w:p>
        </w:tc>
      </w:tr>
      <w:tr w14:paraId="5084F28D">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1033CCE2">
            <w:pPr>
              <w:jc w:val="center"/>
              <w:textAlignment w:val="center"/>
              <w:outlineLvl w:val="9"/>
              <w:rPr>
                <w:rFonts w:hAnsi="宋体" w:cs="宋体"/>
                <w:color w:val="auto"/>
                <w:szCs w:val="21"/>
                <w:highlight w:val="none"/>
              </w:rPr>
            </w:pPr>
            <w:r>
              <w:rPr>
                <w:rFonts w:hint="eastAsia" w:hAnsi="宋体" w:cs="宋体"/>
                <w:color w:val="auto"/>
                <w:szCs w:val="21"/>
                <w:highlight w:val="none"/>
              </w:rPr>
              <w:t>9</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5BD0C618">
            <w:pPr>
              <w:jc w:val="center"/>
              <w:outlineLvl w:val="9"/>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3BB3899D">
            <w:pPr>
              <w:jc w:val="center"/>
              <w:outlineLvl w:val="9"/>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36F83D78">
            <w:pPr>
              <w:jc w:val="center"/>
              <w:outlineLvl w:val="9"/>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14CB6C10">
            <w:pPr>
              <w:jc w:val="center"/>
              <w:outlineLvl w:val="9"/>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790F4026">
            <w:pPr>
              <w:jc w:val="center"/>
              <w:outlineLvl w:val="9"/>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088D498A">
            <w:pPr>
              <w:jc w:val="center"/>
              <w:outlineLvl w:val="9"/>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0F13140B">
            <w:pPr>
              <w:jc w:val="center"/>
              <w:outlineLvl w:val="9"/>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45C64165">
            <w:pPr>
              <w:jc w:val="center"/>
              <w:outlineLvl w:val="9"/>
              <w:rPr>
                <w:rFonts w:hAnsi="宋体" w:cs="宋体"/>
                <w:color w:val="auto"/>
                <w:szCs w:val="21"/>
                <w:highlight w:val="none"/>
              </w:rPr>
            </w:pPr>
          </w:p>
        </w:tc>
      </w:tr>
      <w:tr w14:paraId="464341B0">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55FABAC0">
            <w:pPr>
              <w:jc w:val="center"/>
              <w:textAlignment w:val="center"/>
              <w:outlineLvl w:val="9"/>
              <w:rPr>
                <w:rFonts w:hAnsi="宋体" w:cs="宋体"/>
                <w:color w:val="auto"/>
                <w:szCs w:val="21"/>
                <w:highlight w:val="none"/>
              </w:rPr>
            </w:pPr>
            <w:r>
              <w:rPr>
                <w:rFonts w:hint="eastAsia" w:hAnsi="宋体" w:cs="宋体"/>
                <w:color w:val="auto"/>
                <w:szCs w:val="21"/>
                <w:highlight w:val="none"/>
              </w:rPr>
              <w:t>10</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414A62DD">
            <w:pPr>
              <w:jc w:val="center"/>
              <w:outlineLvl w:val="9"/>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126D45EE">
            <w:pPr>
              <w:jc w:val="center"/>
              <w:outlineLvl w:val="9"/>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46E20DEF">
            <w:pPr>
              <w:jc w:val="center"/>
              <w:outlineLvl w:val="9"/>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32019114">
            <w:pPr>
              <w:jc w:val="center"/>
              <w:outlineLvl w:val="9"/>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2EA0DEB6">
            <w:pPr>
              <w:jc w:val="center"/>
              <w:outlineLvl w:val="9"/>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152255D8">
            <w:pPr>
              <w:jc w:val="center"/>
              <w:outlineLvl w:val="9"/>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7AA39027">
            <w:pPr>
              <w:jc w:val="center"/>
              <w:outlineLvl w:val="9"/>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7FB456A3">
            <w:pPr>
              <w:jc w:val="center"/>
              <w:outlineLvl w:val="9"/>
              <w:rPr>
                <w:rFonts w:hAnsi="宋体" w:cs="宋体"/>
                <w:color w:val="auto"/>
                <w:szCs w:val="21"/>
                <w:highlight w:val="none"/>
              </w:rPr>
            </w:pPr>
          </w:p>
        </w:tc>
      </w:tr>
      <w:tr w14:paraId="1AD8B40C">
        <w:tblPrEx>
          <w:tblCellMar>
            <w:top w:w="0" w:type="dxa"/>
            <w:left w:w="108" w:type="dxa"/>
            <w:bottom w:w="0" w:type="dxa"/>
            <w:right w:w="108" w:type="dxa"/>
          </w:tblCellMar>
        </w:tblPrEx>
        <w:trPr>
          <w:trHeight w:val="860" w:hRule="atLeast"/>
          <w:jc w:val="center"/>
        </w:trPr>
        <w:tc>
          <w:tcPr>
            <w:tcW w:w="5000" w:type="pct"/>
            <w:gridSpan w:val="9"/>
            <w:tcBorders>
              <w:top w:val="single" w:color="000000" w:sz="4" w:space="0"/>
              <w:left w:val="single" w:color="000000" w:sz="4" w:space="0"/>
              <w:bottom w:val="single" w:color="000000" w:sz="4" w:space="0"/>
              <w:right w:val="single" w:color="000000" w:sz="4" w:space="0"/>
            </w:tcBorders>
            <w:vAlign w:val="center"/>
          </w:tcPr>
          <w:p w14:paraId="70700900">
            <w:pPr>
              <w:jc w:val="both"/>
              <w:textAlignment w:val="center"/>
              <w:outlineLvl w:val="9"/>
              <w:rPr>
                <w:rFonts w:hAnsi="宋体" w:cs="宋体"/>
                <w:color w:val="auto"/>
                <w:szCs w:val="21"/>
                <w:highlight w:val="none"/>
              </w:rPr>
            </w:pPr>
            <w:r>
              <w:rPr>
                <w:rFonts w:hint="eastAsia" w:hAnsi="宋体" w:cs="宋体"/>
                <w:color w:val="auto"/>
                <w:szCs w:val="21"/>
                <w:highlight w:val="none"/>
              </w:rPr>
              <w:t>备注：</w:t>
            </w:r>
          </w:p>
          <w:p w14:paraId="3326A11F">
            <w:pPr>
              <w:jc w:val="both"/>
              <w:textAlignment w:val="center"/>
              <w:outlineLvl w:val="9"/>
              <w:rPr>
                <w:rFonts w:hAnsi="宋体" w:cs="宋体"/>
                <w:color w:val="auto"/>
                <w:szCs w:val="21"/>
                <w:highlight w:val="none"/>
              </w:rPr>
            </w:pPr>
            <w:r>
              <w:rPr>
                <w:rFonts w:hint="eastAsia" w:hAnsi="宋体" w:cs="宋体"/>
                <w:color w:val="auto"/>
                <w:szCs w:val="21"/>
                <w:highlight w:val="none"/>
              </w:rPr>
              <w:t>1、此承运单一式四联，白联存根，其余三联三方各执一联；</w:t>
            </w:r>
          </w:p>
          <w:p w14:paraId="5D13E925">
            <w:pPr>
              <w:jc w:val="both"/>
              <w:textAlignment w:val="center"/>
              <w:outlineLvl w:val="9"/>
              <w:rPr>
                <w:rFonts w:hAnsi="宋体" w:cs="宋体"/>
                <w:color w:val="auto"/>
                <w:szCs w:val="21"/>
                <w:highlight w:val="none"/>
              </w:rPr>
            </w:pPr>
            <w:r>
              <w:rPr>
                <w:rFonts w:hint="eastAsia" w:hAnsi="宋体" w:cs="宋体"/>
                <w:b/>
                <w:bCs/>
                <w:color w:val="auto"/>
                <w:szCs w:val="21"/>
                <w:highlight w:val="none"/>
              </w:rPr>
              <w:t>2、袋装不扣皮，200L以下桶不扣皮，卡板和200L及以上桶按实际情况扣皮。</w:t>
            </w:r>
          </w:p>
        </w:tc>
      </w:tr>
      <w:tr w14:paraId="54F7DEB2">
        <w:tblPrEx>
          <w:tblCellMar>
            <w:top w:w="0" w:type="dxa"/>
            <w:left w:w="108" w:type="dxa"/>
            <w:bottom w:w="0" w:type="dxa"/>
            <w:right w:w="108" w:type="dxa"/>
          </w:tblCellMar>
        </w:tblPrEx>
        <w:trPr>
          <w:trHeight w:val="493"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6C172BFD">
            <w:pPr>
              <w:jc w:val="center"/>
              <w:textAlignment w:val="center"/>
              <w:outlineLvl w:val="9"/>
              <w:rPr>
                <w:rFonts w:hAnsi="宋体" w:cs="宋体"/>
                <w:color w:val="auto"/>
                <w:szCs w:val="21"/>
                <w:highlight w:val="none"/>
              </w:rPr>
            </w:pPr>
            <w:r>
              <w:rPr>
                <w:rFonts w:hint="eastAsia" w:hAnsi="宋体" w:cs="宋体"/>
                <w:color w:val="auto"/>
                <w:szCs w:val="21"/>
                <w:highlight w:val="none"/>
              </w:rPr>
              <w:t>车牌号：</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076BFCA8">
            <w:pPr>
              <w:jc w:val="center"/>
              <w:outlineLvl w:val="9"/>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1F032BF9">
            <w:pPr>
              <w:jc w:val="center"/>
              <w:textAlignment w:val="center"/>
              <w:outlineLvl w:val="9"/>
              <w:rPr>
                <w:rFonts w:hAnsi="宋体" w:cs="宋体"/>
                <w:color w:val="auto"/>
                <w:szCs w:val="21"/>
                <w:highlight w:val="none"/>
              </w:rPr>
            </w:pPr>
            <w:r>
              <w:rPr>
                <w:rFonts w:hint="eastAsia" w:hAnsi="宋体" w:cs="宋体"/>
                <w:color w:val="auto"/>
                <w:szCs w:val="21"/>
                <w:highlight w:val="none"/>
              </w:rPr>
              <w:t>司机/押运：</w:t>
            </w: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223CE948">
            <w:pPr>
              <w:jc w:val="center"/>
              <w:outlineLvl w:val="9"/>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13A9CA09">
            <w:pPr>
              <w:jc w:val="center"/>
              <w:textAlignment w:val="center"/>
              <w:outlineLvl w:val="9"/>
              <w:rPr>
                <w:rFonts w:hAnsi="宋体" w:cs="宋体"/>
                <w:color w:val="auto"/>
                <w:szCs w:val="21"/>
                <w:highlight w:val="none"/>
              </w:rPr>
            </w:pPr>
            <w:r>
              <w:rPr>
                <w:rFonts w:hint="eastAsia" w:hAnsi="宋体" w:cs="宋体"/>
                <w:color w:val="auto"/>
                <w:szCs w:val="21"/>
                <w:highlight w:val="none"/>
              </w:rPr>
              <w:t>产废单位签名：</w:t>
            </w: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62BF6DAD">
            <w:pPr>
              <w:jc w:val="center"/>
              <w:outlineLvl w:val="9"/>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7945E772">
            <w:pPr>
              <w:jc w:val="center"/>
              <w:textAlignment w:val="center"/>
              <w:outlineLvl w:val="9"/>
              <w:rPr>
                <w:rFonts w:hAnsi="宋体" w:cs="宋体"/>
                <w:color w:val="auto"/>
                <w:szCs w:val="21"/>
                <w:highlight w:val="none"/>
              </w:rPr>
            </w:pPr>
            <w:r>
              <w:rPr>
                <w:rFonts w:hint="eastAsia" w:hAnsi="宋体" w:cs="宋体"/>
                <w:color w:val="auto"/>
                <w:szCs w:val="21"/>
                <w:highlight w:val="none"/>
              </w:rPr>
              <w:t>处置单位签字/日期：</w:t>
            </w:r>
          </w:p>
        </w:tc>
        <w:tc>
          <w:tcPr>
            <w:tcW w:w="958" w:type="pct"/>
            <w:gridSpan w:val="2"/>
            <w:tcBorders>
              <w:top w:val="single" w:color="000000" w:sz="4" w:space="0"/>
              <w:left w:val="single" w:color="000000" w:sz="4" w:space="0"/>
              <w:bottom w:val="single" w:color="000000" w:sz="4" w:space="0"/>
              <w:right w:val="single" w:color="000000" w:sz="4" w:space="0"/>
            </w:tcBorders>
            <w:noWrap/>
            <w:vAlign w:val="center"/>
          </w:tcPr>
          <w:p w14:paraId="2D52678D">
            <w:pPr>
              <w:jc w:val="center"/>
              <w:outlineLvl w:val="9"/>
              <w:rPr>
                <w:rFonts w:hAnsi="宋体" w:cs="宋体"/>
                <w:color w:val="auto"/>
                <w:szCs w:val="21"/>
                <w:highlight w:val="none"/>
              </w:rPr>
            </w:pPr>
          </w:p>
        </w:tc>
      </w:tr>
    </w:tbl>
    <w:p w14:paraId="341FDF38">
      <w:pPr>
        <w:outlineLvl w:val="9"/>
        <w:rPr>
          <w:rFonts w:hint="eastAsia" w:ascii="宋体" w:hAnsi="宋体" w:eastAsia="宋体"/>
          <w:b/>
          <w:color w:val="auto"/>
          <w:sz w:val="21"/>
          <w:szCs w:val="21"/>
          <w:highlight w:val="none"/>
          <w:lang w:eastAsia="zh-CN"/>
        </w:rPr>
      </w:pPr>
      <w:r>
        <w:rPr>
          <w:rFonts w:hint="eastAsia" w:ascii="宋体" w:hAnsi="宋体"/>
          <w:b/>
          <w:color w:val="auto"/>
          <w:sz w:val="24"/>
          <w:highlight w:val="none"/>
        </w:rPr>
        <w:br w:type="page"/>
      </w:r>
      <w:bookmarkStart w:id="388" w:name="_Toc19"/>
      <w:bookmarkStart w:id="389" w:name="_Toc21219"/>
      <w:bookmarkStart w:id="390" w:name="_Toc18919"/>
      <w:bookmarkStart w:id="391" w:name="_Toc11284"/>
      <w:bookmarkStart w:id="392" w:name="_Toc1598"/>
      <w:bookmarkStart w:id="393" w:name="_Toc7965"/>
      <w:bookmarkStart w:id="394" w:name="_Toc15692"/>
      <w:bookmarkStart w:id="395" w:name="_Toc3536"/>
      <w:bookmarkStart w:id="396" w:name="_Toc27372"/>
      <w:bookmarkStart w:id="397" w:name="_Toc5582"/>
      <w:bookmarkStart w:id="398" w:name="_Toc22481"/>
      <w:bookmarkStart w:id="399" w:name="_Toc5150"/>
      <w:bookmarkStart w:id="400" w:name="_Toc13638"/>
      <w:r>
        <w:rPr>
          <w:rFonts w:hint="eastAsia" w:ascii="宋体" w:hAnsi="宋体"/>
          <w:b/>
          <w:color w:val="auto"/>
          <w:sz w:val="21"/>
          <w:szCs w:val="21"/>
          <w:highlight w:val="none"/>
          <w:lang w:val="en-US" w:eastAsia="zh-CN"/>
        </w:rPr>
        <w:t>合同</w:t>
      </w:r>
      <w:r>
        <w:rPr>
          <w:rFonts w:hint="eastAsia" w:ascii="宋体" w:hAnsi="宋体"/>
          <w:b/>
          <w:color w:val="auto"/>
          <w:sz w:val="21"/>
          <w:szCs w:val="21"/>
          <w:highlight w:val="none"/>
        </w:rPr>
        <w:t>附件9：</w:t>
      </w:r>
      <w:r>
        <w:rPr>
          <w:rFonts w:hint="eastAsia" w:ascii="宋体" w:hAnsi="宋体"/>
          <w:b/>
          <w:color w:val="auto"/>
          <w:sz w:val="21"/>
          <w:szCs w:val="21"/>
          <w:highlight w:val="none"/>
          <w:lang w:eastAsia="zh-CN"/>
        </w:rPr>
        <w:t>《</w:t>
      </w:r>
      <w:r>
        <w:rPr>
          <w:rFonts w:hint="eastAsia" w:ascii="宋体" w:hAnsi="宋体"/>
          <w:b/>
          <w:color w:val="auto"/>
          <w:szCs w:val="21"/>
          <w:highlight w:val="none"/>
          <w:lang w:eastAsia="zh-CN"/>
        </w:rPr>
        <w:t>东莞市新东欣环保投资有限公司莞惠区域危废运输服务项目</w:t>
      </w:r>
      <w:r>
        <w:rPr>
          <w:rFonts w:hint="eastAsia" w:ascii="宋体" w:hAnsi="宋体"/>
          <w:b/>
          <w:color w:val="auto"/>
          <w:szCs w:val="21"/>
          <w:highlight w:val="none"/>
        </w:rPr>
        <w:t>技术需求书</w:t>
      </w:r>
      <w:r>
        <w:rPr>
          <w:rFonts w:hint="eastAsia" w:ascii="宋体" w:hAnsi="宋体"/>
          <w:b/>
          <w:color w:val="auto"/>
          <w:sz w:val="21"/>
          <w:szCs w:val="21"/>
          <w:highlight w:val="none"/>
          <w:lang w:eastAsia="zh-CN"/>
        </w:rPr>
        <w:t>》</w:t>
      </w:r>
      <w:bookmarkEnd w:id="388"/>
      <w:bookmarkEnd w:id="389"/>
      <w:bookmarkEnd w:id="390"/>
    </w:p>
    <w:p w14:paraId="39CBAA9D">
      <w:pPr>
        <w:outlineLvl w:val="9"/>
        <w:rPr>
          <w:rFonts w:hint="eastAsia" w:ascii="宋体" w:hAnsi="宋体"/>
          <w:b/>
          <w:color w:val="auto"/>
          <w:sz w:val="21"/>
          <w:szCs w:val="21"/>
          <w:highlight w:val="none"/>
          <w:lang w:val="en-US" w:eastAsia="zh-CN"/>
        </w:rPr>
      </w:pPr>
    </w:p>
    <w:p w14:paraId="06FA46A3">
      <w:pPr>
        <w:jc w:val="center"/>
        <w:outlineLvl w:val="9"/>
        <w:rPr>
          <w:rFonts w:hint="eastAsia" w:ascii="宋体" w:hAnsi="宋体"/>
          <w:b/>
          <w:color w:val="auto"/>
          <w:sz w:val="21"/>
          <w:szCs w:val="21"/>
          <w:highlight w:val="none"/>
          <w:lang w:val="en-US" w:eastAsia="zh-CN"/>
        </w:rPr>
      </w:pPr>
      <w:bookmarkStart w:id="401" w:name="_Toc28512"/>
      <w:r>
        <w:rPr>
          <w:rFonts w:hint="eastAsia" w:ascii="宋体" w:hAnsi="宋体"/>
          <w:b/>
          <w:color w:val="auto"/>
          <w:sz w:val="21"/>
          <w:szCs w:val="21"/>
          <w:highlight w:val="none"/>
          <w:lang w:val="en-US" w:eastAsia="zh-CN"/>
        </w:rPr>
        <w:t>（详见采购文件第二章：技术需求书）</w:t>
      </w:r>
      <w:bookmarkEnd w:id="401"/>
      <w:bookmarkStart w:id="402" w:name="_Toc16965"/>
      <w:bookmarkStart w:id="403" w:name="_Toc29220"/>
      <w:bookmarkStart w:id="404" w:name="_Toc7349"/>
    </w:p>
    <w:p w14:paraId="11B477B6">
      <w:pPr>
        <w:rPr>
          <w:rFonts w:hint="eastAsia" w:ascii="宋体" w:hAnsi="宋体"/>
          <w:b/>
          <w:color w:val="auto"/>
          <w:sz w:val="21"/>
          <w:szCs w:val="21"/>
          <w:highlight w:val="none"/>
          <w:lang w:val="en-US" w:eastAsia="zh-CN"/>
        </w:rPr>
      </w:pPr>
      <w:r>
        <w:rPr>
          <w:rFonts w:hint="eastAsia" w:ascii="宋体" w:hAnsi="宋体"/>
          <w:b/>
          <w:color w:val="auto"/>
          <w:sz w:val="21"/>
          <w:szCs w:val="21"/>
          <w:highlight w:val="none"/>
          <w:lang w:val="en-US" w:eastAsia="zh-CN"/>
        </w:rPr>
        <w:br w:type="page"/>
      </w:r>
    </w:p>
    <w:p w14:paraId="239FBCBC">
      <w:pPr>
        <w:jc w:val="both"/>
        <w:outlineLvl w:val="9"/>
        <w:rPr>
          <w:rFonts w:hint="default" w:ascii="宋体" w:hAnsi="宋体"/>
          <w:b/>
          <w:color w:val="auto"/>
          <w:sz w:val="21"/>
          <w:szCs w:val="21"/>
          <w:highlight w:val="none"/>
          <w:lang w:val="en-US" w:eastAsia="zh-CN"/>
        </w:rPr>
      </w:pPr>
      <w:r>
        <w:rPr>
          <w:rFonts w:hint="eastAsia" w:ascii="宋体" w:hAnsi="宋体"/>
          <w:b/>
          <w:color w:val="auto"/>
          <w:sz w:val="21"/>
          <w:szCs w:val="21"/>
          <w:highlight w:val="none"/>
          <w:lang w:val="en-US" w:eastAsia="zh-CN"/>
        </w:rPr>
        <w:t>合同附件10：安全管理协议书</w:t>
      </w:r>
    </w:p>
    <w:p w14:paraId="12DE4D69">
      <w:pPr>
        <w:numPr>
          <w:ilvl w:val="12"/>
          <w:numId w:val="0"/>
        </w:numPr>
        <w:jc w:val="center"/>
        <w:rPr>
          <w:rFonts w:hint="default" w:ascii="Times New Roman" w:hAnsi="Times New Roman" w:eastAsia="宋体" w:cs="Times New Roman"/>
          <w:b/>
          <w:bCs/>
          <w:color w:val="auto"/>
          <w:sz w:val="52"/>
          <w:szCs w:val="44"/>
          <w:highlight w:val="none"/>
        </w:rPr>
      </w:pPr>
    </w:p>
    <w:p w14:paraId="007400A6">
      <w:pPr>
        <w:pStyle w:val="29"/>
        <w:rPr>
          <w:rFonts w:hint="default" w:ascii="Times New Roman" w:hAnsi="Times New Roman" w:eastAsia="宋体" w:cs="Times New Roman"/>
          <w:b/>
          <w:bCs/>
          <w:color w:val="auto"/>
          <w:sz w:val="52"/>
          <w:szCs w:val="44"/>
          <w:highlight w:val="none"/>
        </w:rPr>
      </w:pPr>
    </w:p>
    <w:p w14:paraId="60F6F928">
      <w:pPr>
        <w:pStyle w:val="29"/>
        <w:rPr>
          <w:rFonts w:hint="default" w:ascii="Times New Roman" w:hAnsi="Times New Roman" w:eastAsia="宋体" w:cs="Times New Roman"/>
          <w:b/>
          <w:bCs/>
          <w:color w:val="auto"/>
          <w:sz w:val="52"/>
          <w:szCs w:val="44"/>
          <w:highlight w:val="none"/>
        </w:rPr>
      </w:pPr>
    </w:p>
    <w:p w14:paraId="7846F6CA">
      <w:pPr>
        <w:pStyle w:val="29"/>
        <w:rPr>
          <w:rFonts w:hint="default" w:ascii="Times New Roman" w:hAnsi="Times New Roman" w:eastAsia="宋体" w:cs="Times New Roman"/>
          <w:b/>
          <w:bCs/>
          <w:color w:val="auto"/>
          <w:sz w:val="56"/>
          <w:szCs w:val="48"/>
          <w:highlight w:val="none"/>
        </w:rPr>
      </w:pPr>
    </w:p>
    <w:p w14:paraId="57775C92">
      <w:pPr>
        <w:pStyle w:val="29"/>
        <w:rPr>
          <w:rFonts w:hint="default" w:ascii="Times New Roman" w:hAnsi="Times New Roman" w:eastAsia="宋体" w:cs="Times New Roman"/>
          <w:b/>
          <w:bCs/>
          <w:color w:val="auto"/>
          <w:sz w:val="56"/>
          <w:szCs w:val="48"/>
          <w:highlight w:val="none"/>
        </w:rPr>
      </w:pPr>
    </w:p>
    <w:p w14:paraId="4F1F195F">
      <w:pPr>
        <w:numPr>
          <w:ilvl w:val="12"/>
          <w:numId w:val="0"/>
        </w:numPr>
        <w:jc w:val="center"/>
        <w:rPr>
          <w:rFonts w:hint="default" w:ascii="Times New Roman" w:hAnsi="Times New Roman" w:eastAsia="宋体" w:cs="Times New Roman"/>
          <w:b/>
          <w:bCs/>
          <w:color w:val="auto"/>
          <w:sz w:val="72"/>
          <w:szCs w:val="52"/>
          <w:highlight w:val="none"/>
        </w:rPr>
      </w:pPr>
      <w:r>
        <w:rPr>
          <w:rFonts w:hint="default" w:ascii="Times New Roman" w:hAnsi="Times New Roman" w:eastAsia="宋体" w:cs="Times New Roman"/>
          <w:b/>
          <w:bCs/>
          <w:color w:val="auto"/>
          <w:sz w:val="72"/>
          <w:szCs w:val="52"/>
          <w:highlight w:val="none"/>
        </w:rPr>
        <w:t>安全管理协议书</w:t>
      </w:r>
    </w:p>
    <w:p w14:paraId="289063D0">
      <w:pPr>
        <w:pStyle w:val="29"/>
        <w:rPr>
          <w:rFonts w:hint="default" w:ascii="Times New Roman" w:hAnsi="Times New Roman" w:eastAsia="宋体" w:cs="Times New Roman"/>
          <w:b/>
          <w:bCs/>
          <w:color w:val="auto"/>
          <w:sz w:val="72"/>
          <w:szCs w:val="52"/>
          <w:highlight w:val="none"/>
        </w:rPr>
      </w:pPr>
    </w:p>
    <w:p w14:paraId="3C406362">
      <w:pPr>
        <w:pStyle w:val="29"/>
        <w:rPr>
          <w:rFonts w:hint="default" w:ascii="Times New Roman" w:hAnsi="Times New Roman" w:eastAsia="宋体" w:cs="Times New Roman"/>
          <w:b/>
          <w:bCs/>
          <w:color w:val="auto"/>
          <w:sz w:val="72"/>
          <w:szCs w:val="52"/>
          <w:highlight w:val="none"/>
        </w:rPr>
      </w:pPr>
    </w:p>
    <w:p w14:paraId="628D6B39">
      <w:pPr>
        <w:pStyle w:val="29"/>
        <w:rPr>
          <w:rFonts w:hint="default" w:ascii="Times New Roman" w:hAnsi="Times New Roman" w:eastAsia="宋体" w:cs="Times New Roman"/>
          <w:b/>
          <w:bCs/>
          <w:color w:val="auto"/>
          <w:sz w:val="72"/>
          <w:szCs w:val="52"/>
          <w:highlight w:val="none"/>
        </w:rPr>
      </w:pPr>
    </w:p>
    <w:p w14:paraId="45275380">
      <w:pPr>
        <w:pStyle w:val="29"/>
        <w:rPr>
          <w:rFonts w:hint="default" w:ascii="Times New Roman" w:hAnsi="Times New Roman" w:eastAsia="宋体" w:cs="Times New Roman"/>
          <w:b/>
          <w:bCs/>
          <w:color w:val="auto"/>
          <w:sz w:val="72"/>
          <w:szCs w:val="52"/>
          <w:highlight w:val="none"/>
        </w:rPr>
      </w:pPr>
    </w:p>
    <w:p w14:paraId="538F317E">
      <w:pPr>
        <w:pStyle w:val="29"/>
        <w:rPr>
          <w:rFonts w:hint="default" w:ascii="Times New Roman" w:hAnsi="Times New Roman" w:eastAsia="宋体" w:cs="Times New Roman"/>
          <w:b/>
          <w:bCs/>
          <w:color w:val="auto"/>
          <w:sz w:val="72"/>
          <w:szCs w:val="52"/>
          <w:highlight w:val="none"/>
        </w:rPr>
      </w:pPr>
    </w:p>
    <w:p w14:paraId="5643D150">
      <w:pPr>
        <w:pStyle w:val="29"/>
        <w:rPr>
          <w:rFonts w:hint="default" w:ascii="Times New Roman" w:hAnsi="Times New Roman" w:eastAsia="宋体" w:cs="Times New Roman"/>
          <w:b/>
          <w:bCs/>
          <w:color w:val="auto"/>
          <w:sz w:val="72"/>
          <w:szCs w:val="52"/>
          <w:highlight w:val="none"/>
        </w:rPr>
      </w:pPr>
    </w:p>
    <w:p w14:paraId="7E35E4AC">
      <w:pPr>
        <w:numPr>
          <w:ilvl w:val="12"/>
          <w:numId w:val="0"/>
        </w:numPr>
        <w:jc w:val="center"/>
        <w:rPr>
          <w:rFonts w:hint="default" w:ascii="Times New Roman" w:hAnsi="Times New Roman" w:eastAsia="宋体" w:cs="Times New Roman"/>
          <w:color w:val="auto"/>
          <w:sz w:val="40"/>
          <w:szCs w:val="32"/>
          <w:highlight w:val="none"/>
        </w:rPr>
      </w:pPr>
      <w:r>
        <w:rPr>
          <w:rFonts w:hint="default" w:ascii="Times New Roman" w:hAnsi="Times New Roman" w:eastAsia="宋体" w:cs="Times New Roman"/>
          <w:color w:val="auto"/>
          <w:sz w:val="40"/>
          <w:szCs w:val="32"/>
          <w:highlight w:val="none"/>
        </w:rPr>
        <w:t>东莞市</w:t>
      </w:r>
      <w:r>
        <w:rPr>
          <w:rFonts w:hint="eastAsia" w:cs="Times New Roman"/>
          <w:color w:val="auto"/>
          <w:sz w:val="40"/>
          <w:szCs w:val="32"/>
          <w:highlight w:val="none"/>
          <w:lang w:val="en-US" w:eastAsia="zh-CN"/>
        </w:rPr>
        <w:t>新东欣环保投资</w:t>
      </w:r>
      <w:r>
        <w:rPr>
          <w:rFonts w:hint="default" w:ascii="Times New Roman" w:hAnsi="Times New Roman" w:eastAsia="宋体" w:cs="Times New Roman"/>
          <w:color w:val="auto"/>
          <w:sz w:val="40"/>
          <w:szCs w:val="32"/>
          <w:highlight w:val="none"/>
        </w:rPr>
        <w:t>有限公司编制</w:t>
      </w:r>
    </w:p>
    <w:p w14:paraId="2873C5A0">
      <w:pPr>
        <w:numPr>
          <w:ilvl w:val="12"/>
          <w:numId w:val="0"/>
        </w:numPr>
        <w:jc w:val="center"/>
        <w:rPr>
          <w:rFonts w:hint="default" w:ascii="Times New Roman" w:hAnsi="Times New Roman" w:eastAsia="宋体" w:cs="Times New Roman"/>
          <w:color w:val="auto"/>
          <w:sz w:val="24"/>
          <w:szCs w:val="32"/>
          <w:highlight w:val="none"/>
        </w:rPr>
      </w:pPr>
    </w:p>
    <w:p w14:paraId="08002057">
      <w:pPr>
        <w:numPr>
          <w:ilvl w:val="12"/>
          <w:numId w:val="0"/>
        </w:numPr>
        <w:spacing w:before="319" w:beforeLines="100"/>
        <w:jc w:val="center"/>
        <w:rPr>
          <w:rFonts w:hint="default" w:ascii="Times New Roman" w:hAnsi="Times New Roman" w:eastAsia="宋体" w:cs="Times New Roman"/>
          <w:b w:val="0"/>
          <w:bCs/>
          <w:color w:val="auto"/>
          <w:sz w:val="28"/>
          <w:szCs w:val="36"/>
          <w:highlight w:val="none"/>
        </w:rPr>
      </w:pPr>
      <w:r>
        <w:rPr>
          <w:rFonts w:hint="default" w:ascii="Times New Roman" w:hAnsi="Times New Roman" w:eastAsia="宋体" w:cs="Times New Roman"/>
          <w:b w:val="0"/>
          <w:bCs/>
          <w:color w:val="auto"/>
          <w:sz w:val="28"/>
          <w:szCs w:val="36"/>
          <w:highlight w:val="none"/>
        </w:rPr>
        <w:t>202</w:t>
      </w:r>
      <w:r>
        <w:rPr>
          <w:rFonts w:hint="eastAsia" w:cs="Times New Roman"/>
          <w:b w:val="0"/>
          <w:bCs/>
          <w:color w:val="auto"/>
          <w:sz w:val="28"/>
          <w:szCs w:val="36"/>
          <w:highlight w:val="none"/>
          <w:lang w:val="en-US" w:eastAsia="zh-CN"/>
        </w:rPr>
        <w:t>5</w:t>
      </w:r>
      <w:r>
        <w:rPr>
          <w:rFonts w:hint="default" w:ascii="Times New Roman" w:hAnsi="Times New Roman" w:eastAsia="宋体" w:cs="Times New Roman"/>
          <w:b w:val="0"/>
          <w:bCs/>
          <w:color w:val="auto"/>
          <w:sz w:val="28"/>
          <w:szCs w:val="36"/>
          <w:highlight w:val="none"/>
        </w:rPr>
        <w:t>年</w:t>
      </w:r>
      <w:r>
        <w:rPr>
          <w:rFonts w:hint="eastAsia" w:cs="Times New Roman"/>
          <w:b w:val="0"/>
          <w:bCs/>
          <w:color w:val="auto"/>
          <w:sz w:val="28"/>
          <w:szCs w:val="36"/>
          <w:highlight w:val="none"/>
          <w:lang w:val="en-US" w:eastAsia="zh-CN"/>
        </w:rPr>
        <w:t>5</w:t>
      </w:r>
      <w:r>
        <w:rPr>
          <w:rFonts w:hint="default" w:ascii="Times New Roman" w:hAnsi="Times New Roman" w:eastAsia="宋体" w:cs="Times New Roman"/>
          <w:b w:val="0"/>
          <w:bCs/>
          <w:color w:val="auto"/>
          <w:sz w:val="28"/>
          <w:szCs w:val="36"/>
          <w:highlight w:val="none"/>
        </w:rPr>
        <w:t>月</w:t>
      </w:r>
    </w:p>
    <w:p w14:paraId="386A328F">
      <w:pPr>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br w:type="page"/>
      </w:r>
    </w:p>
    <w:p w14:paraId="627A88EB">
      <w:pPr>
        <w:numPr>
          <w:ilvl w:val="12"/>
          <w:numId w:val="0"/>
        </w:numPr>
        <w:spacing w:line="600" w:lineRule="exact"/>
        <w:rPr>
          <w:rFonts w:hint="default" w:ascii="Times New Roman" w:hAnsi="Times New Roman" w:eastAsia="宋体" w:cs="Times New Roman"/>
          <w:color w:val="auto"/>
          <w:szCs w:val="28"/>
          <w:highlight w:val="none"/>
        </w:rPr>
      </w:pPr>
      <w:r>
        <w:rPr>
          <w:rFonts w:hint="default" w:ascii="Times New Roman" w:hAnsi="Times New Roman" w:eastAsia="宋体" w:cs="Times New Roman"/>
          <w:color w:val="auto"/>
          <w:szCs w:val="28"/>
          <w:highlight w:val="none"/>
        </w:rPr>
        <w:t>甲方：</w:t>
      </w:r>
      <w:r>
        <w:rPr>
          <w:rFonts w:hint="default" w:ascii="Times New Roman" w:hAnsi="Times New Roman" w:eastAsia="宋体" w:cs="Times New Roman"/>
          <w:color w:val="auto"/>
          <w:szCs w:val="28"/>
          <w:highlight w:val="none"/>
          <w:u w:val="single"/>
        </w:rPr>
        <w:t xml:space="preserve">东莞市新东欣环保投资有限公司                                            </w:t>
      </w:r>
    </w:p>
    <w:p w14:paraId="5FB130CC">
      <w:pPr>
        <w:numPr>
          <w:ilvl w:val="12"/>
          <w:numId w:val="0"/>
        </w:numPr>
        <w:spacing w:line="600" w:lineRule="exact"/>
        <w:rPr>
          <w:rFonts w:hint="default" w:ascii="Times New Roman" w:hAnsi="Times New Roman" w:eastAsia="宋体" w:cs="Times New Roman"/>
          <w:color w:val="auto"/>
          <w:szCs w:val="28"/>
          <w:highlight w:val="none"/>
          <w:u w:val="single"/>
        </w:rPr>
      </w:pPr>
      <w:r>
        <w:rPr>
          <w:rFonts w:hint="default" w:ascii="Times New Roman" w:hAnsi="Times New Roman" w:eastAsia="宋体" w:cs="Times New Roman"/>
          <w:color w:val="auto"/>
          <w:szCs w:val="28"/>
          <w:highlight w:val="none"/>
        </w:rPr>
        <w:t>地址</w:t>
      </w:r>
      <w:r>
        <w:rPr>
          <w:rFonts w:hint="default" w:ascii="Times New Roman" w:hAnsi="Times New Roman" w:eastAsia="宋体" w:cs="Times New Roman"/>
          <w:color w:val="auto"/>
          <w:szCs w:val="28"/>
          <w:highlight w:val="none"/>
          <w:lang w:eastAsia="zh-CN"/>
        </w:rPr>
        <w:t>：</w:t>
      </w:r>
      <w:r>
        <w:rPr>
          <w:rFonts w:hint="default" w:ascii="Times New Roman" w:hAnsi="Times New Roman" w:eastAsia="宋体" w:cs="Times New Roman"/>
          <w:color w:val="auto"/>
          <w:szCs w:val="28"/>
          <w:highlight w:val="none"/>
          <w:u w:val="single"/>
        </w:rPr>
        <w:t xml:space="preserve">东莞市麻涌镇大步村海心沙岛                                              </w:t>
      </w:r>
    </w:p>
    <w:p w14:paraId="4F2724A2">
      <w:pPr>
        <w:numPr>
          <w:ilvl w:val="12"/>
          <w:numId w:val="0"/>
        </w:numPr>
        <w:spacing w:line="600" w:lineRule="exact"/>
        <w:rPr>
          <w:rFonts w:hint="default" w:ascii="Times New Roman" w:hAnsi="Times New Roman" w:eastAsia="宋体" w:cs="Times New Roman"/>
          <w:color w:val="auto"/>
          <w:szCs w:val="28"/>
          <w:highlight w:val="none"/>
          <w:u w:val="single"/>
        </w:rPr>
      </w:pPr>
      <w:r>
        <w:rPr>
          <w:rFonts w:hint="default" w:ascii="Times New Roman" w:hAnsi="Times New Roman" w:eastAsia="宋体" w:cs="Times New Roman"/>
          <w:color w:val="auto"/>
          <w:szCs w:val="28"/>
          <w:highlight w:val="none"/>
        </w:rPr>
        <w:t>联络人：</w:t>
      </w:r>
      <w:r>
        <w:rPr>
          <w:rFonts w:hint="default" w:ascii="Times New Roman" w:hAnsi="Times New Roman" w:eastAsia="宋体" w:cs="Times New Roman"/>
          <w:color w:val="auto"/>
          <w:szCs w:val="28"/>
          <w:highlight w:val="none"/>
          <w:u w:val="single"/>
        </w:rPr>
        <w:t xml:space="preserve">  </w:t>
      </w:r>
      <w:r>
        <w:rPr>
          <w:rFonts w:hint="eastAsia" w:ascii="Times New Roman" w:hAnsi="Times New Roman" w:cs="Times New Roman"/>
          <w:color w:val="auto"/>
          <w:szCs w:val="28"/>
          <w:highlight w:val="none"/>
          <w:u w:val="single"/>
          <w:lang w:val="en-US" w:eastAsia="zh-CN"/>
        </w:rPr>
        <w:t xml:space="preserve"> </w:t>
      </w:r>
      <w:r>
        <w:rPr>
          <w:rFonts w:hint="default" w:ascii="Times New Roman" w:hAnsi="Times New Roman" w:eastAsia="宋体" w:cs="Times New Roman"/>
          <w:color w:val="auto"/>
          <w:szCs w:val="28"/>
          <w:highlight w:val="none"/>
          <w:u w:val="single"/>
        </w:rPr>
        <w:t xml:space="preserve">   </w:t>
      </w:r>
      <w:r>
        <w:rPr>
          <w:rFonts w:hint="eastAsia" w:ascii="Times New Roman" w:hAnsi="Times New Roman" w:cs="Times New Roman"/>
          <w:color w:val="auto"/>
          <w:szCs w:val="28"/>
          <w:highlight w:val="none"/>
          <w:u w:val="single"/>
          <w:lang w:val="en-US" w:eastAsia="zh-CN"/>
        </w:rPr>
        <w:t xml:space="preserve">           </w:t>
      </w:r>
      <w:r>
        <w:rPr>
          <w:rFonts w:hint="default" w:ascii="Times New Roman" w:hAnsi="Times New Roman" w:eastAsia="宋体" w:cs="Times New Roman"/>
          <w:color w:val="auto"/>
          <w:szCs w:val="28"/>
          <w:highlight w:val="none"/>
          <w:u w:val="single"/>
        </w:rPr>
        <w:t xml:space="preserve">  </w:t>
      </w:r>
      <w:r>
        <w:rPr>
          <w:rFonts w:hint="eastAsia" w:ascii="Times New Roman" w:hAnsi="Times New Roman" w:cs="Times New Roman"/>
          <w:color w:val="auto"/>
          <w:szCs w:val="28"/>
          <w:highlight w:val="none"/>
          <w:u w:val="single"/>
          <w:lang w:val="en-US" w:eastAsia="zh-CN"/>
        </w:rPr>
        <w:t xml:space="preserve"> </w:t>
      </w:r>
      <w:r>
        <w:rPr>
          <w:rFonts w:hint="eastAsia" w:ascii="Times New Roman" w:hAnsi="Times New Roman" w:cs="Times New Roman"/>
          <w:color w:val="auto"/>
          <w:szCs w:val="28"/>
          <w:highlight w:val="none"/>
          <w:u w:val="none"/>
          <w:lang w:eastAsia="zh-CN"/>
        </w:rPr>
        <w:t>；</w:t>
      </w:r>
      <w:r>
        <w:rPr>
          <w:rFonts w:hint="default" w:ascii="Times New Roman" w:hAnsi="Times New Roman" w:eastAsia="宋体" w:cs="Times New Roman"/>
          <w:color w:val="auto"/>
          <w:szCs w:val="28"/>
          <w:highlight w:val="none"/>
        </w:rPr>
        <w:t>电话：</w:t>
      </w:r>
      <w:r>
        <w:rPr>
          <w:rFonts w:hint="default" w:ascii="Times New Roman" w:hAnsi="Times New Roman" w:eastAsia="宋体" w:cs="Times New Roman"/>
          <w:color w:val="auto"/>
          <w:szCs w:val="28"/>
          <w:highlight w:val="none"/>
          <w:u w:val="single"/>
        </w:rPr>
        <w:t xml:space="preserve">                                          </w:t>
      </w:r>
    </w:p>
    <w:p w14:paraId="1D7D8AC8">
      <w:pPr>
        <w:numPr>
          <w:ilvl w:val="12"/>
          <w:numId w:val="0"/>
        </w:numPr>
        <w:spacing w:line="600" w:lineRule="exact"/>
        <w:rPr>
          <w:rFonts w:hint="default" w:ascii="Times New Roman" w:hAnsi="Times New Roman" w:eastAsia="宋体" w:cs="Times New Roman"/>
          <w:color w:val="auto"/>
          <w:highlight w:val="none"/>
        </w:rPr>
      </w:pPr>
    </w:p>
    <w:p w14:paraId="22814D6C">
      <w:pPr>
        <w:numPr>
          <w:ilvl w:val="12"/>
          <w:numId w:val="0"/>
        </w:numPr>
        <w:spacing w:line="600" w:lineRule="exact"/>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t>乙方：</w:t>
      </w:r>
      <w:r>
        <w:rPr>
          <w:rFonts w:hint="eastAsia" w:cs="Times New Roman"/>
          <w:color w:val="auto"/>
          <w:szCs w:val="28"/>
          <w:highlight w:val="none"/>
          <w:u w:val="single"/>
          <w:lang w:val="en-US" w:eastAsia="zh-CN"/>
        </w:rPr>
        <w:t xml:space="preserve">                      </w:t>
      </w:r>
      <w:r>
        <w:rPr>
          <w:rFonts w:hint="default" w:ascii="Times New Roman" w:hAnsi="Times New Roman" w:eastAsia="宋体" w:cs="Times New Roman"/>
          <w:color w:val="auto"/>
          <w:szCs w:val="28"/>
          <w:highlight w:val="none"/>
          <w:u w:val="single"/>
        </w:rPr>
        <w:t xml:space="preserve">                              </w:t>
      </w:r>
      <w:r>
        <w:rPr>
          <w:rFonts w:hint="eastAsia" w:cs="Times New Roman"/>
          <w:color w:val="auto"/>
          <w:szCs w:val="28"/>
          <w:highlight w:val="none"/>
          <w:u w:val="single"/>
          <w:lang w:val="en-US" w:eastAsia="zh-CN"/>
        </w:rPr>
        <w:t xml:space="preserve">           </w:t>
      </w:r>
      <w:r>
        <w:rPr>
          <w:rFonts w:hint="default" w:ascii="Times New Roman" w:hAnsi="Times New Roman" w:eastAsia="宋体" w:cs="Times New Roman"/>
          <w:color w:val="auto"/>
          <w:szCs w:val="28"/>
          <w:highlight w:val="none"/>
          <w:u w:val="single"/>
        </w:rPr>
        <w:t xml:space="preserve">          </w:t>
      </w:r>
    </w:p>
    <w:p w14:paraId="09D6C890">
      <w:pPr>
        <w:numPr>
          <w:ilvl w:val="12"/>
          <w:numId w:val="0"/>
        </w:numPr>
        <w:spacing w:line="600" w:lineRule="exact"/>
        <w:rPr>
          <w:rFonts w:hint="default" w:ascii="Times New Roman" w:hAnsi="Times New Roman" w:eastAsia="宋体" w:cs="Times New Roman"/>
          <w:color w:val="auto"/>
          <w:highlight w:val="none"/>
          <w:u w:val="thick"/>
        </w:rPr>
      </w:pPr>
      <w:r>
        <w:rPr>
          <w:rFonts w:hint="default" w:ascii="Times New Roman" w:hAnsi="Times New Roman" w:eastAsia="宋体" w:cs="Times New Roman"/>
          <w:color w:val="auto"/>
          <w:highlight w:val="none"/>
        </w:rPr>
        <w:t>地址：</w:t>
      </w:r>
      <w:r>
        <w:rPr>
          <w:rFonts w:hint="default" w:ascii="Times New Roman" w:hAnsi="Times New Roman" w:eastAsia="宋体" w:cs="Times New Roman"/>
          <w:color w:val="auto"/>
          <w:highlight w:val="none"/>
          <w:u w:val="single"/>
        </w:rPr>
        <w:t xml:space="preserve">                                                             </w:t>
      </w:r>
      <w:r>
        <w:rPr>
          <w:rFonts w:hint="eastAsia" w:ascii="Times New Roman" w:hAnsi="Times New Roman" w:cs="Times New Roman"/>
          <w:color w:val="auto"/>
          <w:highlight w:val="none"/>
          <w:u w:val="single"/>
          <w:lang w:val="en-US" w:eastAsia="zh-CN"/>
        </w:rPr>
        <w:t xml:space="preserve">        </w:t>
      </w:r>
      <w:r>
        <w:rPr>
          <w:rFonts w:hint="default" w:ascii="Times New Roman" w:hAnsi="Times New Roman" w:eastAsia="宋体" w:cs="Times New Roman"/>
          <w:color w:val="auto"/>
          <w:highlight w:val="none"/>
          <w:u w:val="single"/>
        </w:rPr>
        <w:t xml:space="preserve">    </w:t>
      </w:r>
    </w:p>
    <w:p w14:paraId="7B2D3947">
      <w:pPr>
        <w:numPr>
          <w:ilvl w:val="12"/>
          <w:numId w:val="0"/>
        </w:numPr>
        <w:spacing w:line="600" w:lineRule="exact"/>
        <w:rPr>
          <w:rFonts w:hint="default" w:ascii="Times New Roman" w:hAnsi="Times New Roman" w:eastAsia="宋体" w:cs="Times New Roman"/>
          <w:color w:val="auto"/>
          <w:szCs w:val="28"/>
          <w:highlight w:val="none"/>
          <w:u w:val="single"/>
        </w:rPr>
      </w:pPr>
      <w:r>
        <w:rPr>
          <w:rFonts w:hint="default" w:ascii="Times New Roman" w:hAnsi="Times New Roman" w:eastAsia="宋体" w:cs="Times New Roman"/>
          <w:color w:val="auto"/>
          <w:szCs w:val="28"/>
          <w:highlight w:val="none"/>
        </w:rPr>
        <w:t>联络人：</w:t>
      </w:r>
      <w:r>
        <w:rPr>
          <w:rFonts w:hint="default" w:ascii="Times New Roman" w:hAnsi="Times New Roman" w:eastAsia="宋体" w:cs="Times New Roman"/>
          <w:color w:val="auto"/>
          <w:szCs w:val="28"/>
          <w:highlight w:val="none"/>
          <w:u w:val="single"/>
        </w:rPr>
        <w:t xml:space="preserve">  </w:t>
      </w:r>
      <w:r>
        <w:rPr>
          <w:rFonts w:hint="eastAsia" w:ascii="Times New Roman" w:hAnsi="Times New Roman" w:cs="Times New Roman"/>
          <w:color w:val="auto"/>
          <w:szCs w:val="28"/>
          <w:highlight w:val="none"/>
          <w:u w:val="single"/>
          <w:lang w:val="en-US" w:eastAsia="zh-CN"/>
        </w:rPr>
        <w:t xml:space="preserve"> </w:t>
      </w:r>
      <w:r>
        <w:rPr>
          <w:rFonts w:hint="default" w:ascii="Times New Roman" w:hAnsi="Times New Roman" w:eastAsia="宋体" w:cs="Times New Roman"/>
          <w:color w:val="auto"/>
          <w:szCs w:val="28"/>
          <w:highlight w:val="none"/>
          <w:u w:val="single"/>
        </w:rPr>
        <w:t xml:space="preserve">   </w:t>
      </w:r>
      <w:r>
        <w:rPr>
          <w:rFonts w:hint="eastAsia" w:ascii="Times New Roman" w:hAnsi="Times New Roman" w:cs="Times New Roman"/>
          <w:color w:val="auto"/>
          <w:szCs w:val="28"/>
          <w:highlight w:val="none"/>
          <w:u w:val="single"/>
          <w:lang w:val="en-US" w:eastAsia="zh-CN"/>
        </w:rPr>
        <w:t xml:space="preserve">           </w:t>
      </w:r>
      <w:r>
        <w:rPr>
          <w:rFonts w:hint="default" w:ascii="Times New Roman" w:hAnsi="Times New Roman" w:eastAsia="宋体" w:cs="Times New Roman"/>
          <w:color w:val="auto"/>
          <w:szCs w:val="28"/>
          <w:highlight w:val="none"/>
          <w:u w:val="single"/>
        </w:rPr>
        <w:t xml:space="preserve">  </w:t>
      </w:r>
      <w:r>
        <w:rPr>
          <w:rFonts w:hint="eastAsia" w:ascii="Times New Roman" w:hAnsi="Times New Roman" w:cs="Times New Roman"/>
          <w:color w:val="auto"/>
          <w:szCs w:val="28"/>
          <w:highlight w:val="none"/>
          <w:u w:val="single"/>
          <w:lang w:val="en-US" w:eastAsia="zh-CN"/>
        </w:rPr>
        <w:t xml:space="preserve"> </w:t>
      </w:r>
      <w:r>
        <w:rPr>
          <w:rFonts w:hint="eastAsia" w:ascii="Times New Roman" w:hAnsi="Times New Roman" w:cs="Times New Roman"/>
          <w:color w:val="auto"/>
          <w:szCs w:val="28"/>
          <w:highlight w:val="none"/>
          <w:u w:val="none"/>
          <w:lang w:eastAsia="zh-CN"/>
        </w:rPr>
        <w:t>；</w:t>
      </w:r>
      <w:r>
        <w:rPr>
          <w:rFonts w:hint="default" w:ascii="Times New Roman" w:hAnsi="Times New Roman" w:eastAsia="宋体" w:cs="Times New Roman"/>
          <w:color w:val="auto"/>
          <w:szCs w:val="28"/>
          <w:highlight w:val="none"/>
        </w:rPr>
        <w:t>电话：</w:t>
      </w:r>
      <w:r>
        <w:rPr>
          <w:rFonts w:hint="default" w:ascii="Times New Roman" w:hAnsi="Times New Roman" w:eastAsia="宋体" w:cs="Times New Roman"/>
          <w:color w:val="auto"/>
          <w:szCs w:val="28"/>
          <w:highlight w:val="none"/>
          <w:u w:val="single"/>
        </w:rPr>
        <w:t xml:space="preserve">                                           </w:t>
      </w:r>
    </w:p>
    <w:p w14:paraId="154C315D">
      <w:pPr>
        <w:numPr>
          <w:ilvl w:val="12"/>
          <w:numId w:val="0"/>
        </w:numPr>
        <w:spacing w:line="600" w:lineRule="exact"/>
        <w:rPr>
          <w:rFonts w:hint="default" w:ascii="Times New Roman" w:hAnsi="Times New Roman" w:eastAsia="宋体" w:cs="Times New Roman"/>
          <w:color w:val="auto"/>
          <w:sz w:val="20"/>
          <w:highlight w:val="none"/>
        </w:rPr>
      </w:pPr>
    </w:p>
    <w:p w14:paraId="5609F409">
      <w:pPr>
        <w:adjustRightInd w:val="0"/>
        <w:spacing w:line="500" w:lineRule="exact"/>
        <w:ind w:firstLine="420" w:firstLineChars="200"/>
        <w:jc w:val="left"/>
        <w:rPr>
          <w:rFonts w:hint="default" w:ascii="Times New Roman" w:hAnsi="Times New Roman" w:eastAsia="宋体" w:cs="Times New Roman"/>
          <w:b/>
          <w:color w:val="auto"/>
          <w:szCs w:val="28"/>
          <w:highlight w:val="none"/>
        </w:rPr>
      </w:pPr>
      <w:r>
        <w:rPr>
          <w:rFonts w:hint="default" w:ascii="Times New Roman" w:hAnsi="Times New Roman" w:eastAsia="宋体" w:cs="Times New Roman"/>
          <w:color w:val="auto"/>
          <w:szCs w:val="28"/>
          <w:highlight w:val="none"/>
        </w:rPr>
        <w:t>为了切实加强对各供应商现场</w:t>
      </w:r>
      <w:r>
        <w:rPr>
          <w:rFonts w:hint="eastAsia" w:cs="Times New Roman"/>
          <w:color w:val="auto"/>
          <w:szCs w:val="28"/>
          <w:highlight w:val="none"/>
          <w:lang w:eastAsia="zh-CN"/>
        </w:rPr>
        <w:t>、</w:t>
      </w:r>
      <w:r>
        <w:rPr>
          <w:rFonts w:hint="eastAsia" w:ascii="Times New Roman" w:hAnsi="Times New Roman" w:cs="Times New Roman"/>
          <w:color w:val="auto"/>
          <w:szCs w:val="28"/>
          <w:highlight w:val="none"/>
          <w:lang w:val="en-US" w:eastAsia="zh-CN"/>
        </w:rPr>
        <w:t>装</w:t>
      </w:r>
      <w:r>
        <w:rPr>
          <w:rFonts w:hint="default" w:ascii="Times New Roman" w:hAnsi="Times New Roman" w:eastAsia="宋体" w:cs="Times New Roman"/>
          <w:color w:val="auto"/>
          <w:szCs w:val="28"/>
          <w:highlight w:val="none"/>
        </w:rPr>
        <w:t>卸货</w:t>
      </w:r>
      <w:r>
        <w:rPr>
          <w:rFonts w:hint="eastAsia" w:cs="Times New Roman"/>
          <w:color w:val="auto"/>
          <w:szCs w:val="28"/>
          <w:highlight w:val="none"/>
          <w:lang w:val="en-US" w:eastAsia="zh-CN"/>
        </w:rPr>
        <w:t>及运输过程</w:t>
      </w:r>
      <w:r>
        <w:rPr>
          <w:rFonts w:hint="default" w:ascii="Times New Roman" w:hAnsi="Times New Roman" w:eastAsia="宋体" w:cs="Times New Roman"/>
          <w:color w:val="auto"/>
          <w:szCs w:val="28"/>
          <w:highlight w:val="none"/>
        </w:rPr>
        <w:t>的安全管理，进一步明确甲乙双方的安全管理责任，防止发生安全事故，依照《中华人民共和国</w:t>
      </w:r>
      <w:r>
        <w:rPr>
          <w:rFonts w:hint="eastAsia" w:cs="Times New Roman"/>
          <w:color w:val="auto"/>
          <w:szCs w:val="28"/>
          <w:highlight w:val="none"/>
          <w:lang w:val="en-US" w:eastAsia="zh-CN"/>
        </w:rPr>
        <w:t>民法典</w:t>
      </w:r>
      <w:r>
        <w:rPr>
          <w:rFonts w:hint="default" w:ascii="Times New Roman" w:hAnsi="Times New Roman" w:eastAsia="宋体" w:cs="Times New Roman"/>
          <w:color w:val="auto"/>
          <w:szCs w:val="28"/>
          <w:highlight w:val="none"/>
        </w:rPr>
        <w:t>》《中华人民共和国安全生产法》</w:t>
      </w:r>
      <w:r>
        <w:rPr>
          <w:rFonts w:hint="eastAsia"/>
          <w:color w:val="auto"/>
          <w:szCs w:val="28"/>
          <w:highlight w:val="none"/>
        </w:rPr>
        <w:t>《危险化学品安全管理条例》</w:t>
      </w:r>
      <w:r>
        <w:rPr>
          <w:rFonts w:hint="default" w:ascii="Times New Roman" w:hAnsi="Times New Roman" w:eastAsia="宋体" w:cs="Times New Roman"/>
          <w:color w:val="auto"/>
          <w:szCs w:val="28"/>
          <w:highlight w:val="none"/>
        </w:rPr>
        <w:t>及其它相关法律、法规规定，遵循平等、自愿、公平和依法管理的原则，在甲乙双方签订的《</w:t>
      </w:r>
      <w:r>
        <w:rPr>
          <w:rFonts w:hint="default" w:ascii="Times New Roman" w:hAnsi="Times New Roman" w:eastAsia="宋体" w:cs="Times New Roman"/>
          <w:color w:val="auto"/>
          <w:szCs w:val="28"/>
          <w:highlight w:val="none"/>
          <w:lang w:val="en-US" w:eastAsia="zh-CN"/>
        </w:rPr>
        <w:t xml:space="preserve">                     </w:t>
      </w:r>
      <w:r>
        <w:rPr>
          <w:rFonts w:hint="default" w:ascii="Times New Roman" w:hAnsi="Times New Roman" w:eastAsia="宋体" w:cs="Times New Roman"/>
          <w:color w:val="auto"/>
          <w:szCs w:val="28"/>
          <w:highlight w:val="none"/>
        </w:rPr>
        <w:t xml:space="preserve">》（甲方合同编号：              </w:t>
      </w:r>
      <w:r>
        <w:rPr>
          <w:rFonts w:hint="eastAsia" w:ascii="Times New Roman" w:hAnsi="Times New Roman" w:cs="Times New Roman"/>
          <w:color w:val="auto"/>
          <w:szCs w:val="28"/>
          <w:highlight w:val="none"/>
          <w:lang w:eastAsia="zh-CN"/>
        </w:rPr>
        <w:t>）</w:t>
      </w:r>
      <w:r>
        <w:rPr>
          <w:rFonts w:hint="default" w:ascii="Times New Roman" w:hAnsi="Times New Roman" w:eastAsia="宋体" w:cs="Times New Roman"/>
          <w:color w:val="auto"/>
          <w:szCs w:val="28"/>
          <w:highlight w:val="none"/>
        </w:rPr>
        <w:t>（以下简称原合同）基础上，共同协商一致，签订本安全管理协议书（以下简称本协议）。</w:t>
      </w:r>
    </w:p>
    <w:p w14:paraId="4DB91DC5">
      <w:pPr>
        <w:numPr>
          <w:ilvl w:val="12"/>
          <w:numId w:val="0"/>
        </w:numPr>
        <w:spacing w:line="500" w:lineRule="exact"/>
        <w:ind w:firstLine="420" w:firstLineChars="200"/>
        <w:rPr>
          <w:rFonts w:hint="default" w:ascii="Times New Roman" w:hAnsi="Times New Roman" w:eastAsia="宋体" w:cs="Times New Roman"/>
          <w:color w:val="auto"/>
          <w:highlight w:val="none"/>
        </w:rPr>
      </w:pPr>
    </w:p>
    <w:p w14:paraId="643D5914">
      <w:pPr>
        <w:spacing w:line="500" w:lineRule="exact"/>
        <w:ind w:firstLine="422" w:firstLineChars="200"/>
        <w:outlineLvl w:val="0"/>
        <w:rPr>
          <w:rFonts w:hint="default" w:ascii="Times New Roman" w:hAnsi="Times New Roman" w:eastAsia="宋体" w:cs="Times New Roman"/>
          <w:b/>
          <w:color w:val="auto"/>
          <w:highlight w:val="none"/>
        </w:rPr>
      </w:pPr>
      <w:bookmarkStart w:id="405" w:name="_Toc15275"/>
      <w:bookmarkStart w:id="406" w:name="_Toc23735"/>
      <w:r>
        <w:rPr>
          <w:rFonts w:hint="default" w:ascii="Times New Roman" w:hAnsi="Times New Roman" w:eastAsia="宋体" w:cs="Times New Roman"/>
          <w:b/>
          <w:color w:val="auto"/>
          <w:highlight w:val="none"/>
        </w:rPr>
        <w:t>第一条 基本情况</w:t>
      </w:r>
      <w:bookmarkEnd w:id="405"/>
      <w:bookmarkEnd w:id="406"/>
    </w:p>
    <w:p w14:paraId="7C253DF4">
      <w:pPr>
        <w:spacing w:line="500" w:lineRule="exact"/>
        <w:ind w:firstLine="420" w:firstLineChars="200"/>
        <w:rPr>
          <w:rFonts w:hint="default" w:ascii="Times New Roman" w:hAnsi="Times New Roman" w:eastAsia="宋体" w:cs="Times New Roman"/>
          <w:color w:val="auto"/>
          <w:highlight w:val="none"/>
          <w:lang w:eastAsia="zh-CN"/>
        </w:rPr>
      </w:pPr>
      <w:r>
        <w:rPr>
          <w:rFonts w:hint="default" w:ascii="Times New Roman" w:hAnsi="Times New Roman" w:eastAsia="宋体" w:cs="Times New Roman"/>
          <w:color w:val="auto"/>
          <w:highlight w:val="none"/>
        </w:rPr>
        <w:t xml:space="preserve">1.1 </w:t>
      </w:r>
      <w:r>
        <w:rPr>
          <w:rFonts w:hint="eastAsia" w:ascii="Times New Roman" w:hAnsi="Times New Roman" w:cs="Times New Roman"/>
          <w:color w:val="auto"/>
          <w:highlight w:val="none"/>
          <w:lang w:val="en-US" w:eastAsia="zh-CN"/>
        </w:rPr>
        <w:t>项目</w:t>
      </w:r>
      <w:r>
        <w:rPr>
          <w:rFonts w:hint="default" w:ascii="Times New Roman" w:hAnsi="Times New Roman" w:eastAsia="宋体" w:cs="Times New Roman"/>
          <w:color w:val="auto"/>
          <w:highlight w:val="none"/>
        </w:rPr>
        <w:t>名称：</w:t>
      </w:r>
      <w:r>
        <w:rPr>
          <w:rFonts w:hint="default" w:ascii="Times New Roman" w:hAnsi="Times New Roman" w:eastAsia="宋体" w:cs="Times New Roman"/>
          <w:color w:val="auto"/>
          <w:highlight w:val="none"/>
          <w:lang w:val="en-US" w:eastAsia="zh-CN"/>
        </w:rPr>
        <w:t>XXX</w:t>
      </w:r>
      <w:r>
        <w:rPr>
          <w:rFonts w:hint="default" w:ascii="Times New Roman" w:hAnsi="Times New Roman" w:eastAsia="宋体" w:cs="Times New Roman"/>
          <w:color w:val="auto"/>
          <w:highlight w:val="none"/>
        </w:rPr>
        <w:t>项目</w:t>
      </w:r>
    </w:p>
    <w:p w14:paraId="4D733A76">
      <w:pPr>
        <w:spacing w:line="500" w:lineRule="exact"/>
        <w:ind w:firstLine="420" w:firstLineChars="200"/>
        <w:rPr>
          <w:rFonts w:hint="eastAsia" w:ascii="Times New Roman" w:hAnsi="Times New Roman" w:eastAsia="宋体" w:cs="Times New Roman"/>
          <w:color w:val="auto"/>
          <w:highlight w:val="none"/>
          <w:lang w:eastAsia="zh-CN"/>
        </w:rPr>
      </w:pPr>
      <w:r>
        <w:rPr>
          <w:rFonts w:hint="default" w:ascii="Times New Roman" w:hAnsi="Times New Roman" w:eastAsia="宋体" w:cs="Times New Roman"/>
          <w:color w:val="auto"/>
          <w:highlight w:val="none"/>
        </w:rPr>
        <w:t xml:space="preserve">1.2 </w:t>
      </w:r>
      <w:r>
        <w:rPr>
          <w:rFonts w:hint="eastAsia" w:cs="Times New Roman"/>
          <w:color w:val="auto"/>
          <w:highlight w:val="none"/>
          <w:lang w:val="en-US" w:eastAsia="zh-CN"/>
        </w:rPr>
        <w:t>服务</w:t>
      </w:r>
      <w:r>
        <w:rPr>
          <w:rFonts w:hint="default" w:ascii="Times New Roman" w:hAnsi="Times New Roman" w:eastAsia="宋体" w:cs="Times New Roman"/>
          <w:color w:val="auto"/>
          <w:highlight w:val="none"/>
        </w:rPr>
        <w:t>地点</w:t>
      </w:r>
      <w:r>
        <w:rPr>
          <w:rFonts w:hint="eastAsia" w:ascii="Times New Roman" w:hAnsi="Times New Roman" w:cs="Times New Roman"/>
          <w:color w:val="auto"/>
          <w:highlight w:val="none"/>
          <w:lang w:val="en-US" w:eastAsia="zh-CN"/>
        </w:rPr>
        <w:t>及</w:t>
      </w:r>
      <w:r>
        <w:rPr>
          <w:rFonts w:hint="default" w:ascii="Times New Roman" w:hAnsi="Times New Roman" w:eastAsia="宋体" w:cs="Times New Roman"/>
          <w:color w:val="auto"/>
          <w:highlight w:val="none"/>
        </w:rPr>
        <w:t>范围：</w:t>
      </w:r>
      <w:r>
        <w:rPr>
          <w:rFonts w:hint="eastAsia" w:cs="Times New Roman"/>
          <w:color w:val="auto"/>
          <w:highlight w:val="none"/>
          <w:lang w:val="en-US" w:eastAsia="zh-CN"/>
        </w:rPr>
        <w:t>详见原合同</w:t>
      </w:r>
    </w:p>
    <w:p w14:paraId="44EED17E">
      <w:pPr>
        <w:spacing w:line="500" w:lineRule="exact"/>
        <w:ind w:firstLine="420" w:firstLineChars="200"/>
        <w:rPr>
          <w:rFonts w:hint="eastAsia" w:ascii="Times New Roman" w:hAnsi="Times New Roman" w:eastAsia="宋体" w:cs="Times New Roman"/>
          <w:color w:val="auto"/>
          <w:highlight w:val="none"/>
          <w:lang w:eastAsia="zh-CN"/>
        </w:rPr>
      </w:pPr>
      <w:r>
        <w:rPr>
          <w:rFonts w:hint="default" w:ascii="Times New Roman" w:hAnsi="Times New Roman" w:eastAsia="宋体" w:cs="Times New Roman"/>
          <w:color w:val="auto"/>
          <w:highlight w:val="none"/>
        </w:rPr>
        <w:t xml:space="preserve">1.4 </w:t>
      </w:r>
      <w:r>
        <w:rPr>
          <w:rFonts w:hint="eastAsia" w:cs="Times New Roman"/>
          <w:color w:val="auto"/>
          <w:highlight w:val="none"/>
          <w:lang w:val="en-US" w:eastAsia="zh-CN"/>
        </w:rPr>
        <w:t>服务</w:t>
      </w:r>
      <w:r>
        <w:rPr>
          <w:rFonts w:hint="eastAsia" w:ascii="Times New Roman" w:hAnsi="Times New Roman" w:cs="Times New Roman"/>
          <w:color w:val="auto"/>
          <w:highlight w:val="none"/>
          <w:lang w:val="en-US" w:eastAsia="zh-CN"/>
        </w:rPr>
        <w:t>时间</w:t>
      </w:r>
      <w:r>
        <w:rPr>
          <w:rFonts w:hint="default" w:ascii="Times New Roman" w:hAnsi="Times New Roman" w:eastAsia="宋体" w:cs="Times New Roman"/>
          <w:color w:val="auto"/>
          <w:highlight w:val="none"/>
        </w:rPr>
        <w:t>：</w:t>
      </w:r>
      <w:r>
        <w:rPr>
          <w:rFonts w:hint="eastAsia" w:cs="Times New Roman"/>
          <w:color w:val="auto"/>
          <w:highlight w:val="none"/>
          <w:lang w:val="en-US" w:eastAsia="zh-CN"/>
        </w:rPr>
        <w:t>详见原合同</w:t>
      </w:r>
    </w:p>
    <w:p w14:paraId="7E0FA134">
      <w:pPr>
        <w:spacing w:line="500" w:lineRule="exact"/>
        <w:ind w:firstLine="422" w:firstLineChars="200"/>
        <w:outlineLvl w:val="0"/>
        <w:rPr>
          <w:rFonts w:hint="default" w:ascii="Times New Roman" w:hAnsi="Times New Roman" w:eastAsia="宋体" w:cs="Times New Roman"/>
          <w:b/>
          <w:bCs/>
          <w:color w:val="auto"/>
          <w:szCs w:val="21"/>
          <w:highlight w:val="none"/>
        </w:rPr>
      </w:pPr>
      <w:bookmarkStart w:id="407" w:name="_Toc836"/>
      <w:bookmarkStart w:id="408" w:name="_Toc28038"/>
      <w:r>
        <w:rPr>
          <w:rFonts w:hint="default" w:ascii="Times New Roman" w:hAnsi="Times New Roman" w:eastAsia="宋体" w:cs="Times New Roman"/>
          <w:b/>
          <w:bCs/>
          <w:color w:val="auto"/>
          <w:szCs w:val="21"/>
          <w:highlight w:val="none"/>
        </w:rPr>
        <w:t>第二条 乙方资质</w:t>
      </w:r>
      <w:bookmarkEnd w:id="407"/>
      <w:bookmarkEnd w:id="408"/>
    </w:p>
    <w:p w14:paraId="1A60F688">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2.1 乙方应将资质、资格证书、安全</w:t>
      </w:r>
      <w:r>
        <w:rPr>
          <w:rFonts w:hint="eastAsia" w:ascii="Times New Roman" w:hAnsi="Times New Roman" w:cs="Times New Roman"/>
          <w:color w:val="auto"/>
          <w:szCs w:val="21"/>
          <w:highlight w:val="none"/>
          <w:lang w:val="en-US" w:eastAsia="zh-CN"/>
        </w:rPr>
        <w:t>等</w:t>
      </w:r>
      <w:r>
        <w:rPr>
          <w:rFonts w:hint="default" w:ascii="Times New Roman" w:hAnsi="Times New Roman" w:eastAsia="宋体" w:cs="Times New Roman"/>
          <w:color w:val="auto"/>
          <w:szCs w:val="21"/>
          <w:highlight w:val="none"/>
        </w:rPr>
        <w:t>有关资料原件呈送甲方，并对资料真实性负责，</w:t>
      </w:r>
      <w:r>
        <w:rPr>
          <w:rFonts w:hint="eastAsia" w:ascii="Times New Roman" w:hAnsi="Times New Roman" w:cs="Times New Roman"/>
          <w:color w:val="auto"/>
          <w:szCs w:val="21"/>
          <w:highlight w:val="none"/>
          <w:lang w:val="en-US" w:eastAsia="zh-CN"/>
        </w:rPr>
        <w:t>甲方</w:t>
      </w:r>
      <w:r>
        <w:rPr>
          <w:rFonts w:hint="default" w:ascii="Times New Roman" w:hAnsi="Times New Roman" w:eastAsia="宋体" w:cs="Times New Roman"/>
          <w:color w:val="auto"/>
          <w:szCs w:val="21"/>
          <w:highlight w:val="none"/>
        </w:rPr>
        <w:t>审核通过后报送甲方进行复核、备案。</w:t>
      </w:r>
    </w:p>
    <w:p w14:paraId="7D4C67B5">
      <w:pPr>
        <w:spacing w:line="500" w:lineRule="exact"/>
        <w:ind w:firstLine="422" w:firstLineChars="200"/>
        <w:outlineLvl w:val="0"/>
        <w:rPr>
          <w:rFonts w:hint="default" w:ascii="Times New Roman" w:hAnsi="Times New Roman" w:eastAsia="宋体" w:cs="Times New Roman"/>
          <w:b/>
          <w:bCs/>
          <w:color w:val="auto"/>
          <w:szCs w:val="21"/>
          <w:highlight w:val="none"/>
        </w:rPr>
      </w:pPr>
      <w:bookmarkStart w:id="409" w:name="_Toc15457"/>
      <w:bookmarkStart w:id="410" w:name="_Toc25277"/>
      <w:r>
        <w:rPr>
          <w:rFonts w:hint="default" w:ascii="Times New Roman" w:hAnsi="Times New Roman" w:eastAsia="宋体" w:cs="Times New Roman"/>
          <w:b/>
          <w:bCs/>
          <w:color w:val="auto"/>
          <w:szCs w:val="21"/>
          <w:highlight w:val="none"/>
        </w:rPr>
        <w:t>第三条 乙方承包项目负责人及安全管理人员</w:t>
      </w:r>
      <w:bookmarkEnd w:id="409"/>
      <w:bookmarkEnd w:id="410"/>
    </w:p>
    <w:p w14:paraId="13AAA82A">
      <w:pPr>
        <w:spacing w:line="500" w:lineRule="exact"/>
        <w:ind w:firstLine="420" w:firstLineChars="200"/>
        <w:rPr>
          <w:rFonts w:hint="default" w:ascii="Times New Roman" w:hAnsi="Times New Roman" w:eastAsia="宋体" w:cs="Times New Roman"/>
          <w:bCs/>
          <w:color w:val="auto"/>
          <w:szCs w:val="21"/>
          <w:highlight w:val="none"/>
        </w:rPr>
      </w:pPr>
      <w:r>
        <w:rPr>
          <w:rFonts w:hint="default" w:ascii="Times New Roman" w:hAnsi="Times New Roman" w:eastAsia="宋体" w:cs="Times New Roman"/>
          <w:bCs/>
          <w:color w:val="auto"/>
          <w:szCs w:val="21"/>
          <w:highlight w:val="none"/>
        </w:rPr>
        <w:t>3.1 乙方项目负责人：</w:t>
      </w:r>
      <w:r>
        <w:rPr>
          <w:rFonts w:hint="default" w:ascii="Times New Roman" w:hAnsi="Times New Roman" w:eastAsia="宋体" w:cs="Times New Roman"/>
          <w:bCs/>
          <w:color w:val="auto"/>
          <w:szCs w:val="21"/>
          <w:highlight w:val="none"/>
          <w:u w:val="single"/>
        </w:rPr>
        <w:t xml:space="preserve">       </w:t>
      </w:r>
      <w:r>
        <w:rPr>
          <w:rFonts w:hint="eastAsia" w:cs="Times New Roman"/>
          <w:bCs/>
          <w:color w:val="auto"/>
          <w:szCs w:val="21"/>
          <w:highlight w:val="none"/>
          <w:u w:val="single"/>
          <w:lang w:val="en-US" w:eastAsia="zh-CN"/>
        </w:rPr>
        <w:t xml:space="preserve">     </w:t>
      </w:r>
      <w:r>
        <w:rPr>
          <w:rFonts w:hint="default" w:ascii="Times New Roman" w:hAnsi="Times New Roman" w:eastAsia="宋体" w:cs="Times New Roman"/>
          <w:bCs/>
          <w:color w:val="auto"/>
          <w:szCs w:val="21"/>
          <w:highlight w:val="none"/>
          <w:u w:val="single"/>
        </w:rPr>
        <w:t xml:space="preserve">  </w:t>
      </w:r>
      <w:r>
        <w:rPr>
          <w:rFonts w:hint="default" w:ascii="Times New Roman" w:hAnsi="Times New Roman" w:eastAsia="宋体" w:cs="Times New Roman"/>
          <w:bCs/>
          <w:color w:val="auto"/>
          <w:szCs w:val="21"/>
          <w:highlight w:val="none"/>
          <w:u w:val="none"/>
        </w:rPr>
        <w:t xml:space="preserve"> </w:t>
      </w:r>
      <w:r>
        <w:rPr>
          <w:rFonts w:hint="eastAsia" w:ascii="Times New Roman" w:hAnsi="Times New Roman" w:cs="Times New Roman"/>
          <w:bCs/>
          <w:color w:val="auto"/>
          <w:szCs w:val="21"/>
          <w:highlight w:val="none"/>
          <w:u w:val="none"/>
          <w:lang w:eastAsia="zh-CN"/>
        </w:rPr>
        <w:t>；</w:t>
      </w:r>
      <w:r>
        <w:rPr>
          <w:rFonts w:hint="default" w:ascii="Times New Roman" w:hAnsi="Times New Roman" w:eastAsia="宋体" w:cs="Times New Roman"/>
          <w:bCs/>
          <w:color w:val="auto"/>
          <w:szCs w:val="21"/>
          <w:highlight w:val="none"/>
        </w:rPr>
        <w:t>电话</w:t>
      </w:r>
      <w:r>
        <w:rPr>
          <w:rFonts w:hint="default" w:ascii="Times New Roman" w:hAnsi="Times New Roman" w:eastAsia="宋体" w:cs="Times New Roman"/>
          <w:bCs/>
          <w:color w:val="auto"/>
          <w:szCs w:val="21"/>
          <w:highlight w:val="none"/>
          <w:u w:val="single"/>
        </w:rPr>
        <w:t xml:space="preserve">：  </w:t>
      </w:r>
      <w:r>
        <w:rPr>
          <w:rFonts w:hint="eastAsia" w:cs="Times New Roman"/>
          <w:bCs/>
          <w:color w:val="auto"/>
          <w:szCs w:val="21"/>
          <w:highlight w:val="none"/>
          <w:u w:val="single"/>
          <w:lang w:val="en-US" w:eastAsia="zh-CN"/>
        </w:rPr>
        <w:t xml:space="preserve">    </w:t>
      </w:r>
      <w:r>
        <w:rPr>
          <w:rFonts w:hint="default" w:ascii="Times New Roman" w:hAnsi="Times New Roman" w:eastAsia="宋体" w:cs="Times New Roman"/>
          <w:bCs/>
          <w:color w:val="auto"/>
          <w:szCs w:val="21"/>
          <w:highlight w:val="none"/>
          <w:u w:val="single"/>
        </w:rPr>
        <w:t xml:space="preserve">       </w:t>
      </w:r>
      <w:r>
        <w:rPr>
          <w:rFonts w:hint="default" w:ascii="Times New Roman" w:hAnsi="Times New Roman" w:eastAsia="宋体" w:cs="Times New Roman"/>
          <w:bCs/>
          <w:color w:val="auto"/>
          <w:szCs w:val="21"/>
          <w:highlight w:val="none"/>
        </w:rPr>
        <w:t>；</w:t>
      </w:r>
    </w:p>
    <w:p w14:paraId="1DCBCC6F">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bCs/>
          <w:color w:val="auto"/>
          <w:szCs w:val="21"/>
          <w:highlight w:val="none"/>
        </w:rPr>
        <w:t>3.2 乙方安全管理负责人：</w:t>
      </w:r>
      <w:r>
        <w:rPr>
          <w:rFonts w:hint="default" w:ascii="Times New Roman" w:hAnsi="Times New Roman" w:eastAsia="宋体" w:cs="Times New Roman"/>
          <w:bCs/>
          <w:color w:val="auto"/>
          <w:szCs w:val="21"/>
          <w:highlight w:val="none"/>
          <w:u w:val="single"/>
        </w:rPr>
        <w:t xml:space="preserve">    </w:t>
      </w:r>
      <w:r>
        <w:rPr>
          <w:rFonts w:hint="eastAsia" w:cs="Times New Roman"/>
          <w:bCs/>
          <w:color w:val="auto"/>
          <w:szCs w:val="21"/>
          <w:highlight w:val="none"/>
          <w:u w:val="single"/>
          <w:lang w:val="en-US" w:eastAsia="zh-CN"/>
        </w:rPr>
        <w:t xml:space="preserve">     </w:t>
      </w:r>
      <w:r>
        <w:rPr>
          <w:rFonts w:hint="default" w:ascii="Times New Roman" w:hAnsi="Times New Roman" w:eastAsia="宋体" w:cs="Times New Roman"/>
          <w:bCs/>
          <w:color w:val="auto"/>
          <w:szCs w:val="21"/>
          <w:highlight w:val="none"/>
          <w:u w:val="single"/>
        </w:rPr>
        <w:t xml:space="preserve">  </w:t>
      </w:r>
      <w:r>
        <w:rPr>
          <w:rFonts w:hint="default" w:ascii="Times New Roman" w:hAnsi="Times New Roman" w:eastAsia="宋体" w:cs="Times New Roman"/>
          <w:bCs/>
          <w:color w:val="auto"/>
          <w:szCs w:val="21"/>
          <w:highlight w:val="none"/>
          <w:u w:val="none"/>
        </w:rPr>
        <w:t xml:space="preserve"> </w:t>
      </w:r>
      <w:r>
        <w:rPr>
          <w:rFonts w:hint="eastAsia" w:ascii="Times New Roman" w:hAnsi="Times New Roman" w:cs="Times New Roman"/>
          <w:bCs/>
          <w:color w:val="auto"/>
          <w:szCs w:val="21"/>
          <w:highlight w:val="none"/>
          <w:u w:val="none"/>
          <w:lang w:eastAsia="zh-CN"/>
        </w:rPr>
        <w:t>；</w:t>
      </w:r>
      <w:r>
        <w:rPr>
          <w:rFonts w:hint="default" w:ascii="Times New Roman" w:hAnsi="Times New Roman" w:eastAsia="宋体" w:cs="Times New Roman"/>
          <w:bCs/>
          <w:color w:val="auto"/>
          <w:szCs w:val="21"/>
          <w:highlight w:val="none"/>
        </w:rPr>
        <w:t>电话</w:t>
      </w:r>
      <w:r>
        <w:rPr>
          <w:rFonts w:hint="default" w:ascii="Times New Roman" w:hAnsi="Times New Roman" w:eastAsia="宋体" w:cs="Times New Roman"/>
          <w:bCs/>
          <w:color w:val="auto"/>
          <w:szCs w:val="21"/>
          <w:highlight w:val="none"/>
          <w:u w:val="single"/>
        </w:rPr>
        <w:t xml:space="preserve">：    </w:t>
      </w:r>
      <w:r>
        <w:rPr>
          <w:rFonts w:hint="eastAsia" w:cs="Times New Roman"/>
          <w:bCs/>
          <w:color w:val="auto"/>
          <w:szCs w:val="21"/>
          <w:highlight w:val="none"/>
          <w:u w:val="single"/>
          <w:lang w:val="en-US" w:eastAsia="zh-CN"/>
        </w:rPr>
        <w:t xml:space="preserve">    </w:t>
      </w:r>
      <w:r>
        <w:rPr>
          <w:rFonts w:hint="default" w:ascii="Times New Roman" w:hAnsi="Times New Roman" w:eastAsia="宋体" w:cs="Times New Roman"/>
          <w:bCs/>
          <w:color w:val="auto"/>
          <w:szCs w:val="21"/>
          <w:highlight w:val="none"/>
          <w:u w:val="single"/>
        </w:rPr>
        <w:t xml:space="preserve">    </w:t>
      </w:r>
      <w:r>
        <w:rPr>
          <w:rFonts w:hint="eastAsia" w:ascii="Times New Roman" w:hAnsi="Times New Roman" w:cs="Times New Roman"/>
          <w:bCs/>
          <w:color w:val="auto"/>
          <w:szCs w:val="21"/>
          <w:highlight w:val="none"/>
          <w:u w:val="none"/>
          <w:lang w:eastAsia="zh-CN"/>
        </w:rPr>
        <w:t>。</w:t>
      </w:r>
    </w:p>
    <w:p w14:paraId="281C4ACD">
      <w:pPr>
        <w:spacing w:line="500" w:lineRule="exact"/>
        <w:ind w:firstLine="422" w:firstLineChars="200"/>
        <w:outlineLvl w:val="0"/>
        <w:rPr>
          <w:rFonts w:hint="default" w:ascii="Times New Roman" w:hAnsi="Times New Roman" w:eastAsia="宋体" w:cs="Times New Roman"/>
          <w:b/>
          <w:bCs/>
          <w:color w:val="auto"/>
          <w:szCs w:val="21"/>
          <w:highlight w:val="none"/>
        </w:rPr>
      </w:pPr>
      <w:bookmarkStart w:id="411" w:name="_Toc12907"/>
      <w:bookmarkStart w:id="412" w:name="_Toc2674"/>
      <w:r>
        <w:rPr>
          <w:rFonts w:hint="default" w:ascii="Times New Roman" w:hAnsi="Times New Roman" w:eastAsia="宋体" w:cs="Times New Roman"/>
          <w:b/>
          <w:bCs/>
          <w:color w:val="auto"/>
          <w:szCs w:val="21"/>
          <w:highlight w:val="none"/>
        </w:rPr>
        <w:t>第四条 甲方的权利和义务</w:t>
      </w:r>
      <w:bookmarkEnd w:id="411"/>
      <w:bookmarkEnd w:id="412"/>
    </w:p>
    <w:p w14:paraId="7671D022">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4.1 甲方或甲方委托方审查乙方的营业执照、资质证书、安全管理制度和安全防护</w:t>
      </w:r>
      <w:r>
        <w:rPr>
          <w:rFonts w:hint="eastAsia" w:cs="Times New Roman"/>
          <w:color w:val="auto"/>
          <w:szCs w:val="21"/>
          <w:highlight w:val="none"/>
          <w:lang w:val="en-US" w:eastAsia="zh-CN"/>
        </w:rPr>
        <w:t>装置</w:t>
      </w:r>
      <w:r>
        <w:rPr>
          <w:rFonts w:hint="default" w:ascii="Times New Roman" w:hAnsi="Times New Roman" w:eastAsia="宋体" w:cs="Times New Roman"/>
          <w:color w:val="auto"/>
          <w:szCs w:val="21"/>
          <w:highlight w:val="none"/>
        </w:rPr>
        <w:t>及检测情况等，并需要对原件和复印件进行核对无误；</w:t>
      </w:r>
    </w:p>
    <w:p w14:paraId="266E7772">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4.2 甲方或甲方委托方对乙方所制定的安全操作规程和应急预案进行审查和检查，对无方案、无措施和措施落实不到位的有权停止</w:t>
      </w:r>
      <w:r>
        <w:rPr>
          <w:rFonts w:hint="eastAsia" w:ascii="Times New Roman" w:hAnsi="Times New Roman" w:cs="Times New Roman"/>
          <w:color w:val="auto"/>
          <w:szCs w:val="21"/>
          <w:highlight w:val="none"/>
          <w:lang w:val="en-US" w:eastAsia="zh-CN"/>
        </w:rPr>
        <w:t>合作</w:t>
      </w:r>
      <w:r>
        <w:rPr>
          <w:rFonts w:hint="default" w:ascii="Times New Roman" w:hAnsi="Times New Roman" w:eastAsia="宋体" w:cs="Times New Roman"/>
          <w:color w:val="auto"/>
          <w:szCs w:val="21"/>
          <w:highlight w:val="none"/>
        </w:rPr>
        <w:t>，限期整改，并根据具体情况进行处罚；</w:t>
      </w:r>
    </w:p>
    <w:p w14:paraId="32003171">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4.</w:t>
      </w:r>
      <w:r>
        <w:rPr>
          <w:rFonts w:hint="eastAsia" w:ascii="Times New Roman" w:hAnsi="Times New Roman" w:cs="Times New Roman"/>
          <w:color w:val="auto"/>
          <w:szCs w:val="21"/>
          <w:highlight w:val="none"/>
          <w:lang w:val="en-US" w:eastAsia="zh-CN"/>
        </w:rPr>
        <w:t>3</w:t>
      </w:r>
      <w:r>
        <w:rPr>
          <w:rFonts w:hint="default" w:ascii="Times New Roman" w:hAnsi="Times New Roman" w:eastAsia="宋体" w:cs="Times New Roman"/>
          <w:color w:val="auto"/>
          <w:szCs w:val="21"/>
          <w:highlight w:val="none"/>
        </w:rPr>
        <w:t xml:space="preserve"> 甲方或甲方委托方对乙方</w:t>
      </w:r>
      <w:r>
        <w:rPr>
          <w:rFonts w:hint="eastAsia" w:ascii="Times New Roman" w:hAnsi="Times New Roman" w:cs="Times New Roman"/>
          <w:color w:val="auto"/>
          <w:szCs w:val="21"/>
          <w:highlight w:val="none"/>
          <w:lang w:val="en-US" w:eastAsia="zh-CN"/>
        </w:rPr>
        <w:t>货物的</w:t>
      </w:r>
      <w:r>
        <w:rPr>
          <w:rFonts w:hint="eastAsia" w:ascii="Times New Roman" w:hAnsi="Times New Roman" w:cs="Times New Roman"/>
          <w:color w:val="auto"/>
          <w:szCs w:val="21"/>
          <w:highlight w:val="none"/>
          <w:lang w:eastAsia="zh-CN"/>
        </w:rPr>
        <w:t>运输装卸及押运人员</w:t>
      </w:r>
      <w:r>
        <w:rPr>
          <w:rFonts w:hint="eastAsia" w:ascii="Times New Roman" w:hAnsi="Times New Roman" w:cs="Times New Roman"/>
          <w:color w:val="auto"/>
          <w:szCs w:val="21"/>
          <w:highlight w:val="none"/>
          <w:lang w:val="en-US" w:eastAsia="zh-CN"/>
        </w:rPr>
        <w:t>相关</w:t>
      </w:r>
      <w:r>
        <w:rPr>
          <w:rFonts w:hint="default" w:ascii="Times New Roman" w:hAnsi="Times New Roman" w:eastAsia="宋体" w:cs="Times New Roman"/>
          <w:color w:val="auto"/>
          <w:szCs w:val="21"/>
          <w:highlight w:val="none"/>
        </w:rPr>
        <w:t>资格进行验证，禁止非</w:t>
      </w:r>
      <w:r>
        <w:rPr>
          <w:rFonts w:hint="eastAsia" w:ascii="Times New Roman" w:hAnsi="Times New Roman" w:cs="Times New Roman"/>
          <w:color w:val="auto"/>
          <w:szCs w:val="21"/>
          <w:highlight w:val="none"/>
          <w:lang w:val="en-US" w:eastAsia="zh-CN"/>
        </w:rPr>
        <w:t>符合资质人员</w:t>
      </w:r>
      <w:r>
        <w:rPr>
          <w:rFonts w:hint="default" w:ascii="Times New Roman" w:hAnsi="Times New Roman" w:eastAsia="宋体" w:cs="Times New Roman"/>
          <w:color w:val="auto"/>
          <w:szCs w:val="21"/>
          <w:highlight w:val="none"/>
        </w:rPr>
        <w:t>从事</w:t>
      </w:r>
      <w:r>
        <w:rPr>
          <w:rFonts w:hint="eastAsia" w:ascii="Times New Roman" w:hAnsi="Times New Roman" w:cs="Times New Roman"/>
          <w:color w:val="auto"/>
          <w:szCs w:val="21"/>
          <w:highlight w:val="none"/>
          <w:lang w:val="en-US" w:eastAsia="zh-CN"/>
        </w:rPr>
        <w:t>相关</w:t>
      </w:r>
      <w:r>
        <w:rPr>
          <w:rFonts w:hint="default" w:ascii="Times New Roman" w:hAnsi="Times New Roman" w:eastAsia="宋体" w:cs="Times New Roman"/>
          <w:color w:val="auto"/>
          <w:szCs w:val="21"/>
          <w:highlight w:val="none"/>
        </w:rPr>
        <w:t>作业；</w:t>
      </w:r>
    </w:p>
    <w:p w14:paraId="7780346B">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4.</w:t>
      </w:r>
      <w:r>
        <w:rPr>
          <w:rFonts w:hint="eastAsia" w:ascii="Times New Roman" w:hAnsi="Times New Roman" w:cs="Times New Roman"/>
          <w:color w:val="auto"/>
          <w:szCs w:val="21"/>
          <w:highlight w:val="none"/>
          <w:lang w:val="en-US" w:eastAsia="zh-CN"/>
        </w:rPr>
        <w:t>4</w:t>
      </w:r>
      <w:r>
        <w:rPr>
          <w:rFonts w:hint="default" w:ascii="Times New Roman" w:hAnsi="Times New Roman" w:eastAsia="宋体" w:cs="Times New Roman"/>
          <w:color w:val="auto"/>
          <w:szCs w:val="21"/>
          <w:highlight w:val="none"/>
        </w:rPr>
        <w:t xml:space="preserve"> 因乙方不遵守本协议条款，造成安全事故的发生，甲方有权取消乙方</w:t>
      </w:r>
      <w:r>
        <w:rPr>
          <w:rFonts w:hint="eastAsia" w:ascii="Times New Roman" w:hAnsi="Times New Roman" w:cs="Times New Roman"/>
          <w:color w:val="auto"/>
          <w:szCs w:val="21"/>
          <w:highlight w:val="none"/>
          <w:lang w:val="en-US" w:eastAsia="zh-CN"/>
        </w:rPr>
        <w:t>成交</w:t>
      </w:r>
      <w:r>
        <w:rPr>
          <w:rFonts w:hint="default" w:ascii="Times New Roman" w:hAnsi="Times New Roman" w:eastAsia="宋体" w:cs="Times New Roman"/>
          <w:color w:val="auto"/>
          <w:szCs w:val="21"/>
          <w:highlight w:val="none"/>
        </w:rPr>
        <w:t>资格，并终止原合同，因此产生的责任（包括但不限于</w:t>
      </w:r>
      <w:r>
        <w:rPr>
          <w:rFonts w:hint="default"/>
          <w:color w:val="auto"/>
          <w:szCs w:val="21"/>
          <w:highlight w:val="none"/>
        </w:rPr>
        <w:t>民事责任、刑事责任及行政责任</w:t>
      </w:r>
      <w:r>
        <w:rPr>
          <w:rFonts w:hint="default" w:ascii="Times New Roman" w:hAnsi="Times New Roman" w:eastAsia="宋体" w:cs="Times New Roman"/>
          <w:color w:val="auto"/>
          <w:szCs w:val="21"/>
          <w:highlight w:val="none"/>
        </w:rPr>
        <w:t>）由乙方承担，并且</w:t>
      </w:r>
      <w:r>
        <w:rPr>
          <w:rFonts w:hint="eastAsia" w:cs="Times New Roman"/>
          <w:color w:val="auto"/>
          <w:szCs w:val="21"/>
          <w:highlight w:val="none"/>
          <w:lang w:val="en-US" w:eastAsia="zh-CN"/>
        </w:rPr>
        <w:t>甲方有权</w:t>
      </w:r>
      <w:r>
        <w:rPr>
          <w:rFonts w:hint="default" w:ascii="Times New Roman" w:hAnsi="Times New Roman" w:eastAsia="宋体" w:cs="Times New Roman"/>
          <w:color w:val="auto"/>
          <w:szCs w:val="21"/>
          <w:highlight w:val="none"/>
        </w:rPr>
        <w:t>根据原合同及本协议相关规定向乙方</w:t>
      </w:r>
      <w:r>
        <w:rPr>
          <w:rFonts w:hint="eastAsia" w:ascii="Times New Roman" w:hAnsi="Times New Roman" w:cs="Times New Roman"/>
          <w:color w:val="auto"/>
          <w:szCs w:val="21"/>
          <w:highlight w:val="none"/>
          <w:lang w:val="en-US" w:eastAsia="zh-CN"/>
        </w:rPr>
        <w:t>追究</w:t>
      </w:r>
      <w:r>
        <w:rPr>
          <w:rFonts w:hint="default" w:ascii="Times New Roman" w:hAnsi="Times New Roman" w:eastAsia="宋体" w:cs="Times New Roman"/>
          <w:color w:val="auto"/>
          <w:szCs w:val="21"/>
          <w:highlight w:val="none"/>
        </w:rPr>
        <w:t>违约责任</w:t>
      </w:r>
      <w:r>
        <w:rPr>
          <w:rFonts w:hint="eastAsia" w:cs="Times New Roman"/>
          <w:color w:val="auto"/>
          <w:szCs w:val="21"/>
          <w:highlight w:val="none"/>
          <w:lang w:val="en-US" w:eastAsia="zh-CN"/>
        </w:rPr>
        <w:t>和要求乙方赔偿甲方遭受的损失</w:t>
      </w:r>
      <w:r>
        <w:rPr>
          <w:rFonts w:hint="default" w:ascii="Times New Roman" w:hAnsi="Times New Roman" w:eastAsia="宋体" w:cs="Times New Roman"/>
          <w:color w:val="auto"/>
          <w:szCs w:val="21"/>
          <w:highlight w:val="none"/>
        </w:rPr>
        <w:t>；</w:t>
      </w:r>
    </w:p>
    <w:p w14:paraId="0F0BA552">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4.</w:t>
      </w:r>
      <w:r>
        <w:rPr>
          <w:rFonts w:hint="eastAsia" w:ascii="Times New Roman" w:hAnsi="Times New Roman" w:cs="Times New Roman"/>
          <w:color w:val="auto"/>
          <w:szCs w:val="21"/>
          <w:highlight w:val="none"/>
          <w:lang w:val="en-US" w:eastAsia="zh-CN"/>
        </w:rPr>
        <w:t>5</w:t>
      </w:r>
      <w:r>
        <w:rPr>
          <w:rFonts w:hint="default" w:ascii="Times New Roman" w:hAnsi="Times New Roman" w:eastAsia="宋体" w:cs="Times New Roman"/>
          <w:color w:val="auto"/>
          <w:szCs w:val="21"/>
          <w:highlight w:val="none"/>
        </w:rPr>
        <w:t xml:space="preserve"> 甲方或甲方委托方有权依据国家安全政策、法规和各项安全技术操作规程对乙方安全进行监督、检查和管理，有权纠正和制止乙方违规、违章行为，并根据具体情况进行处罚。甲方或甲方委托方发现乙方存在</w:t>
      </w:r>
      <w:r>
        <w:rPr>
          <w:rFonts w:hint="eastAsia" w:ascii="Times New Roman" w:hAnsi="Times New Roman" w:cs="Times New Roman"/>
          <w:color w:val="auto"/>
          <w:szCs w:val="21"/>
          <w:highlight w:val="none"/>
          <w:lang w:val="en-US" w:eastAsia="zh-CN"/>
        </w:rPr>
        <w:t>作业</w:t>
      </w:r>
      <w:r>
        <w:rPr>
          <w:rFonts w:hint="default" w:ascii="Times New Roman" w:hAnsi="Times New Roman" w:eastAsia="宋体" w:cs="Times New Roman"/>
          <w:color w:val="auto"/>
          <w:szCs w:val="21"/>
          <w:highlight w:val="none"/>
        </w:rPr>
        <w:t>安全隐患，有权责令乙方限期整改；对存在重大安全隐患的，甲方或甲方委托方有权责令乙方立即停</w:t>
      </w:r>
      <w:r>
        <w:rPr>
          <w:rFonts w:hint="eastAsia" w:cs="Times New Roman"/>
          <w:color w:val="auto"/>
          <w:szCs w:val="21"/>
          <w:highlight w:val="none"/>
          <w:lang w:val="en-US" w:eastAsia="zh-CN"/>
        </w:rPr>
        <w:t>止作业并进行</w:t>
      </w:r>
      <w:r>
        <w:rPr>
          <w:rFonts w:hint="default" w:ascii="Times New Roman" w:hAnsi="Times New Roman" w:eastAsia="宋体" w:cs="Times New Roman"/>
          <w:color w:val="auto"/>
          <w:szCs w:val="21"/>
          <w:highlight w:val="none"/>
        </w:rPr>
        <w:t>整改，待隐患消除</w:t>
      </w:r>
      <w:r>
        <w:rPr>
          <w:rFonts w:hint="eastAsia" w:cs="Times New Roman"/>
          <w:color w:val="auto"/>
          <w:szCs w:val="21"/>
          <w:highlight w:val="none"/>
          <w:lang w:val="en-US" w:eastAsia="zh-CN"/>
        </w:rPr>
        <w:t>经甲方确认</w:t>
      </w:r>
      <w:r>
        <w:rPr>
          <w:rFonts w:hint="default" w:ascii="Times New Roman" w:hAnsi="Times New Roman" w:eastAsia="宋体" w:cs="Times New Roman"/>
          <w:color w:val="auto"/>
          <w:szCs w:val="21"/>
          <w:highlight w:val="none"/>
        </w:rPr>
        <w:t>后方可</w:t>
      </w:r>
      <w:r>
        <w:rPr>
          <w:rFonts w:hint="eastAsia" w:cs="Times New Roman"/>
          <w:color w:val="auto"/>
          <w:szCs w:val="21"/>
          <w:highlight w:val="none"/>
          <w:lang w:val="en-US" w:eastAsia="zh-CN"/>
        </w:rPr>
        <w:t>重新开始作业</w:t>
      </w:r>
      <w:r>
        <w:rPr>
          <w:rFonts w:hint="default" w:ascii="Times New Roman" w:hAnsi="Times New Roman" w:eastAsia="宋体" w:cs="Times New Roman"/>
          <w:color w:val="auto"/>
          <w:szCs w:val="21"/>
          <w:highlight w:val="none"/>
        </w:rPr>
        <w:t>；</w:t>
      </w:r>
    </w:p>
    <w:p w14:paraId="3EFFDF16">
      <w:pPr>
        <w:snapToGrid w:val="0"/>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4</w:t>
      </w:r>
      <w:r>
        <w:rPr>
          <w:rFonts w:hint="eastAsia" w:ascii="Times New Roman" w:hAnsi="Times New Roman" w:cs="Times New Roman"/>
          <w:color w:val="auto"/>
          <w:szCs w:val="21"/>
          <w:highlight w:val="none"/>
          <w:lang w:val="en-US" w:eastAsia="zh-CN"/>
        </w:rPr>
        <w:t xml:space="preserve">.6 </w:t>
      </w:r>
      <w:r>
        <w:rPr>
          <w:rFonts w:hint="default" w:ascii="Times New Roman" w:hAnsi="Times New Roman" w:eastAsia="宋体" w:cs="Times New Roman"/>
          <w:color w:val="auto"/>
          <w:szCs w:val="21"/>
          <w:highlight w:val="none"/>
        </w:rPr>
        <w:t>乙方发生事故时，甲方或甲方委托方应提供支持和帮助，发生人身伤害事故时，要积极配合抢救，并提供其他便利条件</w:t>
      </w:r>
      <w:r>
        <w:rPr>
          <w:rFonts w:hint="eastAsia" w:ascii="Times New Roman" w:hAnsi="Times New Roman" w:cs="Times New Roman"/>
          <w:color w:val="auto"/>
          <w:szCs w:val="21"/>
          <w:highlight w:val="none"/>
          <w:lang w:eastAsia="zh-CN"/>
        </w:rPr>
        <w:t>。</w:t>
      </w:r>
    </w:p>
    <w:p w14:paraId="10C16B70">
      <w:pPr>
        <w:snapToGrid w:val="0"/>
        <w:spacing w:line="500" w:lineRule="exact"/>
        <w:ind w:firstLine="422" w:firstLineChars="200"/>
        <w:outlineLvl w:val="0"/>
        <w:rPr>
          <w:rFonts w:hint="default" w:ascii="Times New Roman" w:hAnsi="Times New Roman" w:eastAsia="宋体" w:cs="Times New Roman"/>
          <w:b/>
          <w:bCs/>
          <w:color w:val="auto"/>
          <w:szCs w:val="21"/>
          <w:highlight w:val="none"/>
        </w:rPr>
      </w:pPr>
      <w:bookmarkStart w:id="413" w:name="_Toc17958"/>
      <w:bookmarkStart w:id="414" w:name="_Toc13611"/>
      <w:r>
        <w:rPr>
          <w:rFonts w:hint="default" w:ascii="Times New Roman" w:hAnsi="Times New Roman" w:eastAsia="宋体" w:cs="Times New Roman"/>
          <w:b/>
          <w:bCs/>
          <w:color w:val="auto"/>
          <w:szCs w:val="21"/>
          <w:highlight w:val="none"/>
        </w:rPr>
        <w:t>第五条 乙方的权利和义务</w:t>
      </w:r>
      <w:bookmarkEnd w:id="413"/>
      <w:bookmarkEnd w:id="414"/>
    </w:p>
    <w:p w14:paraId="0A13248F">
      <w:pPr>
        <w:spacing w:line="500" w:lineRule="exact"/>
        <w:ind w:firstLine="420" w:firstLineChars="200"/>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color w:val="auto"/>
          <w:szCs w:val="21"/>
          <w:highlight w:val="none"/>
          <w:shd w:val="clear" w:color="auto" w:fill="FFFFFF"/>
        </w:rPr>
        <w:t>5.1 乙方负责人是</w:t>
      </w:r>
      <w:r>
        <w:rPr>
          <w:rFonts w:hint="eastAsia" w:ascii="Times New Roman" w:hAnsi="Times New Roman" w:cs="Times New Roman"/>
          <w:color w:val="auto"/>
          <w:szCs w:val="21"/>
          <w:highlight w:val="none"/>
          <w:shd w:val="clear" w:color="auto" w:fill="FFFFFF"/>
          <w:lang w:val="en-US" w:eastAsia="zh-CN"/>
        </w:rPr>
        <w:t>原合同项目</w:t>
      </w:r>
      <w:r>
        <w:rPr>
          <w:rFonts w:hint="default" w:ascii="Times New Roman" w:hAnsi="Times New Roman" w:eastAsia="宋体" w:cs="Times New Roman"/>
          <w:color w:val="auto"/>
          <w:szCs w:val="21"/>
          <w:highlight w:val="none"/>
          <w:shd w:val="clear" w:color="auto" w:fill="FFFFFF"/>
        </w:rPr>
        <w:t>第一责任人，对本协议安全负全面责任；</w:t>
      </w:r>
    </w:p>
    <w:p w14:paraId="2924F8E4">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5.2 乙方应认真贯彻执行国家安全生产政策、法规和行业安全规程、规定及甲方制定的各项安全管理制度</w:t>
      </w:r>
      <w:r>
        <w:rPr>
          <w:rFonts w:hint="eastAsia" w:cs="Times New Roman"/>
          <w:color w:val="auto"/>
          <w:szCs w:val="21"/>
          <w:highlight w:val="none"/>
          <w:lang w:eastAsia="zh-CN"/>
        </w:rPr>
        <w:t>、</w:t>
      </w:r>
      <w:r>
        <w:rPr>
          <w:rFonts w:hint="eastAsia" w:cs="Times New Roman"/>
          <w:color w:val="auto"/>
          <w:szCs w:val="21"/>
          <w:highlight w:val="none"/>
          <w:lang w:val="en-US" w:eastAsia="zh-CN"/>
        </w:rPr>
        <w:t>通知</w:t>
      </w:r>
      <w:r>
        <w:rPr>
          <w:rFonts w:hint="default" w:ascii="Times New Roman" w:hAnsi="Times New Roman" w:eastAsia="宋体" w:cs="Times New Roman"/>
          <w:color w:val="auto"/>
          <w:szCs w:val="21"/>
          <w:highlight w:val="none"/>
        </w:rPr>
        <w:t>，自觉遵守本协议；</w:t>
      </w:r>
    </w:p>
    <w:p w14:paraId="2B428D02">
      <w:pPr>
        <w:spacing w:line="500" w:lineRule="exact"/>
        <w:ind w:firstLine="420" w:firstLineChars="200"/>
        <w:rPr>
          <w:rFonts w:hint="eastAsia" w:ascii="Times New Roman" w:hAnsi="Times New Roman" w:cs="Times New Roman"/>
          <w:color w:val="auto"/>
          <w:kern w:val="0"/>
          <w:szCs w:val="21"/>
          <w:highlight w:val="none"/>
          <w:lang w:eastAsia="zh-CN"/>
        </w:rPr>
      </w:pPr>
      <w:r>
        <w:rPr>
          <w:rFonts w:hint="default" w:ascii="Times New Roman" w:hAnsi="Times New Roman" w:eastAsia="宋体" w:cs="Times New Roman"/>
          <w:color w:val="auto"/>
          <w:kern w:val="0"/>
          <w:szCs w:val="21"/>
          <w:highlight w:val="none"/>
        </w:rPr>
        <w:t>5.3 乙方自备及租赁的</w:t>
      </w:r>
      <w:r>
        <w:rPr>
          <w:rFonts w:hint="eastAsia" w:cs="Times New Roman"/>
          <w:color w:val="auto"/>
          <w:kern w:val="0"/>
          <w:szCs w:val="21"/>
          <w:highlight w:val="none"/>
          <w:lang w:val="en-US" w:eastAsia="zh-CN"/>
        </w:rPr>
        <w:t>运输车辆及各类工具</w:t>
      </w:r>
      <w:r>
        <w:rPr>
          <w:rFonts w:hint="default" w:ascii="Times New Roman" w:hAnsi="Times New Roman" w:eastAsia="宋体" w:cs="Times New Roman"/>
          <w:color w:val="auto"/>
          <w:kern w:val="0"/>
          <w:szCs w:val="21"/>
          <w:highlight w:val="none"/>
        </w:rPr>
        <w:t>，必须</w:t>
      </w:r>
      <w:r>
        <w:rPr>
          <w:rFonts w:hint="default" w:ascii="Times New Roman" w:hAnsi="Times New Roman" w:eastAsia="宋体" w:cs="Times New Roman"/>
          <w:color w:val="auto"/>
          <w:szCs w:val="21"/>
          <w:highlight w:val="none"/>
        </w:rPr>
        <w:t>经</w:t>
      </w:r>
      <w:r>
        <w:rPr>
          <w:rFonts w:hint="eastAsia" w:cs="Times New Roman"/>
          <w:color w:val="auto"/>
          <w:szCs w:val="21"/>
          <w:highlight w:val="none"/>
          <w:lang w:val="en-US" w:eastAsia="zh-CN"/>
        </w:rPr>
        <w:t>定期</w:t>
      </w:r>
      <w:r>
        <w:rPr>
          <w:rFonts w:hint="default" w:ascii="Times New Roman" w:hAnsi="Times New Roman" w:eastAsia="宋体" w:cs="Times New Roman"/>
          <w:color w:val="auto"/>
          <w:szCs w:val="21"/>
          <w:highlight w:val="none"/>
        </w:rPr>
        <w:t>检验合格</w:t>
      </w:r>
      <w:r>
        <w:rPr>
          <w:rFonts w:hint="eastAsia" w:cs="Times New Roman"/>
          <w:color w:val="auto"/>
          <w:szCs w:val="21"/>
          <w:highlight w:val="none"/>
          <w:lang w:eastAsia="zh-CN"/>
        </w:rPr>
        <w:t>，</w:t>
      </w:r>
      <w:r>
        <w:rPr>
          <w:rFonts w:hint="default" w:ascii="Times New Roman" w:hAnsi="Times New Roman" w:eastAsia="宋体" w:cs="Times New Roman"/>
          <w:color w:val="auto"/>
          <w:kern w:val="0"/>
          <w:szCs w:val="21"/>
          <w:highlight w:val="none"/>
        </w:rPr>
        <w:t>符合国家技术标准和行业技术标准</w:t>
      </w:r>
      <w:r>
        <w:rPr>
          <w:rFonts w:hint="default" w:ascii="Times New Roman" w:hAnsi="Times New Roman" w:eastAsia="宋体" w:cs="Times New Roman"/>
          <w:color w:val="auto"/>
          <w:szCs w:val="21"/>
          <w:highlight w:val="none"/>
        </w:rPr>
        <w:t>并遵守相关操作规程</w:t>
      </w:r>
      <w:r>
        <w:rPr>
          <w:rFonts w:hint="default" w:ascii="Times New Roman" w:hAnsi="Times New Roman" w:eastAsia="宋体" w:cs="Times New Roman"/>
          <w:color w:val="auto"/>
          <w:kern w:val="0"/>
          <w:szCs w:val="21"/>
          <w:highlight w:val="none"/>
        </w:rPr>
        <w:t>，且性能良好，各种安全防护装置齐全、灵敏、可靠</w:t>
      </w:r>
      <w:r>
        <w:rPr>
          <w:rFonts w:hint="eastAsia" w:ascii="Times New Roman" w:hAnsi="Times New Roman" w:cs="Times New Roman"/>
          <w:color w:val="auto"/>
          <w:kern w:val="0"/>
          <w:szCs w:val="21"/>
          <w:highlight w:val="none"/>
          <w:lang w:eastAsia="zh-CN"/>
        </w:rPr>
        <w:t>；</w:t>
      </w:r>
    </w:p>
    <w:p w14:paraId="226EA950">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5.4 乙方在</w:t>
      </w:r>
      <w:r>
        <w:rPr>
          <w:rFonts w:hint="eastAsia" w:ascii="Times New Roman" w:hAnsi="Times New Roman" w:cs="Times New Roman"/>
          <w:color w:val="auto"/>
          <w:szCs w:val="21"/>
          <w:highlight w:val="none"/>
          <w:lang w:val="en-US" w:eastAsia="zh-CN"/>
        </w:rPr>
        <w:t>装卸货或其他</w:t>
      </w:r>
      <w:r>
        <w:rPr>
          <w:rFonts w:hint="default" w:ascii="Times New Roman" w:hAnsi="Times New Roman" w:eastAsia="宋体" w:cs="Times New Roman"/>
          <w:color w:val="auto"/>
          <w:szCs w:val="21"/>
          <w:highlight w:val="none"/>
        </w:rPr>
        <w:t>作业过程中应切实采取有效</w:t>
      </w:r>
      <w:r>
        <w:rPr>
          <w:rFonts w:hint="eastAsia" w:ascii="Times New Roman" w:hAnsi="Times New Roman" w:cs="Times New Roman"/>
          <w:color w:val="auto"/>
          <w:szCs w:val="21"/>
          <w:highlight w:val="none"/>
          <w:lang w:val="en-US" w:eastAsia="zh-CN"/>
        </w:rPr>
        <w:t>的</w:t>
      </w:r>
      <w:r>
        <w:rPr>
          <w:rFonts w:hint="default" w:ascii="Times New Roman" w:hAnsi="Times New Roman" w:eastAsia="宋体" w:cs="Times New Roman"/>
          <w:color w:val="auto"/>
          <w:szCs w:val="21"/>
          <w:highlight w:val="none"/>
        </w:rPr>
        <w:t>安全防护措施，加强安全管理工作，防止各类安全事故的发生，保证人身及财产安全；</w:t>
      </w:r>
    </w:p>
    <w:p w14:paraId="68311F04">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5.</w:t>
      </w:r>
      <w:r>
        <w:rPr>
          <w:rFonts w:hint="eastAsia" w:cs="Times New Roman"/>
          <w:color w:val="auto"/>
          <w:szCs w:val="21"/>
          <w:highlight w:val="none"/>
          <w:lang w:val="en-US" w:eastAsia="zh-CN"/>
        </w:rPr>
        <w:t>5</w:t>
      </w:r>
      <w:r>
        <w:rPr>
          <w:rFonts w:hint="default" w:ascii="Times New Roman" w:hAnsi="Times New Roman" w:eastAsia="宋体" w:cs="Times New Roman"/>
          <w:color w:val="auto"/>
          <w:szCs w:val="21"/>
          <w:highlight w:val="none"/>
        </w:rPr>
        <w:t xml:space="preserve"> 乙方应建立安全生产保证体系及安全组织机构，设置专职安全生产管理人员，健全安全生产责任制及相应的安全奖惩办法；</w:t>
      </w:r>
    </w:p>
    <w:p w14:paraId="4501FCF5">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5.</w:t>
      </w:r>
      <w:r>
        <w:rPr>
          <w:rFonts w:hint="eastAsia" w:cs="Times New Roman"/>
          <w:color w:val="auto"/>
          <w:szCs w:val="21"/>
          <w:highlight w:val="none"/>
          <w:lang w:val="en-US" w:eastAsia="zh-CN"/>
        </w:rPr>
        <w:t>6</w:t>
      </w:r>
      <w:r>
        <w:rPr>
          <w:rFonts w:hint="default" w:ascii="Times New Roman" w:hAnsi="Times New Roman" w:eastAsia="宋体" w:cs="Times New Roman"/>
          <w:color w:val="auto"/>
          <w:szCs w:val="21"/>
          <w:highlight w:val="none"/>
        </w:rPr>
        <w:t xml:space="preserve"> 乙方根据装卸货现场特点编制安全</w:t>
      </w:r>
      <w:r>
        <w:rPr>
          <w:rFonts w:hint="eastAsia" w:ascii="Times New Roman" w:hAnsi="Times New Roman" w:cs="Times New Roman"/>
          <w:color w:val="auto"/>
          <w:szCs w:val="21"/>
          <w:highlight w:val="none"/>
          <w:lang w:val="en-US" w:eastAsia="zh-CN"/>
        </w:rPr>
        <w:t>操作规程</w:t>
      </w:r>
      <w:r>
        <w:rPr>
          <w:rFonts w:hint="default"/>
          <w:color w:val="auto"/>
          <w:szCs w:val="21"/>
          <w:highlight w:val="none"/>
        </w:rPr>
        <w:t>和应急预案方案</w:t>
      </w:r>
      <w:r>
        <w:rPr>
          <w:rFonts w:hint="default" w:ascii="Times New Roman" w:hAnsi="Times New Roman" w:eastAsia="宋体" w:cs="Times New Roman"/>
          <w:color w:val="auto"/>
          <w:szCs w:val="21"/>
          <w:highlight w:val="none"/>
        </w:rPr>
        <w:t>；</w:t>
      </w:r>
    </w:p>
    <w:p w14:paraId="75068294">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5.</w:t>
      </w:r>
      <w:r>
        <w:rPr>
          <w:rFonts w:hint="eastAsia" w:cs="Times New Roman"/>
          <w:color w:val="auto"/>
          <w:szCs w:val="21"/>
          <w:highlight w:val="none"/>
          <w:lang w:val="en-US" w:eastAsia="zh-CN"/>
        </w:rPr>
        <w:t>7</w:t>
      </w:r>
      <w:r>
        <w:rPr>
          <w:rFonts w:hint="default" w:ascii="Times New Roman" w:hAnsi="Times New Roman" w:eastAsia="宋体" w:cs="Times New Roman"/>
          <w:color w:val="auto"/>
          <w:szCs w:val="21"/>
          <w:highlight w:val="none"/>
        </w:rPr>
        <w:t xml:space="preserve"> 乙方做好</w:t>
      </w:r>
      <w:r>
        <w:rPr>
          <w:rFonts w:hint="eastAsia" w:ascii="Times New Roman" w:hAnsi="Times New Roman" w:cs="Times New Roman"/>
          <w:color w:val="auto"/>
          <w:szCs w:val="21"/>
          <w:highlight w:val="none"/>
          <w:lang w:val="en-US" w:eastAsia="zh-CN"/>
        </w:rPr>
        <w:t>相关作业</w:t>
      </w:r>
      <w:r>
        <w:rPr>
          <w:rFonts w:hint="default" w:ascii="Times New Roman" w:hAnsi="Times New Roman" w:eastAsia="宋体" w:cs="Times New Roman"/>
          <w:color w:val="auto"/>
          <w:szCs w:val="21"/>
          <w:highlight w:val="none"/>
        </w:rPr>
        <w:t>人员的安全教育和安全技术交底工作，保证上岗作业人员经</w:t>
      </w:r>
      <w:r>
        <w:rPr>
          <w:rFonts w:hint="eastAsia" w:ascii="Times New Roman" w:hAnsi="Times New Roman" w:cs="Times New Roman"/>
          <w:color w:val="auto"/>
          <w:szCs w:val="21"/>
          <w:highlight w:val="none"/>
          <w:lang w:val="en-US" w:eastAsia="zh-CN"/>
        </w:rPr>
        <w:t>过</w:t>
      </w:r>
      <w:r>
        <w:rPr>
          <w:rFonts w:hint="default" w:ascii="Times New Roman" w:hAnsi="Times New Roman" w:eastAsia="宋体" w:cs="Times New Roman"/>
          <w:color w:val="auto"/>
          <w:szCs w:val="21"/>
          <w:highlight w:val="none"/>
        </w:rPr>
        <w:t>全教育，未经安全教育者不得进场</w:t>
      </w:r>
      <w:r>
        <w:rPr>
          <w:rFonts w:hint="eastAsia" w:ascii="Times New Roman" w:hAnsi="Times New Roman" w:cs="Times New Roman"/>
          <w:color w:val="auto"/>
          <w:szCs w:val="21"/>
          <w:highlight w:val="none"/>
          <w:lang w:val="en-US" w:eastAsia="zh-CN"/>
        </w:rPr>
        <w:t>作业</w:t>
      </w:r>
      <w:r>
        <w:rPr>
          <w:rFonts w:hint="default" w:ascii="Times New Roman" w:hAnsi="Times New Roman" w:eastAsia="宋体" w:cs="Times New Roman"/>
          <w:color w:val="auto"/>
          <w:szCs w:val="21"/>
          <w:highlight w:val="none"/>
        </w:rPr>
        <w:t>；</w:t>
      </w:r>
    </w:p>
    <w:p w14:paraId="4294E0A5">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5.</w:t>
      </w:r>
      <w:r>
        <w:rPr>
          <w:rFonts w:hint="eastAsia" w:cs="Times New Roman"/>
          <w:color w:val="auto"/>
          <w:szCs w:val="21"/>
          <w:highlight w:val="none"/>
          <w:lang w:val="en-US" w:eastAsia="zh-CN"/>
        </w:rPr>
        <w:t>8</w:t>
      </w:r>
      <w:r>
        <w:rPr>
          <w:rFonts w:hint="default" w:ascii="Times New Roman" w:hAnsi="Times New Roman" w:eastAsia="宋体" w:cs="Times New Roman"/>
          <w:color w:val="auto"/>
          <w:szCs w:val="21"/>
          <w:highlight w:val="none"/>
        </w:rPr>
        <w:t xml:space="preserve"> 乙方应购置配备安全防护设施和劳动保护用品，其使用要求符合国家标准，对不合格者，甲方有权要求整改，并根据具体情况进行处罚；</w:t>
      </w:r>
    </w:p>
    <w:p w14:paraId="39BF3888">
      <w:pPr>
        <w:spacing w:line="500" w:lineRule="exact"/>
        <w:ind w:firstLine="420" w:firstLineChars="200"/>
        <w:rPr>
          <w:rFonts w:hint="default" w:eastAsia="宋体"/>
          <w:color w:val="auto"/>
          <w:highlight w:val="none"/>
          <w:lang w:val="en-US" w:eastAsia="zh-CN"/>
        </w:rPr>
      </w:pPr>
      <w:r>
        <w:rPr>
          <w:rFonts w:hint="eastAsia"/>
          <w:color w:val="auto"/>
          <w:highlight w:val="none"/>
          <w:lang w:val="en-US" w:eastAsia="zh-CN"/>
        </w:rPr>
        <w:t xml:space="preserve">5.9 </w:t>
      </w:r>
      <w:r>
        <w:rPr>
          <w:rFonts w:hint="default"/>
          <w:color w:val="auto"/>
          <w:highlight w:val="none"/>
        </w:rPr>
        <w:t>乙方应加强</w:t>
      </w:r>
      <w:r>
        <w:rPr>
          <w:rFonts w:hint="eastAsia"/>
          <w:color w:val="auto"/>
          <w:highlight w:val="none"/>
          <w:lang w:val="en-US" w:eastAsia="zh-CN"/>
        </w:rPr>
        <w:t>收运</w:t>
      </w:r>
      <w:r>
        <w:rPr>
          <w:rFonts w:hint="default"/>
          <w:color w:val="auto"/>
          <w:highlight w:val="none"/>
        </w:rPr>
        <w:t>作业现场管理，严禁无关人员随意进入</w:t>
      </w:r>
      <w:r>
        <w:rPr>
          <w:rFonts w:hint="eastAsia"/>
          <w:color w:val="auto"/>
          <w:highlight w:val="none"/>
          <w:lang w:val="en-US" w:eastAsia="zh-CN"/>
        </w:rPr>
        <w:t>甲方以及甲方客户（</w:t>
      </w:r>
      <w:bookmarkStart w:id="415" w:name="OLE_LINK4"/>
      <w:r>
        <w:rPr>
          <w:rFonts w:hint="eastAsia"/>
          <w:color w:val="auto"/>
          <w:highlight w:val="none"/>
          <w:lang w:val="en-US" w:eastAsia="zh-CN"/>
        </w:rPr>
        <w:t>产废单位</w:t>
      </w:r>
      <w:bookmarkEnd w:id="415"/>
      <w:r>
        <w:rPr>
          <w:rFonts w:hint="eastAsia"/>
          <w:color w:val="auto"/>
          <w:highlight w:val="none"/>
          <w:lang w:val="en-US" w:eastAsia="zh-CN"/>
        </w:rPr>
        <w:t>）的生产作业</w:t>
      </w:r>
      <w:r>
        <w:rPr>
          <w:rFonts w:hint="default"/>
          <w:color w:val="auto"/>
          <w:highlight w:val="none"/>
        </w:rPr>
        <w:t>区域。如需进入</w:t>
      </w:r>
      <w:r>
        <w:rPr>
          <w:rFonts w:hint="eastAsia"/>
          <w:color w:val="auto"/>
          <w:highlight w:val="none"/>
          <w:lang w:val="en-US" w:eastAsia="zh-CN"/>
        </w:rPr>
        <w:t>甲方</w:t>
      </w:r>
      <w:r>
        <w:rPr>
          <w:rFonts w:hint="default"/>
          <w:color w:val="auto"/>
          <w:highlight w:val="none"/>
        </w:rPr>
        <w:t>车间及仓库，应提前向甲方报备，同意后方可进入并保持作业现场良好的秩序；</w:t>
      </w:r>
      <w:r>
        <w:rPr>
          <w:rFonts w:hint="eastAsia"/>
          <w:color w:val="auto"/>
          <w:highlight w:val="none"/>
          <w:lang w:val="en-US" w:eastAsia="zh-CN"/>
        </w:rPr>
        <w:t>在进入甲方客户</w:t>
      </w:r>
      <w:bookmarkStart w:id="416" w:name="OLE_LINK3"/>
      <w:r>
        <w:rPr>
          <w:rFonts w:hint="eastAsia"/>
          <w:color w:val="auto"/>
          <w:highlight w:val="none"/>
          <w:lang w:val="en-US" w:eastAsia="zh-CN"/>
        </w:rPr>
        <w:t>（产废单位）</w:t>
      </w:r>
      <w:bookmarkEnd w:id="416"/>
      <w:r>
        <w:rPr>
          <w:rFonts w:hint="eastAsia"/>
          <w:color w:val="auto"/>
          <w:highlight w:val="none"/>
          <w:lang w:val="en-US" w:eastAsia="zh-CN"/>
        </w:rPr>
        <w:t>车间或者仓库进行收运作业时，严格遵守甲方客户（产废单位）的安全管理规定。</w:t>
      </w:r>
    </w:p>
    <w:p w14:paraId="559E33D5">
      <w:pPr>
        <w:spacing w:line="500" w:lineRule="exact"/>
        <w:ind w:firstLine="420" w:firstLineChars="200"/>
        <w:rPr>
          <w:rFonts w:hint="default" w:eastAsia="宋体"/>
          <w:color w:val="auto"/>
          <w:highlight w:val="none"/>
          <w:lang w:val="en-US" w:eastAsia="zh-CN"/>
        </w:rPr>
      </w:pPr>
      <w:r>
        <w:rPr>
          <w:rFonts w:hint="eastAsia"/>
          <w:color w:val="auto"/>
          <w:highlight w:val="none"/>
          <w:lang w:val="en-US" w:eastAsia="zh-CN"/>
        </w:rPr>
        <w:t xml:space="preserve">5.10 </w:t>
      </w:r>
      <w:r>
        <w:rPr>
          <w:rFonts w:hint="eastAsia"/>
          <w:color w:val="auto"/>
          <w:highlight w:val="none"/>
        </w:rPr>
        <w:t>未经甲方同意，乙方不得擅自使用</w:t>
      </w:r>
      <w:r>
        <w:rPr>
          <w:rFonts w:hint="eastAsia"/>
          <w:color w:val="auto"/>
          <w:highlight w:val="none"/>
          <w:lang w:val="en-US" w:eastAsia="zh-CN"/>
        </w:rPr>
        <w:t>甲方</w:t>
      </w:r>
      <w:r>
        <w:rPr>
          <w:rFonts w:hint="eastAsia"/>
          <w:color w:val="auto"/>
          <w:highlight w:val="none"/>
        </w:rPr>
        <w:t>车间所有设施设备工具。乙方不得未经甲方允许私自接用生产电源及水源。如确有所需，向甲方报备允许后在相关车间工作人员的陪同监督下使用。</w:t>
      </w:r>
      <w:r>
        <w:rPr>
          <w:rFonts w:hint="eastAsia"/>
          <w:color w:val="auto"/>
          <w:highlight w:val="none"/>
          <w:lang w:val="en-US" w:eastAsia="zh-CN"/>
        </w:rPr>
        <w:t>在甲方客户（产废单位）作业时同理。</w:t>
      </w:r>
    </w:p>
    <w:p w14:paraId="1755BA72">
      <w:pPr>
        <w:spacing w:line="500" w:lineRule="exact"/>
        <w:ind w:firstLine="420" w:firstLineChars="200"/>
        <w:rPr>
          <w:rFonts w:hint="eastAsia"/>
          <w:color w:val="auto"/>
          <w:highlight w:val="none"/>
        </w:rPr>
      </w:pPr>
      <w:r>
        <w:rPr>
          <w:rFonts w:hint="eastAsia"/>
          <w:color w:val="auto"/>
          <w:highlight w:val="none"/>
        </w:rPr>
        <w:t>5.1</w:t>
      </w:r>
      <w:r>
        <w:rPr>
          <w:rFonts w:hint="eastAsia"/>
          <w:color w:val="auto"/>
          <w:highlight w:val="none"/>
          <w:lang w:val="en-US" w:eastAsia="zh-CN"/>
        </w:rPr>
        <w:t xml:space="preserve">1 </w:t>
      </w:r>
      <w:r>
        <w:rPr>
          <w:rFonts w:hint="eastAsia"/>
          <w:color w:val="auto"/>
          <w:highlight w:val="none"/>
        </w:rPr>
        <w:t>乙方应在规定的时间内完成甲方检查所发现的安全隐患项的整改；</w:t>
      </w:r>
    </w:p>
    <w:p w14:paraId="3C53974E">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5.1</w:t>
      </w:r>
      <w:r>
        <w:rPr>
          <w:rFonts w:hint="eastAsia" w:cs="Times New Roman"/>
          <w:color w:val="auto"/>
          <w:szCs w:val="21"/>
          <w:highlight w:val="none"/>
          <w:lang w:val="en-US" w:eastAsia="zh-CN"/>
        </w:rPr>
        <w:t>2</w:t>
      </w:r>
      <w:r>
        <w:rPr>
          <w:rFonts w:hint="default" w:ascii="Times New Roman" w:hAnsi="Times New Roman" w:eastAsia="宋体" w:cs="Times New Roman"/>
          <w:color w:val="auto"/>
          <w:szCs w:val="21"/>
          <w:highlight w:val="none"/>
        </w:rPr>
        <w:t xml:space="preserve"> 乙方在</w:t>
      </w:r>
      <w:r>
        <w:rPr>
          <w:rFonts w:hint="eastAsia" w:ascii="Times New Roman" w:hAnsi="Times New Roman" w:cs="Times New Roman"/>
          <w:color w:val="auto"/>
          <w:szCs w:val="21"/>
          <w:highlight w:val="none"/>
          <w:lang w:val="en-US" w:eastAsia="zh-CN"/>
        </w:rPr>
        <w:t>装卸货</w:t>
      </w:r>
      <w:r>
        <w:rPr>
          <w:rFonts w:hint="eastAsia" w:cs="Times New Roman"/>
          <w:color w:val="auto"/>
          <w:szCs w:val="21"/>
          <w:highlight w:val="none"/>
          <w:lang w:val="en-US" w:eastAsia="zh-CN"/>
        </w:rPr>
        <w:t>及运输</w:t>
      </w:r>
      <w:r>
        <w:rPr>
          <w:rFonts w:hint="default" w:ascii="Times New Roman" w:hAnsi="Times New Roman" w:eastAsia="宋体" w:cs="Times New Roman"/>
          <w:color w:val="auto"/>
          <w:szCs w:val="21"/>
          <w:highlight w:val="none"/>
        </w:rPr>
        <w:t>过程中对人的不安全行为，物的不安全状态，作业环境的不安全因素和管理上的缺陷进行控制。杜绝违章指挥、违章作业现象存在；</w:t>
      </w:r>
    </w:p>
    <w:p w14:paraId="0CBE9F24">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5.1</w:t>
      </w:r>
      <w:r>
        <w:rPr>
          <w:rFonts w:hint="eastAsia" w:cs="Times New Roman"/>
          <w:color w:val="auto"/>
          <w:szCs w:val="21"/>
          <w:highlight w:val="none"/>
          <w:lang w:val="en-US" w:eastAsia="zh-CN"/>
        </w:rPr>
        <w:t>3</w:t>
      </w:r>
      <w:r>
        <w:rPr>
          <w:rFonts w:hint="default" w:ascii="Times New Roman" w:hAnsi="Times New Roman" w:eastAsia="宋体" w:cs="Times New Roman"/>
          <w:color w:val="auto"/>
          <w:szCs w:val="21"/>
          <w:highlight w:val="none"/>
        </w:rPr>
        <w:t xml:space="preserve"> 乙方有责任向甲方提出安全合理化建议，有义务完成甲方安排的有利于安全工作的其他要求；</w:t>
      </w:r>
    </w:p>
    <w:p w14:paraId="2968AE3C">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5.1</w:t>
      </w:r>
      <w:r>
        <w:rPr>
          <w:rFonts w:hint="eastAsia" w:cs="Times New Roman"/>
          <w:color w:val="auto"/>
          <w:szCs w:val="21"/>
          <w:highlight w:val="none"/>
          <w:lang w:val="en-US" w:eastAsia="zh-CN"/>
        </w:rPr>
        <w:t>4</w:t>
      </w:r>
      <w:r>
        <w:rPr>
          <w:rFonts w:hint="default" w:ascii="Times New Roman" w:hAnsi="Times New Roman" w:eastAsia="宋体" w:cs="Times New Roman"/>
          <w:color w:val="auto"/>
          <w:szCs w:val="21"/>
          <w:highlight w:val="none"/>
        </w:rPr>
        <w:t xml:space="preserve"> 乙方在进场</w:t>
      </w:r>
      <w:r>
        <w:rPr>
          <w:rFonts w:hint="eastAsia" w:ascii="Times New Roman" w:hAnsi="Times New Roman" w:cs="Times New Roman"/>
          <w:color w:val="auto"/>
          <w:szCs w:val="21"/>
          <w:highlight w:val="none"/>
          <w:lang w:val="en-US" w:eastAsia="zh-CN"/>
        </w:rPr>
        <w:t>装</w:t>
      </w:r>
      <w:r>
        <w:rPr>
          <w:rFonts w:hint="default" w:ascii="Times New Roman" w:hAnsi="Times New Roman" w:eastAsia="宋体" w:cs="Times New Roman"/>
          <w:color w:val="auto"/>
          <w:szCs w:val="21"/>
          <w:highlight w:val="none"/>
        </w:rPr>
        <w:t>卸货</w:t>
      </w:r>
      <w:r>
        <w:rPr>
          <w:rFonts w:hint="eastAsia" w:cs="Times New Roman"/>
          <w:color w:val="auto"/>
          <w:szCs w:val="21"/>
          <w:highlight w:val="none"/>
          <w:lang w:val="en-US" w:eastAsia="zh-CN"/>
        </w:rPr>
        <w:t>及运输</w:t>
      </w:r>
      <w:r>
        <w:rPr>
          <w:rFonts w:hint="default" w:ascii="Times New Roman" w:hAnsi="Times New Roman" w:eastAsia="宋体" w:cs="Times New Roman"/>
          <w:color w:val="auto"/>
          <w:szCs w:val="21"/>
          <w:highlight w:val="none"/>
        </w:rPr>
        <w:t>过程中发生安全事故，应按照国家相关安全事故报告和调查处理的规定，及时如实上报甲方，不得发生迟报、瞒报、谎报现象，甲方将保留对其追究法律责任的权利；</w:t>
      </w:r>
    </w:p>
    <w:p w14:paraId="3CE1D11C">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5.1</w:t>
      </w:r>
      <w:r>
        <w:rPr>
          <w:rFonts w:hint="eastAsia" w:cs="Times New Roman"/>
          <w:color w:val="auto"/>
          <w:szCs w:val="21"/>
          <w:highlight w:val="none"/>
          <w:lang w:val="en-US" w:eastAsia="zh-CN"/>
        </w:rPr>
        <w:t>5</w:t>
      </w:r>
      <w:r>
        <w:rPr>
          <w:rFonts w:hint="default" w:ascii="Times New Roman" w:hAnsi="Times New Roman" w:eastAsia="宋体" w:cs="Times New Roman"/>
          <w:color w:val="auto"/>
          <w:szCs w:val="21"/>
          <w:highlight w:val="none"/>
        </w:rPr>
        <w:t xml:space="preserve"> 乙方在安全事故发生后，应当采取相应措施防止事故扩大，保护事故现场；按照事故处理“四不放过”的原则（即事故原因不清楚不放过、事故责任者和应受到教育者没有受到教育不放过、没有采取防范措施不放过、事故责任者没有受到处理不放过）进行调查、处理，同时，做好事故的善后处理；如因乙方在安全事故发生后，并未采取相应措施导致安全事故及人员事故扩大的，以及造成甲方现场产生的经济损失的，由乙方承担所有责任，甲方将保留对其追究法律责任的权利；</w:t>
      </w:r>
    </w:p>
    <w:p w14:paraId="638E6A05">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5.1</w:t>
      </w:r>
      <w:r>
        <w:rPr>
          <w:rFonts w:hint="eastAsia" w:cs="Times New Roman"/>
          <w:color w:val="auto"/>
          <w:szCs w:val="21"/>
          <w:highlight w:val="none"/>
          <w:lang w:val="en-US" w:eastAsia="zh-CN"/>
        </w:rPr>
        <w:t>6</w:t>
      </w:r>
      <w:r>
        <w:rPr>
          <w:rFonts w:hint="default" w:ascii="Times New Roman" w:hAnsi="Times New Roman" w:eastAsia="宋体" w:cs="Times New Roman"/>
          <w:color w:val="auto"/>
          <w:szCs w:val="21"/>
          <w:highlight w:val="none"/>
        </w:rPr>
        <w:t>乙方在</w:t>
      </w:r>
      <w:r>
        <w:rPr>
          <w:rFonts w:hint="eastAsia" w:ascii="Times New Roman" w:hAnsi="Times New Roman" w:cs="Times New Roman"/>
          <w:color w:val="auto"/>
          <w:szCs w:val="21"/>
          <w:highlight w:val="none"/>
          <w:lang w:val="en-US" w:eastAsia="zh-CN"/>
        </w:rPr>
        <w:t>装卸货</w:t>
      </w:r>
      <w:r>
        <w:rPr>
          <w:rFonts w:hint="eastAsia" w:cs="Times New Roman"/>
          <w:color w:val="auto"/>
          <w:szCs w:val="21"/>
          <w:highlight w:val="none"/>
          <w:lang w:val="en-US" w:eastAsia="zh-CN"/>
        </w:rPr>
        <w:t>、运输</w:t>
      </w:r>
      <w:r>
        <w:rPr>
          <w:rFonts w:hint="eastAsia" w:ascii="Times New Roman" w:hAnsi="Times New Roman" w:cs="Times New Roman"/>
          <w:color w:val="auto"/>
          <w:szCs w:val="21"/>
          <w:highlight w:val="none"/>
          <w:lang w:val="en-US" w:eastAsia="zh-CN"/>
        </w:rPr>
        <w:t>等作业</w:t>
      </w:r>
      <w:r>
        <w:rPr>
          <w:rFonts w:hint="default" w:ascii="Times New Roman" w:hAnsi="Times New Roman" w:eastAsia="宋体" w:cs="Times New Roman"/>
          <w:color w:val="auto"/>
          <w:szCs w:val="21"/>
          <w:highlight w:val="none"/>
        </w:rPr>
        <w:t>过程中必须加强安全管理，由于管理不到位造成安全事故发生，乙方必须承担全部责任，并承担由此给甲方</w:t>
      </w:r>
      <w:bookmarkStart w:id="417" w:name="OLE_LINK5"/>
      <w:r>
        <w:rPr>
          <w:rFonts w:hint="eastAsia" w:cs="Times New Roman"/>
          <w:color w:val="auto"/>
          <w:szCs w:val="21"/>
          <w:highlight w:val="none"/>
          <w:lang w:val="en-US" w:eastAsia="zh-CN"/>
        </w:rPr>
        <w:t>或</w:t>
      </w:r>
      <w:r>
        <w:rPr>
          <w:rFonts w:hint="eastAsia"/>
          <w:color w:val="auto"/>
          <w:highlight w:val="none"/>
          <w:lang w:val="en-US" w:eastAsia="zh-CN"/>
        </w:rPr>
        <w:t>甲方客户（产废单位）</w:t>
      </w:r>
      <w:bookmarkEnd w:id="417"/>
      <w:r>
        <w:rPr>
          <w:rFonts w:hint="default" w:ascii="Times New Roman" w:hAnsi="Times New Roman" w:eastAsia="宋体" w:cs="Times New Roman"/>
          <w:color w:val="auto"/>
          <w:szCs w:val="21"/>
          <w:highlight w:val="none"/>
        </w:rPr>
        <w:t>造成的经济损失；</w:t>
      </w:r>
    </w:p>
    <w:p w14:paraId="2087E636">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5.</w:t>
      </w:r>
      <w:r>
        <w:rPr>
          <w:rFonts w:hint="eastAsia" w:cs="Times New Roman"/>
          <w:color w:val="auto"/>
          <w:szCs w:val="21"/>
          <w:highlight w:val="none"/>
          <w:lang w:val="en-US" w:eastAsia="zh-CN"/>
        </w:rPr>
        <w:t>17</w:t>
      </w:r>
      <w:r>
        <w:rPr>
          <w:rFonts w:hint="default" w:ascii="Times New Roman" w:hAnsi="Times New Roman" w:eastAsia="宋体" w:cs="Times New Roman"/>
          <w:color w:val="auto"/>
          <w:szCs w:val="21"/>
          <w:highlight w:val="none"/>
        </w:rPr>
        <w:t xml:space="preserve"> 乙方应如实</w:t>
      </w:r>
      <w:r>
        <w:rPr>
          <w:rFonts w:hint="eastAsia" w:ascii="Times New Roman" w:hAnsi="Times New Roman" w:cs="Times New Roman"/>
          <w:color w:val="auto"/>
          <w:szCs w:val="21"/>
          <w:highlight w:val="none"/>
          <w:lang w:val="en-US" w:eastAsia="zh-CN"/>
        </w:rPr>
        <w:t>地</w:t>
      </w:r>
      <w:r>
        <w:rPr>
          <w:rFonts w:hint="default" w:ascii="Times New Roman" w:hAnsi="Times New Roman" w:eastAsia="宋体" w:cs="Times New Roman"/>
          <w:color w:val="auto"/>
          <w:szCs w:val="21"/>
          <w:highlight w:val="none"/>
        </w:rPr>
        <w:t>向上岗人员告知作业现场及岗位存在的危险因素、防范措施和应急处理措施；</w:t>
      </w:r>
    </w:p>
    <w:p w14:paraId="540FD720">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5.</w:t>
      </w:r>
      <w:r>
        <w:rPr>
          <w:rFonts w:hint="eastAsia" w:cs="Times New Roman"/>
          <w:color w:val="auto"/>
          <w:szCs w:val="21"/>
          <w:highlight w:val="none"/>
          <w:lang w:val="en-US" w:eastAsia="zh-CN"/>
        </w:rPr>
        <w:t>18</w:t>
      </w:r>
      <w:r>
        <w:rPr>
          <w:rFonts w:hint="default" w:ascii="Times New Roman" w:hAnsi="Times New Roman" w:eastAsia="宋体" w:cs="Times New Roman"/>
          <w:color w:val="auto"/>
          <w:szCs w:val="21"/>
          <w:highlight w:val="none"/>
        </w:rPr>
        <w:t xml:space="preserve"> 乙方必须做好作业现场各类车辆的交通安全工作，杜绝超速、超载、无证驾驶、酒后驾驶、疲劳驾驶等违章行为的发生；</w:t>
      </w:r>
    </w:p>
    <w:p w14:paraId="65653319">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5.</w:t>
      </w:r>
      <w:r>
        <w:rPr>
          <w:rFonts w:hint="eastAsia" w:cs="Times New Roman"/>
          <w:color w:val="auto"/>
          <w:szCs w:val="21"/>
          <w:highlight w:val="none"/>
          <w:lang w:val="en-US" w:eastAsia="zh-CN"/>
        </w:rPr>
        <w:t>19</w:t>
      </w:r>
      <w:r>
        <w:rPr>
          <w:rFonts w:hint="default" w:ascii="Times New Roman" w:hAnsi="Times New Roman" w:eastAsia="宋体" w:cs="Times New Roman"/>
          <w:color w:val="auto"/>
          <w:szCs w:val="21"/>
          <w:highlight w:val="none"/>
        </w:rPr>
        <w:t xml:space="preserve"> 乙方应加强</w:t>
      </w:r>
      <w:r>
        <w:rPr>
          <w:rFonts w:hint="eastAsia" w:cs="Times New Roman"/>
          <w:color w:val="auto"/>
          <w:szCs w:val="21"/>
          <w:highlight w:val="none"/>
          <w:lang w:val="en-US" w:eastAsia="zh-CN"/>
        </w:rPr>
        <w:t>收运、装卸、运输过程的安全</w:t>
      </w:r>
      <w:r>
        <w:rPr>
          <w:rFonts w:hint="default" w:ascii="Times New Roman" w:hAnsi="Times New Roman" w:eastAsia="宋体" w:cs="Times New Roman"/>
          <w:color w:val="auto"/>
          <w:szCs w:val="21"/>
          <w:highlight w:val="none"/>
        </w:rPr>
        <w:t>管理，严禁</w:t>
      </w:r>
      <w:r>
        <w:rPr>
          <w:rFonts w:hint="eastAsia" w:cs="Times New Roman"/>
          <w:color w:val="auto"/>
          <w:szCs w:val="21"/>
          <w:highlight w:val="none"/>
          <w:lang w:val="en-US" w:eastAsia="zh-CN"/>
        </w:rPr>
        <w:t>无资质及未经培训的</w:t>
      </w:r>
      <w:r>
        <w:rPr>
          <w:rFonts w:hint="default" w:ascii="Times New Roman" w:hAnsi="Times New Roman" w:eastAsia="宋体" w:cs="Times New Roman"/>
          <w:color w:val="auto"/>
          <w:szCs w:val="21"/>
          <w:highlight w:val="none"/>
        </w:rPr>
        <w:t>人员</w:t>
      </w:r>
      <w:r>
        <w:rPr>
          <w:rFonts w:hint="eastAsia" w:cs="Times New Roman"/>
          <w:color w:val="auto"/>
          <w:szCs w:val="21"/>
          <w:highlight w:val="none"/>
          <w:lang w:val="en-US" w:eastAsia="zh-CN"/>
        </w:rPr>
        <w:t>参与工作</w:t>
      </w:r>
      <w:r>
        <w:rPr>
          <w:rFonts w:hint="default" w:ascii="Times New Roman" w:hAnsi="Times New Roman" w:eastAsia="宋体" w:cs="Times New Roman"/>
          <w:color w:val="auto"/>
          <w:szCs w:val="21"/>
          <w:highlight w:val="none"/>
        </w:rPr>
        <w:t>，</w:t>
      </w:r>
      <w:r>
        <w:rPr>
          <w:rFonts w:hint="eastAsia" w:cs="Times New Roman"/>
          <w:color w:val="auto"/>
          <w:szCs w:val="21"/>
          <w:highlight w:val="none"/>
          <w:lang w:val="en-US" w:eastAsia="zh-CN"/>
        </w:rPr>
        <w:t>确保整个工作过程安全、合法合规</w:t>
      </w:r>
      <w:r>
        <w:rPr>
          <w:rFonts w:hint="default" w:ascii="Times New Roman" w:hAnsi="Times New Roman" w:eastAsia="宋体" w:cs="Times New Roman"/>
          <w:color w:val="auto"/>
          <w:szCs w:val="21"/>
          <w:highlight w:val="none"/>
        </w:rPr>
        <w:t>；</w:t>
      </w:r>
    </w:p>
    <w:p w14:paraId="1A54C16B">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5.</w:t>
      </w:r>
      <w:r>
        <w:rPr>
          <w:rFonts w:hint="eastAsia" w:cs="Times New Roman"/>
          <w:color w:val="auto"/>
          <w:szCs w:val="21"/>
          <w:highlight w:val="none"/>
          <w:lang w:val="en-US" w:eastAsia="zh-CN"/>
        </w:rPr>
        <w:t>20</w:t>
      </w:r>
      <w:r>
        <w:rPr>
          <w:rFonts w:hint="default" w:ascii="Times New Roman" w:hAnsi="Times New Roman" w:eastAsia="宋体" w:cs="Times New Roman"/>
          <w:color w:val="auto"/>
          <w:szCs w:val="21"/>
          <w:highlight w:val="none"/>
        </w:rPr>
        <w:t xml:space="preserve"> 乙方用于本工程项目的</w:t>
      </w:r>
      <w:r>
        <w:rPr>
          <w:rFonts w:hint="eastAsia" w:cs="Times New Roman"/>
          <w:color w:val="auto"/>
          <w:szCs w:val="21"/>
          <w:highlight w:val="none"/>
          <w:lang w:val="en-US" w:eastAsia="zh-CN"/>
        </w:rPr>
        <w:t>作业</w:t>
      </w:r>
      <w:r>
        <w:rPr>
          <w:rFonts w:hint="default" w:ascii="Times New Roman" w:hAnsi="Times New Roman" w:eastAsia="宋体" w:cs="Times New Roman"/>
          <w:color w:val="auto"/>
          <w:szCs w:val="21"/>
          <w:highlight w:val="none"/>
        </w:rPr>
        <w:t>机械、工器具、安全防护用具及特种设</w:t>
      </w:r>
      <w:r>
        <w:rPr>
          <w:rFonts w:hint="eastAsia" w:ascii="Times New Roman" w:hAnsi="Times New Roman" w:cs="Times New Roman"/>
          <w:color w:val="auto"/>
          <w:szCs w:val="21"/>
          <w:highlight w:val="none"/>
          <w:lang w:val="en-US" w:eastAsia="zh-CN"/>
        </w:rPr>
        <w:t>备</w:t>
      </w:r>
      <w:r>
        <w:rPr>
          <w:rFonts w:hint="default" w:ascii="Times New Roman" w:hAnsi="Times New Roman" w:eastAsia="宋体" w:cs="Times New Roman"/>
          <w:color w:val="auto"/>
          <w:szCs w:val="21"/>
          <w:highlight w:val="none"/>
        </w:rPr>
        <w:t>的数量和质量必须满足</w:t>
      </w:r>
      <w:r>
        <w:rPr>
          <w:rFonts w:hint="eastAsia" w:cs="Times New Roman"/>
          <w:color w:val="auto"/>
          <w:szCs w:val="21"/>
          <w:highlight w:val="none"/>
          <w:lang w:val="en-US" w:eastAsia="zh-CN"/>
        </w:rPr>
        <w:t>装卸货、运输等作业</w:t>
      </w:r>
      <w:r>
        <w:rPr>
          <w:rFonts w:hint="default" w:ascii="Times New Roman" w:hAnsi="Times New Roman" w:eastAsia="宋体" w:cs="Times New Roman"/>
          <w:color w:val="auto"/>
          <w:szCs w:val="21"/>
          <w:highlight w:val="none"/>
        </w:rPr>
        <w:t>需要，对因使用工器具不当所造成的人员伤害及设备损坏负责；</w:t>
      </w:r>
    </w:p>
    <w:p w14:paraId="5B267C2B">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5.</w:t>
      </w:r>
      <w:r>
        <w:rPr>
          <w:rFonts w:hint="eastAsia" w:cs="Times New Roman"/>
          <w:color w:val="auto"/>
          <w:szCs w:val="21"/>
          <w:highlight w:val="none"/>
          <w:lang w:val="en-US" w:eastAsia="zh-CN"/>
        </w:rPr>
        <w:t>21</w:t>
      </w:r>
      <w:r>
        <w:rPr>
          <w:rFonts w:hint="default" w:ascii="Times New Roman" w:hAnsi="Times New Roman" w:eastAsia="宋体" w:cs="Times New Roman"/>
          <w:color w:val="auto"/>
          <w:szCs w:val="21"/>
          <w:highlight w:val="none"/>
        </w:rPr>
        <w:t xml:space="preserve"> 乙方的车辆在现场发生意外，造成甲方或其它单位的财产损失或人员伤害等，应依法承担相关的赔偿、治疗等责任；</w:t>
      </w:r>
    </w:p>
    <w:p w14:paraId="76F2D47A">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5.</w:t>
      </w:r>
      <w:r>
        <w:rPr>
          <w:rFonts w:hint="eastAsia" w:cs="Times New Roman"/>
          <w:color w:val="auto"/>
          <w:szCs w:val="21"/>
          <w:highlight w:val="none"/>
          <w:lang w:val="en-US" w:eastAsia="zh-CN"/>
        </w:rPr>
        <w:t>22</w:t>
      </w:r>
      <w:r>
        <w:rPr>
          <w:rFonts w:hint="default" w:ascii="Times New Roman" w:hAnsi="Times New Roman" w:eastAsia="宋体" w:cs="Times New Roman"/>
          <w:color w:val="auto"/>
          <w:szCs w:val="21"/>
          <w:highlight w:val="none"/>
        </w:rPr>
        <w:t xml:space="preserve"> 如因乙方采取的安全措施不当，或违反有关安全规程、规定及本协议所列安全事项而造成事故的，除依法由甲方或第三方承担责任的，均应由乙方全部承担；</w:t>
      </w:r>
    </w:p>
    <w:p w14:paraId="74CD18C7">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5.</w:t>
      </w:r>
      <w:r>
        <w:rPr>
          <w:rFonts w:hint="eastAsia" w:cs="Times New Roman"/>
          <w:color w:val="auto"/>
          <w:szCs w:val="21"/>
          <w:highlight w:val="none"/>
          <w:lang w:val="en-US" w:eastAsia="zh-CN"/>
        </w:rPr>
        <w:t>23</w:t>
      </w:r>
      <w:r>
        <w:rPr>
          <w:rFonts w:hint="default" w:ascii="Times New Roman" w:hAnsi="Times New Roman" w:eastAsia="宋体" w:cs="Times New Roman"/>
          <w:color w:val="auto"/>
          <w:szCs w:val="21"/>
          <w:highlight w:val="none"/>
        </w:rPr>
        <w:t xml:space="preserve"> </w:t>
      </w:r>
      <w:r>
        <w:rPr>
          <w:rFonts w:hint="default" w:ascii="Times New Roman" w:hAnsi="Times New Roman" w:eastAsia="宋体" w:cs="Times New Roman"/>
          <w:color w:val="auto"/>
          <w:szCs w:val="21"/>
          <w:highlight w:val="none"/>
          <w:shd w:val="clear" w:color="auto" w:fill="FFFFFF"/>
        </w:rPr>
        <w:t>乙方应确保</w:t>
      </w:r>
      <w:r>
        <w:rPr>
          <w:rFonts w:hint="eastAsia" w:cs="Times New Roman"/>
          <w:color w:val="auto"/>
          <w:szCs w:val="21"/>
          <w:highlight w:val="none"/>
          <w:shd w:val="clear" w:color="auto" w:fill="FFFFFF"/>
          <w:lang w:val="en-US" w:eastAsia="zh-CN"/>
        </w:rPr>
        <w:t>作业</w:t>
      </w:r>
      <w:r>
        <w:rPr>
          <w:rFonts w:hint="default" w:ascii="Times New Roman" w:hAnsi="Times New Roman" w:eastAsia="宋体" w:cs="Times New Roman"/>
          <w:color w:val="auto"/>
          <w:szCs w:val="21"/>
          <w:highlight w:val="none"/>
          <w:shd w:val="clear" w:color="auto" w:fill="FFFFFF"/>
        </w:rPr>
        <w:t>人员身体健康，特殊工种严格执行国家关于年龄的限制。</w:t>
      </w:r>
    </w:p>
    <w:p w14:paraId="35F127D2">
      <w:pPr>
        <w:spacing w:line="500" w:lineRule="exact"/>
        <w:ind w:firstLine="422" w:firstLineChars="200"/>
        <w:outlineLvl w:val="0"/>
        <w:rPr>
          <w:rFonts w:hint="default" w:ascii="Times New Roman" w:hAnsi="Times New Roman" w:eastAsia="宋体" w:cs="Times New Roman"/>
          <w:b/>
          <w:bCs/>
          <w:color w:val="auto"/>
          <w:szCs w:val="21"/>
          <w:highlight w:val="none"/>
        </w:rPr>
      </w:pPr>
      <w:bookmarkStart w:id="418" w:name="_Toc6209"/>
      <w:bookmarkStart w:id="419" w:name="_Toc11013"/>
      <w:r>
        <w:rPr>
          <w:rFonts w:hint="default" w:ascii="Times New Roman" w:hAnsi="Times New Roman" w:eastAsia="宋体" w:cs="Times New Roman"/>
          <w:b/>
          <w:bCs/>
          <w:color w:val="auto"/>
          <w:szCs w:val="21"/>
          <w:highlight w:val="none"/>
        </w:rPr>
        <w:t>第六条 违约处理</w:t>
      </w:r>
      <w:bookmarkEnd w:id="418"/>
      <w:bookmarkEnd w:id="419"/>
    </w:p>
    <w:p w14:paraId="04559221">
      <w:pPr>
        <w:snapToGrid w:val="0"/>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6.1 乙方在签订本协议后，甲方相关部门如发现在</w:t>
      </w:r>
      <w:r>
        <w:rPr>
          <w:rFonts w:hint="eastAsia" w:cs="Times New Roman"/>
          <w:color w:val="auto"/>
          <w:szCs w:val="21"/>
          <w:highlight w:val="none"/>
          <w:lang w:val="en-US" w:eastAsia="zh-CN"/>
        </w:rPr>
        <w:t>甲方</w:t>
      </w:r>
      <w:bookmarkStart w:id="420" w:name="OLE_LINK6"/>
      <w:r>
        <w:rPr>
          <w:rFonts w:hint="eastAsia" w:cs="Times New Roman"/>
          <w:color w:val="auto"/>
          <w:szCs w:val="21"/>
          <w:highlight w:val="none"/>
          <w:lang w:val="en-US" w:eastAsia="zh-CN"/>
        </w:rPr>
        <w:t>或</w:t>
      </w:r>
      <w:r>
        <w:rPr>
          <w:rFonts w:hint="eastAsia"/>
          <w:color w:val="auto"/>
          <w:highlight w:val="none"/>
          <w:lang w:val="en-US" w:eastAsia="zh-CN"/>
        </w:rPr>
        <w:t>甲方客户（产废单位）的</w:t>
      </w:r>
      <w:bookmarkEnd w:id="420"/>
      <w:r>
        <w:rPr>
          <w:rFonts w:hint="eastAsia" w:cs="Times New Roman"/>
          <w:color w:val="auto"/>
          <w:szCs w:val="21"/>
          <w:highlight w:val="none"/>
          <w:lang w:val="en-US" w:eastAsia="zh-CN"/>
        </w:rPr>
        <w:t>现场或装卸货、运输期间，</w:t>
      </w:r>
      <w:r>
        <w:rPr>
          <w:rFonts w:hint="default" w:ascii="Times New Roman" w:hAnsi="Times New Roman" w:eastAsia="宋体" w:cs="Times New Roman"/>
          <w:color w:val="auto"/>
          <w:szCs w:val="21"/>
          <w:highlight w:val="none"/>
        </w:rPr>
        <w:t>乙方出现以下违反甲方安全规定以及发生“三违”行为（即</w:t>
      </w:r>
      <w:r>
        <w:rPr>
          <w:rFonts w:hint="eastAsia" w:cs="Times New Roman"/>
          <w:color w:val="auto"/>
          <w:szCs w:val="21"/>
          <w:highlight w:val="none"/>
          <w:lang w:eastAsia="zh-CN"/>
        </w:rPr>
        <w:t>“</w:t>
      </w:r>
      <w:r>
        <w:rPr>
          <w:rFonts w:hint="default" w:ascii="Times New Roman" w:hAnsi="Times New Roman" w:eastAsia="宋体" w:cs="Times New Roman"/>
          <w:color w:val="auto"/>
          <w:szCs w:val="21"/>
          <w:highlight w:val="none"/>
        </w:rPr>
        <w:t>违章指挥、违章操作、违反劳动纪律”）的，甲方有权依据本协议和甲方</w:t>
      </w:r>
      <w:r>
        <w:rPr>
          <w:rFonts w:hint="eastAsia" w:cs="Times New Roman"/>
          <w:color w:val="auto"/>
          <w:szCs w:val="21"/>
          <w:highlight w:val="none"/>
          <w:lang w:val="en-US" w:eastAsia="zh-CN"/>
        </w:rPr>
        <w:t>或</w:t>
      </w:r>
      <w:bookmarkStart w:id="421" w:name="OLE_LINK7"/>
      <w:r>
        <w:rPr>
          <w:rFonts w:hint="eastAsia"/>
          <w:color w:val="auto"/>
          <w:highlight w:val="none"/>
          <w:lang w:val="en-US" w:eastAsia="zh-CN"/>
        </w:rPr>
        <w:t>甲方客户（产废单位）的</w:t>
      </w:r>
      <w:bookmarkEnd w:id="421"/>
      <w:r>
        <w:rPr>
          <w:rFonts w:hint="default" w:ascii="Times New Roman" w:hAnsi="Times New Roman" w:eastAsia="宋体" w:cs="Times New Roman"/>
          <w:color w:val="auto"/>
          <w:szCs w:val="21"/>
          <w:highlight w:val="none"/>
        </w:rPr>
        <w:t>相关安全管理制度对乙方进行处罚；</w:t>
      </w:r>
    </w:p>
    <w:p w14:paraId="7AD754EA">
      <w:pPr>
        <w:spacing w:line="500" w:lineRule="exact"/>
        <w:ind w:left="42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6.4 处罚细则</w:t>
      </w:r>
    </w:p>
    <w:p w14:paraId="38052276">
      <w:pPr>
        <w:tabs>
          <w:tab w:val="left" w:pos="312"/>
        </w:tabs>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6.4.1安全文明</w:t>
      </w:r>
      <w:r>
        <w:rPr>
          <w:rFonts w:hint="eastAsia" w:cs="Times New Roman"/>
          <w:color w:val="auto"/>
          <w:szCs w:val="21"/>
          <w:highlight w:val="none"/>
          <w:lang w:val="en-US" w:eastAsia="zh-CN"/>
        </w:rPr>
        <w:t>作业</w:t>
      </w:r>
      <w:r>
        <w:rPr>
          <w:rFonts w:hint="default" w:ascii="Times New Roman" w:hAnsi="Times New Roman" w:eastAsia="宋体" w:cs="Times New Roman"/>
          <w:color w:val="auto"/>
          <w:szCs w:val="21"/>
          <w:highlight w:val="none"/>
        </w:rPr>
        <w:t>违约处理</w:t>
      </w:r>
    </w:p>
    <w:p w14:paraId="710909F8">
      <w:pPr>
        <w:tabs>
          <w:tab w:val="left" w:pos="312"/>
        </w:tabs>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详见《EHS管理处罚细则》（附件1）管理规定。</w:t>
      </w:r>
    </w:p>
    <w:p w14:paraId="51D583C7">
      <w:pPr>
        <w:pStyle w:val="41"/>
        <w:tabs>
          <w:tab w:val="left" w:pos="312"/>
        </w:tabs>
        <w:spacing w:line="500" w:lineRule="exact"/>
        <w:ind w:left="0"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6.4.2 事故违约处理</w:t>
      </w:r>
    </w:p>
    <w:p w14:paraId="73CA05E3">
      <w:pPr>
        <w:tabs>
          <w:tab w:val="left" w:pos="312"/>
        </w:tabs>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详见《事故处罚实施细则》管理规定（附件2）。</w:t>
      </w:r>
    </w:p>
    <w:p w14:paraId="6095680B">
      <w:pPr>
        <w:snapToGrid w:val="0"/>
        <w:spacing w:line="500" w:lineRule="exact"/>
        <w:ind w:firstLine="422" w:firstLineChars="200"/>
        <w:outlineLvl w:val="0"/>
        <w:rPr>
          <w:rFonts w:hint="default" w:ascii="Times New Roman" w:hAnsi="Times New Roman" w:eastAsia="宋体" w:cs="Times New Roman"/>
          <w:b/>
          <w:bCs/>
          <w:color w:val="auto"/>
          <w:szCs w:val="21"/>
          <w:highlight w:val="none"/>
        </w:rPr>
      </w:pPr>
      <w:bookmarkStart w:id="422" w:name="_Toc7980"/>
      <w:bookmarkStart w:id="423" w:name="_Toc25379"/>
      <w:r>
        <w:rPr>
          <w:rFonts w:hint="default" w:ascii="Times New Roman" w:hAnsi="Times New Roman" w:eastAsia="宋体" w:cs="Times New Roman"/>
          <w:b/>
          <w:bCs/>
          <w:color w:val="auto"/>
          <w:szCs w:val="21"/>
          <w:highlight w:val="none"/>
        </w:rPr>
        <w:t>第七条 协议生效与终止</w:t>
      </w:r>
      <w:bookmarkEnd w:id="422"/>
      <w:bookmarkEnd w:id="423"/>
    </w:p>
    <w:p w14:paraId="40C30A01">
      <w:pPr>
        <w:snapToGrid w:val="0"/>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7.1 本协议从</w:t>
      </w:r>
      <w:r>
        <w:rPr>
          <w:rFonts w:hint="eastAsia" w:ascii="Times New Roman" w:hAnsi="Times New Roman" w:cs="Times New Roman"/>
          <w:color w:val="auto"/>
          <w:szCs w:val="21"/>
          <w:highlight w:val="none"/>
          <w:lang w:val="en-US" w:eastAsia="zh-CN"/>
        </w:rPr>
        <w:t>签订之日</w:t>
      </w:r>
      <w:r>
        <w:rPr>
          <w:rFonts w:hint="default" w:ascii="Times New Roman" w:hAnsi="Times New Roman" w:eastAsia="宋体" w:cs="Times New Roman"/>
          <w:color w:val="auto"/>
          <w:szCs w:val="21"/>
          <w:highlight w:val="none"/>
        </w:rPr>
        <w:t>起生效，双方共同监督执行，</w:t>
      </w:r>
      <w:r>
        <w:rPr>
          <w:rFonts w:hint="eastAsia" w:ascii="Times New Roman" w:hAnsi="Times New Roman" w:cs="Times New Roman"/>
          <w:color w:val="auto"/>
          <w:szCs w:val="21"/>
          <w:highlight w:val="none"/>
          <w:lang w:val="en-US" w:eastAsia="zh-CN"/>
        </w:rPr>
        <w:t>原合同终止</w:t>
      </w:r>
      <w:r>
        <w:rPr>
          <w:rFonts w:hint="default" w:ascii="Times New Roman" w:hAnsi="Times New Roman" w:eastAsia="宋体" w:cs="Times New Roman"/>
          <w:color w:val="auto"/>
          <w:szCs w:val="21"/>
          <w:highlight w:val="none"/>
        </w:rPr>
        <w:t>后</w:t>
      </w:r>
      <w:r>
        <w:rPr>
          <w:rFonts w:hint="eastAsia" w:ascii="Times New Roman" w:hAnsi="Times New Roman" w:cs="Times New Roman"/>
          <w:color w:val="auto"/>
          <w:szCs w:val="21"/>
          <w:highlight w:val="none"/>
          <w:lang w:val="en-US" w:eastAsia="zh-CN"/>
        </w:rPr>
        <w:t>本协议</w:t>
      </w:r>
      <w:r>
        <w:rPr>
          <w:rFonts w:hint="default" w:ascii="Times New Roman" w:hAnsi="Times New Roman" w:eastAsia="宋体" w:cs="Times New Roman"/>
          <w:color w:val="auto"/>
          <w:szCs w:val="21"/>
          <w:highlight w:val="none"/>
        </w:rPr>
        <w:t>自行终止。如乙方在</w:t>
      </w:r>
      <w:r>
        <w:rPr>
          <w:rFonts w:hint="eastAsia" w:ascii="Times New Roman" w:hAnsi="Times New Roman" w:cs="Times New Roman"/>
          <w:color w:val="auto"/>
          <w:szCs w:val="21"/>
          <w:highlight w:val="none"/>
          <w:lang w:val="en-US" w:eastAsia="zh-CN"/>
        </w:rPr>
        <w:t>装卸货</w:t>
      </w:r>
      <w:r>
        <w:rPr>
          <w:rFonts w:hint="eastAsia" w:cs="Times New Roman"/>
          <w:color w:val="auto"/>
          <w:szCs w:val="21"/>
          <w:highlight w:val="none"/>
          <w:lang w:val="en-US" w:eastAsia="zh-CN"/>
        </w:rPr>
        <w:t>、运输</w:t>
      </w:r>
      <w:r>
        <w:rPr>
          <w:rFonts w:hint="eastAsia" w:ascii="Times New Roman" w:hAnsi="Times New Roman" w:cs="Times New Roman"/>
          <w:color w:val="auto"/>
          <w:szCs w:val="21"/>
          <w:highlight w:val="none"/>
          <w:lang w:val="en-US" w:eastAsia="zh-CN"/>
        </w:rPr>
        <w:t>过程</w:t>
      </w:r>
      <w:r>
        <w:rPr>
          <w:rFonts w:hint="default" w:ascii="Times New Roman" w:hAnsi="Times New Roman" w:eastAsia="宋体" w:cs="Times New Roman"/>
          <w:color w:val="auto"/>
          <w:szCs w:val="21"/>
          <w:highlight w:val="none"/>
        </w:rPr>
        <w:t>中不履行本协议的约定，违反安全</w:t>
      </w:r>
      <w:r>
        <w:rPr>
          <w:rFonts w:hint="eastAsia" w:cs="Times New Roman"/>
          <w:color w:val="auto"/>
          <w:szCs w:val="21"/>
          <w:highlight w:val="none"/>
          <w:lang w:val="en-US" w:eastAsia="zh-CN"/>
        </w:rPr>
        <w:t>作业</w:t>
      </w:r>
      <w:r>
        <w:rPr>
          <w:rFonts w:hint="default" w:ascii="Times New Roman" w:hAnsi="Times New Roman" w:eastAsia="宋体" w:cs="Times New Roman"/>
          <w:color w:val="auto"/>
          <w:szCs w:val="21"/>
          <w:highlight w:val="none"/>
        </w:rPr>
        <w:t>的有关管理规定，对甲方提出的警告、停工整顿拒不执行的，甲方有权解除原合同，并无须向乙方承担违约责任。</w:t>
      </w:r>
    </w:p>
    <w:p w14:paraId="175E9ABF">
      <w:pPr>
        <w:snapToGrid w:val="0"/>
        <w:spacing w:line="500" w:lineRule="exact"/>
        <w:ind w:firstLine="422" w:firstLineChars="200"/>
        <w:outlineLvl w:val="0"/>
        <w:rPr>
          <w:rFonts w:hint="default" w:ascii="Times New Roman" w:hAnsi="Times New Roman" w:eastAsia="宋体" w:cs="Times New Roman"/>
          <w:b/>
          <w:bCs/>
          <w:color w:val="auto"/>
          <w:szCs w:val="21"/>
          <w:highlight w:val="none"/>
        </w:rPr>
      </w:pPr>
      <w:bookmarkStart w:id="424" w:name="_Toc25432"/>
      <w:bookmarkStart w:id="425" w:name="_Toc14982"/>
      <w:r>
        <w:rPr>
          <w:rFonts w:hint="default" w:ascii="Times New Roman" w:hAnsi="Times New Roman" w:eastAsia="宋体" w:cs="Times New Roman"/>
          <w:b/>
          <w:bCs/>
          <w:color w:val="auto"/>
          <w:szCs w:val="21"/>
          <w:highlight w:val="none"/>
        </w:rPr>
        <w:t xml:space="preserve">第八条 </w:t>
      </w:r>
      <w:r>
        <w:rPr>
          <w:rFonts w:hint="default" w:ascii="Times New Roman" w:hAnsi="Times New Roman" w:eastAsia="宋体" w:cs="Times New Roman"/>
          <w:b/>
          <w:bCs/>
          <w:color w:val="auto"/>
          <w:kern w:val="0"/>
          <w:szCs w:val="21"/>
          <w:highlight w:val="none"/>
        </w:rPr>
        <w:t>其它要求</w:t>
      </w:r>
      <w:bookmarkEnd w:id="424"/>
      <w:bookmarkEnd w:id="425"/>
    </w:p>
    <w:p w14:paraId="7D8A39C0">
      <w:pPr>
        <w:spacing w:line="500" w:lineRule="exact"/>
        <w:ind w:firstLine="420" w:firstLineChars="200"/>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rPr>
        <w:t>8.1 本协议履行过程中未尽事宜，按甲方有关规章制度执行。</w:t>
      </w:r>
    </w:p>
    <w:p w14:paraId="16892734">
      <w:pPr>
        <w:widowControl/>
        <w:numPr>
          <w:ilvl w:val="255"/>
          <w:numId w:val="0"/>
        </w:numPr>
        <w:spacing w:line="500" w:lineRule="exact"/>
        <w:ind w:left="0" w:leftChars="0" w:firstLine="420" w:firstLineChars="200"/>
        <w:jc w:val="left"/>
        <w:rPr>
          <w:rFonts w:hint="default" w:ascii="Times New Roman" w:hAnsi="Times New Roman" w:eastAsia="宋体" w:cs="Times New Roman"/>
          <w:color w:val="auto"/>
          <w:szCs w:val="28"/>
          <w:highlight w:val="none"/>
        </w:rPr>
      </w:pPr>
      <w:r>
        <w:rPr>
          <w:rFonts w:hint="default" w:ascii="Times New Roman" w:hAnsi="Times New Roman" w:eastAsia="宋体" w:cs="Times New Roman"/>
          <w:color w:val="auto"/>
          <w:szCs w:val="21"/>
          <w:highlight w:val="none"/>
        </w:rPr>
        <w:t xml:space="preserve">8.2 </w:t>
      </w:r>
      <w:r>
        <w:rPr>
          <w:rFonts w:hint="default" w:ascii="Times New Roman" w:hAnsi="Times New Roman" w:eastAsia="宋体" w:cs="Times New Roman"/>
          <w:color w:val="auto"/>
          <w:szCs w:val="28"/>
          <w:highlight w:val="none"/>
        </w:rPr>
        <w:t>本协议一式</w:t>
      </w:r>
      <w:r>
        <w:rPr>
          <w:rFonts w:hint="eastAsia" w:ascii="Times New Roman" w:hAnsi="Times New Roman" w:cs="Times New Roman"/>
          <w:color w:val="auto"/>
          <w:szCs w:val="28"/>
          <w:highlight w:val="none"/>
          <w:lang w:val="en-US" w:eastAsia="zh-CN"/>
        </w:rPr>
        <w:t>叁</w:t>
      </w:r>
      <w:r>
        <w:rPr>
          <w:rFonts w:hint="default" w:ascii="Times New Roman" w:hAnsi="Times New Roman" w:eastAsia="宋体" w:cs="Times New Roman"/>
          <w:color w:val="auto"/>
          <w:szCs w:val="28"/>
          <w:highlight w:val="none"/>
        </w:rPr>
        <w:t>份，均具有同等法律效力，协议甲方执</w:t>
      </w:r>
      <w:r>
        <w:rPr>
          <w:rFonts w:hint="eastAsia" w:ascii="Times New Roman" w:hAnsi="Times New Roman" w:cs="Times New Roman"/>
          <w:color w:val="auto"/>
          <w:szCs w:val="28"/>
          <w:highlight w:val="none"/>
          <w:lang w:val="en-US" w:eastAsia="zh-CN"/>
        </w:rPr>
        <w:t>贰</w:t>
      </w:r>
      <w:r>
        <w:rPr>
          <w:rFonts w:hint="default" w:ascii="Times New Roman" w:hAnsi="Times New Roman" w:eastAsia="宋体" w:cs="Times New Roman"/>
          <w:color w:val="auto"/>
          <w:szCs w:val="28"/>
          <w:highlight w:val="none"/>
        </w:rPr>
        <w:t>份，乙方执</w:t>
      </w:r>
      <w:r>
        <w:rPr>
          <w:rFonts w:hint="default" w:ascii="Times New Roman" w:hAnsi="Times New Roman" w:eastAsia="宋体" w:cs="Times New Roman"/>
          <w:color w:val="auto"/>
          <w:szCs w:val="28"/>
          <w:highlight w:val="none"/>
          <w:lang w:val="en-US" w:eastAsia="zh-CN"/>
        </w:rPr>
        <w:t>壹</w:t>
      </w:r>
      <w:r>
        <w:rPr>
          <w:rFonts w:hint="default" w:ascii="Times New Roman" w:hAnsi="Times New Roman" w:eastAsia="宋体" w:cs="Times New Roman"/>
          <w:color w:val="auto"/>
          <w:szCs w:val="28"/>
          <w:highlight w:val="none"/>
        </w:rPr>
        <w:t>份。由双方法定代表人签章或其授权代表人签署并盖章后生效。</w:t>
      </w:r>
    </w:p>
    <w:p w14:paraId="7F00E98B">
      <w:pPr>
        <w:widowControl/>
        <w:numPr>
          <w:ilvl w:val="255"/>
          <w:numId w:val="0"/>
        </w:numPr>
        <w:spacing w:line="500" w:lineRule="exact"/>
        <w:ind w:left="0" w:leftChars="0"/>
        <w:jc w:val="left"/>
        <w:rPr>
          <w:rFonts w:hint="default" w:ascii="Times New Roman" w:hAnsi="Times New Roman" w:eastAsia="宋体" w:cs="Times New Roman"/>
          <w:color w:val="auto"/>
          <w:szCs w:val="28"/>
          <w:highlight w:val="none"/>
        </w:rPr>
      </w:pPr>
    </w:p>
    <w:p w14:paraId="0E6A753B">
      <w:pPr>
        <w:widowControl/>
        <w:numPr>
          <w:ilvl w:val="255"/>
          <w:numId w:val="0"/>
        </w:numPr>
        <w:spacing w:line="500" w:lineRule="exact"/>
        <w:ind w:left="420" w:leftChars="200"/>
        <w:jc w:val="center"/>
        <w:rPr>
          <w:rFonts w:hint="default" w:ascii="Times New Roman" w:hAnsi="Times New Roman" w:eastAsia="宋体" w:cs="Times New Roman"/>
          <w:color w:val="auto"/>
          <w:szCs w:val="28"/>
          <w:highlight w:val="none"/>
        </w:rPr>
      </w:pPr>
      <w:r>
        <w:rPr>
          <w:rFonts w:hint="default" w:ascii="Times New Roman" w:hAnsi="Times New Roman" w:eastAsia="宋体" w:cs="Times New Roman"/>
          <w:color w:val="auto"/>
          <w:szCs w:val="28"/>
          <w:highlight w:val="none"/>
        </w:rPr>
        <w:t>（以下无正文）</w:t>
      </w:r>
    </w:p>
    <w:p w14:paraId="70C0CBB7">
      <w:pPr>
        <w:widowControl/>
        <w:numPr>
          <w:ilvl w:val="255"/>
          <w:numId w:val="0"/>
        </w:numPr>
        <w:spacing w:line="500" w:lineRule="exact"/>
        <w:ind w:left="420" w:leftChars="200"/>
        <w:jc w:val="center"/>
        <w:rPr>
          <w:rFonts w:hint="default" w:ascii="Times New Roman" w:hAnsi="Times New Roman" w:eastAsia="宋体" w:cs="Times New Roman"/>
          <w:color w:val="auto"/>
          <w:szCs w:val="28"/>
          <w:highlight w:val="none"/>
        </w:rPr>
      </w:pPr>
    </w:p>
    <w:tbl>
      <w:tblPr>
        <w:tblStyle w:val="31"/>
        <w:tblW w:w="8856"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786"/>
        <w:gridCol w:w="4070"/>
      </w:tblGrid>
      <w:tr w14:paraId="55A98C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4786" w:type="dxa"/>
          </w:tcPr>
          <w:p w14:paraId="0479FF74">
            <w:pPr>
              <w:numPr>
                <w:ilvl w:val="12"/>
                <w:numId w:val="0"/>
              </w:numPr>
              <w:tabs>
                <w:tab w:val="left" w:pos="3480"/>
              </w:tabs>
              <w:spacing w:line="500" w:lineRule="exact"/>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t>甲方（盖章）:</w:t>
            </w:r>
          </w:p>
          <w:p w14:paraId="53E2AD39">
            <w:pPr>
              <w:numPr>
                <w:ilvl w:val="12"/>
                <w:numId w:val="0"/>
              </w:numPr>
              <w:tabs>
                <w:tab w:val="left" w:pos="3480"/>
              </w:tabs>
              <w:spacing w:line="500" w:lineRule="exact"/>
              <w:rPr>
                <w:rFonts w:hint="default" w:ascii="Times New Roman" w:hAnsi="Times New Roman" w:eastAsia="宋体" w:cs="Times New Roman"/>
                <w:color w:val="auto"/>
                <w:highlight w:val="none"/>
              </w:rPr>
            </w:pPr>
          </w:p>
        </w:tc>
        <w:tc>
          <w:tcPr>
            <w:tcW w:w="4070" w:type="dxa"/>
          </w:tcPr>
          <w:p w14:paraId="573833F2">
            <w:pPr>
              <w:numPr>
                <w:ilvl w:val="12"/>
                <w:numId w:val="0"/>
              </w:numPr>
              <w:tabs>
                <w:tab w:val="left" w:pos="3480"/>
              </w:tabs>
              <w:spacing w:line="500" w:lineRule="exact"/>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t>乙方（盖章）:</w:t>
            </w:r>
          </w:p>
          <w:p w14:paraId="685E1A09">
            <w:pPr>
              <w:numPr>
                <w:ilvl w:val="12"/>
                <w:numId w:val="0"/>
              </w:numPr>
              <w:tabs>
                <w:tab w:val="left" w:pos="3480"/>
              </w:tabs>
              <w:spacing w:line="500" w:lineRule="exact"/>
              <w:rPr>
                <w:rFonts w:hint="default" w:ascii="Times New Roman" w:hAnsi="Times New Roman" w:eastAsia="宋体" w:cs="Times New Roman"/>
                <w:color w:val="auto"/>
                <w:highlight w:val="none"/>
              </w:rPr>
            </w:pPr>
          </w:p>
        </w:tc>
      </w:tr>
      <w:tr w14:paraId="4A0BD43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4786" w:type="dxa"/>
          </w:tcPr>
          <w:p w14:paraId="53B410DE">
            <w:pPr>
              <w:numPr>
                <w:ilvl w:val="12"/>
                <w:numId w:val="0"/>
              </w:numPr>
              <w:tabs>
                <w:tab w:val="left" w:pos="3480"/>
              </w:tabs>
              <w:spacing w:line="500" w:lineRule="exact"/>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t>法定代表人（签章）：</w:t>
            </w:r>
          </w:p>
          <w:p w14:paraId="2193D2FB">
            <w:pPr>
              <w:numPr>
                <w:ilvl w:val="12"/>
                <w:numId w:val="0"/>
              </w:numPr>
              <w:tabs>
                <w:tab w:val="left" w:pos="3480"/>
              </w:tabs>
              <w:spacing w:line="500" w:lineRule="exact"/>
              <w:rPr>
                <w:rFonts w:hint="default" w:ascii="Times New Roman" w:hAnsi="Times New Roman" w:eastAsia="宋体" w:cs="Times New Roman"/>
                <w:color w:val="auto"/>
                <w:highlight w:val="none"/>
                <w:u w:val="single"/>
              </w:rPr>
            </w:pPr>
            <w:r>
              <w:rPr>
                <w:rFonts w:hint="default" w:ascii="Times New Roman" w:hAnsi="Times New Roman" w:eastAsia="宋体" w:cs="Times New Roman"/>
                <w:color w:val="auto"/>
                <w:highlight w:val="none"/>
              </w:rPr>
              <w:t>或授权代表人（签字）：</w:t>
            </w:r>
          </w:p>
        </w:tc>
        <w:tc>
          <w:tcPr>
            <w:tcW w:w="4070" w:type="dxa"/>
          </w:tcPr>
          <w:p w14:paraId="4BD1B2B4">
            <w:pPr>
              <w:numPr>
                <w:ilvl w:val="12"/>
                <w:numId w:val="0"/>
              </w:numPr>
              <w:tabs>
                <w:tab w:val="left" w:pos="3480"/>
              </w:tabs>
              <w:spacing w:line="500" w:lineRule="exact"/>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t>法定代表人（签章）：</w:t>
            </w:r>
          </w:p>
          <w:p w14:paraId="278F1445">
            <w:pPr>
              <w:numPr>
                <w:ilvl w:val="12"/>
                <w:numId w:val="0"/>
              </w:numPr>
              <w:tabs>
                <w:tab w:val="left" w:pos="3480"/>
              </w:tabs>
              <w:spacing w:line="500" w:lineRule="exact"/>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t>或授权代表人（签字）：</w:t>
            </w:r>
          </w:p>
        </w:tc>
      </w:tr>
      <w:tr w14:paraId="131E7A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6" w:hRule="atLeast"/>
          <w:jc w:val="center"/>
        </w:trPr>
        <w:tc>
          <w:tcPr>
            <w:tcW w:w="8856" w:type="dxa"/>
            <w:gridSpan w:val="2"/>
            <w:vAlign w:val="center"/>
          </w:tcPr>
          <w:p w14:paraId="38F31275">
            <w:pPr>
              <w:numPr>
                <w:ilvl w:val="12"/>
                <w:numId w:val="0"/>
              </w:numPr>
              <w:tabs>
                <w:tab w:val="left" w:pos="3480"/>
              </w:tabs>
              <w:spacing w:line="500" w:lineRule="exact"/>
              <w:jc w:val="center"/>
              <w:rPr>
                <w:rFonts w:hint="default" w:ascii="Times New Roman" w:hAnsi="Times New Roman" w:eastAsia="宋体" w:cs="Times New Roman"/>
                <w:color w:val="auto"/>
                <w:highlight w:val="none"/>
              </w:rPr>
            </w:pPr>
            <w:r>
              <w:rPr>
                <w:rFonts w:hint="eastAsia" w:cs="Times New Roman"/>
                <w:color w:val="auto"/>
                <w:highlight w:val="none"/>
                <w:lang w:val="en-US" w:eastAsia="zh-CN"/>
              </w:rPr>
              <w:t>签订</w:t>
            </w:r>
            <w:r>
              <w:rPr>
                <w:rFonts w:hint="default" w:ascii="Times New Roman" w:hAnsi="Times New Roman" w:eastAsia="宋体" w:cs="Times New Roman"/>
                <w:color w:val="auto"/>
                <w:highlight w:val="none"/>
              </w:rPr>
              <w:t xml:space="preserve">日期： </w:t>
            </w:r>
            <w:r>
              <w:rPr>
                <w:rFonts w:hint="eastAsia" w:cs="Times New Roman"/>
                <w:color w:val="auto"/>
                <w:highlight w:val="none"/>
                <w:lang w:val="en-US" w:eastAsia="zh-CN"/>
              </w:rPr>
              <w:t>2025</w:t>
            </w:r>
            <w:r>
              <w:rPr>
                <w:rFonts w:hint="default" w:ascii="Times New Roman" w:hAnsi="Times New Roman" w:eastAsia="宋体" w:cs="Times New Roman"/>
                <w:color w:val="auto"/>
                <w:highlight w:val="none"/>
              </w:rPr>
              <w:t xml:space="preserve">年    月   </w:t>
            </w:r>
            <w:r>
              <w:rPr>
                <w:rFonts w:hint="eastAsia" w:cs="Times New Roman"/>
                <w:color w:val="auto"/>
                <w:highlight w:val="none"/>
                <w:lang w:val="en-US" w:eastAsia="zh-CN"/>
              </w:rPr>
              <w:t xml:space="preserve"> </w:t>
            </w:r>
            <w:r>
              <w:rPr>
                <w:rFonts w:hint="default" w:ascii="Times New Roman" w:hAnsi="Times New Roman" w:eastAsia="宋体" w:cs="Times New Roman"/>
                <w:color w:val="auto"/>
                <w:highlight w:val="none"/>
              </w:rPr>
              <w:t>日</w:t>
            </w:r>
          </w:p>
        </w:tc>
      </w:tr>
    </w:tbl>
    <w:p w14:paraId="547B3BED">
      <w:pPr>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br w:type="page"/>
      </w:r>
    </w:p>
    <w:p w14:paraId="3057EEF1">
      <w:pPr>
        <w:overflowPunct w:val="0"/>
        <w:autoSpaceDE w:val="0"/>
        <w:autoSpaceDN w:val="0"/>
        <w:adjustRightInd w:val="0"/>
        <w:spacing w:before="0" w:beforeLines="-2147483648" w:line="360" w:lineRule="auto"/>
        <w:ind w:left="0" w:leftChars="0" w:right="-197" w:rightChars="-94" w:firstLine="0" w:firstLineChars="0"/>
        <w:jc w:val="left"/>
        <w:textAlignment w:val="baseline"/>
        <w:outlineLvl w:val="9"/>
        <w:rPr>
          <w:rFonts w:hint="default" w:ascii="Times New Roman" w:hAnsi="Times New Roman" w:eastAsia="宋体" w:cs="Times New Roman"/>
          <w:bCs/>
          <w:color w:val="auto"/>
          <w:kern w:val="2"/>
          <w:sz w:val="21"/>
          <w:szCs w:val="21"/>
          <w:highlight w:val="none"/>
          <w:lang w:val="en-US" w:eastAsia="zh-CN"/>
        </w:rPr>
      </w:pPr>
      <w:bookmarkStart w:id="426" w:name="_Toc497300357"/>
      <w:bookmarkStart w:id="427" w:name="_Toc497325756"/>
      <w:bookmarkStart w:id="428" w:name="_Toc492989836"/>
      <w:r>
        <w:rPr>
          <w:rFonts w:hint="default" w:ascii="Times New Roman" w:hAnsi="Times New Roman" w:eastAsia="宋体" w:cs="Times New Roman"/>
          <w:bCs/>
          <w:color w:val="auto"/>
          <w:kern w:val="2"/>
          <w:sz w:val="21"/>
          <w:szCs w:val="21"/>
          <w:highlight w:val="none"/>
          <w:lang w:val="en-US" w:eastAsia="zh-CN"/>
        </w:rPr>
        <w:t>附件1：</w:t>
      </w:r>
    </w:p>
    <w:bookmarkEnd w:id="426"/>
    <w:bookmarkEnd w:id="427"/>
    <w:bookmarkEnd w:id="428"/>
    <w:p w14:paraId="1FB24865">
      <w:pPr>
        <w:overflowPunct w:val="0"/>
        <w:autoSpaceDE w:val="0"/>
        <w:autoSpaceDN w:val="0"/>
        <w:adjustRightInd w:val="0"/>
        <w:spacing w:before="319" w:beforeLines="100" w:line="360" w:lineRule="auto"/>
        <w:ind w:left="1260" w:leftChars="600" w:right="1260" w:rightChars="600"/>
        <w:jc w:val="center"/>
        <w:textAlignment w:val="baseline"/>
        <w:outlineLvl w:val="0"/>
        <w:rPr>
          <w:rFonts w:hint="default" w:ascii="Times New Roman" w:hAnsi="Times New Roman" w:eastAsia="宋体" w:cs="Times New Roman"/>
          <w:bCs/>
          <w:color w:val="auto"/>
          <w:kern w:val="44"/>
          <w:sz w:val="32"/>
          <w:szCs w:val="32"/>
          <w:highlight w:val="none"/>
        </w:rPr>
      </w:pPr>
      <w:bookmarkStart w:id="429" w:name="_Toc4029"/>
      <w:bookmarkStart w:id="430" w:name="_Toc22874"/>
      <w:r>
        <w:rPr>
          <w:rFonts w:hint="default" w:ascii="Times New Roman" w:hAnsi="Times New Roman" w:eastAsia="宋体" w:cs="Times New Roman"/>
          <w:bCs/>
          <w:color w:val="auto"/>
          <w:kern w:val="44"/>
          <w:sz w:val="32"/>
          <w:szCs w:val="32"/>
          <w:highlight w:val="none"/>
        </w:rPr>
        <w:t>EHS管理处罚实施细则</w:t>
      </w:r>
      <w:bookmarkEnd w:id="429"/>
      <w:bookmarkEnd w:id="430"/>
    </w:p>
    <w:p w14:paraId="168C6896">
      <w:pPr>
        <w:bidi w:val="0"/>
        <w:rPr>
          <w:rFonts w:hint="default"/>
          <w:color w:val="auto"/>
          <w:highlight w:val="none"/>
        </w:rPr>
      </w:pPr>
      <w:bookmarkStart w:id="431" w:name="_Toc497325757"/>
      <w:bookmarkStart w:id="432" w:name="_Toc497319744"/>
      <w:bookmarkStart w:id="433" w:name="_Toc21700"/>
      <w:r>
        <w:rPr>
          <w:rFonts w:hint="default"/>
          <w:color w:val="auto"/>
          <w:highlight w:val="none"/>
        </w:rPr>
        <w:t>1.</w:t>
      </w:r>
      <w:bookmarkEnd w:id="431"/>
      <w:bookmarkEnd w:id="432"/>
      <w:r>
        <w:rPr>
          <w:rFonts w:hint="default"/>
          <w:color w:val="auto"/>
          <w:highlight w:val="none"/>
        </w:rPr>
        <w:t xml:space="preserve"> 范围</w:t>
      </w:r>
      <w:bookmarkEnd w:id="433"/>
    </w:p>
    <w:p w14:paraId="501A835B">
      <w:pPr>
        <w:overflowPunct w:val="0"/>
        <w:autoSpaceDE w:val="0"/>
        <w:autoSpaceDN w:val="0"/>
        <w:adjustRightInd w:val="0"/>
        <w:spacing w:line="360" w:lineRule="auto"/>
        <w:ind w:right="-197" w:rightChars="-94"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1.1 本细则明确了甲方项目现场违反EHS管理的各类行为和现象，规定了处罚的额度。本细则适用于甲方所有标段的项目。</w:t>
      </w:r>
    </w:p>
    <w:p w14:paraId="104CAC69">
      <w:pPr>
        <w:bidi w:val="0"/>
        <w:rPr>
          <w:rFonts w:hint="default"/>
          <w:color w:val="auto"/>
          <w:highlight w:val="none"/>
        </w:rPr>
      </w:pPr>
      <w:bookmarkStart w:id="434" w:name="_Toc497325758"/>
      <w:bookmarkStart w:id="435" w:name="_Toc497319745"/>
      <w:bookmarkStart w:id="436" w:name="_Toc18491"/>
      <w:r>
        <w:rPr>
          <w:rFonts w:hint="default"/>
          <w:color w:val="auto"/>
          <w:highlight w:val="none"/>
        </w:rPr>
        <w:t>2.</w:t>
      </w:r>
      <w:bookmarkEnd w:id="434"/>
      <w:bookmarkEnd w:id="435"/>
      <w:r>
        <w:rPr>
          <w:rFonts w:hint="default"/>
          <w:color w:val="auto"/>
          <w:highlight w:val="none"/>
        </w:rPr>
        <w:t xml:space="preserve"> 职责</w:t>
      </w:r>
      <w:bookmarkEnd w:id="436"/>
    </w:p>
    <w:p w14:paraId="30AE3279">
      <w:pPr>
        <w:overflowPunct w:val="0"/>
        <w:autoSpaceDE w:val="0"/>
        <w:autoSpaceDN w:val="0"/>
        <w:adjustRightInd w:val="0"/>
        <w:spacing w:line="36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2.1 由甲方</w:t>
      </w:r>
      <w:r>
        <w:rPr>
          <w:rFonts w:hint="eastAsia" w:ascii="Times New Roman" w:hAnsi="Times New Roman" w:cs="Times New Roman"/>
          <w:bCs/>
          <w:color w:val="auto"/>
          <w:sz w:val="21"/>
          <w:szCs w:val="21"/>
          <w:highlight w:val="none"/>
          <w:lang w:val="en-US" w:eastAsia="zh-CN"/>
        </w:rPr>
        <w:t>安环</w:t>
      </w:r>
      <w:r>
        <w:rPr>
          <w:rFonts w:hint="eastAsia" w:cs="Times New Roman"/>
          <w:bCs/>
          <w:color w:val="auto"/>
          <w:sz w:val="21"/>
          <w:szCs w:val="21"/>
          <w:highlight w:val="none"/>
          <w:lang w:val="en-US" w:eastAsia="zh-CN"/>
        </w:rPr>
        <w:t>等相关</w:t>
      </w:r>
      <w:r>
        <w:rPr>
          <w:rFonts w:hint="eastAsia" w:ascii="Times New Roman" w:hAnsi="Times New Roman" w:cs="Times New Roman"/>
          <w:bCs/>
          <w:color w:val="auto"/>
          <w:sz w:val="21"/>
          <w:szCs w:val="21"/>
          <w:highlight w:val="none"/>
          <w:lang w:val="en-US" w:eastAsia="zh-CN"/>
        </w:rPr>
        <w:t>部门</w:t>
      </w:r>
      <w:r>
        <w:rPr>
          <w:rFonts w:hint="default" w:ascii="Times New Roman" w:hAnsi="Times New Roman" w:eastAsia="宋体" w:cs="Times New Roman"/>
          <w:bCs/>
          <w:color w:val="auto"/>
          <w:sz w:val="21"/>
          <w:szCs w:val="21"/>
          <w:highlight w:val="none"/>
        </w:rPr>
        <w:t>有关人员负责对违章行为和现象</w:t>
      </w:r>
      <w:r>
        <w:rPr>
          <w:rFonts w:hint="eastAsia" w:cs="Times New Roman"/>
          <w:bCs/>
          <w:color w:val="auto"/>
          <w:sz w:val="21"/>
          <w:szCs w:val="21"/>
          <w:highlight w:val="none"/>
          <w:lang w:val="en-US" w:eastAsia="zh-CN"/>
        </w:rPr>
        <w:t>进行</w:t>
      </w:r>
      <w:r>
        <w:rPr>
          <w:rFonts w:hint="default" w:ascii="Times New Roman" w:hAnsi="Times New Roman" w:eastAsia="宋体" w:cs="Times New Roman"/>
          <w:bCs/>
          <w:color w:val="auto"/>
          <w:sz w:val="21"/>
          <w:szCs w:val="21"/>
          <w:highlight w:val="none"/>
        </w:rPr>
        <w:t>处罚。处罚对象为乙方。</w:t>
      </w:r>
    </w:p>
    <w:p w14:paraId="2A8AE2EA">
      <w:pPr>
        <w:bidi w:val="0"/>
        <w:rPr>
          <w:rFonts w:hint="default"/>
          <w:color w:val="auto"/>
          <w:highlight w:val="none"/>
        </w:rPr>
      </w:pPr>
      <w:bookmarkStart w:id="437" w:name="_Toc497319746"/>
      <w:bookmarkStart w:id="438" w:name="_Toc497325759"/>
      <w:bookmarkStart w:id="439" w:name="_Toc673"/>
      <w:r>
        <w:rPr>
          <w:rFonts w:hint="default"/>
          <w:color w:val="auto"/>
          <w:highlight w:val="none"/>
        </w:rPr>
        <w:t>3.</w:t>
      </w:r>
      <w:bookmarkEnd w:id="437"/>
      <w:bookmarkEnd w:id="438"/>
      <w:r>
        <w:rPr>
          <w:rFonts w:hint="default"/>
          <w:color w:val="auto"/>
          <w:highlight w:val="none"/>
        </w:rPr>
        <w:t xml:space="preserve"> 目的</w:t>
      </w:r>
      <w:bookmarkEnd w:id="439"/>
    </w:p>
    <w:p w14:paraId="2F4AFD06">
      <w:pPr>
        <w:overflowPunct w:val="0"/>
        <w:autoSpaceDE w:val="0"/>
        <w:autoSpaceDN w:val="0"/>
        <w:adjustRightInd w:val="0"/>
        <w:spacing w:line="36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3.1 为加强安全文明</w:t>
      </w:r>
      <w:r>
        <w:rPr>
          <w:rFonts w:hint="eastAsia" w:ascii="Times New Roman" w:hAnsi="Times New Roman" w:cs="Times New Roman"/>
          <w:bCs/>
          <w:color w:val="auto"/>
          <w:sz w:val="21"/>
          <w:szCs w:val="21"/>
          <w:highlight w:val="none"/>
          <w:lang w:val="en-US" w:eastAsia="zh-CN"/>
        </w:rPr>
        <w:t>作业</w:t>
      </w:r>
      <w:r>
        <w:rPr>
          <w:rFonts w:hint="default" w:ascii="Times New Roman" w:hAnsi="Times New Roman" w:eastAsia="宋体" w:cs="Times New Roman"/>
          <w:bCs/>
          <w:color w:val="auto"/>
          <w:sz w:val="21"/>
          <w:szCs w:val="21"/>
          <w:highlight w:val="none"/>
        </w:rPr>
        <w:t>管理，使违章处理工作有章可循，避免和减少各类人身伤害事故，营造良好的</w:t>
      </w:r>
      <w:r>
        <w:rPr>
          <w:rFonts w:hint="eastAsia" w:cs="Times New Roman"/>
          <w:bCs/>
          <w:color w:val="auto"/>
          <w:sz w:val="21"/>
          <w:szCs w:val="21"/>
          <w:highlight w:val="none"/>
          <w:lang w:val="en-US" w:eastAsia="zh-CN"/>
        </w:rPr>
        <w:t>装卸货等作业</w:t>
      </w:r>
      <w:r>
        <w:rPr>
          <w:rFonts w:hint="default" w:ascii="Times New Roman" w:hAnsi="Times New Roman" w:eastAsia="宋体" w:cs="Times New Roman"/>
          <w:bCs/>
          <w:color w:val="auto"/>
          <w:sz w:val="21"/>
          <w:szCs w:val="21"/>
          <w:highlight w:val="none"/>
        </w:rPr>
        <w:t>环境，特制定本细则。下称《细则》。</w:t>
      </w:r>
    </w:p>
    <w:p w14:paraId="567C7F00">
      <w:pPr>
        <w:bidi w:val="0"/>
        <w:rPr>
          <w:rFonts w:hint="default"/>
          <w:color w:val="auto"/>
          <w:highlight w:val="none"/>
        </w:rPr>
      </w:pPr>
      <w:bookmarkStart w:id="440" w:name="_Toc497319747"/>
      <w:bookmarkStart w:id="441" w:name="_Toc497325760"/>
      <w:bookmarkStart w:id="442" w:name="_Toc16318"/>
      <w:r>
        <w:rPr>
          <w:rFonts w:hint="default"/>
          <w:color w:val="auto"/>
          <w:highlight w:val="none"/>
        </w:rPr>
        <w:t>4.</w:t>
      </w:r>
      <w:bookmarkEnd w:id="440"/>
      <w:bookmarkEnd w:id="441"/>
      <w:r>
        <w:rPr>
          <w:rFonts w:hint="default"/>
          <w:color w:val="auto"/>
          <w:highlight w:val="none"/>
        </w:rPr>
        <w:t xml:space="preserve"> 内容</w:t>
      </w:r>
      <w:bookmarkEnd w:id="442"/>
    </w:p>
    <w:p w14:paraId="322F3F53">
      <w:pPr>
        <w:overflowPunct w:val="0"/>
        <w:autoSpaceDE w:val="0"/>
        <w:autoSpaceDN w:val="0"/>
        <w:adjustRightInd w:val="0"/>
        <w:spacing w:line="36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4.1 违章的分类</w:t>
      </w:r>
    </w:p>
    <w:p w14:paraId="7AA5961F">
      <w:pPr>
        <w:overflowPunct w:val="0"/>
        <w:autoSpaceDE w:val="0"/>
        <w:autoSpaceDN w:val="0"/>
        <w:adjustRightInd w:val="0"/>
        <w:spacing w:line="36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4.1.1 从生产活动的组织与造成事故直接原因、主要原因及领导原因来区分，违章可分为作业性违章、装置性违章、指挥性违章和违反文明</w:t>
      </w:r>
      <w:r>
        <w:rPr>
          <w:rFonts w:hint="eastAsia" w:cs="Times New Roman"/>
          <w:bCs/>
          <w:color w:val="auto"/>
          <w:sz w:val="21"/>
          <w:szCs w:val="21"/>
          <w:highlight w:val="none"/>
          <w:lang w:val="en-US" w:eastAsia="zh-CN"/>
        </w:rPr>
        <w:t>作业</w:t>
      </w:r>
      <w:r>
        <w:rPr>
          <w:rFonts w:hint="default" w:ascii="Times New Roman" w:hAnsi="Times New Roman" w:eastAsia="宋体" w:cs="Times New Roman"/>
          <w:bCs/>
          <w:color w:val="auto"/>
          <w:sz w:val="21"/>
          <w:szCs w:val="21"/>
          <w:highlight w:val="none"/>
        </w:rPr>
        <w:t>规定。</w:t>
      </w:r>
    </w:p>
    <w:p w14:paraId="6CF2AEB8">
      <w:pPr>
        <w:overflowPunct w:val="0"/>
        <w:autoSpaceDE w:val="0"/>
        <w:autoSpaceDN w:val="0"/>
        <w:adjustRightInd w:val="0"/>
        <w:spacing w:line="36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4.1.2 从违章者本人的安全技术素质与思想心理、习惯等因素区分，违章可分为习惯违章和偶然性违章二类。</w:t>
      </w:r>
    </w:p>
    <w:p w14:paraId="6146FF8B">
      <w:pPr>
        <w:overflowPunct w:val="0"/>
        <w:autoSpaceDE w:val="0"/>
        <w:autoSpaceDN w:val="0"/>
        <w:adjustRightInd w:val="0"/>
        <w:spacing w:line="36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4.2 查处违章的原则</w:t>
      </w:r>
    </w:p>
    <w:p w14:paraId="2B916467">
      <w:pPr>
        <w:overflowPunct w:val="0"/>
        <w:autoSpaceDE w:val="0"/>
        <w:autoSpaceDN w:val="0"/>
        <w:adjustRightInd w:val="0"/>
        <w:spacing w:line="36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4.2.1 坚持违章必究的原则，同时按《细则》中所含内容进行一定数额的罚款，做到实事求是，严格执行，谢绝说情。对性质恶劣，拒绝警告、整改、有意延续违章的行为，在原处罚数额的基础上增加2-10倍的处罚。情况紧急时下达停工整顿命令。</w:t>
      </w:r>
    </w:p>
    <w:p w14:paraId="021F4F29">
      <w:pPr>
        <w:overflowPunct w:val="0"/>
        <w:autoSpaceDE w:val="0"/>
        <w:autoSpaceDN w:val="0"/>
        <w:adjustRightInd w:val="0"/>
        <w:spacing w:line="36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4.2.2 因违章而导致各类事故的发生，按事故等级对乙方的处罚执行《事故处罚实施细则》</w:t>
      </w:r>
    </w:p>
    <w:p w14:paraId="197409E1">
      <w:pPr>
        <w:overflowPunct w:val="0"/>
        <w:autoSpaceDE w:val="0"/>
        <w:autoSpaceDN w:val="0"/>
        <w:adjustRightInd w:val="0"/>
        <w:spacing w:line="36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4.3 作业性违章</w:t>
      </w:r>
    </w:p>
    <w:p w14:paraId="72CE0D34">
      <w:pPr>
        <w:overflowPunct w:val="0"/>
        <w:autoSpaceDE w:val="0"/>
        <w:autoSpaceDN w:val="0"/>
        <w:adjustRightInd w:val="0"/>
        <w:spacing w:line="36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4.3.1 作业性违章定义：指在</w:t>
      </w:r>
      <w:r>
        <w:rPr>
          <w:rFonts w:hint="eastAsia" w:cs="Times New Roman"/>
          <w:bCs/>
          <w:color w:val="auto"/>
          <w:sz w:val="21"/>
          <w:szCs w:val="21"/>
          <w:highlight w:val="none"/>
          <w:lang w:val="en-US" w:eastAsia="zh-CN"/>
        </w:rPr>
        <w:t>装卸货等作业</w:t>
      </w:r>
      <w:r>
        <w:rPr>
          <w:rFonts w:hint="default" w:ascii="Times New Roman" w:hAnsi="Times New Roman" w:eastAsia="宋体" w:cs="Times New Roman"/>
          <w:bCs/>
          <w:color w:val="auto"/>
          <w:sz w:val="21"/>
          <w:szCs w:val="21"/>
          <w:highlight w:val="none"/>
        </w:rPr>
        <w:t>中违反《</w:t>
      </w:r>
      <w:r>
        <w:rPr>
          <w:rFonts w:hint="eastAsia" w:ascii="Times New Roman" w:hAnsi="Times New Roman" w:cs="Times New Roman"/>
          <w:bCs/>
          <w:color w:val="auto"/>
          <w:sz w:val="21"/>
          <w:szCs w:val="21"/>
          <w:highlight w:val="none"/>
          <w:lang w:val="en-US" w:eastAsia="zh-CN"/>
        </w:rPr>
        <w:t>中华人民共和国</w:t>
      </w:r>
      <w:r>
        <w:rPr>
          <w:rFonts w:hint="default" w:ascii="Times New Roman" w:hAnsi="Times New Roman" w:eastAsia="宋体" w:cs="Times New Roman"/>
          <w:bCs/>
          <w:color w:val="auto"/>
          <w:sz w:val="21"/>
          <w:szCs w:val="21"/>
          <w:highlight w:val="none"/>
        </w:rPr>
        <w:t>安全生产法》和地方性、行业性的法律法规的规定，违反保证安全施工的各项规定、制度及措施的一切不安全行为。</w:t>
      </w:r>
    </w:p>
    <w:p w14:paraId="5E57A4DD">
      <w:pPr>
        <w:overflowPunct w:val="0"/>
        <w:autoSpaceDE w:val="0"/>
        <w:autoSpaceDN w:val="0"/>
        <w:adjustRightInd w:val="0"/>
        <w:spacing w:line="36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4.3.2 作业性违章主要指</w:t>
      </w:r>
      <w:r>
        <w:rPr>
          <w:rFonts w:hint="eastAsia" w:cs="Times New Roman"/>
          <w:bCs/>
          <w:color w:val="auto"/>
          <w:sz w:val="21"/>
          <w:szCs w:val="21"/>
          <w:highlight w:val="none"/>
          <w:lang w:val="en-US" w:eastAsia="zh-CN"/>
        </w:rPr>
        <w:t>作业</w:t>
      </w:r>
      <w:r>
        <w:rPr>
          <w:rFonts w:hint="default" w:ascii="Times New Roman" w:hAnsi="Times New Roman" w:eastAsia="宋体" w:cs="Times New Roman"/>
          <w:bCs/>
          <w:color w:val="auto"/>
          <w:sz w:val="21"/>
          <w:szCs w:val="21"/>
          <w:highlight w:val="none"/>
        </w:rPr>
        <w:t>人员个人作业过程中发生的违章。</w:t>
      </w:r>
    </w:p>
    <w:p w14:paraId="580AD763">
      <w:pPr>
        <w:overflowPunct w:val="0"/>
        <w:autoSpaceDE w:val="0"/>
        <w:autoSpaceDN w:val="0"/>
        <w:adjustRightInd w:val="0"/>
        <w:spacing w:line="36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4.4 装置性违章</w:t>
      </w:r>
    </w:p>
    <w:p w14:paraId="570D6088">
      <w:pPr>
        <w:overflowPunct w:val="0"/>
        <w:autoSpaceDE w:val="0"/>
        <w:autoSpaceDN w:val="0"/>
        <w:adjustRightInd w:val="0"/>
        <w:spacing w:line="36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4.4.1 装置性违章定义：指工作现场的环境、设备、设施及工器具不符合国家、行业、公司有关规定及反事故措施和保证人身安全的各项规定及技术措施的要求，不能保证人身和设备安全的一切不安全状态。</w:t>
      </w:r>
    </w:p>
    <w:p w14:paraId="734460FC">
      <w:pPr>
        <w:overflowPunct w:val="0"/>
        <w:autoSpaceDE w:val="0"/>
        <w:autoSpaceDN w:val="0"/>
        <w:adjustRightInd w:val="0"/>
        <w:spacing w:line="36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4.4.2 装置性违章主要指与生产有关的设备、设施不符合规定要求的违章。</w:t>
      </w:r>
    </w:p>
    <w:p w14:paraId="1F14CDEC">
      <w:pPr>
        <w:overflowPunct w:val="0"/>
        <w:autoSpaceDE w:val="0"/>
        <w:autoSpaceDN w:val="0"/>
        <w:adjustRightInd w:val="0"/>
        <w:spacing w:line="36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4.5 指挥性违章</w:t>
      </w:r>
    </w:p>
    <w:p w14:paraId="204450B9">
      <w:pPr>
        <w:overflowPunct w:val="0"/>
        <w:autoSpaceDE w:val="0"/>
        <w:autoSpaceDN w:val="0"/>
        <w:adjustRightInd w:val="0"/>
        <w:spacing w:line="36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4.5.1 指挥性违章定义：指各级领导，甚至工作票签发人、工作负责人，违反劳动安全卫生法规、条例和保证人身安全的技术措施、安全措施进行作业组织与指挥行为。</w:t>
      </w:r>
    </w:p>
    <w:p w14:paraId="1358A6E0">
      <w:pPr>
        <w:overflowPunct w:val="0"/>
        <w:autoSpaceDE w:val="0"/>
        <w:autoSpaceDN w:val="0"/>
        <w:adjustRightInd w:val="0"/>
        <w:spacing w:line="36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4.5.2 指挥性违章主要指生产指挥人员违反有关规定及根据某项作业制定的技术措施、安全措施等发出的错误命令或做出的错误决定。</w:t>
      </w:r>
    </w:p>
    <w:p w14:paraId="55521285">
      <w:pPr>
        <w:overflowPunct w:val="0"/>
        <w:autoSpaceDE w:val="0"/>
        <w:autoSpaceDN w:val="0"/>
        <w:adjustRightInd w:val="0"/>
        <w:spacing w:line="36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4.6 文明</w:t>
      </w:r>
      <w:r>
        <w:rPr>
          <w:rFonts w:hint="eastAsia" w:cs="Times New Roman"/>
          <w:bCs/>
          <w:color w:val="auto"/>
          <w:sz w:val="21"/>
          <w:szCs w:val="21"/>
          <w:highlight w:val="none"/>
          <w:lang w:val="en-US" w:eastAsia="zh-CN"/>
        </w:rPr>
        <w:t>作业</w:t>
      </w:r>
      <w:r>
        <w:rPr>
          <w:rFonts w:hint="default" w:ascii="Times New Roman" w:hAnsi="Times New Roman" w:eastAsia="宋体" w:cs="Times New Roman"/>
          <w:bCs/>
          <w:color w:val="auto"/>
          <w:sz w:val="21"/>
          <w:szCs w:val="21"/>
          <w:highlight w:val="none"/>
        </w:rPr>
        <w:t>违章定义：指在</w:t>
      </w:r>
      <w:r>
        <w:rPr>
          <w:rFonts w:hint="eastAsia" w:cs="Times New Roman"/>
          <w:bCs/>
          <w:color w:val="auto"/>
          <w:sz w:val="21"/>
          <w:szCs w:val="21"/>
          <w:highlight w:val="none"/>
          <w:lang w:val="en-US" w:eastAsia="zh-CN"/>
        </w:rPr>
        <w:t>作业过程</w:t>
      </w:r>
      <w:r>
        <w:rPr>
          <w:rFonts w:hint="default" w:ascii="Times New Roman" w:hAnsi="Times New Roman" w:eastAsia="宋体" w:cs="Times New Roman"/>
          <w:bCs/>
          <w:color w:val="auto"/>
          <w:sz w:val="21"/>
          <w:szCs w:val="21"/>
          <w:highlight w:val="none"/>
        </w:rPr>
        <w:t>中一切不文明</w:t>
      </w:r>
      <w:r>
        <w:rPr>
          <w:rFonts w:hint="eastAsia" w:cs="Times New Roman"/>
          <w:bCs/>
          <w:color w:val="auto"/>
          <w:sz w:val="21"/>
          <w:szCs w:val="21"/>
          <w:highlight w:val="none"/>
          <w:lang w:val="en-US" w:eastAsia="zh-CN"/>
        </w:rPr>
        <w:t>作业</w:t>
      </w:r>
      <w:r>
        <w:rPr>
          <w:rFonts w:hint="default" w:ascii="Times New Roman" w:hAnsi="Times New Roman" w:eastAsia="宋体" w:cs="Times New Roman"/>
          <w:bCs/>
          <w:color w:val="auto"/>
          <w:sz w:val="21"/>
          <w:szCs w:val="21"/>
          <w:highlight w:val="none"/>
        </w:rPr>
        <w:t>的行为。</w:t>
      </w:r>
    </w:p>
    <w:p w14:paraId="4C71490A">
      <w:pPr>
        <w:overflowPunct w:val="0"/>
        <w:autoSpaceDE w:val="0"/>
        <w:autoSpaceDN w:val="0"/>
        <w:adjustRightInd w:val="0"/>
        <w:spacing w:line="36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4.7 各类违章处罚金额标准：</w:t>
      </w:r>
    </w:p>
    <w:p w14:paraId="3767FC8A">
      <w:pPr>
        <w:pStyle w:val="29"/>
        <w:rPr>
          <w:rFonts w:hint="default"/>
          <w:color w:val="auto"/>
          <w:highlight w:val="none"/>
          <w:lang w:val="en-US"/>
        </w:rPr>
      </w:pPr>
      <w:r>
        <w:rPr>
          <w:rFonts w:hint="eastAsia" w:cs="Times New Roman"/>
          <w:bCs/>
          <w:color w:val="auto"/>
          <w:sz w:val="21"/>
          <w:szCs w:val="21"/>
          <w:highlight w:val="none"/>
          <w:lang w:val="en-US" w:eastAsia="zh-CN"/>
        </w:rPr>
        <w:t>甲方及</w:t>
      </w:r>
      <w:r>
        <w:rPr>
          <w:rFonts w:hint="eastAsia"/>
          <w:color w:val="auto"/>
          <w:highlight w:val="none"/>
          <w:lang w:val="en-US" w:eastAsia="zh-CN"/>
        </w:rPr>
        <w:t>甲方客户（产废单位）的处罚事项相同时，不重复处罚，罚金以高者为准。</w:t>
      </w:r>
    </w:p>
    <w:p w14:paraId="6948E0B0">
      <w:pPr>
        <w:overflowPunct w:val="0"/>
        <w:autoSpaceDE w:val="0"/>
        <w:autoSpaceDN w:val="0"/>
        <w:adjustRightInd w:val="0"/>
        <w:spacing w:line="48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4.7.1 环境、职业健康、安全管理</w:t>
      </w:r>
    </w:p>
    <w:tbl>
      <w:tblPr>
        <w:tblStyle w:val="31"/>
        <w:tblW w:w="963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86"/>
        <w:gridCol w:w="4438"/>
        <w:gridCol w:w="2595"/>
        <w:gridCol w:w="1612"/>
      </w:tblGrid>
      <w:tr w14:paraId="663B5D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986" w:type="dxa"/>
            <w:tcBorders>
              <w:top w:val="single" w:color="auto" w:sz="4" w:space="0"/>
              <w:left w:val="single" w:color="auto" w:sz="4" w:space="0"/>
              <w:bottom w:val="single" w:color="auto" w:sz="4" w:space="0"/>
              <w:right w:val="single" w:color="auto" w:sz="4" w:space="0"/>
            </w:tcBorders>
            <w:shd w:val="clear" w:color="auto" w:fill="auto"/>
          </w:tcPr>
          <w:p w14:paraId="69E7C64D">
            <w:pPr>
              <w:spacing w:line="360" w:lineRule="auto"/>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b w:val="0"/>
                <w:bCs/>
                <w:color w:val="auto"/>
                <w:w w:val="95"/>
                <w:szCs w:val="21"/>
                <w:highlight w:val="none"/>
                <w:lang w:bidi="ar"/>
              </w:rPr>
              <w:t>序号</w:t>
            </w:r>
          </w:p>
        </w:tc>
        <w:tc>
          <w:tcPr>
            <w:tcW w:w="4438" w:type="dxa"/>
            <w:tcBorders>
              <w:top w:val="single" w:color="auto" w:sz="4" w:space="0"/>
              <w:left w:val="single" w:color="auto" w:sz="4" w:space="0"/>
              <w:bottom w:val="single" w:color="auto" w:sz="4" w:space="0"/>
              <w:right w:val="single" w:color="auto" w:sz="4" w:space="0"/>
            </w:tcBorders>
            <w:shd w:val="clear" w:color="auto" w:fill="auto"/>
          </w:tcPr>
          <w:p w14:paraId="09D75043">
            <w:pPr>
              <w:spacing w:line="360" w:lineRule="auto"/>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lang w:bidi="ar"/>
              </w:rPr>
              <w:t>违规内容</w:t>
            </w:r>
          </w:p>
        </w:tc>
        <w:tc>
          <w:tcPr>
            <w:tcW w:w="2595" w:type="dxa"/>
            <w:tcBorders>
              <w:top w:val="single" w:color="auto" w:sz="4" w:space="0"/>
              <w:left w:val="single" w:color="auto" w:sz="4" w:space="0"/>
              <w:bottom w:val="single" w:color="auto" w:sz="4" w:space="0"/>
              <w:right w:val="single" w:color="auto" w:sz="4" w:space="0"/>
            </w:tcBorders>
            <w:shd w:val="clear" w:color="auto" w:fill="auto"/>
          </w:tcPr>
          <w:p w14:paraId="3D257C2B">
            <w:pPr>
              <w:spacing w:line="360" w:lineRule="auto"/>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lang w:bidi="ar"/>
              </w:rPr>
              <w:t>罚款金额</w:t>
            </w:r>
          </w:p>
        </w:tc>
        <w:tc>
          <w:tcPr>
            <w:tcW w:w="1612" w:type="dxa"/>
            <w:tcBorders>
              <w:top w:val="single" w:color="auto" w:sz="4" w:space="0"/>
              <w:left w:val="single" w:color="auto" w:sz="4" w:space="0"/>
              <w:bottom w:val="single" w:color="auto" w:sz="4" w:space="0"/>
              <w:right w:val="single" w:color="auto" w:sz="4" w:space="0"/>
            </w:tcBorders>
            <w:shd w:val="clear" w:color="auto" w:fill="auto"/>
          </w:tcPr>
          <w:p w14:paraId="6242B337">
            <w:pPr>
              <w:spacing w:line="360" w:lineRule="auto"/>
              <w:jc w:val="center"/>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lang w:bidi="ar"/>
              </w:rPr>
              <w:t>备注</w:t>
            </w:r>
          </w:p>
        </w:tc>
      </w:tr>
      <w:tr w14:paraId="5CA134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986" w:type="dxa"/>
            <w:tcBorders>
              <w:top w:val="single" w:color="auto" w:sz="4" w:space="0"/>
              <w:left w:val="single" w:color="auto" w:sz="4" w:space="0"/>
              <w:bottom w:val="single" w:color="auto" w:sz="4" w:space="0"/>
              <w:right w:val="single" w:color="auto" w:sz="4" w:space="0"/>
            </w:tcBorders>
            <w:shd w:val="clear" w:color="auto" w:fill="auto"/>
          </w:tcPr>
          <w:p w14:paraId="00056C18">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EHS01</w:t>
            </w:r>
          </w:p>
        </w:tc>
        <w:tc>
          <w:tcPr>
            <w:tcW w:w="4438" w:type="dxa"/>
            <w:tcBorders>
              <w:top w:val="single" w:color="auto" w:sz="4" w:space="0"/>
              <w:left w:val="single" w:color="auto" w:sz="4" w:space="0"/>
              <w:bottom w:val="single" w:color="auto" w:sz="4" w:space="0"/>
              <w:right w:val="single" w:color="auto" w:sz="4" w:space="0"/>
            </w:tcBorders>
            <w:shd w:val="clear" w:color="auto" w:fill="auto"/>
          </w:tcPr>
          <w:p w14:paraId="7E3E5C39">
            <w:pPr>
              <w:spacing w:line="360" w:lineRule="auto"/>
              <w:jc w:val="left"/>
              <w:rPr>
                <w:rFonts w:hint="default" w:ascii="Times New Roman" w:hAnsi="Times New Roman" w:eastAsia="宋体" w:cs="Times New Roman"/>
                <w:color w:val="auto"/>
                <w:szCs w:val="21"/>
                <w:highlight w:val="none"/>
                <w:lang w:bidi="ar"/>
              </w:rPr>
            </w:pPr>
            <w:r>
              <w:rPr>
                <w:rFonts w:hint="default" w:ascii="Times New Roman" w:hAnsi="Times New Roman" w:eastAsia="宋体" w:cs="Times New Roman"/>
                <w:color w:val="auto"/>
                <w:szCs w:val="21"/>
                <w:highlight w:val="none"/>
                <w:lang w:bidi="ar"/>
              </w:rPr>
              <w:t>未按规定设置现场安全监督管理人员</w:t>
            </w:r>
          </w:p>
        </w:tc>
        <w:tc>
          <w:tcPr>
            <w:tcW w:w="2595" w:type="dxa"/>
            <w:tcBorders>
              <w:top w:val="single" w:color="auto" w:sz="4" w:space="0"/>
              <w:left w:val="single" w:color="auto" w:sz="4" w:space="0"/>
              <w:bottom w:val="single" w:color="auto" w:sz="4" w:space="0"/>
              <w:right w:val="single" w:color="auto" w:sz="4" w:space="0"/>
            </w:tcBorders>
            <w:shd w:val="clear" w:color="auto" w:fill="auto"/>
          </w:tcPr>
          <w:p w14:paraId="23F9AD27">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每次 200元</w:t>
            </w:r>
          </w:p>
        </w:tc>
        <w:tc>
          <w:tcPr>
            <w:tcW w:w="1612" w:type="dxa"/>
            <w:tcBorders>
              <w:top w:val="single" w:color="auto" w:sz="4" w:space="0"/>
              <w:left w:val="single" w:color="auto" w:sz="4" w:space="0"/>
              <w:bottom w:val="single" w:color="auto" w:sz="4" w:space="0"/>
              <w:right w:val="single" w:color="auto" w:sz="4" w:space="0"/>
            </w:tcBorders>
            <w:shd w:val="clear" w:color="auto" w:fill="auto"/>
          </w:tcPr>
          <w:p w14:paraId="417F58C3">
            <w:pPr>
              <w:spacing w:line="360" w:lineRule="auto"/>
              <w:jc w:val="center"/>
              <w:rPr>
                <w:rFonts w:hint="default" w:ascii="Times New Roman" w:hAnsi="Times New Roman" w:eastAsia="宋体" w:cs="Times New Roman"/>
                <w:color w:val="auto"/>
                <w:szCs w:val="21"/>
                <w:highlight w:val="none"/>
              </w:rPr>
            </w:pPr>
          </w:p>
        </w:tc>
      </w:tr>
      <w:tr w14:paraId="112D2F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986" w:type="dxa"/>
            <w:tcBorders>
              <w:top w:val="single" w:color="auto" w:sz="4" w:space="0"/>
              <w:left w:val="single" w:color="auto" w:sz="4" w:space="0"/>
              <w:bottom w:val="single" w:color="auto" w:sz="4" w:space="0"/>
              <w:right w:val="single" w:color="auto" w:sz="4" w:space="0"/>
            </w:tcBorders>
            <w:shd w:val="clear" w:color="auto" w:fill="auto"/>
          </w:tcPr>
          <w:p w14:paraId="461D2844">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EHS02</w:t>
            </w:r>
          </w:p>
        </w:tc>
        <w:tc>
          <w:tcPr>
            <w:tcW w:w="4438" w:type="dxa"/>
            <w:tcBorders>
              <w:top w:val="single" w:color="auto" w:sz="4" w:space="0"/>
              <w:left w:val="single" w:color="auto" w:sz="4" w:space="0"/>
              <w:bottom w:val="single" w:color="auto" w:sz="4" w:space="0"/>
              <w:right w:val="single" w:color="auto" w:sz="4" w:space="0"/>
            </w:tcBorders>
            <w:shd w:val="clear" w:color="auto" w:fill="auto"/>
          </w:tcPr>
          <w:p w14:paraId="4B86D030">
            <w:pPr>
              <w:spacing w:line="360" w:lineRule="auto"/>
              <w:jc w:val="left"/>
              <w:rPr>
                <w:rFonts w:hint="default" w:ascii="Times New Roman" w:hAnsi="Times New Roman" w:eastAsia="宋体" w:cs="Times New Roman"/>
                <w:color w:val="auto"/>
                <w:szCs w:val="21"/>
                <w:highlight w:val="none"/>
                <w:lang w:bidi="ar"/>
              </w:rPr>
            </w:pPr>
            <w:r>
              <w:rPr>
                <w:rFonts w:hint="default" w:ascii="Times New Roman" w:hAnsi="Times New Roman" w:eastAsia="宋体" w:cs="Times New Roman"/>
                <w:color w:val="auto"/>
                <w:szCs w:val="21"/>
                <w:highlight w:val="none"/>
                <w:lang w:bidi="ar"/>
              </w:rPr>
              <w:t>未建立相关安全操作规程、应急预案</w:t>
            </w:r>
          </w:p>
        </w:tc>
        <w:tc>
          <w:tcPr>
            <w:tcW w:w="2595" w:type="dxa"/>
            <w:tcBorders>
              <w:top w:val="single" w:color="auto" w:sz="4" w:space="0"/>
              <w:left w:val="single" w:color="auto" w:sz="4" w:space="0"/>
              <w:bottom w:val="single" w:color="auto" w:sz="4" w:space="0"/>
              <w:right w:val="single" w:color="auto" w:sz="4" w:space="0"/>
            </w:tcBorders>
            <w:shd w:val="clear" w:color="auto" w:fill="auto"/>
          </w:tcPr>
          <w:p w14:paraId="1BBED68B">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每次 200元</w:t>
            </w:r>
          </w:p>
        </w:tc>
        <w:tc>
          <w:tcPr>
            <w:tcW w:w="1612" w:type="dxa"/>
            <w:tcBorders>
              <w:top w:val="single" w:color="auto" w:sz="4" w:space="0"/>
              <w:left w:val="single" w:color="auto" w:sz="4" w:space="0"/>
              <w:bottom w:val="single" w:color="auto" w:sz="4" w:space="0"/>
              <w:right w:val="single" w:color="auto" w:sz="4" w:space="0"/>
            </w:tcBorders>
            <w:shd w:val="clear" w:color="auto" w:fill="auto"/>
          </w:tcPr>
          <w:p w14:paraId="3E2DB552">
            <w:pPr>
              <w:spacing w:line="360" w:lineRule="auto"/>
              <w:jc w:val="center"/>
              <w:rPr>
                <w:rFonts w:hint="default" w:ascii="Times New Roman" w:hAnsi="Times New Roman" w:eastAsia="宋体" w:cs="Times New Roman"/>
                <w:color w:val="auto"/>
                <w:szCs w:val="21"/>
                <w:highlight w:val="none"/>
              </w:rPr>
            </w:pPr>
          </w:p>
        </w:tc>
      </w:tr>
      <w:tr w14:paraId="19913B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986" w:type="dxa"/>
            <w:tcBorders>
              <w:top w:val="single" w:color="auto" w:sz="4" w:space="0"/>
              <w:left w:val="single" w:color="auto" w:sz="4" w:space="0"/>
              <w:bottom w:val="single" w:color="auto" w:sz="4" w:space="0"/>
              <w:right w:val="single" w:color="auto" w:sz="4" w:space="0"/>
            </w:tcBorders>
            <w:shd w:val="clear" w:color="auto" w:fill="auto"/>
          </w:tcPr>
          <w:p w14:paraId="2E580CB8">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EHS03</w:t>
            </w:r>
          </w:p>
        </w:tc>
        <w:tc>
          <w:tcPr>
            <w:tcW w:w="4438" w:type="dxa"/>
            <w:tcBorders>
              <w:top w:val="single" w:color="auto" w:sz="4" w:space="0"/>
              <w:left w:val="single" w:color="auto" w:sz="4" w:space="0"/>
              <w:bottom w:val="single" w:color="auto" w:sz="4" w:space="0"/>
              <w:right w:val="single" w:color="auto" w:sz="4" w:space="0"/>
            </w:tcBorders>
            <w:shd w:val="clear" w:color="auto" w:fill="auto"/>
          </w:tcPr>
          <w:p w14:paraId="7B363B32">
            <w:pPr>
              <w:spacing w:line="360" w:lineRule="auto"/>
              <w:jc w:val="left"/>
              <w:rPr>
                <w:rFonts w:hint="default" w:ascii="Times New Roman" w:hAnsi="Times New Roman" w:eastAsia="宋体" w:cs="Times New Roman"/>
                <w:color w:val="auto"/>
                <w:szCs w:val="21"/>
                <w:highlight w:val="none"/>
                <w:lang w:bidi="ar"/>
              </w:rPr>
            </w:pPr>
            <w:r>
              <w:rPr>
                <w:rFonts w:hint="default" w:ascii="Times New Roman" w:hAnsi="Times New Roman" w:eastAsia="宋体" w:cs="Times New Roman"/>
                <w:color w:val="auto"/>
                <w:szCs w:val="21"/>
                <w:highlight w:val="none"/>
                <w:lang w:bidi="ar"/>
              </w:rPr>
              <w:t>未落实安全教育，提交虚假培训资料等</w:t>
            </w:r>
          </w:p>
        </w:tc>
        <w:tc>
          <w:tcPr>
            <w:tcW w:w="2595" w:type="dxa"/>
            <w:tcBorders>
              <w:top w:val="single" w:color="auto" w:sz="4" w:space="0"/>
              <w:left w:val="single" w:color="auto" w:sz="4" w:space="0"/>
              <w:bottom w:val="single" w:color="auto" w:sz="4" w:space="0"/>
              <w:right w:val="single" w:color="auto" w:sz="4" w:space="0"/>
            </w:tcBorders>
            <w:shd w:val="clear" w:color="auto" w:fill="auto"/>
          </w:tcPr>
          <w:p w14:paraId="63F1985B">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每人每次 200元</w:t>
            </w:r>
          </w:p>
        </w:tc>
        <w:tc>
          <w:tcPr>
            <w:tcW w:w="1612" w:type="dxa"/>
            <w:tcBorders>
              <w:top w:val="single" w:color="auto" w:sz="4" w:space="0"/>
              <w:left w:val="single" w:color="auto" w:sz="4" w:space="0"/>
              <w:bottom w:val="single" w:color="auto" w:sz="4" w:space="0"/>
              <w:right w:val="single" w:color="auto" w:sz="4" w:space="0"/>
            </w:tcBorders>
            <w:shd w:val="clear" w:color="auto" w:fill="auto"/>
          </w:tcPr>
          <w:p w14:paraId="16E931D5">
            <w:pPr>
              <w:spacing w:line="360" w:lineRule="auto"/>
              <w:jc w:val="center"/>
              <w:rPr>
                <w:rFonts w:hint="default" w:ascii="Times New Roman" w:hAnsi="Times New Roman" w:eastAsia="宋体" w:cs="Times New Roman"/>
                <w:color w:val="auto"/>
                <w:szCs w:val="21"/>
                <w:highlight w:val="none"/>
              </w:rPr>
            </w:pPr>
          </w:p>
        </w:tc>
      </w:tr>
      <w:tr w14:paraId="493612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986" w:type="dxa"/>
            <w:tcBorders>
              <w:top w:val="single" w:color="auto" w:sz="4" w:space="0"/>
              <w:left w:val="single" w:color="auto" w:sz="4" w:space="0"/>
              <w:bottom w:val="single" w:color="auto" w:sz="4" w:space="0"/>
              <w:right w:val="single" w:color="auto" w:sz="4" w:space="0"/>
            </w:tcBorders>
            <w:shd w:val="clear" w:color="auto" w:fill="auto"/>
          </w:tcPr>
          <w:p w14:paraId="3055D0AD">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EHS04</w:t>
            </w:r>
          </w:p>
        </w:tc>
        <w:tc>
          <w:tcPr>
            <w:tcW w:w="4438" w:type="dxa"/>
            <w:tcBorders>
              <w:top w:val="single" w:color="auto" w:sz="4" w:space="0"/>
              <w:left w:val="single" w:color="auto" w:sz="4" w:space="0"/>
              <w:bottom w:val="single" w:color="auto" w:sz="4" w:space="0"/>
              <w:right w:val="single" w:color="auto" w:sz="4" w:space="0"/>
            </w:tcBorders>
            <w:shd w:val="clear" w:color="auto" w:fill="auto"/>
          </w:tcPr>
          <w:p w14:paraId="1B7B58EC">
            <w:pPr>
              <w:spacing w:line="360" w:lineRule="auto"/>
              <w:jc w:val="left"/>
              <w:rPr>
                <w:rFonts w:hint="default" w:ascii="Times New Roman" w:hAnsi="Times New Roman" w:eastAsia="宋体" w:cs="Times New Roman"/>
                <w:color w:val="auto"/>
                <w:szCs w:val="21"/>
                <w:highlight w:val="none"/>
                <w:lang w:bidi="ar"/>
              </w:rPr>
            </w:pPr>
            <w:r>
              <w:rPr>
                <w:rFonts w:hint="default" w:ascii="Times New Roman" w:hAnsi="Times New Roman" w:eastAsia="宋体" w:cs="Times New Roman"/>
                <w:color w:val="auto"/>
                <w:szCs w:val="21"/>
                <w:highlight w:val="none"/>
                <w:lang w:bidi="ar"/>
              </w:rPr>
              <w:t>未落实安全管理及货品质量整改措施</w:t>
            </w:r>
          </w:p>
        </w:tc>
        <w:tc>
          <w:tcPr>
            <w:tcW w:w="2595" w:type="dxa"/>
            <w:tcBorders>
              <w:top w:val="single" w:color="auto" w:sz="4" w:space="0"/>
              <w:left w:val="single" w:color="auto" w:sz="4" w:space="0"/>
              <w:bottom w:val="single" w:color="auto" w:sz="4" w:space="0"/>
              <w:right w:val="single" w:color="auto" w:sz="4" w:space="0"/>
            </w:tcBorders>
            <w:shd w:val="clear" w:color="auto" w:fill="auto"/>
          </w:tcPr>
          <w:p w14:paraId="0A5B4AA1">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每次 200元</w:t>
            </w:r>
          </w:p>
        </w:tc>
        <w:tc>
          <w:tcPr>
            <w:tcW w:w="1612" w:type="dxa"/>
            <w:tcBorders>
              <w:top w:val="single" w:color="auto" w:sz="4" w:space="0"/>
              <w:left w:val="single" w:color="auto" w:sz="4" w:space="0"/>
              <w:bottom w:val="single" w:color="auto" w:sz="4" w:space="0"/>
              <w:right w:val="single" w:color="auto" w:sz="4" w:space="0"/>
            </w:tcBorders>
            <w:shd w:val="clear" w:color="auto" w:fill="auto"/>
          </w:tcPr>
          <w:p w14:paraId="269ABEB1">
            <w:pPr>
              <w:spacing w:line="360" w:lineRule="auto"/>
              <w:jc w:val="center"/>
              <w:rPr>
                <w:rFonts w:hint="default" w:ascii="Times New Roman" w:hAnsi="Times New Roman" w:eastAsia="宋体" w:cs="Times New Roman"/>
                <w:color w:val="auto"/>
                <w:szCs w:val="21"/>
                <w:highlight w:val="none"/>
              </w:rPr>
            </w:pPr>
          </w:p>
        </w:tc>
      </w:tr>
      <w:tr w14:paraId="7C1A3E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986" w:type="dxa"/>
            <w:tcBorders>
              <w:top w:val="single" w:color="auto" w:sz="4" w:space="0"/>
              <w:left w:val="single" w:color="auto" w:sz="4" w:space="0"/>
              <w:bottom w:val="single" w:color="auto" w:sz="4" w:space="0"/>
              <w:right w:val="single" w:color="auto" w:sz="4" w:space="0"/>
            </w:tcBorders>
            <w:shd w:val="clear" w:color="auto" w:fill="auto"/>
          </w:tcPr>
          <w:p w14:paraId="0FBB6F21">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EHS05</w:t>
            </w:r>
          </w:p>
        </w:tc>
        <w:tc>
          <w:tcPr>
            <w:tcW w:w="4438" w:type="dxa"/>
            <w:tcBorders>
              <w:top w:val="single" w:color="auto" w:sz="4" w:space="0"/>
              <w:left w:val="single" w:color="auto" w:sz="4" w:space="0"/>
              <w:bottom w:val="single" w:color="auto" w:sz="4" w:space="0"/>
              <w:right w:val="single" w:color="auto" w:sz="4" w:space="0"/>
            </w:tcBorders>
            <w:shd w:val="clear" w:color="auto" w:fill="auto"/>
          </w:tcPr>
          <w:p w14:paraId="2D046479">
            <w:pPr>
              <w:pStyle w:val="25"/>
              <w:widowControl/>
              <w:autoSpaceDE w:val="0"/>
              <w:autoSpaceDN w:val="0"/>
              <w:spacing w:before="15" w:line="360" w:lineRule="auto"/>
              <w:jc w:val="left"/>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不报、瞒报、迟报安全事故</w:t>
            </w:r>
          </w:p>
        </w:tc>
        <w:tc>
          <w:tcPr>
            <w:tcW w:w="2595" w:type="dxa"/>
            <w:tcBorders>
              <w:top w:val="single" w:color="auto" w:sz="4" w:space="0"/>
              <w:left w:val="single" w:color="auto" w:sz="4" w:space="0"/>
              <w:bottom w:val="single" w:color="auto" w:sz="4" w:space="0"/>
              <w:right w:val="single" w:color="auto" w:sz="4" w:space="0"/>
            </w:tcBorders>
            <w:shd w:val="clear" w:color="auto" w:fill="auto"/>
          </w:tcPr>
          <w:p w14:paraId="562C7CDD">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每次 2000元</w:t>
            </w:r>
          </w:p>
        </w:tc>
        <w:tc>
          <w:tcPr>
            <w:tcW w:w="1612" w:type="dxa"/>
            <w:tcBorders>
              <w:top w:val="single" w:color="auto" w:sz="4" w:space="0"/>
              <w:left w:val="single" w:color="auto" w:sz="4" w:space="0"/>
              <w:bottom w:val="single" w:color="auto" w:sz="4" w:space="0"/>
              <w:right w:val="single" w:color="auto" w:sz="4" w:space="0"/>
            </w:tcBorders>
            <w:shd w:val="clear" w:color="auto" w:fill="auto"/>
          </w:tcPr>
          <w:p w14:paraId="00A01D5C">
            <w:pPr>
              <w:spacing w:line="360" w:lineRule="auto"/>
              <w:jc w:val="center"/>
              <w:rPr>
                <w:rFonts w:hint="default" w:ascii="Times New Roman" w:hAnsi="Times New Roman" w:eastAsia="宋体" w:cs="Times New Roman"/>
                <w:color w:val="auto"/>
                <w:szCs w:val="21"/>
                <w:highlight w:val="none"/>
              </w:rPr>
            </w:pPr>
          </w:p>
        </w:tc>
      </w:tr>
      <w:tr w14:paraId="426D75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986" w:type="dxa"/>
            <w:tcBorders>
              <w:top w:val="single" w:color="auto" w:sz="4" w:space="0"/>
              <w:left w:val="single" w:color="auto" w:sz="4" w:space="0"/>
              <w:bottom w:val="single" w:color="auto" w:sz="4" w:space="0"/>
              <w:right w:val="single" w:color="auto" w:sz="4" w:space="0"/>
            </w:tcBorders>
            <w:shd w:val="clear" w:color="auto" w:fill="auto"/>
          </w:tcPr>
          <w:p w14:paraId="6B593D15">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EHS06</w:t>
            </w:r>
          </w:p>
        </w:tc>
        <w:tc>
          <w:tcPr>
            <w:tcW w:w="4438" w:type="dxa"/>
            <w:tcBorders>
              <w:top w:val="single" w:color="auto" w:sz="4" w:space="0"/>
              <w:left w:val="single" w:color="auto" w:sz="4" w:space="0"/>
              <w:bottom w:val="single" w:color="auto" w:sz="4" w:space="0"/>
              <w:right w:val="single" w:color="auto" w:sz="4" w:space="0"/>
            </w:tcBorders>
            <w:shd w:val="clear" w:color="auto" w:fill="auto"/>
          </w:tcPr>
          <w:p w14:paraId="6B07827B">
            <w:pPr>
              <w:pStyle w:val="25"/>
              <w:widowControl/>
              <w:autoSpaceDE w:val="0"/>
              <w:autoSpaceDN w:val="0"/>
              <w:spacing w:before="15" w:line="360" w:lineRule="auto"/>
              <w:jc w:val="left"/>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危险化学品运输人员未持证上岗</w:t>
            </w:r>
          </w:p>
        </w:tc>
        <w:tc>
          <w:tcPr>
            <w:tcW w:w="2595" w:type="dxa"/>
            <w:tcBorders>
              <w:top w:val="single" w:color="auto" w:sz="4" w:space="0"/>
              <w:left w:val="single" w:color="auto" w:sz="4" w:space="0"/>
              <w:bottom w:val="single" w:color="auto" w:sz="4" w:space="0"/>
              <w:right w:val="single" w:color="auto" w:sz="4" w:space="0"/>
            </w:tcBorders>
            <w:shd w:val="clear" w:color="auto" w:fill="auto"/>
          </w:tcPr>
          <w:p w14:paraId="5EB12E8A">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每人每次 2000元</w:t>
            </w:r>
          </w:p>
        </w:tc>
        <w:tc>
          <w:tcPr>
            <w:tcW w:w="1612" w:type="dxa"/>
            <w:tcBorders>
              <w:top w:val="single" w:color="auto" w:sz="4" w:space="0"/>
              <w:left w:val="single" w:color="auto" w:sz="4" w:space="0"/>
              <w:bottom w:val="single" w:color="auto" w:sz="4" w:space="0"/>
              <w:right w:val="single" w:color="auto" w:sz="4" w:space="0"/>
            </w:tcBorders>
            <w:shd w:val="clear" w:color="auto" w:fill="auto"/>
          </w:tcPr>
          <w:p w14:paraId="15D23FE3">
            <w:pPr>
              <w:spacing w:line="360" w:lineRule="auto"/>
              <w:jc w:val="center"/>
              <w:rPr>
                <w:rFonts w:hint="default" w:ascii="Times New Roman" w:hAnsi="Times New Roman" w:eastAsia="宋体" w:cs="Times New Roman"/>
                <w:color w:val="auto"/>
                <w:szCs w:val="21"/>
                <w:highlight w:val="none"/>
              </w:rPr>
            </w:pPr>
          </w:p>
        </w:tc>
      </w:tr>
      <w:tr w14:paraId="18D338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5" w:hRule="atLeast"/>
          <w:jc w:val="center"/>
        </w:trPr>
        <w:tc>
          <w:tcPr>
            <w:tcW w:w="986" w:type="dxa"/>
            <w:tcBorders>
              <w:top w:val="single" w:color="auto" w:sz="4" w:space="0"/>
              <w:left w:val="single" w:color="auto" w:sz="4" w:space="0"/>
              <w:bottom w:val="single" w:color="auto" w:sz="4" w:space="0"/>
              <w:right w:val="single" w:color="auto" w:sz="4" w:space="0"/>
            </w:tcBorders>
            <w:shd w:val="clear" w:color="auto" w:fill="auto"/>
            <w:vAlign w:val="center"/>
          </w:tcPr>
          <w:p w14:paraId="076B49F7">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rPr>
              <w:t>EHS0</w:t>
            </w:r>
            <w:r>
              <w:rPr>
                <w:rFonts w:hint="default" w:ascii="Times New Roman" w:hAnsi="Times New Roman" w:eastAsia="宋体" w:cs="Times New Roman"/>
                <w:color w:val="auto"/>
                <w:sz w:val="21"/>
                <w:szCs w:val="21"/>
                <w:highlight w:val="none"/>
                <w:lang w:val="en-US" w:eastAsia="zh-CN"/>
              </w:rPr>
              <w:t>7</w:t>
            </w:r>
          </w:p>
        </w:tc>
        <w:tc>
          <w:tcPr>
            <w:tcW w:w="4438" w:type="dxa"/>
            <w:tcBorders>
              <w:top w:val="single" w:color="auto" w:sz="4" w:space="0"/>
              <w:left w:val="single" w:color="auto" w:sz="4" w:space="0"/>
              <w:bottom w:val="single" w:color="auto" w:sz="4" w:space="0"/>
              <w:right w:val="single" w:color="auto" w:sz="4" w:space="0"/>
            </w:tcBorders>
            <w:shd w:val="clear" w:color="auto" w:fill="auto"/>
          </w:tcPr>
          <w:p w14:paraId="68977FB8">
            <w:pPr>
              <w:pStyle w:val="25"/>
              <w:spacing w:line="360" w:lineRule="auto"/>
              <w:jc w:val="left"/>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进</w:t>
            </w:r>
            <w:r>
              <w:rPr>
                <w:rFonts w:hint="default" w:ascii="Times New Roman" w:hAnsi="Times New Roman" w:eastAsia="宋体" w:cs="Times New Roman"/>
                <w:color w:val="auto"/>
                <w:sz w:val="21"/>
                <w:szCs w:val="21"/>
                <w:highlight w:val="none"/>
                <w:lang w:bidi="ar"/>
              </w:rPr>
              <w:t>入生产区域未按照规定要求佩戴劳动防护用品或劳动防护用品不符合安全卫生要求</w:t>
            </w:r>
          </w:p>
        </w:tc>
        <w:tc>
          <w:tcPr>
            <w:tcW w:w="2595" w:type="dxa"/>
            <w:tcBorders>
              <w:top w:val="single" w:color="auto" w:sz="4" w:space="0"/>
              <w:left w:val="single" w:color="auto" w:sz="4" w:space="0"/>
              <w:bottom w:val="single" w:color="auto" w:sz="4" w:space="0"/>
              <w:right w:val="single" w:color="auto" w:sz="4" w:space="0"/>
            </w:tcBorders>
            <w:shd w:val="clear" w:color="auto" w:fill="auto"/>
            <w:vAlign w:val="center"/>
          </w:tcPr>
          <w:p w14:paraId="5C486D75">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每人每次 200元</w:t>
            </w:r>
          </w:p>
        </w:tc>
        <w:tc>
          <w:tcPr>
            <w:tcW w:w="1612" w:type="dxa"/>
            <w:tcBorders>
              <w:top w:val="single" w:color="auto" w:sz="4" w:space="0"/>
              <w:left w:val="single" w:color="auto" w:sz="4" w:space="0"/>
              <w:bottom w:val="single" w:color="auto" w:sz="4" w:space="0"/>
              <w:right w:val="single" w:color="auto" w:sz="4" w:space="0"/>
            </w:tcBorders>
            <w:shd w:val="clear" w:color="auto" w:fill="auto"/>
          </w:tcPr>
          <w:p w14:paraId="38F4DA3C">
            <w:pPr>
              <w:spacing w:line="360" w:lineRule="auto"/>
              <w:jc w:val="center"/>
              <w:rPr>
                <w:rFonts w:hint="default" w:ascii="Times New Roman" w:hAnsi="Times New Roman" w:eastAsia="宋体" w:cs="Times New Roman"/>
                <w:color w:val="auto"/>
                <w:szCs w:val="21"/>
                <w:highlight w:val="none"/>
              </w:rPr>
            </w:pPr>
          </w:p>
        </w:tc>
      </w:tr>
      <w:tr w14:paraId="56395C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jc w:val="center"/>
        </w:trPr>
        <w:tc>
          <w:tcPr>
            <w:tcW w:w="986" w:type="dxa"/>
            <w:tcBorders>
              <w:top w:val="single" w:color="auto" w:sz="4" w:space="0"/>
              <w:left w:val="single" w:color="auto" w:sz="4" w:space="0"/>
              <w:bottom w:val="single" w:color="auto" w:sz="4" w:space="0"/>
              <w:right w:val="single" w:color="auto" w:sz="4" w:space="0"/>
            </w:tcBorders>
            <w:shd w:val="clear" w:color="auto" w:fill="auto"/>
          </w:tcPr>
          <w:p w14:paraId="242FC73C">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rPr>
              <w:t>EHS0</w:t>
            </w:r>
            <w:r>
              <w:rPr>
                <w:rFonts w:hint="default" w:ascii="Times New Roman" w:hAnsi="Times New Roman" w:eastAsia="宋体" w:cs="Times New Roman"/>
                <w:color w:val="auto"/>
                <w:sz w:val="21"/>
                <w:szCs w:val="21"/>
                <w:highlight w:val="none"/>
                <w:lang w:val="en-US" w:eastAsia="zh-CN"/>
              </w:rPr>
              <w:t>8</w:t>
            </w:r>
          </w:p>
        </w:tc>
        <w:tc>
          <w:tcPr>
            <w:tcW w:w="4438" w:type="dxa"/>
            <w:tcBorders>
              <w:top w:val="single" w:color="auto" w:sz="4" w:space="0"/>
              <w:left w:val="single" w:color="auto" w:sz="4" w:space="0"/>
              <w:bottom w:val="single" w:color="auto" w:sz="4" w:space="0"/>
              <w:right w:val="single" w:color="auto" w:sz="4" w:space="0"/>
            </w:tcBorders>
            <w:shd w:val="clear" w:color="auto" w:fill="auto"/>
          </w:tcPr>
          <w:p w14:paraId="0255A33E">
            <w:pPr>
              <w:pStyle w:val="25"/>
              <w:widowControl/>
              <w:autoSpaceDE w:val="0"/>
              <w:autoSpaceDN w:val="0"/>
              <w:spacing w:before="15" w:line="360" w:lineRule="auto"/>
              <w:jc w:val="left"/>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打架斗殴\聚众闹事\拦路封门等恶劣影响</w:t>
            </w:r>
          </w:p>
        </w:tc>
        <w:tc>
          <w:tcPr>
            <w:tcW w:w="2595" w:type="dxa"/>
            <w:tcBorders>
              <w:top w:val="single" w:color="auto" w:sz="4" w:space="0"/>
              <w:left w:val="single" w:color="auto" w:sz="4" w:space="0"/>
              <w:bottom w:val="single" w:color="auto" w:sz="4" w:space="0"/>
              <w:right w:val="single" w:color="auto" w:sz="4" w:space="0"/>
            </w:tcBorders>
            <w:shd w:val="clear" w:color="auto" w:fill="auto"/>
          </w:tcPr>
          <w:p w14:paraId="7BFCA79E">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每人每次 2000元</w:t>
            </w:r>
          </w:p>
        </w:tc>
        <w:tc>
          <w:tcPr>
            <w:tcW w:w="1612" w:type="dxa"/>
            <w:tcBorders>
              <w:top w:val="single" w:color="auto" w:sz="4" w:space="0"/>
              <w:left w:val="single" w:color="auto" w:sz="4" w:space="0"/>
              <w:bottom w:val="single" w:color="auto" w:sz="4" w:space="0"/>
              <w:right w:val="single" w:color="auto" w:sz="4" w:space="0"/>
            </w:tcBorders>
            <w:shd w:val="clear" w:color="auto" w:fill="auto"/>
          </w:tcPr>
          <w:p w14:paraId="400A2351">
            <w:pPr>
              <w:spacing w:line="360" w:lineRule="auto"/>
              <w:jc w:val="center"/>
              <w:rPr>
                <w:rFonts w:hint="default" w:ascii="Times New Roman" w:hAnsi="Times New Roman" w:eastAsia="宋体" w:cs="Times New Roman"/>
                <w:color w:val="auto"/>
                <w:szCs w:val="21"/>
                <w:highlight w:val="none"/>
              </w:rPr>
            </w:pPr>
          </w:p>
        </w:tc>
      </w:tr>
      <w:tr w14:paraId="50C3E8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3" w:hRule="atLeast"/>
          <w:jc w:val="center"/>
        </w:trPr>
        <w:tc>
          <w:tcPr>
            <w:tcW w:w="986" w:type="dxa"/>
            <w:tcBorders>
              <w:top w:val="single" w:color="auto" w:sz="4" w:space="0"/>
              <w:left w:val="single" w:color="auto" w:sz="4" w:space="0"/>
              <w:bottom w:val="single" w:color="auto" w:sz="4" w:space="0"/>
              <w:right w:val="single" w:color="auto" w:sz="4" w:space="0"/>
            </w:tcBorders>
            <w:shd w:val="clear" w:color="auto" w:fill="auto"/>
          </w:tcPr>
          <w:p w14:paraId="6D4F7EEC">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rPr>
              <w:t>EHS</w:t>
            </w:r>
            <w:r>
              <w:rPr>
                <w:rFonts w:hint="default" w:ascii="Times New Roman" w:hAnsi="Times New Roman" w:eastAsia="宋体" w:cs="Times New Roman"/>
                <w:color w:val="auto"/>
                <w:sz w:val="21"/>
                <w:szCs w:val="21"/>
                <w:highlight w:val="none"/>
                <w:lang w:val="en-US" w:eastAsia="zh-CN"/>
              </w:rPr>
              <w:t>9</w:t>
            </w:r>
          </w:p>
        </w:tc>
        <w:tc>
          <w:tcPr>
            <w:tcW w:w="4438" w:type="dxa"/>
            <w:tcBorders>
              <w:top w:val="single" w:color="auto" w:sz="4" w:space="0"/>
              <w:left w:val="single" w:color="auto" w:sz="4" w:space="0"/>
              <w:bottom w:val="single" w:color="auto" w:sz="4" w:space="0"/>
              <w:right w:val="single" w:color="auto" w:sz="4" w:space="0"/>
            </w:tcBorders>
            <w:shd w:val="clear" w:color="auto" w:fill="auto"/>
          </w:tcPr>
          <w:p w14:paraId="75FEE76C">
            <w:pPr>
              <w:pStyle w:val="25"/>
              <w:widowControl/>
              <w:autoSpaceDE w:val="0"/>
              <w:autoSpaceDN w:val="0"/>
              <w:spacing w:before="15" w:line="360" w:lineRule="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不服从管理、威胁、恐吓、殴打甲方</w:t>
            </w:r>
          </w:p>
          <w:p w14:paraId="4B775EF0">
            <w:pPr>
              <w:pStyle w:val="25"/>
              <w:widowControl/>
              <w:autoSpaceDE w:val="0"/>
              <w:autoSpaceDN w:val="0"/>
              <w:spacing w:before="15" w:line="360" w:lineRule="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管理人员</w:t>
            </w:r>
          </w:p>
        </w:tc>
        <w:tc>
          <w:tcPr>
            <w:tcW w:w="2595" w:type="dxa"/>
            <w:tcBorders>
              <w:top w:val="single" w:color="auto" w:sz="4" w:space="0"/>
              <w:left w:val="single" w:color="auto" w:sz="4" w:space="0"/>
              <w:bottom w:val="single" w:color="auto" w:sz="4" w:space="0"/>
              <w:right w:val="single" w:color="auto" w:sz="4" w:space="0"/>
            </w:tcBorders>
            <w:shd w:val="clear" w:color="auto" w:fill="auto"/>
            <w:vAlign w:val="center"/>
          </w:tcPr>
          <w:p w14:paraId="0110B8CA">
            <w:pPr>
              <w:spacing w:line="360" w:lineRule="auto"/>
              <w:jc w:val="center"/>
              <w:rPr>
                <w:rFonts w:hint="default" w:ascii="Times New Roman" w:hAnsi="Times New Roman" w:eastAsia="宋体" w:cs="Times New Roman"/>
                <w:color w:val="auto"/>
                <w:szCs w:val="21"/>
                <w:highlight w:val="none"/>
                <w:lang w:bidi="ar"/>
              </w:rPr>
            </w:pPr>
            <w:r>
              <w:rPr>
                <w:rFonts w:hint="default" w:ascii="Times New Roman" w:hAnsi="Times New Roman" w:eastAsia="宋体" w:cs="Times New Roman"/>
                <w:color w:val="auto"/>
                <w:szCs w:val="21"/>
                <w:highlight w:val="none"/>
                <w:lang w:bidi="ar"/>
              </w:rPr>
              <w:t>每人每次 2000元</w:t>
            </w:r>
          </w:p>
        </w:tc>
        <w:tc>
          <w:tcPr>
            <w:tcW w:w="1612" w:type="dxa"/>
            <w:tcBorders>
              <w:top w:val="single" w:color="auto" w:sz="4" w:space="0"/>
              <w:left w:val="single" w:color="auto" w:sz="4" w:space="0"/>
              <w:bottom w:val="single" w:color="auto" w:sz="4" w:space="0"/>
              <w:right w:val="single" w:color="auto" w:sz="4" w:space="0"/>
            </w:tcBorders>
            <w:shd w:val="clear" w:color="auto" w:fill="auto"/>
          </w:tcPr>
          <w:p w14:paraId="2FBDADDF">
            <w:pPr>
              <w:spacing w:line="360" w:lineRule="auto"/>
              <w:rPr>
                <w:rFonts w:hint="default" w:ascii="Times New Roman" w:hAnsi="Times New Roman" w:eastAsia="宋体" w:cs="Times New Roman"/>
                <w:color w:val="auto"/>
                <w:szCs w:val="21"/>
                <w:highlight w:val="none"/>
              </w:rPr>
            </w:pPr>
          </w:p>
        </w:tc>
      </w:tr>
      <w:tr w14:paraId="795EC2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1" w:hRule="atLeast"/>
          <w:jc w:val="center"/>
        </w:trPr>
        <w:tc>
          <w:tcPr>
            <w:tcW w:w="986" w:type="dxa"/>
            <w:tcBorders>
              <w:top w:val="single" w:color="auto" w:sz="4" w:space="0"/>
              <w:left w:val="single" w:color="auto" w:sz="4" w:space="0"/>
              <w:bottom w:val="single" w:color="auto" w:sz="4" w:space="0"/>
              <w:right w:val="single" w:color="auto" w:sz="4" w:space="0"/>
            </w:tcBorders>
            <w:shd w:val="clear" w:color="auto" w:fill="auto"/>
            <w:vAlign w:val="center"/>
          </w:tcPr>
          <w:p w14:paraId="6ED5BA32">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rPr>
              <w:t>EHS1</w:t>
            </w:r>
            <w:r>
              <w:rPr>
                <w:rFonts w:hint="default" w:ascii="Times New Roman" w:hAnsi="Times New Roman" w:eastAsia="宋体" w:cs="Times New Roman"/>
                <w:color w:val="auto"/>
                <w:sz w:val="21"/>
                <w:szCs w:val="21"/>
                <w:highlight w:val="none"/>
                <w:lang w:val="en-US" w:eastAsia="zh-CN"/>
              </w:rPr>
              <w:t>0</w:t>
            </w:r>
          </w:p>
        </w:tc>
        <w:tc>
          <w:tcPr>
            <w:tcW w:w="4438" w:type="dxa"/>
            <w:tcBorders>
              <w:top w:val="single" w:color="auto" w:sz="4" w:space="0"/>
              <w:left w:val="single" w:color="auto" w:sz="4" w:space="0"/>
              <w:bottom w:val="single" w:color="auto" w:sz="4" w:space="0"/>
              <w:right w:val="single" w:color="auto" w:sz="4" w:space="0"/>
            </w:tcBorders>
            <w:shd w:val="clear" w:color="auto" w:fill="auto"/>
            <w:vAlign w:val="center"/>
          </w:tcPr>
          <w:p w14:paraId="56BAA944">
            <w:pPr>
              <w:pStyle w:val="25"/>
              <w:widowControl/>
              <w:autoSpaceDE w:val="0"/>
              <w:autoSpaceDN w:val="0"/>
              <w:spacing w:before="15" w:line="360" w:lineRule="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因乙方管理问题造成的责任事故</w:t>
            </w:r>
          </w:p>
        </w:tc>
        <w:tc>
          <w:tcPr>
            <w:tcW w:w="2595" w:type="dxa"/>
            <w:tcBorders>
              <w:top w:val="single" w:color="auto" w:sz="4" w:space="0"/>
              <w:left w:val="single" w:color="auto" w:sz="4" w:space="0"/>
              <w:bottom w:val="single" w:color="auto" w:sz="4" w:space="0"/>
              <w:right w:val="single" w:color="auto" w:sz="4" w:space="0"/>
            </w:tcBorders>
            <w:shd w:val="clear" w:color="auto" w:fill="auto"/>
            <w:vAlign w:val="center"/>
          </w:tcPr>
          <w:p w14:paraId="2B4D25DF">
            <w:pPr>
              <w:pStyle w:val="80"/>
              <w:widowControl/>
              <w:spacing w:line="360" w:lineRule="auto"/>
              <w:ind w:left="0"/>
              <w:jc w:val="center"/>
              <w:rPr>
                <w:rFonts w:hint="default" w:ascii="Times New Roman" w:hAnsi="Times New Roman" w:eastAsia="宋体" w:cs="Times New Roman"/>
                <w:color w:val="auto"/>
                <w:kern w:val="2"/>
                <w:sz w:val="21"/>
                <w:szCs w:val="21"/>
                <w:highlight w:val="none"/>
              </w:rPr>
            </w:pPr>
            <w:r>
              <w:rPr>
                <w:rFonts w:hint="default" w:ascii="Times New Roman" w:hAnsi="Times New Roman" w:eastAsia="宋体" w:cs="Times New Roman"/>
                <w:color w:val="auto"/>
                <w:kern w:val="2"/>
                <w:sz w:val="21"/>
                <w:szCs w:val="21"/>
                <w:highlight w:val="none"/>
              </w:rPr>
              <w:t>每次 200-20000元</w:t>
            </w:r>
          </w:p>
        </w:tc>
        <w:tc>
          <w:tcPr>
            <w:tcW w:w="1612" w:type="dxa"/>
            <w:tcBorders>
              <w:top w:val="single" w:color="auto" w:sz="4" w:space="0"/>
              <w:left w:val="single" w:color="auto" w:sz="4" w:space="0"/>
              <w:bottom w:val="single" w:color="auto" w:sz="4" w:space="0"/>
              <w:right w:val="single" w:color="auto" w:sz="4" w:space="0"/>
            </w:tcBorders>
            <w:shd w:val="clear" w:color="auto" w:fill="auto"/>
          </w:tcPr>
          <w:p w14:paraId="5D6B62A8">
            <w:pPr>
              <w:spacing w:line="360" w:lineRule="auto"/>
              <w:rPr>
                <w:rFonts w:hint="default" w:ascii="Times New Roman" w:hAnsi="Times New Roman" w:eastAsia="宋体" w:cs="Times New Roman"/>
                <w:color w:val="auto"/>
                <w:szCs w:val="21"/>
                <w:highlight w:val="none"/>
              </w:rPr>
            </w:pPr>
            <w:r>
              <w:rPr>
                <w:rFonts w:hint="default" w:ascii="Times New Roman" w:hAnsi="Times New Roman" w:eastAsia="宋体" w:cs="Times New Roman"/>
                <w:color w:val="auto"/>
                <w:szCs w:val="21"/>
                <w:highlight w:val="none"/>
                <w:lang w:bidi="ar"/>
              </w:rPr>
              <w:t>情节严重终止合同，并依法追</w:t>
            </w:r>
            <w:r>
              <w:rPr>
                <w:rFonts w:hint="eastAsia" w:ascii="Times New Roman" w:hAnsi="Times New Roman" w:cs="Times New Roman"/>
                <w:color w:val="auto"/>
                <w:szCs w:val="21"/>
                <w:highlight w:val="none"/>
                <w:lang w:val="en-US" w:eastAsia="zh-CN" w:bidi="ar"/>
              </w:rPr>
              <w:t>究</w:t>
            </w:r>
            <w:r>
              <w:rPr>
                <w:rFonts w:hint="default" w:ascii="Times New Roman" w:hAnsi="Times New Roman" w:eastAsia="宋体" w:cs="Times New Roman"/>
                <w:color w:val="auto"/>
                <w:szCs w:val="21"/>
                <w:highlight w:val="none"/>
                <w:lang w:bidi="ar"/>
              </w:rPr>
              <w:t>乙方责任</w:t>
            </w:r>
          </w:p>
        </w:tc>
      </w:tr>
      <w:tr w14:paraId="368C3E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jc w:val="center"/>
        </w:trPr>
        <w:tc>
          <w:tcPr>
            <w:tcW w:w="986" w:type="dxa"/>
            <w:tcBorders>
              <w:top w:val="single" w:color="auto" w:sz="4" w:space="0"/>
              <w:left w:val="single" w:color="auto" w:sz="4" w:space="0"/>
              <w:bottom w:val="single" w:color="auto" w:sz="4" w:space="0"/>
              <w:right w:val="single" w:color="auto" w:sz="4" w:space="0"/>
            </w:tcBorders>
            <w:shd w:val="clear" w:color="auto" w:fill="auto"/>
            <w:vAlign w:val="center"/>
          </w:tcPr>
          <w:p w14:paraId="5D1FE540">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rPr>
              <w:t>EHS1</w:t>
            </w:r>
            <w:r>
              <w:rPr>
                <w:rFonts w:hint="default" w:ascii="Times New Roman" w:hAnsi="Times New Roman" w:eastAsia="宋体" w:cs="Times New Roman"/>
                <w:color w:val="auto"/>
                <w:sz w:val="21"/>
                <w:szCs w:val="21"/>
                <w:highlight w:val="none"/>
                <w:lang w:val="en-US" w:eastAsia="zh-CN"/>
              </w:rPr>
              <w:t>1</w:t>
            </w:r>
          </w:p>
        </w:tc>
        <w:tc>
          <w:tcPr>
            <w:tcW w:w="4438" w:type="dxa"/>
            <w:tcBorders>
              <w:top w:val="single" w:color="auto" w:sz="4" w:space="0"/>
              <w:left w:val="single" w:color="auto" w:sz="4" w:space="0"/>
              <w:bottom w:val="single" w:color="auto" w:sz="4" w:space="0"/>
              <w:right w:val="single" w:color="auto" w:sz="4" w:space="0"/>
            </w:tcBorders>
            <w:shd w:val="clear" w:color="auto" w:fill="auto"/>
            <w:vAlign w:val="center"/>
          </w:tcPr>
          <w:p w14:paraId="0930253D">
            <w:pPr>
              <w:pStyle w:val="25"/>
              <w:widowControl/>
              <w:autoSpaceDE w:val="0"/>
              <w:autoSpaceDN w:val="0"/>
              <w:spacing w:before="15" w:line="360" w:lineRule="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未经甲方同意擅自动用使用甲方设备设施工具</w:t>
            </w:r>
          </w:p>
        </w:tc>
        <w:tc>
          <w:tcPr>
            <w:tcW w:w="2595" w:type="dxa"/>
            <w:tcBorders>
              <w:top w:val="single" w:color="auto" w:sz="4" w:space="0"/>
              <w:left w:val="single" w:color="auto" w:sz="4" w:space="0"/>
              <w:bottom w:val="single" w:color="auto" w:sz="4" w:space="0"/>
              <w:right w:val="single" w:color="auto" w:sz="4" w:space="0"/>
            </w:tcBorders>
            <w:shd w:val="clear" w:color="auto" w:fill="auto"/>
            <w:vAlign w:val="center"/>
          </w:tcPr>
          <w:p w14:paraId="2CDCAC48">
            <w:pPr>
              <w:spacing w:line="360" w:lineRule="auto"/>
              <w:jc w:val="center"/>
              <w:rPr>
                <w:rFonts w:hint="default" w:ascii="Times New Roman" w:hAnsi="Times New Roman" w:eastAsia="宋体" w:cs="Times New Roman"/>
                <w:color w:val="auto"/>
                <w:szCs w:val="21"/>
                <w:highlight w:val="none"/>
                <w:lang w:bidi="ar"/>
              </w:rPr>
            </w:pPr>
            <w:r>
              <w:rPr>
                <w:rFonts w:hint="default" w:ascii="Times New Roman" w:hAnsi="Times New Roman" w:eastAsia="宋体" w:cs="Times New Roman"/>
                <w:color w:val="auto"/>
                <w:szCs w:val="21"/>
                <w:highlight w:val="none"/>
                <w:lang w:bidi="ar"/>
              </w:rPr>
              <w:t>每次 200</w:t>
            </w:r>
            <w:r>
              <w:rPr>
                <w:rFonts w:hint="eastAsia" w:cs="Times New Roman"/>
                <w:color w:val="auto"/>
                <w:szCs w:val="21"/>
                <w:highlight w:val="none"/>
                <w:lang w:val="en-US" w:eastAsia="zh-CN" w:bidi="ar"/>
              </w:rPr>
              <w:t>-2000</w:t>
            </w:r>
            <w:r>
              <w:rPr>
                <w:rFonts w:hint="default" w:ascii="Times New Roman" w:hAnsi="Times New Roman" w:eastAsia="宋体" w:cs="Times New Roman"/>
                <w:color w:val="auto"/>
                <w:szCs w:val="21"/>
                <w:highlight w:val="none"/>
                <w:lang w:bidi="ar"/>
              </w:rPr>
              <w:t>元</w:t>
            </w:r>
          </w:p>
        </w:tc>
        <w:tc>
          <w:tcPr>
            <w:tcW w:w="1612" w:type="dxa"/>
            <w:tcBorders>
              <w:top w:val="single" w:color="auto" w:sz="4" w:space="0"/>
              <w:left w:val="single" w:color="auto" w:sz="4" w:space="0"/>
              <w:bottom w:val="single" w:color="auto" w:sz="4" w:space="0"/>
              <w:right w:val="single" w:color="auto" w:sz="4" w:space="0"/>
            </w:tcBorders>
            <w:shd w:val="clear" w:color="auto" w:fill="auto"/>
          </w:tcPr>
          <w:p w14:paraId="50885C3F">
            <w:pPr>
              <w:spacing w:line="360" w:lineRule="auto"/>
              <w:rPr>
                <w:rFonts w:hint="default" w:ascii="Times New Roman" w:hAnsi="Times New Roman" w:eastAsia="宋体" w:cs="Times New Roman"/>
                <w:color w:val="auto"/>
                <w:szCs w:val="21"/>
                <w:highlight w:val="none"/>
              </w:rPr>
            </w:pPr>
          </w:p>
        </w:tc>
      </w:tr>
      <w:tr w14:paraId="611C2D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jc w:val="center"/>
        </w:trPr>
        <w:tc>
          <w:tcPr>
            <w:tcW w:w="986" w:type="dxa"/>
            <w:tcBorders>
              <w:top w:val="single" w:color="auto" w:sz="4" w:space="0"/>
              <w:left w:val="single" w:color="auto" w:sz="4" w:space="0"/>
              <w:bottom w:val="single" w:color="auto" w:sz="4" w:space="0"/>
              <w:right w:val="single" w:color="auto" w:sz="4" w:space="0"/>
            </w:tcBorders>
            <w:shd w:val="clear" w:color="auto" w:fill="auto"/>
            <w:vAlign w:val="center"/>
          </w:tcPr>
          <w:p w14:paraId="319B368A">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rPr>
              <w:t>EHS1</w:t>
            </w:r>
            <w:r>
              <w:rPr>
                <w:rFonts w:hint="default" w:ascii="Times New Roman" w:hAnsi="Times New Roman" w:eastAsia="宋体" w:cs="Times New Roman"/>
                <w:color w:val="auto"/>
                <w:sz w:val="21"/>
                <w:szCs w:val="21"/>
                <w:highlight w:val="none"/>
                <w:lang w:val="en-US" w:eastAsia="zh-CN"/>
              </w:rPr>
              <w:t>2</w:t>
            </w:r>
          </w:p>
        </w:tc>
        <w:tc>
          <w:tcPr>
            <w:tcW w:w="4438" w:type="dxa"/>
            <w:tcBorders>
              <w:top w:val="single" w:color="auto" w:sz="4" w:space="0"/>
              <w:left w:val="single" w:color="auto" w:sz="4" w:space="0"/>
              <w:bottom w:val="single" w:color="auto" w:sz="4" w:space="0"/>
              <w:right w:val="single" w:color="auto" w:sz="4" w:space="0"/>
            </w:tcBorders>
            <w:shd w:val="clear" w:color="auto" w:fill="auto"/>
            <w:vAlign w:val="center"/>
          </w:tcPr>
          <w:p w14:paraId="738194FF">
            <w:pPr>
              <w:pStyle w:val="25"/>
              <w:widowControl/>
              <w:autoSpaceDE w:val="0"/>
              <w:autoSpaceDN w:val="0"/>
              <w:spacing w:before="15" w:line="360" w:lineRule="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其他违反安全卫生职业健康安全事项，但非本罚则列出者，酌情处罚</w:t>
            </w:r>
          </w:p>
        </w:tc>
        <w:tc>
          <w:tcPr>
            <w:tcW w:w="2595" w:type="dxa"/>
            <w:tcBorders>
              <w:top w:val="single" w:color="auto" w:sz="4" w:space="0"/>
              <w:left w:val="single" w:color="auto" w:sz="4" w:space="0"/>
              <w:bottom w:val="single" w:color="auto" w:sz="4" w:space="0"/>
              <w:right w:val="single" w:color="auto" w:sz="4" w:space="0"/>
            </w:tcBorders>
            <w:shd w:val="clear" w:color="auto" w:fill="auto"/>
            <w:vAlign w:val="center"/>
          </w:tcPr>
          <w:p w14:paraId="444A5B3D">
            <w:pPr>
              <w:spacing w:line="360" w:lineRule="auto"/>
              <w:jc w:val="center"/>
              <w:rPr>
                <w:rFonts w:hint="default" w:ascii="Times New Roman" w:hAnsi="Times New Roman" w:eastAsia="宋体" w:cs="Times New Roman"/>
                <w:color w:val="auto"/>
                <w:szCs w:val="21"/>
                <w:highlight w:val="none"/>
                <w:lang w:val="en-US" w:eastAsia="zh-CN" w:bidi="ar"/>
              </w:rPr>
            </w:pPr>
            <w:r>
              <w:rPr>
                <w:rFonts w:hint="default" w:ascii="Times New Roman" w:hAnsi="Times New Roman" w:eastAsia="宋体" w:cs="Times New Roman"/>
                <w:color w:val="auto"/>
                <w:szCs w:val="21"/>
                <w:highlight w:val="none"/>
                <w:lang w:val="en-US" w:eastAsia="zh-CN" w:bidi="ar"/>
              </w:rPr>
              <w:t>每处每次200-100000元</w:t>
            </w:r>
          </w:p>
        </w:tc>
        <w:tc>
          <w:tcPr>
            <w:tcW w:w="1612" w:type="dxa"/>
            <w:tcBorders>
              <w:top w:val="single" w:color="auto" w:sz="4" w:space="0"/>
              <w:left w:val="single" w:color="auto" w:sz="4" w:space="0"/>
              <w:bottom w:val="single" w:color="auto" w:sz="4" w:space="0"/>
              <w:right w:val="single" w:color="auto" w:sz="4" w:space="0"/>
            </w:tcBorders>
            <w:shd w:val="clear" w:color="auto" w:fill="auto"/>
          </w:tcPr>
          <w:p w14:paraId="031B2579">
            <w:pPr>
              <w:spacing w:line="360" w:lineRule="auto"/>
              <w:rPr>
                <w:rFonts w:hint="default" w:ascii="Times New Roman" w:hAnsi="Times New Roman" w:eastAsia="宋体" w:cs="Times New Roman"/>
                <w:color w:val="auto"/>
                <w:szCs w:val="21"/>
                <w:highlight w:val="none"/>
              </w:rPr>
            </w:pPr>
          </w:p>
        </w:tc>
      </w:tr>
    </w:tbl>
    <w:p w14:paraId="24A90C88">
      <w:pPr>
        <w:overflowPunct w:val="0"/>
        <w:autoSpaceDE w:val="0"/>
        <w:autoSpaceDN w:val="0"/>
        <w:adjustRightInd w:val="0"/>
        <w:spacing w:line="48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4.7.2 文明</w:t>
      </w:r>
      <w:r>
        <w:rPr>
          <w:rFonts w:hint="eastAsia" w:cs="Times New Roman"/>
          <w:bCs/>
          <w:color w:val="auto"/>
          <w:sz w:val="21"/>
          <w:szCs w:val="21"/>
          <w:highlight w:val="none"/>
          <w:lang w:val="en-US" w:eastAsia="zh-CN"/>
        </w:rPr>
        <w:t>作业</w:t>
      </w:r>
      <w:r>
        <w:rPr>
          <w:rFonts w:hint="default" w:ascii="Times New Roman" w:hAnsi="Times New Roman" w:eastAsia="宋体" w:cs="Times New Roman"/>
          <w:bCs/>
          <w:color w:val="auto"/>
          <w:sz w:val="21"/>
          <w:szCs w:val="21"/>
          <w:highlight w:val="none"/>
        </w:rPr>
        <w:t>管理</w:t>
      </w:r>
    </w:p>
    <w:tbl>
      <w:tblPr>
        <w:tblStyle w:val="30"/>
        <w:tblW w:w="959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33"/>
        <w:gridCol w:w="4459"/>
        <w:gridCol w:w="2595"/>
        <w:gridCol w:w="1611"/>
      </w:tblGrid>
      <w:tr w14:paraId="6F1853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0" w:hRule="atLeast"/>
          <w:jc w:val="center"/>
        </w:trPr>
        <w:tc>
          <w:tcPr>
            <w:tcW w:w="933" w:type="dxa"/>
            <w:tcBorders>
              <w:top w:val="single" w:color="000000" w:sz="4" w:space="0"/>
              <w:left w:val="single" w:color="000000" w:sz="4" w:space="0"/>
              <w:bottom w:val="single" w:color="000000" w:sz="4" w:space="0"/>
              <w:right w:val="single" w:color="000000" w:sz="4" w:space="0"/>
            </w:tcBorders>
            <w:shd w:val="clear" w:color="auto" w:fill="auto"/>
          </w:tcPr>
          <w:p w14:paraId="1DF3BCE4">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 xml:space="preserve">序号 </w:t>
            </w:r>
          </w:p>
        </w:tc>
        <w:tc>
          <w:tcPr>
            <w:tcW w:w="4459" w:type="dxa"/>
            <w:tcBorders>
              <w:top w:val="single" w:color="000000" w:sz="4" w:space="0"/>
              <w:left w:val="single" w:color="000000" w:sz="4" w:space="0"/>
              <w:bottom w:val="single" w:color="000000" w:sz="4" w:space="0"/>
              <w:right w:val="single" w:color="000000" w:sz="4" w:space="0"/>
            </w:tcBorders>
            <w:shd w:val="clear" w:color="auto" w:fill="auto"/>
          </w:tcPr>
          <w:p w14:paraId="2D311F3F">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 xml:space="preserve">违章内容 </w:t>
            </w:r>
          </w:p>
        </w:tc>
        <w:tc>
          <w:tcPr>
            <w:tcW w:w="2595" w:type="dxa"/>
            <w:tcBorders>
              <w:top w:val="single" w:color="000000" w:sz="4" w:space="0"/>
              <w:left w:val="single" w:color="000000" w:sz="4" w:space="0"/>
              <w:bottom w:val="single" w:color="000000" w:sz="4" w:space="0"/>
              <w:right w:val="single" w:color="000000" w:sz="4" w:space="0"/>
            </w:tcBorders>
            <w:shd w:val="clear" w:color="auto" w:fill="auto"/>
          </w:tcPr>
          <w:p w14:paraId="79098EC5">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 xml:space="preserve">罚款金额 </w:t>
            </w:r>
          </w:p>
        </w:tc>
        <w:tc>
          <w:tcPr>
            <w:tcW w:w="1611" w:type="dxa"/>
            <w:tcBorders>
              <w:top w:val="single" w:color="000000" w:sz="4" w:space="0"/>
              <w:left w:val="single" w:color="000000" w:sz="4" w:space="0"/>
              <w:bottom w:val="single" w:color="000000" w:sz="4" w:space="0"/>
              <w:right w:val="single" w:color="000000" w:sz="4" w:space="0"/>
            </w:tcBorders>
            <w:shd w:val="clear" w:color="auto" w:fill="auto"/>
          </w:tcPr>
          <w:p w14:paraId="5C65CE11">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 xml:space="preserve">备注 </w:t>
            </w:r>
          </w:p>
        </w:tc>
      </w:tr>
      <w:tr w14:paraId="0A9D21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0" w:hRule="atLeast"/>
          <w:jc w:val="center"/>
        </w:trPr>
        <w:tc>
          <w:tcPr>
            <w:tcW w:w="933" w:type="dxa"/>
            <w:tcBorders>
              <w:top w:val="single" w:color="000000" w:sz="4" w:space="0"/>
              <w:left w:val="single" w:color="000000" w:sz="4" w:space="0"/>
              <w:bottom w:val="single" w:color="000000" w:sz="4" w:space="0"/>
              <w:right w:val="single" w:color="000000" w:sz="4" w:space="0"/>
            </w:tcBorders>
            <w:shd w:val="clear" w:color="auto" w:fill="auto"/>
          </w:tcPr>
          <w:p w14:paraId="3A474800">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lang w:bidi="ar"/>
              </w:rPr>
            </w:pPr>
            <w:r>
              <w:rPr>
                <w:rFonts w:hint="default" w:ascii="Times New Roman" w:hAnsi="Times New Roman" w:eastAsia="宋体" w:cs="Times New Roman"/>
                <w:color w:val="auto"/>
                <w:sz w:val="21"/>
                <w:szCs w:val="21"/>
                <w:highlight w:val="none"/>
                <w:lang w:bidi="ar"/>
              </w:rPr>
              <w:t>CC01</w:t>
            </w:r>
          </w:p>
        </w:tc>
        <w:tc>
          <w:tcPr>
            <w:tcW w:w="4459" w:type="dxa"/>
            <w:tcBorders>
              <w:top w:val="single" w:color="000000" w:sz="4" w:space="0"/>
              <w:left w:val="single" w:color="000000" w:sz="4" w:space="0"/>
              <w:bottom w:val="single" w:color="000000" w:sz="4" w:space="0"/>
              <w:right w:val="single" w:color="000000" w:sz="4" w:space="0"/>
            </w:tcBorders>
            <w:shd w:val="clear" w:color="auto" w:fill="auto"/>
            <w:vAlign w:val="top"/>
          </w:tcPr>
          <w:p w14:paraId="5B374E38">
            <w:pPr>
              <w:pStyle w:val="25"/>
              <w:widowControl/>
              <w:autoSpaceDE w:val="0"/>
              <w:autoSpaceDN w:val="0"/>
              <w:spacing w:before="15" w:line="360" w:lineRule="auto"/>
              <w:ind w:left="108" w:leftChars="0"/>
              <w:jc w:val="left"/>
              <w:rPr>
                <w:rFonts w:hint="default" w:ascii="Times New Roman" w:hAnsi="Times New Roman" w:eastAsia="宋体" w:cs="Times New Roman"/>
                <w:color w:val="auto"/>
                <w:kern w:val="2"/>
                <w:sz w:val="21"/>
                <w:szCs w:val="21"/>
                <w:highlight w:val="none"/>
                <w:lang w:val="en-US" w:eastAsia="zh-CN" w:bidi="ar"/>
              </w:rPr>
            </w:pPr>
            <w:r>
              <w:rPr>
                <w:rFonts w:hint="default" w:ascii="Times New Roman" w:hAnsi="Times New Roman" w:eastAsia="宋体" w:cs="Times New Roman"/>
                <w:bCs/>
                <w:color w:val="auto"/>
                <w:sz w:val="21"/>
                <w:szCs w:val="21"/>
                <w:highlight w:val="none"/>
              </w:rPr>
              <w:t>进入</w:t>
            </w:r>
            <w:r>
              <w:rPr>
                <w:rFonts w:hint="default" w:ascii="Times New Roman" w:hAnsi="Times New Roman" w:cs="Times New Roman"/>
                <w:bCs/>
                <w:color w:val="auto"/>
                <w:sz w:val="21"/>
                <w:szCs w:val="21"/>
                <w:highlight w:val="none"/>
                <w:lang w:val="en-US" w:eastAsia="zh-CN"/>
              </w:rPr>
              <w:t>甲方生产区域</w:t>
            </w:r>
            <w:r>
              <w:rPr>
                <w:rFonts w:hint="default" w:ascii="Times New Roman" w:hAnsi="Times New Roman" w:eastAsia="宋体" w:cs="Times New Roman"/>
                <w:bCs/>
                <w:color w:val="auto"/>
                <w:sz w:val="21"/>
                <w:szCs w:val="21"/>
                <w:highlight w:val="none"/>
              </w:rPr>
              <w:t>后未佩戴安全帽或未系帽带</w:t>
            </w:r>
            <w:r>
              <w:rPr>
                <w:rFonts w:hint="eastAsia" w:ascii="Times New Roman" w:hAnsi="Times New Roman" w:cs="Times New Roman"/>
                <w:bCs/>
                <w:color w:val="auto"/>
                <w:sz w:val="21"/>
                <w:szCs w:val="21"/>
                <w:highlight w:val="none"/>
                <w:lang w:eastAsia="zh-CN"/>
              </w:rPr>
              <w:t>、</w:t>
            </w:r>
            <w:r>
              <w:rPr>
                <w:rFonts w:hint="eastAsia" w:ascii="Times New Roman" w:hAnsi="Times New Roman" w:cs="Times New Roman"/>
                <w:bCs/>
                <w:color w:val="auto"/>
                <w:sz w:val="21"/>
                <w:szCs w:val="21"/>
                <w:highlight w:val="none"/>
                <w:lang w:val="en-US" w:eastAsia="zh-CN"/>
              </w:rPr>
              <w:t>未穿着反光背心</w:t>
            </w:r>
          </w:p>
        </w:tc>
        <w:tc>
          <w:tcPr>
            <w:tcW w:w="2595" w:type="dxa"/>
            <w:tcBorders>
              <w:top w:val="single" w:color="000000" w:sz="4" w:space="0"/>
              <w:left w:val="single" w:color="000000" w:sz="4" w:space="0"/>
              <w:bottom w:val="single" w:color="000000" w:sz="4" w:space="0"/>
              <w:right w:val="single" w:color="000000" w:sz="4" w:space="0"/>
            </w:tcBorders>
            <w:shd w:val="clear" w:color="auto" w:fill="auto"/>
            <w:vAlign w:val="top"/>
          </w:tcPr>
          <w:p w14:paraId="50886E29">
            <w:pPr>
              <w:pStyle w:val="25"/>
              <w:widowControl/>
              <w:autoSpaceDE w:val="0"/>
              <w:autoSpaceDN w:val="0"/>
              <w:spacing w:before="15" w:line="360" w:lineRule="auto"/>
              <w:ind w:left="108" w:leftChars="0"/>
              <w:jc w:val="center"/>
              <w:rPr>
                <w:rFonts w:hint="default" w:ascii="Times New Roman" w:hAnsi="Times New Roman" w:eastAsia="宋体" w:cs="Times New Roman"/>
                <w:color w:val="auto"/>
                <w:kern w:val="2"/>
                <w:sz w:val="21"/>
                <w:szCs w:val="21"/>
                <w:highlight w:val="none"/>
                <w:lang w:val="en-US" w:eastAsia="zh-CN" w:bidi="ar"/>
              </w:rPr>
            </w:pPr>
            <w:r>
              <w:rPr>
                <w:rFonts w:hint="default" w:ascii="Times New Roman" w:hAnsi="Times New Roman" w:eastAsia="宋体" w:cs="Times New Roman"/>
                <w:color w:val="auto"/>
                <w:sz w:val="21"/>
                <w:szCs w:val="21"/>
                <w:highlight w:val="none"/>
                <w:lang w:bidi="ar"/>
              </w:rPr>
              <w:t xml:space="preserve">每人每次 200 元 </w:t>
            </w:r>
          </w:p>
        </w:tc>
        <w:tc>
          <w:tcPr>
            <w:tcW w:w="1611" w:type="dxa"/>
            <w:vMerge w:val="restart"/>
            <w:tcBorders>
              <w:top w:val="single" w:color="000000" w:sz="4" w:space="0"/>
              <w:left w:val="single" w:color="000000" w:sz="4" w:space="0"/>
              <w:right w:val="single" w:color="000000" w:sz="4" w:space="0"/>
            </w:tcBorders>
            <w:shd w:val="clear" w:color="auto" w:fill="auto"/>
            <w:vAlign w:val="center"/>
          </w:tcPr>
          <w:p w14:paraId="012EC023">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eastAsia" w:ascii="Times New Roman" w:hAnsi="Times New Roman" w:cs="Times New Roman"/>
                <w:color w:val="auto"/>
                <w:sz w:val="21"/>
                <w:szCs w:val="21"/>
                <w:highlight w:val="none"/>
                <w:lang w:val="en-US" w:eastAsia="zh-CN" w:bidi="ar"/>
              </w:rPr>
              <w:t>要求立即改正或劝离厂区</w:t>
            </w:r>
          </w:p>
        </w:tc>
      </w:tr>
      <w:tr w14:paraId="66152D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0" w:hRule="atLeast"/>
          <w:jc w:val="center"/>
        </w:trPr>
        <w:tc>
          <w:tcPr>
            <w:tcW w:w="933" w:type="dxa"/>
            <w:tcBorders>
              <w:top w:val="single" w:color="000000" w:sz="4" w:space="0"/>
              <w:left w:val="single" w:color="000000" w:sz="4" w:space="0"/>
              <w:bottom w:val="single" w:color="000000" w:sz="4" w:space="0"/>
              <w:right w:val="single" w:color="000000" w:sz="4" w:space="0"/>
            </w:tcBorders>
            <w:shd w:val="clear" w:color="auto" w:fill="auto"/>
          </w:tcPr>
          <w:p w14:paraId="353B466D">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CC0</w:t>
            </w:r>
            <w:r>
              <w:rPr>
                <w:rFonts w:hint="default" w:ascii="Times New Roman" w:hAnsi="Times New Roman" w:eastAsia="宋体" w:cs="Times New Roman"/>
                <w:color w:val="auto"/>
                <w:sz w:val="21"/>
                <w:szCs w:val="21"/>
                <w:highlight w:val="none"/>
                <w:lang w:val="en-US" w:eastAsia="zh-CN" w:bidi="ar"/>
              </w:rPr>
              <w:t>2</w:t>
            </w:r>
            <w:r>
              <w:rPr>
                <w:rFonts w:hint="default" w:ascii="Times New Roman" w:hAnsi="Times New Roman" w:eastAsia="宋体" w:cs="Times New Roman"/>
                <w:color w:val="auto"/>
                <w:sz w:val="21"/>
                <w:szCs w:val="21"/>
                <w:highlight w:val="none"/>
                <w:lang w:bidi="ar"/>
              </w:rPr>
              <w:t xml:space="preserve"> </w:t>
            </w:r>
          </w:p>
        </w:tc>
        <w:tc>
          <w:tcPr>
            <w:tcW w:w="4459" w:type="dxa"/>
            <w:tcBorders>
              <w:top w:val="single" w:color="000000" w:sz="4" w:space="0"/>
              <w:left w:val="single" w:color="000000" w:sz="4" w:space="0"/>
              <w:bottom w:val="single" w:color="000000" w:sz="4" w:space="0"/>
              <w:right w:val="single" w:color="000000" w:sz="4" w:space="0"/>
            </w:tcBorders>
            <w:shd w:val="clear" w:color="auto" w:fill="auto"/>
          </w:tcPr>
          <w:p w14:paraId="10F83219">
            <w:pPr>
              <w:pStyle w:val="25"/>
              <w:widowControl/>
              <w:autoSpaceDE w:val="0"/>
              <w:autoSpaceDN w:val="0"/>
              <w:spacing w:before="15" w:line="360" w:lineRule="auto"/>
              <w:ind w:left="108"/>
              <w:jc w:val="left"/>
              <w:rPr>
                <w:rFonts w:hint="default" w:ascii="Times New Roman" w:hAnsi="Times New Roman" w:eastAsia="宋体" w:cs="Times New Roman"/>
                <w:color w:val="auto"/>
                <w:sz w:val="21"/>
                <w:szCs w:val="21"/>
                <w:highlight w:val="none"/>
                <w:lang w:bidi="ar"/>
              </w:rPr>
            </w:pPr>
            <w:r>
              <w:rPr>
                <w:rFonts w:hint="default" w:ascii="Times New Roman" w:hAnsi="Times New Roman" w:eastAsia="宋体" w:cs="Times New Roman"/>
                <w:color w:val="auto"/>
                <w:sz w:val="21"/>
                <w:szCs w:val="21"/>
                <w:highlight w:val="none"/>
                <w:lang w:bidi="ar"/>
              </w:rPr>
              <w:t>进入</w:t>
            </w:r>
            <w:r>
              <w:rPr>
                <w:rFonts w:hint="eastAsia" w:ascii="Times New Roman" w:hAnsi="Times New Roman" w:cs="Times New Roman"/>
                <w:color w:val="auto"/>
                <w:sz w:val="21"/>
                <w:szCs w:val="21"/>
                <w:highlight w:val="none"/>
                <w:lang w:val="en-US" w:eastAsia="zh-CN" w:bidi="ar"/>
              </w:rPr>
              <w:t>生产区区域</w:t>
            </w:r>
            <w:r>
              <w:rPr>
                <w:rFonts w:hint="default" w:ascii="Times New Roman" w:hAnsi="Times New Roman" w:eastAsia="宋体" w:cs="Times New Roman"/>
                <w:color w:val="auto"/>
                <w:sz w:val="21"/>
                <w:szCs w:val="21"/>
                <w:highlight w:val="none"/>
                <w:lang w:bidi="ar"/>
              </w:rPr>
              <w:t>内赤膊、穿背心、拖鞋、短裤</w:t>
            </w:r>
          </w:p>
          <w:p w14:paraId="678AE16E">
            <w:pPr>
              <w:pStyle w:val="25"/>
              <w:widowControl/>
              <w:autoSpaceDE w:val="0"/>
              <w:autoSpaceDN w:val="0"/>
              <w:spacing w:before="15" w:line="360" w:lineRule="auto"/>
              <w:ind w:left="108"/>
              <w:jc w:val="left"/>
              <w:rPr>
                <w:rFonts w:hint="default" w:ascii="Times New Roman" w:hAnsi="Times New Roman" w:eastAsia="宋体" w:cs="Times New Roman"/>
                <w:color w:val="auto"/>
                <w:sz w:val="21"/>
                <w:szCs w:val="21"/>
                <w:highlight w:val="none"/>
                <w:lang w:val="en-US" w:eastAsia="zh-CN" w:bidi="ar"/>
              </w:rPr>
            </w:pPr>
            <w:r>
              <w:rPr>
                <w:rFonts w:hint="default" w:ascii="Times New Roman" w:hAnsi="Times New Roman" w:eastAsia="宋体" w:cs="Times New Roman"/>
                <w:color w:val="auto"/>
                <w:sz w:val="21"/>
                <w:szCs w:val="21"/>
                <w:highlight w:val="none"/>
                <w:lang w:val="en-US" w:eastAsia="zh-CN" w:bidi="ar"/>
              </w:rPr>
              <w:t>裙子</w:t>
            </w:r>
          </w:p>
        </w:tc>
        <w:tc>
          <w:tcPr>
            <w:tcW w:w="2595" w:type="dxa"/>
            <w:tcBorders>
              <w:top w:val="single" w:color="000000" w:sz="4" w:space="0"/>
              <w:left w:val="single" w:color="000000" w:sz="4" w:space="0"/>
              <w:bottom w:val="single" w:color="000000" w:sz="4" w:space="0"/>
              <w:right w:val="single" w:color="000000" w:sz="4" w:space="0"/>
            </w:tcBorders>
            <w:shd w:val="clear" w:color="auto" w:fill="auto"/>
          </w:tcPr>
          <w:p w14:paraId="36EA7D09">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 xml:space="preserve">每人每次 200 元 </w:t>
            </w:r>
          </w:p>
        </w:tc>
        <w:tc>
          <w:tcPr>
            <w:tcW w:w="1611" w:type="dxa"/>
            <w:vMerge w:val="continue"/>
            <w:tcBorders>
              <w:left w:val="single" w:color="000000" w:sz="4" w:space="0"/>
              <w:right w:val="single" w:color="000000" w:sz="4" w:space="0"/>
            </w:tcBorders>
            <w:shd w:val="clear" w:color="auto" w:fill="auto"/>
          </w:tcPr>
          <w:p w14:paraId="19D549FB">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p>
        </w:tc>
      </w:tr>
      <w:tr w14:paraId="14B645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70" w:hRule="atLeast"/>
          <w:jc w:val="center"/>
        </w:trPr>
        <w:tc>
          <w:tcPr>
            <w:tcW w:w="9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FBC172">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bidi="ar"/>
              </w:rPr>
              <w:t>CC0</w:t>
            </w:r>
            <w:r>
              <w:rPr>
                <w:rFonts w:hint="default" w:ascii="Times New Roman" w:hAnsi="Times New Roman" w:eastAsia="宋体" w:cs="Times New Roman"/>
                <w:color w:val="auto"/>
                <w:sz w:val="21"/>
                <w:szCs w:val="21"/>
                <w:highlight w:val="none"/>
                <w:lang w:val="en-US" w:eastAsia="zh-CN" w:bidi="ar"/>
              </w:rPr>
              <w:t>3</w:t>
            </w:r>
          </w:p>
        </w:tc>
        <w:tc>
          <w:tcPr>
            <w:tcW w:w="4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B87801">
            <w:pPr>
              <w:pStyle w:val="25"/>
              <w:widowControl/>
              <w:autoSpaceDE w:val="0"/>
              <w:autoSpaceDN w:val="0"/>
              <w:spacing w:before="15" w:line="360" w:lineRule="auto"/>
              <w:ind w:left="108"/>
              <w:jc w:val="left"/>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未在规定区域抽烟</w:t>
            </w:r>
          </w:p>
        </w:tc>
        <w:tc>
          <w:tcPr>
            <w:tcW w:w="2595" w:type="dxa"/>
            <w:tcBorders>
              <w:top w:val="single" w:color="000000" w:sz="4" w:space="0"/>
              <w:left w:val="single" w:color="000000" w:sz="4" w:space="0"/>
              <w:bottom w:val="single" w:color="000000" w:sz="4" w:space="0"/>
              <w:right w:val="single" w:color="000000" w:sz="4" w:space="0"/>
            </w:tcBorders>
            <w:shd w:val="clear" w:color="auto" w:fill="auto"/>
          </w:tcPr>
          <w:p w14:paraId="2E497E30">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 xml:space="preserve">每人每次 500 元 </w:t>
            </w:r>
          </w:p>
          <w:p w14:paraId="6AA600FF">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 xml:space="preserve">危险区域 1000 元 </w:t>
            </w:r>
          </w:p>
        </w:tc>
        <w:tc>
          <w:tcPr>
            <w:tcW w:w="1611" w:type="dxa"/>
            <w:vMerge w:val="continue"/>
            <w:tcBorders>
              <w:left w:val="single" w:color="000000" w:sz="4" w:space="0"/>
              <w:right w:val="single" w:color="000000" w:sz="4" w:space="0"/>
            </w:tcBorders>
            <w:shd w:val="clear" w:color="auto" w:fill="auto"/>
          </w:tcPr>
          <w:p w14:paraId="09A11CF4">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p>
        </w:tc>
      </w:tr>
      <w:tr w14:paraId="2DE7C7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0" w:hRule="atLeast"/>
          <w:jc w:val="center"/>
        </w:trPr>
        <w:tc>
          <w:tcPr>
            <w:tcW w:w="933" w:type="dxa"/>
            <w:tcBorders>
              <w:top w:val="single" w:color="000000" w:sz="4" w:space="0"/>
              <w:left w:val="single" w:color="000000" w:sz="4" w:space="0"/>
              <w:bottom w:val="single" w:color="000000" w:sz="4" w:space="0"/>
              <w:right w:val="single" w:color="000000" w:sz="4" w:space="0"/>
            </w:tcBorders>
            <w:shd w:val="clear" w:color="auto" w:fill="auto"/>
          </w:tcPr>
          <w:p w14:paraId="2F3FD5C5">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lang w:val="en-US" w:eastAsia="zh-CN" w:bidi="ar"/>
              </w:rPr>
            </w:pPr>
            <w:r>
              <w:rPr>
                <w:rFonts w:hint="default" w:ascii="Times New Roman" w:hAnsi="Times New Roman" w:eastAsia="宋体" w:cs="Times New Roman"/>
                <w:color w:val="auto"/>
                <w:sz w:val="21"/>
                <w:szCs w:val="21"/>
                <w:highlight w:val="none"/>
                <w:lang w:bidi="ar"/>
              </w:rPr>
              <w:t>CC0</w:t>
            </w:r>
            <w:r>
              <w:rPr>
                <w:rFonts w:hint="default" w:ascii="Times New Roman" w:hAnsi="Times New Roman" w:eastAsia="宋体" w:cs="Times New Roman"/>
                <w:color w:val="auto"/>
                <w:sz w:val="21"/>
                <w:szCs w:val="21"/>
                <w:highlight w:val="none"/>
                <w:lang w:val="en-US" w:eastAsia="zh-CN" w:bidi="ar"/>
              </w:rPr>
              <w:t>4</w:t>
            </w:r>
          </w:p>
        </w:tc>
        <w:tc>
          <w:tcPr>
            <w:tcW w:w="4459" w:type="dxa"/>
            <w:tcBorders>
              <w:top w:val="single" w:color="000000" w:sz="4" w:space="0"/>
              <w:left w:val="single" w:color="000000" w:sz="4" w:space="0"/>
              <w:bottom w:val="single" w:color="000000" w:sz="4" w:space="0"/>
              <w:right w:val="single" w:color="000000" w:sz="4" w:space="0"/>
            </w:tcBorders>
            <w:shd w:val="clear" w:color="auto" w:fill="auto"/>
          </w:tcPr>
          <w:p w14:paraId="2D0FA2A0">
            <w:pPr>
              <w:pStyle w:val="25"/>
              <w:widowControl/>
              <w:autoSpaceDE w:val="0"/>
              <w:autoSpaceDN w:val="0"/>
              <w:spacing w:before="15" w:line="360" w:lineRule="auto"/>
              <w:ind w:left="108"/>
              <w:jc w:val="left"/>
              <w:rPr>
                <w:rFonts w:hint="default" w:ascii="Times New Roman" w:hAnsi="Times New Roman" w:eastAsia="宋体" w:cs="Times New Roman"/>
                <w:color w:val="auto"/>
                <w:sz w:val="21"/>
                <w:szCs w:val="21"/>
                <w:highlight w:val="none"/>
                <w:lang w:bidi="ar"/>
              </w:rPr>
            </w:pPr>
            <w:r>
              <w:rPr>
                <w:rFonts w:hint="default" w:ascii="Times New Roman" w:hAnsi="Times New Roman" w:eastAsia="宋体" w:cs="Times New Roman"/>
                <w:bCs/>
                <w:color w:val="auto"/>
                <w:sz w:val="21"/>
                <w:szCs w:val="21"/>
                <w:highlight w:val="none"/>
              </w:rPr>
              <w:t>未在规定的区域倾倒垃圾</w:t>
            </w:r>
          </w:p>
        </w:tc>
        <w:tc>
          <w:tcPr>
            <w:tcW w:w="2595" w:type="dxa"/>
            <w:tcBorders>
              <w:top w:val="single" w:color="000000" w:sz="4" w:space="0"/>
              <w:left w:val="single" w:color="000000" w:sz="4" w:space="0"/>
              <w:bottom w:val="single" w:color="000000" w:sz="4" w:space="0"/>
              <w:right w:val="single" w:color="000000" w:sz="4" w:space="0"/>
            </w:tcBorders>
            <w:shd w:val="clear" w:color="auto" w:fill="auto"/>
          </w:tcPr>
          <w:p w14:paraId="55AA0D08">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lang w:bidi="ar"/>
              </w:rPr>
            </w:pPr>
            <w:r>
              <w:rPr>
                <w:rFonts w:hint="default" w:ascii="Times New Roman" w:hAnsi="Times New Roman" w:eastAsia="宋体" w:cs="Times New Roman"/>
                <w:color w:val="auto"/>
                <w:sz w:val="21"/>
                <w:szCs w:val="21"/>
                <w:highlight w:val="none"/>
                <w:lang w:bidi="ar"/>
              </w:rPr>
              <w:t>每</w:t>
            </w:r>
            <w:r>
              <w:rPr>
                <w:rFonts w:hint="default" w:ascii="Times New Roman" w:hAnsi="Times New Roman" w:eastAsia="宋体" w:cs="Times New Roman"/>
                <w:color w:val="auto"/>
                <w:sz w:val="21"/>
                <w:szCs w:val="21"/>
                <w:highlight w:val="none"/>
                <w:lang w:val="en-US" w:eastAsia="zh-CN" w:bidi="ar"/>
              </w:rPr>
              <w:t>处</w:t>
            </w:r>
            <w:r>
              <w:rPr>
                <w:rFonts w:hint="default" w:ascii="Times New Roman" w:hAnsi="Times New Roman" w:eastAsia="宋体" w:cs="Times New Roman"/>
                <w:color w:val="auto"/>
                <w:sz w:val="21"/>
                <w:szCs w:val="21"/>
                <w:highlight w:val="none"/>
                <w:lang w:bidi="ar"/>
              </w:rPr>
              <w:t>每次 200</w:t>
            </w:r>
            <w:r>
              <w:rPr>
                <w:rFonts w:hint="default" w:ascii="Times New Roman" w:hAnsi="Times New Roman" w:eastAsia="宋体" w:cs="Times New Roman"/>
                <w:color w:val="auto"/>
                <w:sz w:val="21"/>
                <w:szCs w:val="21"/>
                <w:highlight w:val="none"/>
                <w:lang w:val="en-US" w:eastAsia="zh-CN" w:bidi="ar"/>
              </w:rPr>
              <w:t>-1000</w:t>
            </w:r>
            <w:r>
              <w:rPr>
                <w:rFonts w:hint="default" w:ascii="Times New Roman" w:hAnsi="Times New Roman" w:eastAsia="宋体" w:cs="Times New Roman"/>
                <w:color w:val="auto"/>
                <w:sz w:val="21"/>
                <w:szCs w:val="21"/>
                <w:highlight w:val="none"/>
                <w:lang w:bidi="ar"/>
              </w:rPr>
              <w:t xml:space="preserve"> 元 </w:t>
            </w:r>
          </w:p>
        </w:tc>
        <w:tc>
          <w:tcPr>
            <w:tcW w:w="1611" w:type="dxa"/>
            <w:vMerge w:val="continue"/>
            <w:tcBorders>
              <w:left w:val="single" w:color="000000" w:sz="4" w:space="0"/>
              <w:right w:val="single" w:color="000000" w:sz="4" w:space="0"/>
            </w:tcBorders>
            <w:shd w:val="clear" w:color="auto" w:fill="auto"/>
          </w:tcPr>
          <w:p w14:paraId="36D6596B">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lang w:bidi="ar"/>
              </w:rPr>
            </w:pPr>
          </w:p>
        </w:tc>
      </w:tr>
      <w:tr w14:paraId="7A135A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0" w:hRule="atLeast"/>
          <w:jc w:val="center"/>
        </w:trPr>
        <w:tc>
          <w:tcPr>
            <w:tcW w:w="933" w:type="dxa"/>
            <w:tcBorders>
              <w:top w:val="single" w:color="000000" w:sz="4" w:space="0"/>
              <w:left w:val="single" w:color="000000" w:sz="4" w:space="0"/>
              <w:bottom w:val="single" w:color="000000" w:sz="4" w:space="0"/>
              <w:right w:val="single" w:color="000000" w:sz="4" w:space="0"/>
            </w:tcBorders>
            <w:shd w:val="clear" w:color="auto" w:fill="auto"/>
          </w:tcPr>
          <w:p w14:paraId="1DDA4914">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bidi="ar"/>
              </w:rPr>
              <w:t>CC0</w:t>
            </w:r>
            <w:r>
              <w:rPr>
                <w:rFonts w:hint="default" w:ascii="Times New Roman" w:hAnsi="Times New Roman" w:eastAsia="宋体" w:cs="Times New Roman"/>
                <w:color w:val="auto"/>
                <w:sz w:val="21"/>
                <w:szCs w:val="21"/>
                <w:highlight w:val="none"/>
                <w:lang w:val="en-US" w:eastAsia="zh-CN" w:bidi="ar"/>
              </w:rPr>
              <w:t>5</w:t>
            </w:r>
          </w:p>
        </w:tc>
        <w:tc>
          <w:tcPr>
            <w:tcW w:w="4459" w:type="dxa"/>
            <w:tcBorders>
              <w:top w:val="single" w:color="000000" w:sz="4" w:space="0"/>
              <w:left w:val="single" w:color="000000" w:sz="4" w:space="0"/>
              <w:bottom w:val="single" w:color="000000" w:sz="4" w:space="0"/>
              <w:right w:val="single" w:color="000000" w:sz="4" w:space="0"/>
            </w:tcBorders>
            <w:shd w:val="clear" w:color="auto" w:fill="auto"/>
          </w:tcPr>
          <w:p w14:paraId="2F326123">
            <w:pPr>
              <w:pStyle w:val="25"/>
              <w:widowControl/>
              <w:autoSpaceDE w:val="0"/>
              <w:autoSpaceDN w:val="0"/>
              <w:spacing w:before="15" w:line="360" w:lineRule="auto"/>
              <w:ind w:left="108"/>
              <w:jc w:val="left"/>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在</w:t>
            </w:r>
            <w:r>
              <w:rPr>
                <w:rFonts w:hint="default" w:ascii="Times New Roman" w:hAnsi="Times New Roman" w:eastAsia="宋体" w:cs="Times New Roman"/>
                <w:color w:val="auto"/>
                <w:sz w:val="21"/>
                <w:szCs w:val="21"/>
                <w:highlight w:val="none"/>
                <w:lang w:val="en-US" w:eastAsia="zh-CN" w:bidi="ar"/>
              </w:rPr>
              <w:t>生产区域</w:t>
            </w:r>
            <w:r>
              <w:rPr>
                <w:rFonts w:hint="default" w:ascii="Times New Roman" w:hAnsi="Times New Roman" w:eastAsia="宋体" w:cs="Times New Roman"/>
                <w:color w:val="auto"/>
                <w:sz w:val="21"/>
                <w:szCs w:val="21"/>
                <w:highlight w:val="none"/>
                <w:lang w:bidi="ar"/>
              </w:rPr>
              <w:t xml:space="preserve">现场席地躺睡 </w:t>
            </w:r>
          </w:p>
        </w:tc>
        <w:tc>
          <w:tcPr>
            <w:tcW w:w="2595" w:type="dxa"/>
            <w:tcBorders>
              <w:top w:val="single" w:color="000000" w:sz="4" w:space="0"/>
              <w:left w:val="single" w:color="000000" w:sz="4" w:space="0"/>
              <w:bottom w:val="single" w:color="000000" w:sz="4" w:space="0"/>
              <w:right w:val="single" w:color="000000" w:sz="4" w:space="0"/>
            </w:tcBorders>
            <w:shd w:val="clear" w:color="auto" w:fill="auto"/>
          </w:tcPr>
          <w:p w14:paraId="0CE591E2">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 xml:space="preserve">每人每次 500 元 </w:t>
            </w:r>
          </w:p>
        </w:tc>
        <w:tc>
          <w:tcPr>
            <w:tcW w:w="1611" w:type="dxa"/>
            <w:vMerge w:val="continue"/>
            <w:tcBorders>
              <w:left w:val="single" w:color="000000" w:sz="4" w:space="0"/>
              <w:right w:val="single" w:color="000000" w:sz="4" w:space="0"/>
            </w:tcBorders>
            <w:shd w:val="clear" w:color="auto" w:fill="auto"/>
          </w:tcPr>
          <w:p w14:paraId="3377A503">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p>
        </w:tc>
      </w:tr>
      <w:tr w14:paraId="44C7BF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0" w:hRule="atLeast"/>
          <w:jc w:val="center"/>
        </w:trPr>
        <w:tc>
          <w:tcPr>
            <w:tcW w:w="933" w:type="dxa"/>
            <w:tcBorders>
              <w:top w:val="single" w:color="000000" w:sz="4" w:space="0"/>
              <w:left w:val="single" w:color="000000" w:sz="4" w:space="0"/>
              <w:bottom w:val="single" w:color="000000" w:sz="4" w:space="0"/>
              <w:right w:val="single" w:color="000000" w:sz="4" w:space="0"/>
            </w:tcBorders>
            <w:shd w:val="clear" w:color="auto" w:fill="auto"/>
          </w:tcPr>
          <w:p w14:paraId="7954C17D">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lang w:val="en-US" w:eastAsia="zh-CN" w:bidi="ar"/>
              </w:rPr>
            </w:pPr>
            <w:r>
              <w:rPr>
                <w:rFonts w:hint="default" w:ascii="Times New Roman" w:hAnsi="Times New Roman" w:eastAsia="宋体" w:cs="Times New Roman"/>
                <w:color w:val="auto"/>
                <w:sz w:val="21"/>
                <w:szCs w:val="21"/>
                <w:highlight w:val="none"/>
                <w:lang w:bidi="ar"/>
              </w:rPr>
              <w:t>CC0</w:t>
            </w:r>
            <w:r>
              <w:rPr>
                <w:rFonts w:hint="default" w:ascii="Times New Roman" w:hAnsi="Times New Roman" w:eastAsia="宋体" w:cs="Times New Roman"/>
                <w:color w:val="auto"/>
                <w:sz w:val="21"/>
                <w:szCs w:val="21"/>
                <w:highlight w:val="none"/>
                <w:lang w:val="en-US" w:eastAsia="zh-CN" w:bidi="ar"/>
              </w:rPr>
              <w:t>6</w:t>
            </w:r>
          </w:p>
        </w:tc>
        <w:tc>
          <w:tcPr>
            <w:tcW w:w="4459" w:type="dxa"/>
            <w:tcBorders>
              <w:top w:val="single" w:color="000000" w:sz="4" w:space="0"/>
              <w:left w:val="single" w:color="000000" w:sz="4" w:space="0"/>
              <w:bottom w:val="single" w:color="000000" w:sz="4" w:space="0"/>
              <w:right w:val="single" w:color="000000" w:sz="4" w:space="0"/>
            </w:tcBorders>
            <w:shd w:val="clear" w:color="auto" w:fill="auto"/>
          </w:tcPr>
          <w:p w14:paraId="6D437CE3">
            <w:pPr>
              <w:pStyle w:val="25"/>
              <w:widowControl/>
              <w:autoSpaceDE w:val="0"/>
              <w:autoSpaceDN w:val="0"/>
              <w:spacing w:before="15" w:line="360" w:lineRule="auto"/>
              <w:ind w:left="108"/>
              <w:jc w:val="left"/>
              <w:rPr>
                <w:rFonts w:hint="default" w:ascii="Times New Roman" w:hAnsi="Times New Roman" w:eastAsia="宋体" w:cs="Times New Roman"/>
                <w:color w:val="auto"/>
                <w:sz w:val="21"/>
                <w:szCs w:val="21"/>
                <w:highlight w:val="none"/>
                <w:lang w:bidi="ar"/>
              </w:rPr>
            </w:pPr>
            <w:r>
              <w:rPr>
                <w:rFonts w:hint="default" w:ascii="Times New Roman" w:hAnsi="Times New Roman" w:eastAsia="宋体" w:cs="Times New Roman"/>
                <w:bCs/>
                <w:color w:val="auto"/>
                <w:sz w:val="21"/>
                <w:szCs w:val="21"/>
                <w:highlight w:val="none"/>
              </w:rPr>
              <w:t>未在指定区域大小便、洗浴等</w:t>
            </w:r>
          </w:p>
        </w:tc>
        <w:tc>
          <w:tcPr>
            <w:tcW w:w="2595" w:type="dxa"/>
            <w:tcBorders>
              <w:top w:val="single" w:color="000000" w:sz="4" w:space="0"/>
              <w:left w:val="single" w:color="000000" w:sz="4" w:space="0"/>
              <w:bottom w:val="single" w:color="000000" w:sz="4" w:space="0"/>
              <w:right w:val="single" w:color="000000" w:sz="4" w:space="0"/>
            </w:tcBorders>
            <w:shd w:val="clear" w:color="auto" w:fill="auto"/>
          </w:tcPr>
          <w:p w14:paraId="0398D046">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lang w:bidi="ar"/>
              </w:rPr>
            </w:pPr>
            <w:r>
              <w:rPr>
                <w:rFonts w:hint="default" w:ascii="Times New Roman" w:hAnsi="Times New Roman" w:eastAsia="宋体" w:cs="Times New Roman"/>
                <w:color w:val="auto"/>
                <w:sz w:val="21"/>
                <w:szCs w:val="21"/>
                <w:highlight w:val="none"/>
                <w:lang w:bidi="ar"/>
              </w:rPr>
              <w:t xml:space="preserve">每人每次 500 元 </w:t>
            </w:r>
          </w:p>
        </w:tc>
        <w:tc>
          <w:tcPr>
            <w:tcW w:w="1611" w:type="dxa"/>
            <w:vMerge w:val="continue"/>
            <w:tcBorders>
              <w:left w:val="single" w:color="000000" w:sz="4" w:space="0"/>
              <w:right w:val="single" w:color="000000" w:sz="4" w:space="0"/>
            </w:tcBorders>
            <w:shd w:val="clear" w:color="auto" w:fill="auto"/>
          </w:tcPr>
          <w:p w14:paraId="10983A31">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lang w:bidi="ar"/>
              </w:rPr>
            </w:pPr>
          </w:p>
        </w:tc>
      </w:tr>
      <w:tr w14:paraId="242F9F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0" w:hRule="atLeast"/>
          <w:jc w:val="center"/>
        </w:trPr>
        <w:tc>
          <w:tcPr>
            <w:tcW w:w="933" w:type="dxa"/>
            <w:tcBorders>
              <w:top w:val="single" w:color="000000" w:sz="4" w:space="0"/>
              <w:left w:val="single" w:color="000000" w:sz="4" w:space="0"/>
              <w:bottom w:val="single" w:color="000000" w:sz="4" w:space="0"/>
              <w:right w:val="single" w:color="000000" w:sz="4" w:space="0"/>
            </w:tcBorders>
            <w:shd w:val="clear" w:color="auto" w:fill="auto"/>
          </w:tcPr>
          <w:p w14:paraId="415643FB">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bidi="ar"/>
              </w:rPr>
              <w:t>CC0</w:t>
            </w:r>
            <w:r>
              <w:rPr>
                <w:rFonts w:hint="default" w:ascii="Times New Roman" w:hAnsi="Times New Roman" w:eastAsia="宋体" w:cs="Times New Roman"/>
                <w:color w:val="auto"/>
                <w:sz w:val="21"/>
                <w:szCs w:val="21"/>
                <w:highlight w:val="none"/>
                <w:lang w:val="en-US" w:eastAsia="zh-CN" w:bidi="ar"/>
              </w:rPr>
              <w:t>7</w:t>
            </w:r>
          </w:p>
        </w:tc>
        <w:tc>
          <w:tcPr>
            <w:tcW w:w="4459" w:type="dxa"/>
            <w:tcBorders>
              <w:top w:val="single" w:color="000000" w:sz="4" w:space="0"/>
              <w:left w:val="single" w:color="000000" w:sz="4" w:space="0"/>
              <w:bottom w:val="single" w:color="000000" w:sz="4" w:space="0"/>
              <w:right w:val="single" w:color="000000" w:sz="4" w:space="0"/>
            </w:tcBorders>
            <w:shd w:val="clear" w:color="auto" w:fill="auto"/>
          </w:tcPr>
          <w:p w14:paraId="1AE972EE">
            <w:pPr>
              <w:pStyle w:val="25"/>
              <w:widowControl/>
              <w:autoSpaceDE w:val="0"/>
              <w:autoSpaceDN w:val="0"/>
              <w:spacing w:before="15" w:line="360" w:lineRule="auto"/>
              <w:ind w:left="108"/>
              <w:jc w:val="left"/>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酒后进（含酒精性饮料、迷幻剂等）生产区</w:t>
            </w:r>
          </w:p>
        </w:tc>
        <w:tc>
          <w:tcPr>
            <w:tcW w:w="2595" w:type="dxa"/>
            <w:tcBorders>
              <w:top w:val="single" w:color="000000" w:sz="4" w:space="0"/>
              <w:left w:val="single" w:color="000000" w:sz="4" w:space="0"/>
              <w:bottom w:val="single" w:color="000000" w:sz="4" w:space="0"/>
              <w:right w:val="single" w:color="000000" w:sz="4" w:space="0"/>
            </w:tcBorders>
            <w:shd w:val="clear" w:color="auto" w:fill="auto"/>
          </w:tcPr>
          <w:p w14:paraId="1B993BD9">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 xml:space="preserve">每处每次 1000 元 </w:t>
            </w:r>
          </w:p>
        </w:tc>
        <w:tc>
          <w:tcPr>
            <w:tcW w:w="1611" w:type="dxa"/>
            <w:vMerge w:val="continue"/>
            <w:tcBorders>
              <w:left w:val="single" w:color="000000" w:sz="4" w:space="0"/>
              <w:bottom w:val="single" w:color="000000" w:sz="4" w:space="0"/>
              <w:right w:val="single" w:color="000000" w:sz="4" w:space="0"/>
            </w:tcBorders>
            <w:shd w:val="clear" w:color="auto" w:fill="auto"/>
          </w:tcPr>
          <w:p w14:paraId="6A9D4C0A">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p>
        </w:tc>
      </w:tr>
      <w:tr w14:paraId="67C793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0" w:hRule="atLeast"/>
          <w:jc w:val="center"/>
        </w:trPr>
        <w:tc>
          <w:tcPr>
            <w:tcW w:w="933" w:type="dxa"/>
            <w:tcBorders>
              <w:top w:val="single" w:color="000000" w:sz="4" w:space="0"/>
              <w:left w:val="single" w:color="000000" w:sz="4" w:space="0"/>
              <w:bottom w:val="single" w:color="000000" w:sz="4" w:space="0"/>
              <w:right w:val="single" w:color="000000" w:sz="4" w:space="0"/>
            </w:tcBorders>
            <w:shd w:val="clear" w:color="auto" w:fill="auto"/>
          </w:tcPr>
          <w:p w14:paraId="56570174">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bidi="ar"/>
              </w:rPr>
              <w:t>CC0</w:t>
            </w:r>
            <w:r>
              <w:rPr>
                <w:rFonts w:hint="default" w:ascii="Times New Roman" w:hAnsi="Times New Roman" w:eastAsia="宋体" w:cs="Times New Roman"/>
                <w:color w:val="auto"/>
                <w:sz w:val="21"/>
                <w:szCs w:val="21"/>
                <w:highlight w:val="none"/>
                <w:lang w:val="en-US" w:eastAsia="zh-CN" w:bidi="ar"/>
              </w:rPr>
              <w:t>8</w:t>
            </w:r>
          </w:p>
        </w:tc>
        <w:tc>
          <w:tcPr>
            <w:tcW w:w="4459" w:type="dxa"/>
            <w:tcBorders>
              <w:top w:val="single" w:color="000000" w:sz="4" w:space="0"/>
              <w:left w:val="single" w:color="000000" w:sz="4" w:space="0"/>
              <w:bottom w:val="single" w:color="000000" w:sz="4" w:space="0"/>
              <w:right w:val="single" w:color="000000" w:sz="4" w:space="0"/>
            </w:tcBorders>
            <w:shd w:val="clear" w:color="auto" w:fill="auto"/>
          </w:tcPr>
          <w:p w14:paraId="77763D6D">
            <w:pPr>
              <w:pStyle w:val="25"/>
              <w:widowControl/>
              <w:autoSpaceDE w:val="0"/>
              <w:autoSpaceDN w:val="0"/>
              <w:spacing w:before="15" w:line="360" w:lineRule="auto"/>
              <w:ind w:left="108"/>
              <w:jc w:val="left"/>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卸料区未及时进行现场清理、恢复完好</w:t>
            </w:r>
          </w:p>
        </w:tc>
        <w:tc>
          <w:tcPr>
            <w:tcW w:w="2595" w:type="dxa"/>
            <w:tcBorders>
              <w:top w:val="single" w:color="000000" w:sz="4" w:space="0"/>
              <w:left w:val="single" w:color="000000" w:sz="4" w:space="0"/>
              <w:bottom w:val="single" w:color="000000" w:sz="4" w:space="0"/>
              <w:right w:val="single" w:color="000000" w:sz="4" w:space="0"/>
            </w:tcBorders>
            <w:shd w:val="clear" w:color="auto" w:fill="auto"/>
          </w:tcPr>
          <w:p w14:paraId="7557774C">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 xml:space="preserve">每处每次 200 元 </w:t>
            </w:r>
          </w:p>
        </w:tc>
        <w:tc>
          <w:tcPr>
            <w:tcW w:w="1611" w:type="dxa"/>
            <w:tcBorders>
              <w:top w:val="single" w:color="000000" w:sz="4" w:space="0"/>
              <w:left w:val="single" w:color="000000" w:sz="4" w:space="0"/>
              <w:bottom w:val="single" w:color="000000" w:sz="4" w:space="0"/>
              <w:right w:val="single" w:color="000000" w:sz="4" w:space="0"/>
            </w:tcBorders>
            <w:shd w:val="clear" w:color="auto" w:fill="auto"/>
          </w:tcPr>
          <w:p w14:paraId="1B0ADA15">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 xml:space="preserve"> </w:t>
            </w:r>
          </w:p>
        </w:tc>
      </w:tr>
      <w:tr w14:paraId="4616DE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89" w:hRule="atLeast"/>
          <w:jc w:val="center"/>
        </w:trPr>
        <w:tc>
          <w:tcPr>
            <w:tcW w:w="933" w:type="dxa"/>
            <w:tcBorders>
              <w:top w:val="single" w:color="000000" w:sz="4" w:space="0"/>
              <w:left w:val="single" w:color="000000" w:sz="4" w:space="0"/>
              <w:bottom w:val="single" w:color="000000" w:sz="4" w:space="0"/>
              <w:right w:val="single" w:color="000000" w:sz="4" w:space="0"/>
            </w:tcBorders>
            <w:shd w:val="clear" w:color="auto" w:fill="auto"/>
          </w:tcPr>
          <w:p w14:paraId="6C81F1D8">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bidi="ar"/>
              </w:rPr>
              <w:t>CC0</w:t>
            </w:r>
            <w:r>
              <w:rPr>
                <w:rFonts w:hint="default" w:ascii="Times New Roman" w:hAnsi="Times New Roman" w:eastAsia="宋体" w:cs="Times New Roman"/>
                <w:color w:val="auto"/>
                <w:sz w:val="21"/>
                <w:szCs w:val="21"/>
                <w:highlight w:val="none"/>
                <w:lang w:val="en-US" w:eastAsia="zh-CN" w:bidi="ar"/>
              </w:rPr>
              <w:t>9</w:t>
            </w:r>
          </w:p>
        </w:tc>
        <w:tc>
          <w:tcPr>
            <w:tcW w:w="4459" w:type="dxa"/>
            <w:tcBorders>
              <w:top w:val="single" w:color="000000" w:sz="4" w:space="0"/>
              <w:left w:val="single" w:color="000000" w:sz="4" w:space="0"/>
              <w:bottom w:val="single" w:color="000000" w:sz="4" w:space="0"/>
              <w:right w:val="single" w:color="000000" w:sz="4" w:space="0"/>
            </w:tcBorders>
            <w:shd w:val="clear" w:color="auto" w:fill="auto"/>
          </w:tcPr>
          <w:p w14:paraId="07048673">
            <w:pPr>
              <w:pStyle w:val="25"/>
              <w:widowControl/>
              <w:autoSpaceDE w:val="0"/>
              <w:autoSpaceDN w:val="0"/>
              <w:spacing w:before="15" w:line="360" w:lineRule="auto"/>
              <w:ind w:left="108"/>
              <w:jc w:val="left"/>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 xml:space="preserve">其他违反国家相关标准或项目管理规定 </w:t>
            </w:r>
          </w:p>
        </w:tc>
        <w:tc>
          <w:tcPr>
            <w:tcW w:w="2595" w:type="dxa"/>
            <w:tcBorders>
              <w:top w:val="single" w:color="000000" w:sz="4" w:space="0"/>
              <w:left w:val="single" w:color="000000" w:sz="4" w:space="0"/>
              <w:bottom w:val="single" w:color="000000" w:sz="4" w:space="0"/>
              <w:right w:val="single" w:color="000000" w:sz="4" w:space="0"/>
            </w:tcBorders>
            <w:shd w:val="clear" w:color="auto" w:fill="auto"/>
          </w:tcPr>
          <w:p w14:paraId="79AC9632">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每次 200-20000 元</w:t>
            </w:r>
          </w:p>
        </w:tc>
        <w:tc>
          <w:tcPr>
            <w:tcW w:w="1611" w:type="dxa"/>
            <w:tcBorders>
              <w:top w:val="single" w:color="000000" w:sz="4" w:space="0"/>
              <w:left w:val="single" w:color="000000" w:sz="4" w:space="0"/>
              <w:bottom w:val="single" w:color="000000" w:sz="4" w:space="0"/>
              <w:right w:val="single" w:color="000000" w:sz="4" w:space="0"/>
            </w:tcBorders>
            <w:shd w:val="clear" w:color="auto" w:fill="auto"/>
          </w:tcPr>
          <w:p w14:paraId="55874C57">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 xml:space="preserve"> </w:t>
            </w:r>
          </w:p>
        </w:tc>
      </w:tr>
    </w:tbl>
    <w:p w14:paraId="002E32AF">
      <w:pPr>
        <w:overflowPunct w:val="0"/>
        <w:autoSpaceDE w:val="0"/>
        <w:autoSpaceDN w:val="0"/>
        <w:adjustRightInd w:val="0"/>
        <w:spacing w:line="48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4.7.</w:t>
      </w:r>
      <w:r>
        <w:rPr>
          <w:rFonts w:hint="eastAsia" w:cs="Times New Roman"/>
          <w:bCs/>
          <w:color w:val="auto"/>
          <w:sz w:val="21"/>
          <w:szCs w:val="21"/>
          <w:highlight w:val="none"/>
          <w:lang w:val="en-US" w:eastAsia="zh-CN"/>
        </w:rPr>
        <w:t>3</w:t>
      </w:r>
      <w:r>
        <w:rPr>
          <w:rFonts w:hint="default" w:ascii="Times New Roman" w:hAnsi="Times New Roman" w:eastAsia="宋体" w:cs="Times New Roman"/>
          <w:bCs/>
          <w:color w:val="auto"/>
          <w:sz w:val="21"/>
          <w:szCs w:val="21"/>
          <w:highlight w:val="none"/>
        </w:rPr>
        <w:t xml:space="preserve"> 安全保卫管理</w:t>
      </w:r>
    </w:p>
    <w:tbl>
      <w:tblPr>
        <w:tblStyle w:val="30"/>
        <w:tblW w:w="969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8"/>
        <w:gridCol w:w="4437"/>
        <w:gridCol w:w="2569"/>
        <w:gridCol w:w="1674"/>
      </w:tblGrid>
      <w:tr w14:paraId="765E8A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1" w:hRule="atLeast"/>
          <w:jc w:val="center"/>
        </w:trPr>
        <w:tc>
          <w:tcPr>
            <w:tcW w:w="1018" w:type="dxa"/>
            <w:tcBorders>
              <w:top w:val="single" w:color="000000" w:sz="4" w:space="0"/>
              <w:left w:val="single" w:color="000000" w:sz="4" w:space="0"/>
              <w:bottom w:val="single" w:color="000000" w:sz="4" w:space="0"/>
              <w:right w:val="single" w:color="000000" w:sz="4" w:space="0"/>
            </w:tcBorders>
            <w:shd w:val="clear" w:color="auto" w:fill="auto"/>
          </w:tcPr>
          <w:p w14:paraId="54460B6F">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序号</w:t>
            </w:r>
          </w:p>
        </w:tc>
        <w:tc>
          <w:tcPr>
            <w:tcW w:w="4437" w:type="dxa"/>
            <w:tcBorders>
              <w:top w:val="single" w:color="000000" w:sz="4" w:space="0"/>
              <w:left w:val="single" w:color="000000" w:sz="4" w:space="0"/>
              <w:bottom w:val="single" w:color="000000" w:sz="4" w:space="0"/>
              <w:right w:val="single" w:color="000000" w:sz="4" w:space="0"/>
            </w:tcBorders>
            <w:shd w:val="clear" w:color="auto" w:fill="auto"/>
          </w:tcPr>
          <w:p w14:paraId="538BFDA1">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违章内容</w:t>
            </w:r>
          </w:p>
        </w:tc>
        <w:tc>
          <w:tcPr>
            <w:tcW w:w="2569" w:type="dxa"/>
            <w:tcBorders>
              <w:top w:val="single" w:color="000000" w:sz="4" w:space="0"/>
              <w:left w:val="single" w:color="000000" w:sz="4" w:space="0"/>
              <w:bottom w:val="single" w:color="000000" w:sz="4" w:space="0"/>
              <w:right w:val="single" w:color="000000" w:sz="4" w:space="0"/>
            </w:tcBorders>
            <w:shd w:val="clear" w:color="auto" w:fill="auto"/>
          </w:tcPr>
          <w:p w14:paraId="14D8CDFB">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罚款金额</w:t>
            </w:r>
          </w:p>
        </w:tc>
        <w:tc>
          <w:tcPr>
            <w:tcW w:w="1674" w:type="dxa"/>
            <w:tcBorders>
              <w:top w:val="single" w:color="000000" w:sz="4" w:space="0"/>
              <w:left w:val="single" w:color="000000" w:sz="4" w:space="0"/>
              <w:bottom w:val="single" w:color="000000" w:sz="4" w:space="0"/>
              <w:right w:val="single" w:color="000000" w:sz="4" w:space="0"/>
            </w:tcBorders>
            <w:shd w:val="clear" w:color="auto" w:fill="auto"/>
          </w:tcPr>
          <w:p w14:paraId="6B66899D">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备注</w:t>
            </w:r>
          </w:p>
        </w:tc>
      </w:tr>
      <w:tr w14:paraId="69D802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9" w:hRule="atLeast"/>
          <w:jc w:val="center"/>
        </w:trPr>
        <w:tc>
          <w:tcPr>
            <w:tcW w:w="1018" w:type="dxa"/>
            <w:tcBorders>
              <w:top w:val="single" w:color="000000" w:sz="4" w:space="0"/>
              <w:left w:val="single" w:color="000000" w:sz="4" w:space="0"/>
              <w:bottom w:val="single" w:color="000000" w:sz="4" w:space="0"/>
              <w:right w:val="single" w:color="000000" w:sz="4" w:space="0"/>
            </w:tcBorders>
            <w:shd w:val="clear" w:color="auto" w:fill="auto"/>
          </w:tcPr>
          <w:p w14:paraId="6E75539F">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SG01</w:t>
            </w:r>
          </w:p>
        </w:tc>
        <w:tc>
          <w:tcPr>
            <w:tcW w:w="4437" w:type="dxa"/>
            <w:tcBorders>
              <w:top w:val="single" w:color="000000" w:sz="4" w:space="0"/>
              <w:left w:val="single" w:color="000000" w:sz="4" w:space="0"/>
              <w:bottom w:val="single" w:color="000000" w:sz="4" w:space="0"/>
              <w:right w:val="single" w:color="000000" w:sz="4" w:space="0"/>
            </w:tcBorders>
            <w:shd w:val="clear" w:color="auto" w:fill="auto"/>
          </w:tcPr>
          <w:p w14:paraId="7DEE8068">
            <w:pPr>
              <w:pStyle w:val="25"/>
              <w:widowControl/>
              <w:autoSpaceDE w:val="0"/>
              <w:autoSpaceDN w:val="0"/>
              <w:spacing w:before="15" w:line="360" w:lineRule="auto"/>
              <w:ind w:left="108"/>
              <w:jc w:val="left"/>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未经同意随意打开</w:t>
            </w:r>
            <w:r>
              <w:rPr>
                <w:rFonts w:hint="eastAsia" w:ascii="Times New Roman" w:hAnsi="Times New Roman" w:cs="Times New Roman"/>
                <w:color w:val="auto"/>
                <w:sz w:val="21"/>
                <w:szCs w:val="21"/>
                <w:highlight w:val="none"/>
                <w:lang w:val="en-US" w:eastAsia="zh-CN" w:bidi="ar"/>
              </w:rPr>
              <w:t>园区各</w:t>
            </w:r>
            <w:r>
              <w:rPr>
                <w:rFonts w:hint="default" w:ascii="Times New Roman" w:hAnsi="Times New Roman" w:eastAsia="宋体" w:cs="Times New Roman"/>
                <w:color w:val="auto"/>
                <w:sz w:val="21"/>
                <w:szCs w:val="21"/>
                <w:highlight w:val="none"/>
                <w:lang w:bidi="ar"/>
              </w:rPr>
              <w:t>围墙围挡</w:t>
            </w:r>
          </w:p>
        </w:tc>
        <w:tc>
          <w:tcPr>
            <w:tcW w:w="25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016609">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每处每次 2000 元</w:t>
            </w:r>
          </w:p>
        </w:tc>
        <w:tc>
          <w:tcPr>
            <w:tcW w:w="1674" w:type="dxa"/>
            <w:tcBorders>
              <w:top w:val="single" w:color="000000" w:sz="4" w:space="0"/>
              <w:left w:val="single" w:color="000000" w:sz="4" w:space="0"/>
              <w:bottom w:val="single" w:color="000000" w:sz="4" w:space="0"/>
              <w:right w:val="single" w:color="000000" w:sz="4" w:space="0"/>
            </w:tcBorders>
            <w:shd w:val="clear" w:color="auto" w:fill="auto"/>
          </w:tcPr>
          <w:p w14:paraId="4A534DE3">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p>
        </w:tc>
      </w:tr>
      <w:tr w14:paraId="08885C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9" w:hRule="atLeast"/>
          <w:jc w:val="center"/>
        </w:trPr>
        <w:tc>
          <w:tcPr>
            <w:tcW w:w="1018" w:type="dxa"/>
            <w:tcBorders>
              <w:top w:val="single" w:color="000000" w:sz="4" w:space="0"/>
              <w:left w:val="single" w:color="000000" w:sz="4" w:space="0"/>
              <w:bottom w:val="single" w:color="000000" w:sz="4" w:space="0"/>
              <w:right w:val="single" w:color="000000" w:sz="4" w:space="0"/>
            </w:tcBorders>
            <w:shd w:val="clear" w:color="auto" w:fill="auto"/>
          </w:tcPr>
          <w:p w14:paraId="47BC62F3">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SG02</w:t>
            </w:r>
          </w:p>
        </w:tc>
        <w:tc>
          <w:tcPr>
            <w:tcW w:w="4437" w:type="dxa"/>
            <w:tcBorders>
              <w:top w:val="single" w:color="000000" w:sz="4" w:space="0"/>
              <w:left w:val="single" w:color="000000" w:sz="4" w:space="0"/>
              <w:bottom w:val="single" w:color="000000" w:sz="4" w:space="0"/>
              <w:right w:val="single" w:color="000000" w:sz="4" w:space="0"/>
            </w:tcBorders>
            <w:shd w:val="clear" w:color="auto" w:fill="auto"/>
          </w:tcPr>
          <w:p w14:paraId="4B709E50">
            <w:pPr>
              <w:pStyle w:val="25"/>
              <w:widowControl/>
              <w:autoSpaceDE w:val="0"/>
              <w:autoSpaceDN w:val="0"/>
              <w:spacing w:before="15" w:line="360" w:lineRule="auto"/>
              <w:ind w:left="108"/>
              <w:jc w:val="left"/>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违规</w:t>
            </w:r>
            <w:r>
              <w:rPr>
                <w:rFonts w:hint="eastAsia" w:ascii="Times New Roman" w:hAnsi="Times New Roman" w:cs="Times New Roman"/>
                <w:color w:val="auto"/>
                <w:sz w:val="21"/>
                <w:szCs w:val="21"/>
                <w:highlight w:val="none"/>
                <w:lang w:val="en-US" w:eastAsia="zh-CN" w:bidi="ar"/>
              </w:rPr>
              <w:t>硬闯、攀爬、</w:t>
            </w:r>
            <w:r>
              <w:rPr>
                <w:rFonts w:hint="default" w:ascii="Times New Roman" w:hAnsi="Times New Roman" w:eastAsia="宋体" w:cs="Times New Roman"/>
                <w:color w:val="auto"/>
                <w:sz w:val="21"/>
                <w:szCs w:val="21"/>
                <w:highlight w:val="none"/>
                <w:lang w:bidi="ar"/>
              </w:rPr>
              <w:t>翻越、</w:t>
            </w:r>
            <w:r>
              <w:rPr>
                <w:rFonts w:hint="eastAsia" w:ascii="Times New Roman" w:hAnsi="Times New Roman" w:cs="Times New Roman"/>
                <w:color w:val="auto"/>
                <w:sz w:val="21"/>
                <w:szCs w:val="21"/>
                <w:highlight w:val="none"/>
                <w:lang w:val="en-US" w:eastAsia="zh-CN" w:bidi="ar"/>
              </w:rPr>
              <w:t>穿钻、</w:t>
            </w:r>
            <w:r>
              <w:rPr>
                <w:rFonts w:hint="default" w:ascii="Times New Roman" w:hAnsi="Times New Roman" w:eastAsia="宋体" w:cs="Times New Roman"/>
                <w:color w:val="auto"/>
                <w:sz w:val="21"/>
                <w:szCs w:val="21"/>
                <w:highlight w:val="none"/>
                <w:lang w:bidi="ar"/>
              </w:rPr>
              <w:t>破坏</w:t>
            </w:r>
            <w:r>
              <w:rPr>
                <w:rFonts w:hint="eastAsia" w:ascii="Times New Roman" w:hAnsi="Times New Roman" w:cs="Times New Roman"/>
                <w:color w:val="auto"/>
                <w:sz w:val="21"/>
                <w:szCs w:val="21"/>
                <w:highlight w:val="none"/>
                <w:lang w:val="en-US" w:eastAsia="zh-CN" w:bidi="ar"/>
              </w:rPr>
              <w:t>园区</w:t>
            </w:r>
            <w:r>
              <w:rPr>
                <w:rFonts w:hint="default" w:ascii="Times New Roman" w:hAnsi="Times New Roman" w:eastAsia="宋体" w:cs="Times New Roman"/>
                <w:color w:val="auto"/>
                <w:sz w:val="21"/>
                <w:szCs w:val="21"/>
                <w:highlight w:val="none"/>
                <w:lang w:bidi="ar"/>
              </w:rPr>
              <w:t>围墙、围挡</w:t>
            </w:r>
            <w:r>
              <w:rPr>
                <w:rFonts w:hint="eastAsia" w:ascii="Times New Roman" w:hAnsi="Times New Roman" w:cs="Times New Roman"/>
                <w:color w:val="auto"/>
                <w:sz w:val="21"/>
                <w:szCs w:val="21"/>
                <w:highlight w:val="none"/>
                <w:lang w:val="en-US" w:eastAsia="zh-CN" w:bidi="ar"/>
              </w:rPr>
              <w:t>或道闸</w:t>
            </w:r>
          </w:p>
        </w:tc>
        <w:tc>
          <w:tcPr>
            <w:tcW w:w="25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277C02">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每处每次 1000 元</w:t>
            </w:r>
          </w:p>
        </w:tc>
        <w:tc>
          <w:tcPr>
            <w:tcW w:w="1674" w:type="dxa"/>
            <w:tcBorders>
              <w:top w:val="single" w:color="000000" w:sz="4" w:space="0"/>
              <w:left w:val="single" w:color="000000" w:sz="4" w:space="0"/>
              <w:bottom w:val="single" w:color="000000" w:sz="4" w:space="0"/>
              <w:right w:val="single" w:color="000000" w:sz="4" w:space="0"/>
            </w:tcBorders>
            <w:shd w:val="clear" w:color="auto" w:fill="auto"/>
          </w:tcPr>
          <w:p w14:paraId="7F31B60A">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立即修复</w:t>
            </w:r>
            <w:r>
              <w:rPr>
                <w:rFonts w:hint="eastAsia" w:ascii="Times New Roman" w:hAnsi="Times New Roman" w:cs="Times New Roman"/>
                <w:color w:val="auto"/>
                <w:sz w:val="21"/>
                <w:szCs w:val="21"/>
                <w:highlight w:val="none"/>
                <w:lang w:eastAsia="zh-CN" w:bidi="ar"/>
              </w:rPr>
              <w:t>；</w:t>
            </w:r>
            <w:r>
              <w:rPr>
                <w:rFonts w:hint="eastAsia" w:ascii="Times New Roman" w:hAnsi="Times New Roman" w:cs="Times New Roman"/>
                <w:color w:val="auto"/>
                <w:sz w:val="21"/>
                <w:szCs w:val="21"/>
                <w:highlight w:val="none"/>
                <w:lang w:val="en-US" w:eastAsia="zh-CN" w:bidi="ar"/>
              </w:rPr>
              <w:t>围墙围挡或道闸有损坏的，照价赔偿</w:t>
            </w:r>
          </w:p>
        </w:tc>
      </w:tr>
      <w:tr w14:paraId="218981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9" w:hRule="atLeast"/>
          <w:jc w:val="center"/>
        </w:trPr>
        <w:tc>
          <w:tcPr>
            <w:tcW w:w="1018" w:type="dxa"/>
            <w:tcBorders>
              <w:top w:val="single" w:color="000000" w:sz="4" w:space="0"/>
              <w:left w:val="single" w:color="000000" w:sz="4" w:space="0"/>
              <w:bottom w:val="single" w:color="000000" w:sz="4" w:space="0"/>
              <w:right w:val="single" w:color="000000" w:sz="4" w:space="0"/>
            </w:tcBorders>
            <w:shd w:val="clear" w:color="auto" w:fill="auto"/>
          </w:tcPr>
          <w:p w14:paraId="1C221C7B">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SG03</w:t>
            </w:r>
          </w:p>
        </w:tc>
        <w:tc>
          <w:tcPr>
            <w:tcW w:w="4437" w:type="dxa"/>
            <w:tcBorders>
              <w:top w:val="single" w:color="000000" w:sz="4" w:space="0"/>
              <w:left w:val="single" w:color="000000" w:sz="4" w:space="0"/>
              <w:bottom w:val="single" w:color="000000" w:sz="4" w:space="0"/>
              <w:right w:val="single" w:color="000000" w:sz="4" w:space="0"/>
            </w:tcBorders>
            <w:shd w:val="clear" w:color="auto" w:fill="auto"/>
          </w:tcPr>
          <w:p w14:paraId="104BBBAC">
            <w:pPr>
              <w:pStyle w:val="25"/>
              <w:widowControl/>
              <w:autoSpaceDE w:val="0"/>
              <w:autoSpaceDN w:val="0"/>
              <w:spacing w:before="15" w:line="360" w:lineRule="auto"/>
              <w:ind w:left="108"/>
              <w:jc w:val="left"/>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进出</w:t>
            </w:r>
            <w:r>
              <w:rPr>
                <w:rFonts w:hint="eastAsia" w:ascii="Times New Roman" w:hAnsi="Times New Roman" w:cs="Times New Roman"/>
                <w:color w:val="auto"/>
                <w:sz w:val="21"/>
                <w:szCs w:val="21"/>
                <w:highlight w:val="none"/>
                <w:lang w:val="en-US" w:eastAsia="zh-CN" w:bidi="ar"/>
              </w:rPr>
              <w:t>厂内</w:t>
            </w:r>
            <w:r>
              <w:rPr>
                <w:rFonts w:hint="default" w:ascii="Times New Roman" w:hAnsi="Times New Roman" w:eastAsia="宋体" w:cs="Times New Roman"/>
                <w:color w:val="auto"/>
                <w:sz w:val="21"/>
                <w:szCs w:val="21"/>
                <w:highlight w:val="none"/>
                <w:lang w:bidi="ar"/>
              </w:rPr>
              <w:t>不配合检查，强行闯门</w:t>
            </w:r>
          </w:p>
        </w:tc>
        <w:tc>
          <w:tcPr>
            <w:tcW w:w="25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C1743B">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 xml:space="preserve">每处每次 </w:t>
            </w:r>
            <w:r>
              <w:rPr>
                <w:rFonts w:hint="eastAsia" w:ascii="Times New Roman" w:hAnsi="Times New Roman" w:cs="Times New Roman"/>
                <w:color w:val="auto"/>
                <w:sz w:val="21"/>
                <w:szCs w:val="21"/>
                <w:highlight w:val="none"/>
                <w:lang w:val="en-US" w:eastAsia="zh-CN" w:bidi="ar"/>
              </w:rPr>
              <w:t>1</w:t>
            </w:r>
            <w:r>
              <w:rPr>
                <w:rFonts w:hint="default" w:ascii="Times New Roman" w:hAnsi="Times New Roman" w:eastAsia="宋体" w:cs="Times New Roman"/>
                <w:color w:val="auto"/>
                <w:sz w:val="21"/>
                <w:szCs w:val="21"/>
                <w:highlight w:val="none"/>
                <w:lang w:bidi="ar"/>
              </w:rPr>
              <w:t>000 元</w:t>
            </w:r>
          </w:p>
        </w:tc>
        <w:tc>
          <w:tcPr>
            <w:tcW w:w="1674" w:type="dxa"/>
            <w:tcBorders>
              <w:top w:val="single" w:color="000000" w:sz="4" w:space="0"/>
              <w:left w:val="single" w:color="000000" w:sz="4" w:space="0"/>
              <w:bottom w:val="single" w:color="000000" w:sz="4" w:space="0"/>
              <w:right w:val="single" w:color="000000" w:sz="4" w:space="0"/>
            </w:tcBorders>
            <w:shd w:val="clear" w:color="auto" w:fill="auto"/>
          </w:tcPr>
          <w:p w14:paraId="49D62A17">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p>
        </w:tc>
      </w:tr>
      <w:tr w14:paraId="5822C3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98" w:hRule="atLeast"/>
          <w:jc w:val="center"/>
        </w:trPr>
        <w:tc>
          <w:tcPr>
            <w:tcW w:w="1018" w:type="dxa"/>
            <w:tcBorders>
              <w:top w:val="single" w:color="000000" w:sz="4" w:space="0"/>
              <w:left w:val="single" w:color="000000" w:sz="4" w:space="0"/>
              <w:bottom w:val="single" w:color="000000" w:sz="4" w:space="0"/>
              <w:right w:val="single" w:color="000000" w:sz="4" w:space="0"/>
            </w:tcBorders>
            <w:shd w:val="clear" w:color="auto" w:fill="auto"/>
          </w:tcPr>
          <w:p w14:paraId="5057431F">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SG04</w:t>
            </w:r>
          </w:p>
        </w:tc>
        <w:tc>
          <w:tcPr>
            <w:tcW w:w="4437" w:type="dxa"/>
            <w:tcBorders>
              <w:top w:val="single" w:color="000000" w:sz="4" w:space="0"/>
              <w:left w:val="single" w:color="000000" w:sz="4" w:space="0"/>
              <w:bottom w:val="single" w:color="000000" w:sz="4" w:space="0"/>
              <w:right w:val="single" w:color="000000" w:sz="4" w:space="0"/>
            </w:tcBorders>
            <w:shd w:val="clear" w:color="auto" w:fill="auto"/>
          </w:tcPr>
          <w:p w14:paraId="0F016EA2">
            <w:pPr>
              <w:pStyle w:val="25"/>
              <w:widowControl/>
              <w:autoSpaceDE w:val="0"/>
              <w:autoSpaceDN w:val="0"/>
              <w:spacing w:before="15" w:line="360" w:lineRule="auto"/>
              <w:ind w:left="108"/>
              <w:jc w:val="left"/>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厂内不按规定停靠车辆、占道，相关人员不走行人通道</w:t>
            </w:r>
          </w:p>
        </w:tc>
        <w:tc>
          <w:tcPr>
            <w:tcW w:w="25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B11C4E">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每处每次 200 元</w:t>
            </w:r>
          </w:p>
        </w:tc>
        <w:tc>
          <w:tcPr>
            <w:tcW w:w="1674" w:type="dxa"/>
            <w:tcBorders>
              <w:top w:val="single" w:color="000000" w:sz="4" w:space="0"/>
              <w:left w:val="single" w:color="000000" w:sz="4" w:space="0"/>
              <w:bottom w:val="single" w:color="000000" w:sz="4" w:space="0"/>
              <w:right w:val="single" w:color="000000" w:sz="4" w:space="0"/>
            </w:tcBorders>
            <w:shd w:val="clear" w:color="auto" w:fill="auto"/>
          </w:tcPr>
          <w:p w14:paraId="62838537">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p>
        </w:tc>
      </w:tr>
      <w:tr w14:paraId="43FA3D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9" w:hRule="atLeast"/>
          <w:jc w:val="center"/>
        </w:trPr>
        <w:tc>
          <w:tcPr>
            <w:tcW w:w="1018" w:type="dxa"/>
            <w:tcBorders>
              <w:top w:val="single" w:color="000000" w:sz="4" w:space="0"/>
              <w:left w:val="single" w:color="000000" w:sz="4" w:space="0"/>
              <w:bottom w:val="single" w:color="000000" w:sz="4" w:space="0"/>
              <w:right w:val="single" w:color="000000" w:sz="4" w:space="0"/>
            </w:tcBorders>
            <w:shd w:val="clear" w:color="auto" w:fill="auto"/>
          </w:tcPr>
          <w:p w14:paraId="258E6DBC">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SG05</w:t>
            </w:r>
          </w:p>
        </w:tc>
        <w:tc>
          <w:tcPr>
            <w:tcW w:w="4437" w:type="dxa"/>
            <w:tcBorders>
              <w:top w:val="single" w:color="000000" w:sz="4" w:space="0"/>
              <w:left w:val="single" w:color="000000" w:sz="4" w:space="0"/>
              <w:bottom w:val="single" w:color="000000" w:sz="4" w:space="0"/>
              <w:right w:val="single" w:color="000000" w:sz="4" w:space="0"/>
            </w:tcBorders>
            <w:shd w:val="clear" w:color="auto" w:fill="auto"/>
          </w:tcPr>
          <w:p w14:paraId="412FBDD0">
            <w:pPr>
              <w:pStyle w:val="25"/>
              <w:widowControl/>
              <w:autoSpaceDE w:val="0"/>
              <w:autoSpaceDN w:val="0"/>
              <w:spacing w:before="15" w:line="360" w:lineRule="auto"/>
              <w:ind w:left="108"/>
              <w:jc w:val="left"/>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不服从交通调度、指挥</w:t>
            </w:r>
          </w:p>
        </w:tc>
        <w:tc>
          <w:tcPr>
            <w:tcW w:w="25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91F072">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每处每次 200 元</w:t>
            </w:r>
          </w:p>
        </w:tc>
        <w:tc>
          <w:tcPr>
            <w:tcW w:w="1674" w:type="dxa"/>
            <w:tcBorders>
              <w:top w:val="single" w:color="000000" w:sz="4" w:space="0"/>
              <w:left w:val="single" w:color="000000" w:sz="4" w:space="0"/>
              <w:bottom w:val="single" w:color="000000" w:sz="4" w:space="0"/>
              <w:right w:val="single" w:color="000000" w:sz="4" w:space="0"/>
            </w:tcBorders>
            <w:shd w:val="clear" w:color="auto" w:fill="auto"/>
          </w:tcPr>
          <w:p w14:paraId="7A11CB72">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p>
        </w:tc>
      </w:tr>
      <w:tr w14:paraId="0C0BEB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9" w:hRule="atLeast"/>
          <w:jc w:val="center"/>
        </w:trPr>
        <w:tc>
          <w:tcPr>
            <w:tcW w:w="1018" w:type="dxa"/>
            <w:tcBorders>
              <w:top w:val="single" w:color="000000" w:sz="4" w:space="0"/>
              <w:left w:val="single" w:color="000000" w:sz="4" w:space="0"/>
              <w:bottom w:val="single" w:color="000000" w:sz="4" w:space="0"/>
              <w:right w:val="single" w:color="000000" w:sz="4" w:space="0"/>
            </w:tcBorders>
            <w:shd w:val="clear" w:color="auto" w:fill="auto"/>
          </w:tcPr>
          <w:p w14:paraId="43BFD046">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SG06</w:t>
            </w:r>
          </w:p>
        </w:tc>
        <w:tc>
          <w:tcPr>
            <w:tcW w:w="4437" w:type="dxa"/>
            <w:tcBorders>
              <w:top w:val="single" w:color="000000" w:sz="4" w:space="0"/>
              <w:left w:val="single" w:color="000000" w:sz="4" w:space="0"/>
              <w:bottom w:val="single" w:color="000000" w:sz="4" w:space="0"/>
              <w:right w:val="single" w:color="000000" w:sz="4" w:space="0"/>
            </w:tcBorders>
            <w:shd w:val="clear" w:color="auto" w:fill="auto"/>
          </w:tcPr>
          <w:p w14:paraId="6C022D6C">
            <w:pPr>
              <w:pStyle w:val="25"/>
              <w:widowControl/>
              <w:autoSpaceDE w:val="0"/>
              <w:autoSpaceDN w:val="0"/>
              <w:spacing w:before="15" w:line="360" w:lineRule="auto"/>
              <w:ind w:left="108"/>
              <w:jc w:val="left"/>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偷盗物品、材料等非放行单罗列物品</w:t>
            </w:r>
          </w:p>
        </w:tc>
        <w:tc>
          <w:tcPr>
            <w:tcW w:w="25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9522AE">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每处每次 5000 元</w:t>
            </w:r>
          </w:p>
        </w:tc>
        <w:tc>
          <w:tcPr>
            <w:tcW w:w="1674" w:type="dxa"/>
            <w:tcBorders>
              <w:top w:val="single" w:color="000000" w:sz="4" w:space="0"/>
              <w:left w:val="single" w:color="000000" w:sz="4" w:space="0"/>
              <w:bottom w:val="single" w:color="000000" w:sz="4" w:space="0"/>
              <w:right w:val="single" w:color="000000" w:sz="4" w:space="0"/>
            </w:tcBorders>
            <w:shd w:val="clear" w:color="auto" w:fill="auto"/>
          </w:tcPr>
          <w:p w14:paraId="4CA86CE6">
            <w:pPr>
              <w:pStyle w:val="25"/>
              <w:widowControl/>
              <w:autoSpaceDE w:val="0"/>
              <w:autoSpaceDN w:val="0"/>
              <w:spacing w:before="15" w:line="360" w:lineRule="auto"/>
              <w:ind w:left="108"/>
              <w:jc w:val="center"/>
              <w:rPr>
                <w:rFonts w:hint="eastAsia" w:ascii="Times New Roman" w:hAnsi="Times New Roman" w:eastAsia="宋体" w:cs="Times New Roman"/>
                <w:color w:val="auto"/>
                <w:sz w:val="21"/>
                <w:szCs w:val="21"/>
                <w:highlight w:val="none"/>
              </w:rPr>
            </w:pPr>
          </w:p>
        </w:tc>
      </w:tr>
      <w:tr w14:paraId="3C429A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9" w:hRule="atLeast"/>
          <w:jc w:val="center"/>
        </w:trPr>
        <w:tc>
          <w:tcPr>
            <w:tcW w:w="1018" w:type="dxa"/>
            <w:tcBorders>
              <w:top w:val="single" w:color="000000" w:sz="4" w:space="0"/>
              <w:left w:val="single" w:color="000000" w:sz="4" w:space="0"/>
              <w:bottom w:val="single" w:color="000000" w:sz="4" w:space="0"/>
              <w:right w:val="single" w:color="000000" w:sz="4" w:space="0"/>
            </w:tcBorders>
            <w:shd w:val="clear" w:color="auto" w:fill="auto"/>
          </w:tcPr>
          <w:p w14:paraId="2EB669A3">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SG07</w:t>
            </w:r>
          </w:p>
        </w:tc>
        <w:tc>
          <w:tcPr>
            <w:tcW w:w="4437" w:type="dxa"/>
            <w:tcBorders>
              <w:top w:val="single" w:color="000000" w:sz="4" w:space="0"/>
              <w:left w:val="single" w:color="000000" w:sz="4" w:space="0"/>
              <w:bottom w:val="single" w:color="000000" w:sz="4" w:space="0"/>
              <w:right w:val="single" w:color="000000" w:sz="4" w:space="0"/>
            </w:tcBorders>
            <w:shd w:val="clear" w:color="auto" w:fill="auto"/>
          </w:tcPr>
          <w:p w14:paraId="58996B5E">
            <w:pPr>
              <w:pStyle w:val="25"/>
              <w:widowControl/>
              <w:autoSpaceDE w:val="0"/>
              <w:autoSpaceDN w:val="0"/>
              <w:spacing w:before="15" w:line="360" w:lineRule="auto"/>
              <w:ind w:left="108"/>
              <w:jc w:val="left"/>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运出物品与放行单不符合</w:t>
            </w:r>
          </w:p>
        </w:tc>
        <w:tc>
          <w:tcPr>
            <w:tcW w:w="25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9599FC">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每处每次 1000 元</w:t>
            </w:r>
          </w:p>
        </w:tc>
        <w:tc>
          <w:tcPr>
            <w:tcW w:w="1674" w:type="dxa"/>
            <w:tcBorders>
              <w:top w:val="single" w:color="000000" w:sz="4" w:space="0"/>
              <w:left w:val="single" w:color="000000" w:sz="4" w:space="0"/>
              <w:bottom w:val="single" w:color="000000" w:sz="4" w:space="0"/>
              <w:right w:val="single" w:color="000000" w:sz="4" w:space="0"/>
            </w:tcBorders>
            <w:shd w:val="clear" w:color="auto" w:fill="auto"/>
          </w:tcPr>
          <w:p w14:paraId="51B04334">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p>
        </w:tc>
      </w:tr>
      <w:tr w14:paraId="5AF9C3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9" w:hRule="atLeast"/>
          <w:jc w:val="center"/>
        </w:trPr>
        <w:tc>
          <w:tcPr>
            <w:tcW w:w="1018" w:type="dxa"/>
            <w:tcBorders>
              <w:top w:val="single" w:color="000000" w:sz="4" w:space="0"/>
              <w:left w:val="single" w:color="000000" w:sz="4" w:space="0"/>
              <w:bottom w:val="single" w:color="000000" w:sz="4" w:space="0"/>
              <w:right w:val="single" w:color="000000" w:sz="4" w:space="0"/>
            </w:tcBorders>
            <w:shd w:val="clear" w:color="auto" w:fill="auto"/>
          </w:tcPr>
          <w:p w14:paraId="1B6705E7">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SG08</w:t>
            </w:r>
          </w:p>
        </w:tc>
        <w:tc>
          <w:tcPr>
            <w:tcW w:w="4437" w:type="dxa"/>
            <w:tcBorders>
              <w:top w:val="single" w:color="000000" w:sz="4" w:space="0"/>
              <w:left w:val="single" w:color="000000" w:sz="4" w:space="0"/>
              <w:bottom w:val="single" w:color="000000" w:sz="4" w:space="0"/>
              <w:right w:val="single" w:color="000000" w:sz="4" w:space="0"/>
            </w:tcBorders>
            <w:shd w:val="clear" w:color="auto" w:fill="auto"/>
          </w:tcPr>
          <w:p w14:paraId="20C6B6B2">
            <w:pPr>
              <w:pStyle w:val="25"/>
              <w:widowControl/>
              <w:autoSpaceDE w:val="0"/>
              <w:autoSpaceDN w:val="0"/>
              <w:spacing w:before="15" w:line="360" w:lineRule="auto"/>
              <w:ind w:left="108"/>
              <w:jc w:val="left"/>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必要时不配合安全引导、应急疏导等</w:t>
            </w:r>
          </w:p>
        </w:tc>
        <w:tc>
          <w:tcPr>
            <w:tcW w:w="25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350D22">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每处每次 5000 元</w:t>
            </w:r>
          </w:p>
        </w:tc>
        <w:tc>
          <w:tcPr>
            <w:tcW w:w="1674" w:type="dxa"/>
            <w:tcBorders>
              <w:top w:val="single" w:color="000000" w:sz="4" w:space="0"/>
              <w:left w:val="single" w:color="000000" w:sz="4" w:space="0"/>
              <w:bottom w:val="single" w:color="000000" w:sz="4" w:space="0"/>
              <w:right w:val="single" w:color="000000" w:sz="4" w:space="0"/>
            </w:tcBorders>
            <w:shd w:val="clear" w:color="auto" w:fill="auto"/>
          </w:tcPr>
          <w:p w14:paraId="1A6AB408">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p>
        </w:tc>
      </w:tr>
      <w:tr w14:paraId="6CC293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9" w:hRule="atLeast"/>
          <w:jc w:val="center"/>
        </w:trPr>
        <w:tc>
          <w:tcPr>
            <w:tcW w:w="1018" w:type="dxa"/>
            <w:tcBorders>
              <w:top w:val="single" w:color="000000" w:sz="4" w:space="0"/>
              <w:left w:val="single" w:color="000000" w:sz="4" w:space="0"/>
              <w:bottom w:val="single" w:color="000000" w:sz="4" w:space="0"/>
              <w:right w:val="single" w:color="000000" w:sz="4" w:space="0"/>
            </w:tcBorders>
            <w:shd w:val="clear" w:color="auto" w:fill="auto"/>
          </w:tcPr>
          <w:p w14:paraId="6CBE0558">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bidi="ar"/>
              </w:rPr>
              <w:t>SG</w:t>
            </w:r>
            <w:r>
              <w:rPr>
                <w:rFonts w:hint="default" w:ascii="Times New Roman" w:hAnsi="Times New Roman" w:eastAsia="宋体" w:cs="Times New Roman"/>
                <w:color w:val="auto"/>
                <w:sz w:val="21"/>
                <w:szCs w:val="21"/>
                <w:highlight w:val="none"/>
                <w:lang w:val="en-US" w:eastAsia="zh-CN" w:bidi="ar"/>
              </w:rPr>
              <w:t>9</w:t>
            </w:r>
          </w:p>
        </w:tc>
        <w:tc>
          <w:tcPr>
            <w:tcW w:w="4437" w:type="dxa"/>
            <w:tcBorders>
              <w:top w:val="single" w:color="000000" w:sz="4" w:space="0"/>
              <w:left w:val="single" w:color="000000" w:sz="4" w:space="0"/>
              <w:bottom w:val="single" w:color="000000" w:sz="4" w:space="0"/>
              <w:right w:val="single" w:color="000000" w:sz="4" w:space="0"/>
            </w:tcBorders>
            <w:shd w:val="clear" w:color="auto" w:fill="auto"/>
          </w:tcPr>
          <w:p w14:paraId="4B9F07CF">
            <w:pPr>
              <w:pStyle w:val="25"/>
              <w:widowControl/>
              <w:autoSpaceDE w:val="0"/>
              <w:autoSpaceDN w:val="0"/>
              <w:spacing w:before="15" w:line="360" w:lineRule="auto"/>
              <w:ind w:left="108"/>
              <w:jc w:val="left"/>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其他违反国家相关标准或项目管理规定的</w:t>
            </w:r>
          </w:p>
        </w:tc>
        <w:tc>
          <w:tcPr>
            <w:tcW w:w="25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7EB211">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每处每次 500-10000  元</w:t>
            </w:r>
          </w:p>
        </w:tc>
        <w:tc>
          <w:tcPr>
            <w:tcW w:w="1674" w:type="dxa"/>
            <w:tcBorders>
              <w:top w:val="single" w:color="000000" w:sz="4" w:space="0"/>
              <w:left w:val="single" w:color="000000" w:sz="4" w:space="0"/>
              <w:bottom w:val="single" w:color="000000" w:sz="4" w:space="0"/>
              <w:right w:val="single" w:color="000000" w:sz="4" w:space="0"/>
            </w:tcBorders>
            <w:shd w:val="clear" w:color="auto" w:fill="auto"/>
          </w:tcPr>
          <w:p w14:paraId="38E46098">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p>
        </w:tc>
      </w:tr>
      <w:tr w14:paraId="3731A7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9" w:hRule="atLeast"/>
          <w:jc w:val="center"/>
        </w:trPr>
        <w:tc>
          <w:tcPr>
            <w:tcW w:w="1018" w:type="dxa"/>
            <w:tcBorders>
              <w:top w:val="single" w:color="000000" w:sz="4" w:space="0"/>
              <w:left w:val="single" w:color="000000" w:sz="4" w:space="0"/>
              <w:bottom w:val="single" w:color="000000" w:sz="4" w:space="0"/>
              <w:right w:val="single" w:color="000000" w:sz="4" w:space="0"/>
            </w:tcBorders>
            <w:shd w:val="clear" w:color="auto" w:fill="auto"/>
          </w:tcPr>
          <w:p w14:paraId="584B8363">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lang w:val="en-US" w:eastAsia="zh-CN" w:bidi="ar"/>
              </w:rPr>
            </w:pPr>
            <w:r>
              <w:rPr>
                <w:rFonts w:hint="default" w:ascii="Times New Roman" w:hAnsi="Times New Roman" w:eastAsia="宋体" w:cs="Times New Roman"/>
                <w:color w:val="auto"/>
                <w:sz w:val="21"/>
                <w:szCs w:val="21"/>
                <w:highlight w:val="none"/>
                <w:lang w:bidi="ar"/>
              </w:rPr>
              <w:t>SG</w:t>
            </w:r>
            <w:r>
              <w:rPr>
                <w:rFonts w:hint="default" w:ascii="Times New Roman" w:hAnsi="Times New Roman" w:eastAsia="宋体" w:cs="Times New Roman"/>
                <w:color w:val="auto"/>
                <w:sz w:val="21"/>
                <w:szCs w:val="21"/>
                <w:highlight w:val="none"/>
                <w:lang w:val="en-US" w:eastAsia="zh-CN" w:bidi="ar"/>
              </w:rPr>
              <w:t>10</w:t>
            </w:r>
          </w:p>
        </w:tc>
        <w:tc>
          <w:tcPr>
            <w:tcW w:w="4437" w:type="dxa"/>
            <w:tcBorders>
              <w:top w:val="single" w:color="000000" w:sz="4" w:space="0"/>
              <w:left w:val="single" w:color="000000" w:sz="4" w:space="0"/>
              <w:bottom w:val="single" w:color="000000" w:sz="4" w:space="0"/>
              <w:right w:val="single" w:color="000000" w:sz="4" w:space="0"/>
            </w:tcBorders>
            <w:shd w:val="clear" w:color="auto" w:fill="auto"/>
          </w:tcPr>
          <w:p w14:paraId="328E7535">
            <w:pPr>
              <w:pStyle w:val="25"/>
              <w:widowControl/>
              <w:autoSpaceDE w:val="0"/>
              <w:autoSpaceDN w:val="0"/>
              <w:spacing w:before="15" w:line="360" w:lineRule="auto"/>
              <w:ind w:left="108"/>
              <w:jc w:val="left"/>
              <w:rPr>
                <w:rFonts w:hint="default" w:ascii="Times New Roman" w:hAnsi="Times New Roman" w:eastAsia="宋体" w:cs="Times New Roman"/>
                <w:color w:val="auto"/>
                <w:sz w:val="21"/>
                <w:szCs w:val="21"/>
                <w:highlight w:val="none"/>
                <w:lang w:bidi="ar"/>
              </w:rPr>
            </w:pPr>
            <w:r>
              <w:rPr>
                <w:rFonts w:hint="default" w:ascii="Times New Roman" w:hAnsi="Times New Roman" w:eastAsia="宋体" w:cs="Times New Roman"/>
                <w:bCs/>
                <w:color w:val="auto"/>
                <w:sz w:val="21"/>
                <w:szCs w:val="21"/>
                <w:highlight w:val="none"/>
              </w:rPr>
              <w:t>破坏门禁、监控等设备、材料成品等</w:t>
            </w:r>
          </w:p>
        </w:tc>
        <w:tc>
          <w:tcPr>
            <w:tcW w:w="25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B6A550">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lang w:bidi="ar"/>
              </w:rPr>
            </w:pPr>
            <w:r>
              <w:rPr>
                <w:rFonts w:hint="default" w:ascii="Times New Roman" w:hAnsi="Times New Roman" w:eastAsia="宋体" w:cs="Times New Roman"/>
                <w:bCs/>
                <w:color w:val="auto"/>
                <w:sz w:val="21"/>
                <w:szCs w:val="21"/>
                <w:highlight w:val="none"/>
              </w:rPr>
              <w:t>每处每次3000元</w:t>
            </w:r>
          </w:p>
        </w:tc>
        <w:tc>
          <w:tcPr>
            <w:tcW w:w="1674" w:type="dxa"/>
            <w:tcBorders>
              <w:top w:val="single" w:color="000000" w:sz="4" w:space="0"/>
              <w:left w:val="single" w:color="000000" w:sz="4" w:space="0"/>
              <w:bottom w:val="single" w:color="000000" w:sz="4" w:space="0"/>
              <w:right w:val="single" w:color="000000" w:sz="4" w:space="0"/>
            </w:tcBorders>
            <w:shd w:val="clear" w:color="auto" w:fill="auto"/>
          </w:tcPr>
          <w:p w14:paraId="64A1D847">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损失另计</w:t>
            </w:r>
          </w:p>
        </w:tc>
      </w:tr>
      <w:tr w14:paraId="739CA8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10" w:hRule="atLeast"/>
          <w:jc w:val="center"/>
        </w:trPr>
        <w:tc>
          <w:tcPr>
            <w:tcW w:w="1018" w:type="dxa"/>
            <w:tcBorders>
              <w:top w:val="single" w:color="000000" w:sz="4" w:space="0"/>
              <w:left w:val="single" w:color="000000" w:sz="4" w:space="0"/>
              <w:bottom w:val="single" w:color="000000" w:sz="4" w:space="0"/>
              <w:right w:val="single" w:color="000000" w:sz="4" w:space="0"/>
            </w:tcBorders>
            <w:shd w:val="clear" w:color="auto" w:fill="auto"/>
          </w:tcPr>
          <w:p w14:paraId="231C4F01">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bidi="ar"/>
              </w:rPr>
              <w:t>SG1</w:t>
            </w:r>
            <w:r>
              <w:rPr>
                <w:rFonts w:hint="default" w:ascii="Times New Roman" w:hAnsi="Times New Roman" w:eastAsia="宋体" w:cs="Times New Roman"/>
                <w:color w:val="auto"/>
                <w:sz w:val="21"/>
                <w:szCs w:val="21"/>
                <w:highlight w:val="none"/>
                <w:lang w:val="en-US" w:eastAsia="zh-CN" w:bidi="ar"/>
              </w:rPr>
              <w:t>1</w:t>
            </w:r>
          </w:p>
        </w:tc>
        <w:tc>
          <w:tcPr>
            <w:tcW w:w="4437" w:type="dxa"/>
            <w:tcBorders>
              <w:top w:val="single" w:color="000000" w:sz="4" w:space="0"/>
              <w:left w:val="single" w:color="000000" w:sz="4" w:space="0"/>
              <w:bottom w:val="single" w:color="000000" w:sz="4" w:space="0"/>
              <w:right w:val="single" w:color="000000" w:sz="4" w:space="0"/>
            </w:tcBorders>
            <w:shd w:val="clear" w:color="auto" w:fill="auto"/>
          </w:tcPr>
          <w:p w14:paraId="32431196">
            <w:pPr>
              <w:pStyle w:val="25"/>
              <w:widowControl/>
              <w:autoSpaceDE w:val="0"/>
              <w:autoSpaceDN w:val="0"/>
              <w:spacing w:before="15" w:line="360" w:lineRule="auto"/>
              <w:ind w:left="108"/>
              <w:jc w:val="left"/>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未经甲方许可</w:t>
            </w:r>
            <w:r>
              <w:rPr>
                <w:rFonts w:hint="eastAsia" w:ascii="Times New Roman" w:hAnsi="Times New Roman" w:cs="Times New Roman"/>
                <w:color w:val="auto"/>
                <w:sz w:val="21"/>
                <w:szCs w:val="21"/>
                <w:highlight w:val="none"/>
                <w:lang w:val="en-US" w:eastAsia="zh-CN" w:bidi="ar"/>
              </w:rPr>
              <w:t>的人员、车辆</w:t>
            </w:r>
            <w:r>
              <w:rPr>
                <w:rFonts w:hint="default" w:ascii="Times New Roman" w:hAnsi="Times New Roman" w:eastAsia="宋体" w:cs="Times New Roman"/>
                <w:color w:val="auto"/>
                <w:sz w:val="21"/>
                <w:szCs w:val="21"/>
                <w:highlight w:val="none"/>
                <w:lang w:bidi="ar"/>
              </w:rPr>
              <w:t>进入车间仓库或带无关人员</w:t>
            </w:r>
            <w:r>
              <w:rPr>
                <w:rFonts w:hint="eastAsia" w:ascii="Times New Roman" w:hAnsi="Times New Roman" w:cs="Times New Roman"/>
                <w:color w:val="auto"/>
                <w:sz w:val="21"/>
                <w:szCs w:val="21"/>
                <w:highlight w:val="none"/>
                <w:lang w:eastAsia="zh-CN" w:bidi="ar"/>
              </w:rPr>
              <w:t>、</w:t>
            </w:r>
            <w:r>
              <w:rPr>
                <w:rFonts w:hint="eastAsia" w:ascii="Times New Roman" w:hAnsi="Times New Roman" w:cs="Times New Roman"/>
                <w:color w:val="auto"/>
                <w:sz w:val="21"/>
                <w:szCs w:val="21"/>
                <w:highlight w:val="none"/>
                <w:lang w:val="en-US" w:eastAsia="zh-CN" w:bidi="ar"/>
              </w:rPr>
              <w:t>车辆</w:t>
            </w:r>
            <w:r>
              <w:rPr>
                <w:rFonts w:hint="default" w:ascii="Times New Roman" w:hAnsi="Times New Roman" w:eastAsia="宋体" w:cs="Times New Roman"/>
                <w:color w:val="auto"/>
                <w:sz w:val="21"/>
                <w:szCs w:val="21"/>
                <w:highlight w:val="none"/>
                <w:lang w:bidi="ar"/>
              </w:rPr>
              <w:t>进入生产区域</w:t>
            </w:r>
          </w:p>
        </w:tc>
        <w:tc>
          <w:tcPr>
            <w:tcW w:w="25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DA4169">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每人每次 500 元</w:t>
            </w:r>
          </w:p>
        </w:tc>
        <w:tc>
          <w:tcPr>
            <w:tcW w:w="1674" w:type="dxa"/>
            <w:tcBorders>
              <w:top w:val="single" w:color="000000" w:sz="4" w:space="0"/>
              <w:left w:val="single" w:color="000000" w:sz="4" w:space="0"/>
              <w:bottom w:val="single" w:color="000000" w:sz="4" w:space="0"/>
              <w:right w:val="single" w:color="000000" w:sz="4" w:space="0"/>
            </w:tcBorders>
            <w:shd w:val="clear" w:color="auto" w:fill="auto"/>
          </w:tcPr>
          <w:p w14:paraId="306F2E55">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p>
        </w:tc>
      </w:tr>
      <w:tr w14:paraId="79F14A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10" w:hRule="atLeast"/>
          <w:jc w:val="center"/>
        </w:trPr>
        <w:tc>
          <w:tcPr>
            <w:tcW w:w="1018" w:type="dxa"/>
            <w:tcBorders>
              <w:top w:val="single" w:color="000000" w:sz="4" w:space="0"/>
              <w:left w:val="single" w:color="000000" w:sz="4" w:space="0"/>
              <w:bottom w:val="single" w:color="000000" w:sz="4" w:space="0"/>
              <w:right w:val="single" w:color="000000" w:sz="4" w:space="0"/>
            </w:tcBorders>
            <w:shd w:val="clear" w:color="auto" w:fill="auto"/>
          </w:tcPr>
          <w:p w14:paraId="4B30EB27">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lang w:bidi="ar"/>
              </w:rPr>
            </w:pPr>
          </w:p>
        </w:tc>
        <w:tc>
          <w:tcPr>
            <w:tcW w:w="4437" w:type="dxa"/>
            <w:tcBorders>
              <w:top w:val="single" w:color="000000" w:sz="4" w:space="0"/>
              <w:left w:val="single" w:color="000000" w:sz="4" w:space="0"/>
              <w:bottom w:val="single" w:color="000000" w:sz="4" w:space="0"/>
              <w:right w:val="single" w:color="000000" w:sz="4" w:space="0"/>
            </w:tcBorders>
            <w:shd w:val="clear" w:color="auto" w:fill="auto"/>
          </w:tcPr>
          <w:p w14:paraId="52AD4C06">
            <w:pPr>
              <w:pStyle w:val="25"/>
              <w:widowControl/>
              <w:autoSpaceDE w:val="0"/>
              <w:autoSpaceDN w:val="0"/>
              <w:spacing w:before="15" w:line="360" w:lineRule="auto"/>
              <w:ind w:left="108"/>
              <w:jc w:val="left"/>
              <w:rPr>
                <w:rFonts w:hint="default" w:ascii="Times New Roman" w:hAnsi="Times New Roman" w:eastAsia="宋体" w:cs="Times New Roman"/>
                <w:color w:val="auto"/>
                <w:sz w:val="21"/>
                <w:szCs w:val="21"/>
                <w:highlight w:val="none"/>
                <w:lang w:bidi="ar"/>
              </w:rPr>
            </w:pPr>
            <w:r>
              <w:rPr>
                <w:rFonts w:hint="eastAsia" w:ascii="Times New Roman" w:hAnsi="Times New Roman" w:cs="Times New Roman"/>
                <w:color w:val="auto"/>
                <w:sz w:val="21"/>
                <w:szCs w:val="21"/>
                <w:highlight w:val="none"/>
                <w:lang w:val="en-US" w:eastAsia="zh-CN" w:bidi="ar"/>
              </w:rPr>
              <w:t>未经甲方许可在园区拍照、摄像等</w:t>
            </w:r>
          </w:p>
        </w:tc>
        <w:tc>
          <w:tcPr>
            <w:tcW w:w="25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F2C25D">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lang w:bidi="ar"/>
              </w:rPr>
            </w:pPr>
            <w:r>
              <w:rPr>
                <w:rFonts w:hint="default" w:ascii="Times New Roman" w:hAnsi="Times New Roman" w:eastAsia="宋体" w:cs="Times New Roman"/>
                <w:color w:val="auto"/>
                <w:sz w:val="21"/>
                <w:szCs w:val="21"/>
                <w:highlight w:val="none"/>
                <w:lang w:bidi="ar"/>
              </w:rPr>
              <w:t xml:space="preserve">每人每次 </w:t>
            </w:r>
            <w:r>
              <w:rPr>
                <w:rFonts w:hint="eastAsia" w:ascii="Times New Roman" w:hAnsi="Times New Roman" w:cs="Times New Roman"/>
                <w:color w:val="auto"/>
                <w:sz w:val="21"/>
                <w:szCs w:val="21"/>
                <w:highlight w:val="none"/>
                <w:lang w:val="en-US" w:eastAsia="zh-CN" w:bidi="ar"/>
              </w:rPr>
              <w:t>200</w:t>
            </w:r>
            <w:r>
              <w:rPr>
                <w:rFonts w:hint="default" w:ascii="Times New Roman" w:hAnsi="Times New Roman" w:eastAsia="宋体" w:cs="Times New Roman"/>
                <w:color w:val="auto"/>
                <w:sz w:val="21"/>
                <w:szCs w:val="21"/>
                <w:highlight w:val="none"/>
                <w:lang w:bidi="ar"/>
              </w:rPr>
              <w:t xml:space="preserve"> 元</w:t>
            </w:r>
          </w:p>
        </w:tc>
        <w:tc>
          <w:tcPr>
            <w:tcW w:w="1674" w:type="dxa"/>
            <w:tcBorders>
              <w:top w:val="single" w:color="000000" w:sz="4" w:space="0"/>
              <w:left w:val="single" w:color="000000" w:sz="4" w:space="0"/>
              <w:bottom w:val="single" w:color="000000" w:sz="4" w:space="0"/>
              <w:right w:val="single" w:color="000000" w:sz="4" w:space="0"/>
            </w:tcBorders>
            <w:shd w:val="clear" w:color="auto" w:fill="auto"/>
          </w:tcPr>
          <w:p w14:paraId="332CBCA8">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p>
        </w:tc>
      </w:tr>
    </w:tbl>
    <w:p w14:paraId="3C870A3B">
      <w:pPr>
        <w:overflowPunct w:val="0"/>
        <w:autoSpaceDE w:val="0"/>
        <w:autoSpaceDN w:val="0"/>
        <w:adjustRightInd w:val="0"/>
        <w:spacing w:line="48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4.7.</w:t>
      </w:r>
      <w:r>
        <w:rPr>
          <w:rFonts w:hint="eastAsia" w:cs="Times New Roman"/>
          <w:bCs/>
          <w:color w:val="auto"/>
          <w:sz w:val="21"/>
          <w:szCs w:val="21"/>
          <w:highlight w:val="none"/>
          <w:lang w:val="en-US" w:eastAsia="zh-CN"/>
        </w:rPr>
        <w:t>4</w:t>
      </w:r>
      <w:r>
        <w:rPr>
          <w:rFonts w:hint="default" w:ascii="Times New Roman" w:hAnsi="Times New Roman" w:eastAsia="宋体" w:cs="Times New Roman"/>
          <w:bCs/>
          <w:color w:val="auto"/>
          <w:sz w:val="21"/>
          <w:szCs w:val="21"/>
          <w:highlight w:val="none"/>
        </w:rPr>
        <w:t xml:space="preserve"> 危险化学品管理</w:t>
      </w:r>
    </w:p>
    <w:tbl>
      <w:tblPr>
        <w:tblStyle w:val="30"/>
        <w:tblW w:w="9965"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67"/>
        <w:gridCol w:w="4485"/>
        <w:gridCol w:w="2565"/>
        <w:gridCol w:w="1740"/>
      </w:tblGrid>
      <w:tr w14:paraId="580854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1" w:hRule="atLeast"/>
          <w:jc w:val="center"/>
        </w:trPr>
        <w:tc>
          <w:tcPr>
            <w:tcW w:w="10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8153BE">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序号</w:t>
            </w:r>
          </w:p>
        </w:tc>
        <w:tc>
          <w:tcPr>
            <w:tcW w:w="44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EA80DE">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违章内容</w:t>
            </w:r>
          </w:p>
        </w:tc>
        <w:tc>
          <w:tcPr>
            <w:tcW w:w="25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D29E70">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罚款金额</w:t>
            </w:r>
          </w:p>
        </w:tc>
        <w:tc>
          <w:tcPr>
            <w:tcW w:w="17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E3737F">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备注</w:t>
            </w:r>
          </w:p>
        </w:tc>
      </w:tr>
      <w:tr w14:paraId="3223F8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1" w:hRule="atLeast"/>
          <w:jc w:val="center"/>
        </w:trPr>
        <w:tc>
          <w:tcPr>
            <w:tcW w:w="10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53DB14">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HC01</w:t>
            </w:r>
          </w:p>
        </w:tc>
        <w:tc>
          <w:tcPr>
            <w:tcW w:w="44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45C644">
            <w:pPr>
              <w:pStyle w:val="25"/>
              <w:widowControl/>
              <w:autoSpaceDE w:val="0"/>
              <w:autoSpaceDN w:val="0"/>
              <w:spacing w:before="15" w:line="360" w:lineRule="auto"/>
              <w:ind w:left="108"/>
              <w:jc w:val="left"/>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未按合法途径采购合格危化品</w:t>
            </w:r>
          </w:p>
        </w:tc>
        <w:tc>
          <w:tcPr>
            <w:tcW w:w="25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2CCABD">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每处每次 2000 元</w:t>
            </w:r>
          </w:p>
        </w:tc>
        <w:tc>
          <w:tcPr>
            <w:tcW w:w="17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6E2E9D">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p>
        </w:tc>
      </w:tr>
      <w:tr w14:paraId="3B7F9E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1" w:hRule="atLeast"/>
          <w:jc w:val="center"/>
        </w:trPr>
        <w:tc>
          <w:tcPr>
            <w:tcW w:w="10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97657E">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HC02</w:t>
            </w:r>
          </w:p>
        </w:tc>
        <w:tc>
          <w:tcPr>
            <w:tcW w:w="44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55BA07">
            <w:pPr>
              <w:pStyle w:val="25"/>
              <w:widowControl/>
              <w:autoSpaceDE w:val="0"/>
              <w:autoSpaceDN w:val="0"/>
              <w:spacing w:before="15" w:line="360" w:lineRule="auto"/>
              <w:ind w:left="108"/>
              <w:jc w:val="left"/>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未按规范规定堆放危险化学品</w:t>
            </w:r>
          </w:p>
        </w:tc>
        <w:tc>
          <w:tcPr>
            <w:tcW w:w="25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E09C15">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每处每次 1000 元</w:t>
            </w:r>
          </w:p>
        </w:tc>
        <w:tc>
          <w:tcPr>
            <w:tcW w:w="17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AE95FD">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p>
        </w:tc>
      </w:tr>
      <w:tr w14:paraId="2C9D6E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4" w:hRule="atLeast"/>
          <w:jc w:val="center"/>
        </w:trPr>
        <w:tc>
          <w:tcPr>
            <w:tcW w:w="10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4EFC49">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HC03</w:t>
            </w:r>
          </w:p>
        </w:tc>
        <w:tc>
          <w:tcPr>
            <w:tcW w:w="44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696562">
            <w:pPr>
              <w:pStyle w:val="25"/>
              <w:widowControl/>
              <w:autoSpaceDE w:val="0"/>
              <w:autoSpaceDN w:val="0"/>
              <w:spacing w:before="15" w:line="360" w:lineRule="auto"/>
              <w:ind w:left="108"/>
              <w:jc w:val="left"/>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危险化学品包装无相应出厂货品信息</w:t>
            </w:r>
          </w:p>
        </w:tc>
        <w:tc>
          <w:tcPr>
            <w:tcW w:w="25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D27EDE">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每处每次 500 元</w:t>
            </w:r>
          </w:p>
        </w:tc>
        <w:tc>
          <w:tcPr>
            <w:tcW w:w="17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08534A">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p>
        </w:tc>
      </w:tr>
      <w:tr w14:paraId="5FC92E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7" w:hRule="atLeast"/>
          <w:jc w:val="center"/>
        </w:trPr>
        <w:tc>
          <w:tcPr>
            <w:tcW w:w="106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7C04D6">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HC04</w:t>
            </w:r>
          </w:p>
        </w:tc>
        <w:tc>
          <w:tcPr>
            <w:tcW w:w="44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99D58A">
            <w:pPr>
              <w:pStyle w:val="25"/>
              <w:widowControl/>
              <w:autoSpaceDE w:val="0"/>
              <w:autoSpaceDN w:val="0"/>
              <w:spacing w:before="15" w:line="360" w:lineRule="auto"/>
              <w:ind w:left="108"/>
              <w:jc w:val="left"/>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其他违反国家相关标准和项目管理规定</w:t>
            </w:r>
          </w:p>
        </w:tc>
        <w:tc>
          <w:tcPr>
            <w:tcW w:w="25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F911A3">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bidi="ar"/>
              </w:rPr>
              <w:t>每处每次 200-20000  元</w:t>
            </w:r>
          </w:p>
        </w:tc>
        <w:tc>
          <w:tcPr>
            <w:tcW w:w="17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A7E423">
            <w:pPr>
              <w:pStyle w:val="25"/>
              <w:widowControl/>
              <w:autoSpaceDE w:val="0"/>
              <w:autoSpaceDN w:val="0"/>
              <w:spacing w:before="15" w:line="360" w:lineRule="auto"/>
              <w:ind w:left="108"/>
              <w:jc w:val="center"/>
              <w:rPr>
                <w:rFonts w:hint="default" w:ascii="Times New Roman" w:hAnsi="Times New Roman" w:eastAsia="宋体" w:cs="Times New Roman"/>
                <w:color w:val="auto"/>
                <w:sz w:val="21"/>
                <w:szCs w:val="21"/>
                <w:highlight w:val="none"/>
              </w:rPr>
            </w:pPr>
          </w:p>
        </w:tc>
      </w:tr>
    </w:tbl>
    <w:p w14:paraId="1332B174">
      <w:pPr>
        <w:overflowPunct w:val="0"/>
        <w:autoSpaceDE w:val="0"/>
        <w:autoSpaceDN w:val="0"/>
        <w:adjustRightInd w:val="0"/>
        <w:spacing w:line="360" w:lineRule="auto"/>
        <w:textAlignment w:val="baseline"/>
        <w:rPr>
          <w:rFonts w:hint="default" w:ascii="Times New Roman" w:hAnsi="Times New Roman" w:eastAsia="宋体" w:cs="Times New Roman"/>
          <w:b/>
          <w:color w:val="auto"/>
          <w:sz w:val="21"/>
          <w:szCs w:val="21"/>
          <w:highlight w:val="none"/>
        </w:rPr>
      </w:pPr>
    </w:p>
    <w:p w14:paraId="4D36C8C1">
      <w:pPr>
        <w:overflowPunct w:val="0"/>
        <w:autoSpaceDE w:val="0"/>
        <w:autoSpaceDN w:val="0"/>
        <w:adjustRightInd w:val="0"/>
        <w:spacing w:line="360" w:lineRule="auto"/>
        <w:textAlignment w:val="baseline"/>
        <w:rPr>
          <w:rFonts w:hint="default" w:ascii="Times New Roman" w:hAnsi="Times New Roman" w:eastAsia="宋体" w:cs="Times New Roman"/>
          <w:b/>
          <w:color w:val="auto"/>
          <w:sz w:val="21"/>
          <w:szCs w:val="21"/>
          <w:highlight w:val="none"/>
        </w:rPr>
      </w:pPr>
      <w:r>
        <w:rPr>
          <w:rFonts w:hint="default" w:ascii="Times New Roman" w:hAnsi="Times New Roman" w:eastAsia="宋体" w:cs="Times New Roman"/>
          <w:b/>
          <w:color w:val="auto"/>
          <w:sz w:val="21"/>
          <w:szCs w:val="21"/>
          <w:highlight w:val="none"/>
        </w:rPr>
        <w:t>5. 重要说明</w:t>
      </w:r>
    </w:p>
    <w:p w14:paraId="69341B7A">
      <w:pPr>
        <w:overflowPunct w:val="0"/>
        <w:autoSpaceDE w:val="0"/>
        <w:autoSpaceDN w:val="0"/>
        <w:adjustRightInd w:val="0"/>
        <w:spacing w:line="36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5.1 以上罚款均为人民币；</w:t>
      </w:r>
    </w:p>
    <w:p w14:paraId="1EB0279D">
      <w:pPr>
        <w:overflowPunct w:val="0"/>
        <w:autoSpaceDE w:val="0"/>
        <w:autoSpaceDN w:val="0"/>
        <w:adjustRightInd w:val="0"/>
        <w:spacing w:line="36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5.2 收到罚款单之日起</w:t>
      </w:r>
      <w:r>
        <w:rPr>
          <w:rFonts w:hint="eastAsia" w:ascii="Times New Roman" w:hAnsi="Times New Roman" w:cs="Times New Roman"/>
          <w:bCs/>
          <w:color w:val="auto"/>
          <w:sz w:val="21"/>
          <w:szCs w:val="21"/>
          <w:highlight w:val="none"/>
          <w:lang w:val="en-US" w:eastAsia="zh-CN"/>
        </w:rPr>
        <w:t>7</w:t>
      </w:r>
      <w:r>
        <w:rPr>
          <w:rFonts w:hint="default" w:ascii="Times New Roman" w:hAnsi="Times New Roman" w:eastAsia="宋体" w:cs="Times New Roman"/>
          <w:bCs/>
          <w:color w:val="auto"/>
          <w:sz w:val="21"/>
          <w:szCs w:val="21"/>
          <w:highlight w:val="none"/>
        </w:rPr>
        <w:t>个工作内上交罚款；</w:t>
      </w:r>
    </w:p>
    <w:p w14:paraId="465ACBB5">
      <w:pPr>
        <w:overflowPunct w:val="0"/>
        <w:autoSpaceDE w:val="0"/>
        <w:autoSpaceDN w:val="0"/>
        <w:adjustRightInd w:val="0"/>
        <w:spacing w:line="36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5.3 拒不缴纳罚款的，按应罚款金额的10倍在</w:t>
      </w:r>
      <w:r>
        <w:rPr>
          <w:rFonts w:hint="eastAsia" w:ascii="Times New Roman" w:hAnsi="Times New Roman" w:cs="Times New Roman"/>
          <w:bCs/>
          <w:color w:val="auto"/>
          <w:sz w:val="21"/>
          <w:szCs w:val="21"/>
          <w:highlight w:val="none"/>
          <w:lang w:val="en-US" w:eastAsia="zh-CN"/>
        </w:rPr>
        <w:t>货</w:t>
      </w:r>
      <w:r>
        <w:rPr>
          <w:rFonts w:hint="default" w:ascii="Times New Roman" w:hAnsi="Times New Roman" w:eastAsia="宋体" w:cs="Times New Roman"/>
          <w:bCs/>
          <w:color w:val="auto"/>
          <w:sz w:val="21"/>
          <w:szCs w:val="21"/>
          <w:highlight w:val="none"/>
        </w:rPr>
        <w:t>款</w:t>
      </w:r>
      <w:r>
        <w:rPr>
          <w:rFonts w:hint="eastAsia" w:ascii="Times New Roman" w:hAnsi="Times New Roman" w:cs="Times New Roman"/>
          <w:bCs/>
          <w:color w:val="auto"/>
          <w:sz w:val="21"/>
          <w:szCs w:val="21"/>
          <w:highlight w:val="none"/>
          <w:lang w:eastAsia="zh-CN"/>
        </w:rPr>
        <w:t>、</w:t>
      </w:r>
      <w:r>
        <w:rPr>
          <w:rFonts w:hint="eastAsia" w:ascii="Times New Roman" w:hAnsi="Times New Roman" w:cs="Times New Roman"/>
          <w:bCs/>
          <w:color w:val="auto"/>
          <w:sz w:val="21"/>
          <w:szCs w:val="21"/>
          <w:highlight w:val="none"/>
          <w:lang w:val="en-US" w:eastAsia="zh-CN"/>
        </w:rPr>
        <w:t>履约保证金、质保金（如有）等款项</w:t>
      </w:r>
      <w:r>
        <w:rPr>
          <w:rFonts w:hint="default" w:ascii="Times New Roman" w:hAnsi="Times New Roman" w:eastAsia="宋体" w:cs="Times New Roman"/>
          <w:bCs/>
          <w:color w:val="auto"/>
          <w:sz w:val="21"/>
          <w:szCs w:val="21"/>
          <w:highlight w:val="none"/>
        </w:rPr>
        <w:t>中直接扣除；</w:t>
      </w:r>
    </w:p>
    <w:p w14:paraId="2C497907">
      <w:pPr>
        <w:overflowPunct w:val="0"/>
        <w:autoSpaceDE w:val="0"/>
        <w:autoSpaceDN w:val="0"/>
        <w:adjustRightInd w:val="0"/>
        <w:spacing w:line="36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5.</w:t>
      </w:r>
      <w:r>
        <w:rPr>
          <w:rFonts w:hint="eastAsia" w:cs="Times New Roman"/>
          <w:bCs/>
          <w:color w:val="auto"/>
          <w:sz w:val="21"/>
          <w:szCs w:val="21"/>
          <w:highlight w:val="none"/>
          <w:lang w:val="en-US" w:eastAsia="zh-CN"/>
        </w:rPr>
        <w:t>4</w:t>
      </w:r>
      <w:r>
        <w:rPr>
          <w:rFonts w:hint="default" w:ascii="Times New Roman" w:hAnsi="Times New Roman" w:eastAsia="宋体" w:cs="Times New Roman"/>
          <w:bCs/>
          <w:color w:val="auto"/>
          <w:sz w:val="21"/>
          <w:szCs w:val="21"/>
          <w:highlight w:val="none"/>
        </w:rPr>
        <w:t xml:space="preserve"> 以上处罚标准按发现情况单次计算，不同违章违规行为累加处罚</w:t>
      </w:r>
      <w:r>
        <w:rPr>
          <w:rFonts w:hint="eastAsia" w:ascii="Times New Roman" w:hAnsi="Times New Roman" w:cs="Times New Roman"/>
          <w:bCs/>
          <w:color w:val="auto"/>
          <w:sz w:val="21"/>
          <w:szCs w:val="21"/>
          <w:highlight w:val="none"/>
          <w:lang w:eastAsia="zh-CN"/>
        </w:rPr>
        <w:t>；</w:t>
      </w:r>
    </w:p>
    <w:p w14:paraId="73A16D3B">
      <w:pPr>
        <w:overflowPunct w:val="0"/>
        <w:autoSpaceDE w:val="0"/>
        <w:autoSpaceDN w:val="0"/>
        <w:adjustRightInd w:val="0"/>
        <w:spacing w:line="36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5.</w:t>
      </w:r>
      <w:r>
        <w:rPr>
          <w:rFonts w:hint="eastAsia" w:cs="Times New Roman"/>
          <w:bCs/>
          <w:color w:val="auto"/>
          <w:sz w:val="21"/>
          <w:szCs w:val="21"/>
          <w:highlight w:val="none"/>
          <w:lang w:val="en-US" w:eastAsia="zh-CN"/>
        </w:rPr>
        <w:t>5</w:t>
      </w:r>
      <w:r>
        <w:rPr>
          <w:rFonts w:hint="default" w:ascii="Times New Roman" w:hAnsi="Times New Roman" w:eastAsia="宋体" w:cs="Times New Roman"/>
          <w:bCs/>
          <w:color w:val="auto"/>
          <w:sz w:val="21"/>
          <w:szCs w:val="21"/>
          <w:highlight w:val="none"/>
        </w:rPr>
        <w:t xml:space="preserve"> 凡违章违规行为均要受到处罚，在限期内整改完毕，拖延整改，拒不整改，甲方有权直接下停工令，并在原处罚的基础上加倍进行处罚，直至清出现场</w:t>
      </w:r>
      <w:r>
        <w:rPr>
          <w:rFonts w:hint="eastAsia" w:ascii="Times New Roman" w:hAnsi="Times New Roman" w:cs="Times New Roman"/>
          <w:bCs/>
          <w:color w:val="auto"/>
          <w:sz w:val="21"/>
          <w:szCs w:val="21"/>
          <w:highlight w:val="none"/>
          <w:lang w:eastAsia="zh-CN"/>
        </w:rPr>
        <w:t>；</w:t>
      </w:r>
    </w:p>
    <w:p w14:paraId="05ABFEB8">
      <w:pPr>
        <w:overflowPunct w:val="0"/>
        <w:autoSpaceDE w:val="0"/>
        <w:autoSpaceDN w:val="0"/>
        <w:adjustRightInd w:val="0"/>
        <w:spacing w:line="360" w:lineRule="auto"/>
        <w:ind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5.</w:t>
      </w:r>
      <w:r>
        <w:rPr>
          <w:rFonts w:hint="eastAsia" w:cs="Times New Roman"/>
          <w:bCs/>
          <w:color w:val="auto"/>
          <w:sz w:val="21"/>
          <w:szCs w:val="21"/>
          <w:highlight w:val="none"/>
          <w:lang w:val="en-US" w:eastAsia="zh-CN"/>
        </w:rPr>
        <w:t>6</w:t>
      </w:r>
      <w:r>
        <w:rPr>
          <w:rFonts w:hint="default" w:ascii="Times New Roman" w:hAnsi="Times New Roman" w:eastAsia="宋体" w:cs="Times New Roman"/>
          <w:bCs/>
          <w:color w:val="auto"/>
          <w:sz w:val="21"/>
          <w:szCs w:val="21"/>
          <w:highlight w:val="none"/>
        </w:rPr>
        <w:t xml:space="preserve"> 甲方保留对本细则的最终解释权。</w:t>
      </w:r>
    </w:p>
    <w:p w14:paraId="3DBFB655">
      <w:pPr>
        <w:numPr>
          <w:ilvl w:val="12"/>
          <w:numId w:val="0"/>
        </w:numPr>
        <w:tabs>
          <w:tab w:val="left" w:pos="3480"/>
        </w:tabs>
        <w:spacing w:line="280" w:lineRule="exact"/>
        <w:rPr>
          <w:rFonts w:hint="default" w:ascii="Times New Roman" w:hAnsi="Times New Roman" w:eastAsia="宋体" w:cs="Times New Roman"/>
          <w:color w:val="auto"/>
          <w:highlight w:val="none"/>
        </w:rPr>
      </w:pPr>
    </w:p>
    <w:p w14:paraId="2EBC65FF">
      <w:pPr>
        <w:widowControl/>
        <w:numPr>
          <w:ilvl w:val="255"/>
          <w:numId w:val="0"/>
        </w:numPr>
        <w:spacing w:line="240" w:lineRule="auto"/>
        <w:jc w:val="left"/>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br w:type="page"/>
      </w:r>
    </w:p>
    <w:p w14:paraId="5746DD62">
      <w:pPr>
        <w:keepNext w:val="0"/>
        <w:keepLines w:val="0"/>
        <w:pageBreakBefore w:val="0"/>
        <w:widowControl/>
        <w:numPr>
          <w:ilvl w:val="-1"/>
          <w:numId w:val="0"/>
        </w:numPr>
        <w:kinsoku/>
        <w:wordWrap/>
        <w:overflowPunct w:val="0"/>
        <w:topLinePunct w:val="0"/>
        <w:autoSpaceDE w:val="0"/>
        <w:autoSpaceDN w:val="0"/>
        <w:bidi w:val="0"/>
        <w:adjustRightInd w:val="0"/>
        <w:snapToGrid w:val="0"/>
        <w:spacing w:line="360" w:lineRule="auto"/>
        <w:ind w:left="0" w:leftChars="0" w:right="0" w:rightChars="0"/>
        <w:jc w:val="left"/>
        <w:textAlignment w:val="baseline"/>
        <w:outlineLvl w:val="9"/>
        <w:rPr>
          <w:rFonts w:hint="default" w:ascii="Times New Roman" w:hAnsi="Times New Roman" w:eastAsia="宋体" w:cs="Times New Roman"/>
          <w:bCs/>
          <w:color w:val="auto"/>
          <w:szCs w:val="21"/>
          <w:highlight w:val="none"/>
          <w:lang w:val="en-US" w:eastAsia="zh-CN"/>
        </w:rPr>
      </w:pPr>
      <w:r>
        <w:rPr>
          <w:rFonts w:hint="default" w:ascii="Times New Roman" w:hAnsi="Times New Roman" w:eastAsia="宋体" w:cs="Times New Roman"/>
          <w:bCs/>
          <w:color w:val="auto"/>
          <w:szCs w:val="21"/>
          <w:highlight w:val="none"/>
          <w:lang w:val="en-US" w:eastAsia="zh-CN"/>
        </w:rPr>
        <w:t>附件2：</w:t>
      </w:r>
    </w:p>
    <w:p w14:paraId="5DE7BB34">
      <w:pPr>
        <w:keepNext w:val="0"/>
        <w:keepLines w:val="0"/>
        <w:pageBreakBefore w:val="0"/>
        <w:widowControl/>
        <w:kinsoku/>
        <w:wordWrap/>
        <w:overflowPunct w:val="0"/>
        <w:topLinePunct w:val="0"/>
        <w:autoSpaceDE w:val="0"/>
        <w:autoSpaceDN w:val="0"/>
        <w:bidi w:val="0"/>
        <w:adjustRightInd w:val="0"/>
        <w:snapToGrid w:val="0"/>
        <w:spacing w:line="360" w:lineRule="auto"/>
        <w:ind w:left="0" w:leftChars="0" w:right="0" w:rightChars="0"/>
        <w:jc w:val="center"/>
        <w:textAlignment w:val="baseline"/>
        <w:outlineLvl w:val="0"/>
        <w:rPr>
          <w:rFonts w:hint="default" w:ascii="Times New Roman" w:hAnsi="Times New Roman" w:eastAsia="宋体" w:cs="Times New Roman"/>
          <w:bCs/>
          <w:color w:val="auto"/>
          <w:kern w:val="44"/>
          <w:sz w:val="32"/>
          <w:szCs w:val="44"/>
          <w:highlight w:val="none"/>
        </w:rPr>
      </w:pPr>
      <w:bookmarkStart w:id="443" w:name="_Toc24917"/>
      <w:bookmarkStart w:id="444" w:name="_Toc872"/>
      <w:r>
        <w:rPr>
          <w:rFonts w:hint="default" w:ascii="Times New Roman" w:hAnsi="Times New Roman" w:eastAsia="宋体" w:cs="Times New Roman"/>
          <w:bCs/>
          <w:color w:val="auto"/>
          <w:kern w:val="44"/>
          <w:sz w:val="32"/>
          <w:szCs w:val="44"/>
          <w:highlight w:val="none"/>
        </w:rPr>
        <w:t>事故处罚实施细则</w:t>
      </w:r>
      <w:bookmarkEnd w:id="443"/>
      <w:bookmarkEnd w:id="444"/>
    </w:p>
    <w:p w14:paraId="43A141BD">
      <w:pPr>
        <w:keepNext w:val="0"/>
        <w:keepLines w:val="0"/>
        <w:pageBreakBefore w:val="0"/>
        <w:widowControl/>
        <w:kinsoku/>
        <w:wordWrap/>
        <w:topLinePunct w:val="0"/>
        <w:bidi w:val="0"/>
        <w:adjustRightInd w:val="0"/>
        <w:snapToGrid w:val="0"/>
        <w:ind w:left="0" w:leftChars="0" w:right="0" w:rightChars="0"/>
        <w:rPr>
          <w:rFonts w:hint="default"/>
          <w:color w:val="auto"/>
          <w:highlight w:val="none"/>
        </w:rPr>
      </w:pPr>
      <w:bookmarkStart w:id="445" w:name="_Toc497319749"/>
      <w:bookmarkStart w:id="446" w:name="_Toc497325762"/>
      <w:bookmarkStart w:id="447" w:name="_Toc18323"/>
      <w:r>
        <w:rPr>
          <w:rFonts w:hint="default"/>
          <w:color w:val="auto"/>
          <w:highlight w:val="none"/>
        </w:rPr>
        <w:t>1. 范围</w:t>
      </w:r>
      <w:bookmarkEnd w:id="445"/>
      <w:bookmarkEnd w:id="446"/>
      <w:bookmarkEnd w:id="447"/>
    </w:p>
    <w:p w14:paraId="4D06F884">
      <w:pPr>
        <w:keepNext w:val="0"/>
        <w:keepLines w:val="0"/>
        <w:pageBreakBefore w:val="0"/>
        <w:widowControl/>
        <w:kinsoku/>
        <w:wordWrap/>
        <w:topLinePunct w:val="0"/>
        <w:autoSpaceDE w:val="0"/>
        <w:autoSpaceDN w:val="0"/>
        <w:bidi w:val="0"/>
        <w:adjustRightInd w:val="0"/>
        <w:snapToGrid w:val="0"/>
        <w:spacing w:line="360" w:lineRule="auto"/>
        <w:ind w:left="0" w:leftChars="0" w:right="0" w:rightChars="0" w:firstLine="420" w:firstLineChars="200"/>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color w:val="auto"/>
          <w:kern w:val="0"/>
          <w:sz w:val="21"/>
          <w:szCs w:val="21"/>
          <w:highlight w:val="none"/>
        </w:rPr>
        <w:t>1.1 本细则明确了甲方所有工程项目各类事故管理标准、管理内容、要求与方法。</w:t>
      </w:r>
    </w:p>
    <w:p w14:paraId="5EE98E34">
      <w:pPr>
        <w:keepNext w:val="0"/>
        <w:keepLines w:val="0"/>
        <w:pageBreakBefore w:val="0"/>
        <w:widowControl/>
        <w:kinsoku/>
        <w:wordWrap/>
        <w:topLinePunct w:val="0"/>
        <w:autoSpaceDE w:val="0"/>
        <w:autoSpaceDN w:val="0"/>
        <w:bidi w:val="0"/>
        <w:adjustRightInd w:val="0"/>
        <w:snapToGrid w:val="0"/>
        <w:spacing w:line="360" w:lineRule="auto"/>
        <w:ind w:left="0" w:leftChars="0" w:right="0" w:rightChars="0" w:firstLine="420" w:firstLineChars="200"/>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color w:val="auto"/>
          <w:kern w:val="0"/>
          <w:sz w:val="21"/>
          <w:szCs w:val="21"/>
          <w:highlight w:val="none"/>
        </w:rPr>
        <w:t>1.2 本规定适用于甲方所有标段的项目。</w:t>
      </w:r>
    </w:p>
    <w:p w14:paraId="6A113792">
      <w:pPr>
        <w:keepNext w:val="0"/>
        <w:keepLines w:val="0"/>
        <w:pageBreakBefore w:val="0"/>
        <w:widowControl/>
        <w:kinsoku/>
        <w:wordWrap/>
        <w:topLinePunct w:val="0"/>
        <w:bidi w:val="0"/>
        <w:adjustRightInd w:val="0"/>
        <w:snapToGrid w:val="0"/>
        <w:ind w:left="0" w:leftChars="0" w:right="0" w:rightChars="0"/>
        <w:rPr>
          <w:rFonts w:hint="default"/>
          <w:color w:val="auto"/>
          <w:highlight w:val="none"/>
        </w:rPr>
      </w:pPr>
      <w:bookmarkStart w:id="448" w:name="_Toc497325763"/>
      <w:bookmarkStart w:id="449" w:name="_Toc3336"/>
      <w:bookmarkStart w:id="450" w:name="_Toc497319750"/>
      <w:r>
        <w:rPr>
          <w:rFonts w:hint="default"/>
          <w:color w:val="auto"/>
          <w:highlight w:val="none"/>
        </w:rPr>
        <w:t>2. 职责</w:t>
      </w:r>
      <w:bookmarkEnd w:id="448"/>
      <w:bookmarkEnd w:id="449"/>
      <w:bookmarkEnd w:id="450"/>
    </w:p>
    <w:p w14:paraId="4305D1CF">
      <w:pPr>
        <w:keepNext w:val="0"/>
        <w:keepLines w:val="0"/>
        <w:pageBreakBefore w:val="0"/>
        <w:widowControl/>
        <w:kinsoku/>
        <w:wordWrap/>
        <w:topLinePunct w:val="0"/>
        <w:autoSpaceDE w:val="0"/>
        <w:autoSpaceDN w:val="0"/>
        <w:bidi w:val="0"/>
        <w:adjustRightInd w:val="0"/>
        <w:snapToGrid w:val="0"/>
        <w:spacing w:line="360" w:lineRule="auto"/>
        <w:ind w:left="0" w:leftChars="0" w:right="0" w:rightChars="0" w:firstLine="420" w:firstLineChars="200"/>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color w:val="auto"/>
          <w:kern w:val="0"/>
          <w:sz w:val="21"/>
          <w:szCs w:val="21"/>
          <w:highlight w:val="none"/>
        </w:rPr>
        <w:t>2.1 甲方</w:t>
      </w:r>
      <w:r>
        <w:rPr>
          <w:rFonts w:hint="eastAsia" w:cs="Times New Roman"/>
          <w:color w:val="auto"/>
          <w:kern w:val="0"/>
          <w:sz w:val="21"/>
          <w:szCs w:val="21"/>
          <w:highlight w:val="none"/>
          <w:lang w:val="en-US" w:eastAsia="zh-CN"/>
        </w:rPr>
        <w:t>安环等</w:t>
      </w:r>
      <w:r>
        <w:rPr>
          <w:rFonts w:hint="default" w:ascii="Times New Roman" w:hAnsi="Times New Roman" w:eastAsia="宋体" w:cs="Times New Roman"/>
          <w:color w:val="auto"/>
          <w:kern w:val="0"/>
          <w:sz w:val="21"/>
          <w:szCs w:val="21"/>
          <w:highlight w:val="none"/>
        </w:rPr>
        <w:t>相关部门有关人员对事故单位按本细则标准执行处罚。处罚对象为乙方。</w:t>
      </w:r>
    </w:p>
    <w:p w14:paraId="391FF061">
      <w:pPr>
        <w:keepNext w:val="0"/>
        <w:keepLines w:val="0"/>
        <w:pageBreakBefore w:val="0"/>
        <w:widowControl/>
        <w:kinsoku/>
        <w:wordWrap/>
        <w:topLinePunct w:val="0"/>
        <w:bidi w:val="0"/>
        <w:adjustRightInd w:val="0"/>
        <w:snapToGrid w:val="0"/>
        <w:ind w:left="0" w:leftChars="0" w:right="0" w:rightChars="0"/>
        <w:rPr>
          <w:rFonts w:hint="default"/>
          <w:color w:val="auto"/>
          <w:highlight w:val="none"/>
        </w:rPr>
      </w:pPr>
      <w:bookmarkStart w:id="451" w:name="_Toc497319751"/>
      <w:bookmarkStart w:id="452" w:name="_Toc497325764"/>
      <w:bookmarkStart w:id="453" w:name="_Toc2172"/>
      <w:r>
        <w:rPr>
          <w:rFonts w:hint="default"/>
          <w:color w:val="auto"/>
          <w:highlight w:val="none"/>
        </w:rPr>
        <w:t>3. 内容</w:t>
      </w:r>
      <w:bookmarkEnd w:id="451"/>
      <w:bookmarkEnd w:id="452"/>
      <w:bookmarkEnd w:id="453"/>
    </w:p>
    <w:p w14:paraId="7ED6824C">
      <w:pPr>
        <w:keepNext w:val="0"/>
        <w:keepLines w:val="0"/>
        <w:pageBreakBefore w:val="0"/>
        <w:widowControl/>
        <w:kinsoku/>
        <w:wordWrap/>
        <w:overflowPunct w:val="0"/>
        <w:topLinePunct w:val="0"/>
        <w:autoSpaceDE w:val="0"/>
        <w:autoSpaceDN w:val="0"/>
        <w:bidi w:val="0"/>
        <w:adjustRightInd w:val="0"/>
        <w:snapToGrid w:val="0"/>
        <w:spacing w:line="360" w:lineRule="auto"/>
        <w:ind w:left="0" w:leftChars="0" w:right="0" w:rightChars="0"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3.1 未遂事故（有险情，但未造成人员伤害、设备损害，含重物高处坠物。）</w:t>
      </w:r>
    </w:p>
    <w:p w14:paraId="0D491D32">
      <w:pPr>
        <w:keepNext w:val="0"/>
        <w:keepLines w:val="0"/>
        <w:pageBreakBefore w:val="0"/>
        <w:widowControl/>
        <w:kinsoku/>
        <w:wordWrap/>
        <w:overflowPunct w:val="0"/>
        <w:topLinePunct w:val="0"/>
        <w:autoSpaceDE w:val="0"/>
        <w:autoSpaceDN w:val="0"/>
        <w:bidi w:val="0"/>
        <w:adjustRightInd w:val="0"/>
        <w:snapToGrid w:val="0"/>
        <w:spacing w:line="360" w:lineRule="auto"/>
        <w:ind w:left="0" w:leftChars="0" w:right="0" w:rightChars="0"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每次罚乙方三千元，通报批评。</w:t>
      </w:r>
    </w:p>
    <w:p w14:paraId="231D16C7">
      <w:pPr>
        <w:keepNext w:val="0"/>
        <w:keepLines w:val="0"/>
        <w:pageBreakBefore w:val="0"/>
        <w:widowControl/>
        <w:kinsoku/>
        <w:wordWrap/>
        <w:overflowPunct w:val="0"/>
        <w:topLinePunct w:val="0"/>
        <w:autoSpaceDE w:val="0"/>
        <w:autoSpaceDN w:val="0"/>
        <w:bidi w:val="0"/>
        <w:adjustRightInd w:val="0"/>
        <w:snapToGrid w:val="0"/>
        <w:spacing w:line="360" w:lineRule="auto"/>
        <w:ind w:left="0" w:leftChars="0" w:right="0" w:rightChars="0"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3.2 记录事故（人员轻微伤害不构成轻伤，设备未造成永久性损坏，可以修复。）</w:t>
      </w:r>
    </w:p>
    <w:p w14:paraId="24D6466F">
      <w:pPr>
        <w:keepNext w:val="0"/>
        <w:keepLines w:val="0"/>
        <w:pageBreakBefore w:val="0"/>
        <w:widowControl/>
        <w:kinsoku/>
        <w:wordWrap/>
        <w:overflowPunct w:val="0"/>
        <w:topLinePunct w:val="0"/>
        <w:autoSpaceDE w:val="0"/>
        <w:autoSpaceDN w:val="0"/>
        <w:bidi w:val="0"/>
        <w:adjustRightInd w:val="0"/>
        <w:snapToGrid w:val="0"/>
        <w:spacing w:line="360" w:lineRule="auto"/>
        <w:ind w:left="0" w:leftChars="0" w:right="0" w:rightChars="0"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每次罚乙方五千元，通报批评。</w:t>
      </w:r>
    </w:p>
    <w:p w14:paraId="4C2B23D3">
      <w:pPr>
        <w:keepNext w:val="0"/>
        <w:keepLines w:val="0"/>
        <w:pageBreakBefore w:val="0"/>
        <w:widowControl/>
        <w:kinsoku/>
        <w:wordWrap/>
        <w:overflowPunct w:val="0"/>
        <w:topLinePunct w:val="0"/>
        <w:autoSpaceDE w:val="0"/>
        <w:autoSpaceDN w:val="0"/>
        <w:bidi w:val="0"/>
        <w:adjustRightInd w:val="0"/>
        <w:snapToGrid w:val="0"/>
        <w:spacing w:line="360" w:lineRule="auto"/>
        <w:ind w:left="0" w:leftChars="0" w:right="0" w:rightChars="0"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3.3 轻伤事故（国家有关规定鉴定）</w:t>
      </w:r>
    </w:p>
    <w:p w14:paraId="6CB19645">
      <w:pPr>
        <w:keepNext w:val="0"/>
        <w:keepLines w:val="0"/>
        <w:pageBreakBefore w:val="0"/>
        <w:widowControl/>
        <w:kinsoku/>
        <w:wordWrap/>
        <w:overflowPunct w:val="0"/>
        <w:topLinePunct w:val="0"/>
        <w:autoSpaceDE w:val="0"/>
        <w:autoSpaceDN w:val="0"/>
        <w:bidi w:val="0"/>
        <w:adjustRightInd w:val="0"/>
        <w:snapToGrid w:val="0"/>
        <w:spacing w:line="360" w:lineRule="auto"/>
        <w:ind w:left="0" w:leftChars="0" w:right="0" w:rightChars="0"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发生一人次轻伤事故，罚乙方一万元，通报批评。一次事故多人轻伤，按每人次五千元累计相加达三万元终止。</w:t>
      </w:r>
    </w:p>
    <w:p w14:paraId="2274D1D9">
      <w:pPr>
        <w:keepNext w:val="0"/>
        <w:keepLines w:val="0"/>
        <w:pageBreakBefore w:val="0"/>
        <w:widowControl/>
        <w:kinsoku/>
        <w:wordWrap/>
        <w:overflowPunct w:val="0"/>
        <w:topLinePunct w:val="0"/>
        <w:autoSpaceDE w:val="0"/>
        <w:autoSpaceDN w:val="0"/>
        <w:bidi w:val="0"/>
        <w:adjustRightInd w:val="0"/>
        <w:snapToGrid w:val="0"/>
        <w:spacing w:line="360" w:lineRule="auto"/>
        <w:ind w:left="0" w:leftChars="0" w:right="0" w:rightChars="0"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3.</w:t>
      </w:r>
      <w:r>
        <w:rPr>
          <w:rFonts w:hint="eastAsia" w:cs="Times New Roman"/>
          <w:bCs/>
          <w:color w:val="auto"/>
          <w:sz w:val="21"/>
          <w:szCs w:val="21"/>
          <w:highlight w:val="none"/>
          <w:lang w:val="en-US" w:eastAsia="zh-CN"/>
        </w:rPr>
        <w:t>4</w:t>
      </w:r>
      <w:r>
        <w:rPr>
          <w:rFonts w:hint="default" w:ascii="Times New Roman" w:hAnsi="Times New Roman" w:eastAsia="宋体" w:cs="Times New Roman"/>
          <w:bCs/>
          <w:color w:val="auto"/>
          <w:sz w:val="21"/>
          <w:szCs w:val="21"/>
          <w:highlight w:val="none"/>
        </w:rPr>
        <w:t xml:space="preserve"> 重伤事故</w:t>
      </w:r>
    </w:p>
    <w:p w14:paraId="71ED8C8D">
      <w:pPr>
        <w:keepNext w:val="0"/>
        <w:keepLines w:val="0"/>
        <w:pageBreakBefore w:val="0"/>
        <w:widowControl/>
        <w:kinsoku/>
        <w:wordWrap/>
        <w:overflowPunct w:val="0"/>
        <w:topLinePunct w:val="0"/>
        <w:autoSpaceDE w:val="0"/>
        <w:autoSpaceDN w:val="0"/>
        <w:bidi w:val="0"/>
        <w:adjustRightInd w:val="0"/>
        <w:snapToGrid w:val="0"/>
        <w:spacing w:line="360" w:lineRule="auto"/>
        <w:ind w:left="0" w:leftChars="0" w:right="0" w:rightChars="0"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发生一人次重伤事故，最低罚乙方三万元，通报批评。</w:t>
      </w:r>
    </w:p>
    <w:p w14:paraId="2CE03081">
      <w:pPr>
        <w:keepNext w:val="0"/>
        <w:keepLines w:val="0"/>
        <w:pageBreakBefore w:val="0"/>
        <w:widowControl/>
        <w:kinsoku/>
        <w:wordWrap/>
        <w:overflowPunct w:val="0"/>
        <w:topLinePunct w:val="0"/>
        <w:autoSpaceDE w:val="0"/>
        <w:autoSpaceDN w:val="0"/>
        <w:bidi w:val="0"/>
        <w:adjustRightInd w:val="0"/>
        <w:snapToGrid w:val="0"/>
        <w:spacing w:line="360" w:lineRule="auto"/>
        <w:ind w:left="0" w:leftChars="0" w:right="0" w:rightChars="0"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3.</w:t>
      </w:r>
      <w:r>
        <w:rPr>
          <w:rFonts w:hint="eastAsia" w:cs="Times New Roman"/>
          <w:bCs/>
          <w:color w:val="auto"/>
          <w:sz w:val="21"/>
          <w:szCs w:val="21"/>
          <w:highlight w:val="none"/>
          <w:lang w:val="en-US" w:eastAsia="zh-CN"/>
        </w:rPr>
        <w:t>5</w:t>
      </w:r>
      <w:r>
        <w:rPr>
          <w:rFonts w:hint="default" w:ascii="Times New Roman" w:hAnsi="Times New Roman" w:eastAsia="宋体" w:cs="Times New Roman"/>
          <w:bCs/>
          <w:color w:val="auto"/>
          <w:sz w:val="21"/>
          <w:szCs w:val="21"/>
          <w:highlight w:val="none"/>
        </w:rPr>
        <w:t xml:space="preserve"> 死亡事故</w:t>
      </w:r>
    </w:p>
    <w:p w14:paraId="10D32E50">
      <w:pPr>
        <w:keepNext w:val="0"/>
        <w:keepLines w:val="0"/>
        <w:pageBreakBefore w:val="0"/>
        <w:widowControl/>
        <w:kinsoku/>
        <w:wordWrap/>
        <w:overflowPunct w:val="0"/>
        <w:topLinePunct w:val="0"/>
        <w:autoSpaceDE w:val="0"/>
        <w:autoSpaceDN w:val="0"/>
        <w:bidi w:val="0"/>
        <w:adjustRightInd w:val="0"/>
        <w:snapToGrid w:val="0"/>
        <w:spacing w:line="360" w:lineRule="auto"/>
        <w:ind w:left="0" w:leftChars="0" w:right="0" w:rightChars="0"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3.</w:t>
      </w:r>
      <w:r>
        <w:rPr>
          <w:rFonts w:hint="eastAsia" w:cs="Times New Roman"/>
          <w:bCs/>
          <w:color w:val="auto"/>
          <w:sz w:val="21"/>
          <w:szCs w:val="21"/>
          <w:highlight w:val="none"/>
          <w:lang w:val="en-US" w:eastAsia="zh-CN"/>
        </w:rPr>
        <w:t>5</w:t>
      </w:r>
      <w:r>
        <w:rPr>
          <w:rFonts w:hint="default" w:ascii="Times New Roman" w:hAnsi="Times New Roman" w:eastAsia="宋体" w:cs="Times New Roman"/>
          <w:bCs/>
          <w:color w:val="auto"/>
          <w:sz w:val="21"/>
          <w:szCs w:val="21"/>
          <w:highlight w:val="none"/>
        </w:rPr>
        <w:t>.1 发生一人次死亡事故罚乙方十万元，通报批评，停工整顿。</w:t>
      </w:r>
    </w:p>
    <w:p w14:paraId="14D8651C">
      <w:pPr>
        <w:keepNext w:val="0"/>
        <w:keepLines w:val="0"/>
        <w:pageBreakBefore w:val="0"/>
        <w:widowControl/>
        <w:kinsoku/>
        <w:wordWrap/>
        <w:overflowPunct w:val="0"/>
        <w:topLinePunct w:val="0"/>
        <w:autoSpaceDE w:val="0"/>
        <w:autoSpaceDN w:val="0"/>
        <w:bidi w:val="0"/>
        <w:adjustRightInd w:val="0"/>
        <w:snapToGrid w:val="0"/>
        <w:spacing w:line="360" w:lineRule="auto"/>
        <w:ind w:left="0" w:leftChars="0" w:right="0" w:rightChars="0"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3.</w:t>
      </w:r>
      <w:r>
        <w:rPr>
          <w:rFonts w:hint="eastAsia" w:cs="Times New Roman"/>
          <w:bCs/>
          <w:color w:val="auto"/>
          <w:sz w:val="21"/>
          <w:szCs w:val="21"/>
          <w:highlight w:val="none"/>
          <w:lang w:val="en-US" w:eastAsia="zh-CN"/>
        </w:rPr>
        <w:t>6</w:t>
      </w:r>
      <w:r>
        <w:rPr>
          <w:rFonts w:hint="default" w:ascii="Times New Roman" w:hAnsi="Times New Roman" w:eastAsia="宋体" w:cs="Times New Roman"/>
          <w:bCs/>
          <w:color w:val="auto"/>
          <w:sz w:val="21"/>
          <w:szCs w:val="21"/>
          <w:highlight w:val="none"/>
        </w:rPr>
        <w:t xml:space="preserve"> 机械设备人员重伤以上事故（按机械设备事故损失金额标准确认）最低罚款五万元，通报批评。</w:t>
      </w:r>
    </w:p>
    <w:p w14:paraId="6C883146">
      <w:pPr>
        <w:keepNext w:val="0"/>
        <w:keepLines w:val="0"/>
        <w:pageBreakBefore w:val="0"/>
        <w:widowControl/>
        <w:kinsoku/>
        <w:wordWrap/>
        <w:overflowPunct w:val="0"/>
        <w:topLinePunct w:val="0"/>
        <w:autoSpaceDE w:val="0"/>
        <w:autoSpaceDN w:val="0"/>
        <w:bidi w:val="0"/>
        <w:adjustRightInd w:val="0"/>
        <w:snapToGrid w:val="0"/>
        <w:spacing w:line="360" w:lineRule="auto"/>
        <w:ind w:left="0" w:leftChars="0" w:right="0" w:rightChars="0"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3.</w:t>
      </w:r>
      <w:r>
        <w:rPr>
          <w:rFonts w:hint="eastAsia" w:cs="Times New Roman"/>
          <w:bCs/>
          <w:color w:val="auto"/>
          <w:sz w:val="21"/>
          <w:szCs w:val="21"/>
          <w:highlight w:val="none"/>
          <w:lang w:val="en-US" w:eastAsia="zh-CN"/>
        </w:rPr>
        <w:t>7</w:t>
      </w:r>
      <w:r>
        <w:rPr>
          <w:rFonts w:hint="default" w:ascii="Times New Roman" w:hAnsi="Times New Roman" w:eastAsia="宋体" w:cs="Times New Roman"/>
          <w:bCs/>
          <w:color w:val="auto"/>
          <w:sz w:val="21"/>
          <w:szCs w:val="21"/>
          <w:highlight w:val="none"/>
        </w:rPr>
        <w:t xml:space="preserve"> 火灾事故（按有关火灾损失金额标准确定）最低罚款五万元</w:t>
      </w:r>
      <w:r>
        <w:rPr>
          <w:rFonts w:hint="eastAsia" w:cs="Times New Roman"/>
          <w:bCs/>
          <w:color w:val="auto"/>
          <w:sz w:val="21"/>
          <w:szCs w:val="21"/>
          <w:highlight w:val="none"/>
          <w:lang w:eastAsia="zh-CN"/>
        </w:rPr>
        <w:t>，</w:t>
      </w:r>
      <w:r>
        <w:rPr>
          <w:rFonts w:hint="default" w:ascii="Times New Roman" w:hAnsi="Times New Roman" w:eastAsia="宋体" w:cs="Times New Roman"/>
          <w:bCs/>
          <w:color w:val="auto"/>
          <w:sz w:val="21"/>
          <w:szCs w:val="21"/>
          <w:highlight w:val="none"/>
        </w:rPr>
        <w:t>通报批评。</w:t>
      </w:r>
    </w:p>
    <w:p w14:paraId="3BD73DDE">
      <w:pPr>
        <w:keepNext w:val="0"/>
        <w:keepLines w:val="0"/>
        <w:pageBreakBefore w:val="0"/>
        <w:widowControl/>
        <w:kinsoku/>
        <w:wordWrap/>
        <w:overflowPunct w:val="0"/>
        <w:topLinePunct w:val="0"/>
        <w:autoSpaceDE w:val="0"/>
        <w:autoSpaceDN w:val="0"/>
        <w:bidi w:val="0"/>
        <w:adjustRightInd w:val="0"/>
        <w:snapToGrid w:val="0"/>
        <w:spacing w:line="360" w:lineRule="auto"/>
        <w:ind w:left="0" w:leftChars="0" w:right="0" w:rightChars="0"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3.</w:t>
      </w:r>
      <w:r>
        <w:rPr>
          <w:rFonts w:hint="eastAsia" w:cs="Times New Roman"/>
          <w:bCs/>
          <w:color w:val="auto"/>
          <w:sz w:val="21"/>
          <w:szCs w:val="21"/>
          <w:highlight w:val="none"/>
          <w:lang w:val="en-US" w:eastAsia="zh-CN"/>
        </w:rPr>
        <w:t xml:space="preserve">8 </w:t>
      </w:r>
      <w:r>
        <w:rPr>
          <w:rFonts w:hint="default" w:ascii="Times New Roman" w:hAnsi="Times New Roman" w:eastAsia="宋体" w:cs="Times New Roman"/>
          <w:bCs/>
          <w:color w:val="auto"/>
          <w:sz w:val="21"/>
          <w:szCs w:val="21"/>
          <w:highlight w:val="none"/>
        </w:rPr>
        <w:t>人员重伤以上交通事故（以交通管理部门责任认定书为据）最低罚款五万元，通报批评。</w:t>
      </w:r>
    </w:p>
    <w:p w14:paraId="59E02EEF">
      <w:pPr>
        <w:keepNext w:val="0"/>
        <w:keepLines w:val="0"/>
        <w:pageBreakBefore w:val="0"/>
        <w:widowControl/>
        <w:kinsoku/>
        <w:wordWrap/>
        <w:overflowPunct w:val="0"/>
        <w:topLinePunct w:val="0"/>
        <w:autoSpaceDE w:val="0"/>
        <w:autoSpaceDN w:val="0"/>
        <w:bidi w:val="0"/>
        <w:adjustRightInd w:val="0"/>
        <w:snapToGrid w:val="0"/>
        <w:spacing w:line="360" w:lineRule="auto"/>
        <w:ind w:left="0" w:leftChars="0" w:right="0" w:rightChars="0"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3.</w:t>
      </w:r>
      <w:r>
        <w:rPr>
          <w:rFonts w:hint="eastAsia" w:cs="Times New Roman"/>
          <w:bCs/>
          <w:color w:val="auto"/>
          <w:sz w:val="21"/>
          <w:szCs w:val="21"/>
          <w:highlight w:val="none"/>
          <w:lang w:val="en-US" w:eastAsia="zh-CN"/>
        </w:rPr>
        <w:t>9</w:t>
      </w:r>
      <w:r>
        <w:rPr>
          <w:rFonts w:hint="default" w:ascii="Times New Roman" w:hAnsi="Times New Roman" w:eastAsia="宋体" w:cs="Times New Roman"/>
          <w:bCs/>
          <w:color w:val="auto"/>
          <w:sz w:val="21"/>
          <w:szCs w:val="21"/>
          <w:highlight w:val="none"/>
        </w:rPr>
        <w:t xml:space="preserve"> 发生射线职业卫生伤害事故，大范围中暑、食物中毒、建筑物坍塌，受考核的环境污染事故。罚款五万元，上报政府机关，停工整顿，触犯刑律的由公安机关处置。</w:t>
      </w:r>
    </w:p>
    <w:p w14:paraId="2513E1F2">
      <w:pPr>
        <w:keepNext w:val="0"/>
        <w:keepLines w:val="0"/>
        <w:pageBreakBefore w:val="0"/>
        <w:widowControl/>
        <w:kinsoku/>
        <w:wordWrap/>
        <w:overflowPunct w:val="0"/>
        <w:topLinePunct w:val="0"/>
        <w:autoSpaceDE w:val="0"/>
        <w:autoSpaceDN w:val="0"/>
        <w:bidi w:val="0"/>
        <w:adjustRightInd w:val="0"/>
        <w:snapToGrid w:val="0"/>
        <w:spacing w:line="360" w:lineRule="auto"/>
        <w:ind w:left="0" w:leftChars="0" w:right="0" w:rightChars="0"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3.</w:t>
      </w:r>
      <w:r>
        <w:rPr>
          <w:rFonts w:hint="eastAsia" w:cs="Times New Roman"/>
          <w:bCs/>
          <w:color w:val="auto"/>
          <w:sz w:val="21"/>
          <w:szCs w:val="21"/>
          <w:highlight w:val="none"/>
          <w:lang w:val="en-US" w:eastAsia="zh-CN"/>
        </w:rPr>
        <w:t xml:space="preserve">10 </w:t>
      </w:r>
      <w:r>
        <w:rPr>
          <w:rFonts w:hint="default" w:ascii="Times New Roman" w:hAnsi="Times New Roman" w:eastAsia="宋体" w:cs="Times New Roman"/>
          <w:bCs/>
          <w:color w:val="auto"/>
          <w:sz w:val="21"/>
          <w:szCs w:val="21"/>
          <w:highlight w:val="none"/>
        </w:rPr>
        <w:t>乙方轻伤负伤率超过3‰，处罚五万元。</w:t>
      </w:r>
    </w:p>
    <w:p w14:paraId="10155B0B">
      <w:pPr>
        <w:keepNext w:val="0"/>
        <w:keepLines w:val="0"/>
        <w:pageBreakBefore w:val="0"/>
        <w:widowControl/>
        <w:kinsoku/>
        <w:wordWrap/>
        <w:overflowPunct w:val="0"/>
        <w:topLinePunct w:val="0"/>
        <w:autoSpaceDE w:val="0"/>
        <w:autoSpaceDN w:val="0"/>
        <w:bidi w:val="0"/>
        <w:adjustRightInd w:val="0"/>
        <w:snapToGrid w:val="0"/>
        <w:spacing w:line="360" w:lineRule="auto"/>
        <w:ind w:left="0" w:leftChars="0" w:right="0" w:rightChars="0"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3.</w:t>
      </w:r>
      <w:r>
        <w:rPr>
          <w:rFonts w:hint="eastAsia" w:cs="Times New Roman"/>
          <w:bCs/>
          <w:color w:val="auto"/>
          <w:sz w:val="21"/>
          <w:szCs w:val="21"/>
          <w:highlight w:val="none"/>
          <w:lang w:val="en-US" w:eastAsia="zh-CN"/>
        </w:rPr>
        <w:t>11</w:t>
      </w:r>
      <w:r>
        <w:rPr>
          <w:rFonts w:hint="default" w:ascii="Times New Roman" w:hAnsi="Times New Roman" w:eastAsia="宋体" w:cs="Times New Roman"/>
          <w:bCs/>
          <w:color w:val="auto"/>
          <w:sz w:val="21"/>
          <w:szCs w:val="21"/>
          <w:highlight w:val="none"/>
        </w:rPr>
        <w:t xml:space="preserve"> 乙方故意瞒报、迟报、谎报发生的各类事故，处以发生事故类型罚款的2到5倍罚款，一切随之发生的法律责任由</w:t>
      </w:r>
      <w:r>
        <w:rPr>
          <w:rFonts w:hint="eastAsia" w:cs="Times New Roman"/>
          <w:bCs/>
          <w:color w:val="auto"/>
          <w:sz w:val="21"/>
          <w:szCs w:val="21"/>
          <w:highlight w:val="none"/>
          <w:lang w:val="en-US" w:eastAsia="zh-CN"/>
        </w:rPr>
        <w:t>乙方</w:t>
      </w:r>
      <w:r>
        <w:rPr>
          <w:rFonts w:hint="default" w:ascii="Times New Roman" w:hAnsi="Times New Roman" w:eastAsia="宋体" w:cs="Times New Roman"/>
          <w:bCs/>
          <w:color w:val="auto"/>
          <w:sz w:val="21"/>
          <w:szCs w:val="21"/>
          <w:highlight w:val="none"/>
        </w:rPr>
        <w:t>负责，并赔偿由此给甲方带来的一切损失。</w:t>
      </w:r>
    </w:p>
    <w:p w14:paraId="21CFCF63">
      <w:pPr>
        <w:keepNext w:val="0"/>
        <w:keepLines w:val="0"/>
        <w:pageBreakBefore w:val="0"/>
        <w:widowControl/>
        <w:kinsoku/>
        <w:wordWrap/>
        <w:overflowPunct w:val="0"/>
        <w:topLinePunct w:val="0"/>
        <w:autoSpaceDE w:val="0"/>
        <w:autoSpaceDN w:val="0"/>
        <w:bidi w:val="0"/>
        <w:adjustRightInd w:val="0"/>
        <w:snapToGrid w:val="0"/>
        <w:spacing w:line="360" w:lineRule="auto"/>
        <w:ind w:left="0" w:leftChars="0" w:right="0" w:rightChars="0"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3.1</w:t>
      </w:r>
      <w:r>
        <w:rPr>
          <w:rFonts w:hint="eastAsia" w:cs="Times New Roman"/>
          <w:bCs/>
          <w:color w:val="auto"/>
          <w:sz w:val="21"/>
          <w:szCs w:val="21"/>
          <w:highlight w:val="none"/>
          <w:lang w:val="en-US" w:eastAsia="zh-CN"/>
        </w:rPr>
        <w:t>2</w:t>
      </w:r>
      <w:r>
        <w:rPr>
          <w:rFonts w:hint="default" w:ascii="Times New Roman" w:hAnsi="Times New Roman" w:eastAsia="宋体" w:cs="Times New Roman"/>
          <w:bCs/>
          <w:color w:val="auto"/>
          <w:sz w:val="21"/>
          <w:szCs w:val="21"/>
          <w:highlight w:val="none"/>
        </w:rPr>
        <w:t xml:space="preserve"> 在政府、行业及相关行政管理、执法机构的检查中由于</w:t>
      </w:r>
      <w:r>
        <w:rPr>
          <w:rFonts w:hint="eastAsia" w:cs="Times New Roman"/>
          <w:bCs/>
          <w:color w:val="auto"/>
          <w:sz w:val="21"/>
          <w:szCs w:val="21"/>
          <w:highlight w:val="none"/>
          <w:lang w:val="en-US" w:eastAsia="zh-CN"/>
        </w:rPr>
        <w:t>乙方</w:t>
      </w:r>
      <w:r>
        <w:rPr>
          <w:rFonts w:hint="default" w:ascii="Times New Roman" w:hAnsi="Times New Roman" w:eastAsia="宋体" w:cs="Times New Roman"/>
          <w:bCs/>
          <w:color w:val="auto"/>
          <w:sz w:val="21"/>
          <w:szCs w:val="21"/>
          <w:highlight w:val="none"/>
        </w:rPr>
        <w:t>原因、过错所产生的一切法律、经济处罚皆由乙方负责，并赔偿由此带给甲方的损失。</w:t>
      </w:r>
    </w:p>
    <w:p w14:paraId="79AB721A">
      <w:pPr>
        <w:keepNext w:val="0"/>
        <w:keepLines w:val="0"/>
        <w:pageBreakBefore w:val="0"/>
        <w:widowControl/>
        <w:kinsoku/>
        <w:wordWrap/>
        <w:overflowPunct w:val="0"/>
        <w:topLinePunct w:val="0"/>
        <w:autoSpaceDE w:val="0"/>
        <w:autoSpaceDN w:val="0"/>
        <w:bidi w:val="0"/>
        <w:adjustRightInd w:val="0"/>
        <w:snapToGrid w:val="0"/>
        <w:spacing w:line="360" w:lineRule="auto"/>
        <w:ind w:left="0" w:leftChars="0" w:right="0" w:rightChars="0"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3.1</w:t>
      </w:r>
      <w:r>
        <w:rPr>
          <w:rFonts w:hint="eastAsia" w:cs="Times New Roman"/>
          <w:bCs/>
          <w:color w:val="auto"/>
          <w:sz w:val="21"/>
          <w:szCs w:val="21"/>
          <w:highlight w:val="none"/>
          <w:lang w:val="en-US" w:eastAsia="zh-CN"/>
        </w:rPr>
        <w:t xml:space="preserve">3 </w:t>
      </w:r>
      <w:r>
        <w:rPr>
          <w:rFonts w:hint="default" w:ascii="Times New Roman" w:hAnsi="Times New Roman" w:eastAsia="宋体" w:cs="Times New Roman"/>
          <w:bCs/>
          <w:color w:val="auto"/>
          <w:sz w:val="21"/>
          <w:szCs w:val="21"/>
          <w:highlight w:val="none"/>
        </w:rPr>
        <w:t>乙方人员偷盗物品（物品本身加上附加价值计算）除赔偿该物品外，并处以物品价值的20%—50%。当事人移交公安机关处理。</w:t>
      </w:r>
    </w:p>
    <w:p w14:paraId="148B2D2A">
      <w:pPr>
        <w:keepNext w:val="0"/>
        <w:keepLines w:val="0"/>
        <w:pageBreakBefore w:val="0"/>
        <w:widowControl/>
        <w:kinsoku/>
        <w:wordWrap/>
        <w:overflowPunct w:val="0"/>
        <w:topLinePunct w:val="0"/>
        <w:autoSpaceDE w:val="0"/>
        <w:autoSpaceDN w:val="0"/>
        <w:bidi w:val="0"/>
        <w:adjustRightInd w:val="0"/>
        <w:snapToGrid w:val="0"/>
        <w:spacing w:line="360" w:lineRule="auto"/>
        <w:ind w:left="0" w:leftChars="0" w:right="0" w:rightChars="0"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3.1</w:t>
      </w:r>
      <w:r>
        <w:rPr>
          <w:rFonts w:hint="eastAsia" w:cs="Times New Roman"/>
          <w:bCs/>
          <w:color w:val="auto"/>
          <w:sz w:val="21"/>
          <w:szCs w:val="21"/>
          <w:highlight w:val="none"/>
          <w:lang w:val="en-US" w:eastAsia="zh-CN"/>
        </w:rPr>
        <w:t xml:space="preserve">4 </w:t>
      </w:r>
      <w:r>
        <w:rPr>
          <w:rFonts w:hint="default" w:ascii="Times New Roman" w:hAnsi="Times New Roman" w:eastAsia="宋体" w:cs="Times New Roman"/>
          <w:bCs/>
          <w:color w:val="auto"/>
          <w:sz w:val="21"/>
          <w:szCs w:val="21"/>
          <w:highlight w:val="none"/>
        </w:rPr>
        <w:t>乙方丢失、损坏本公司委托</w:t>
      </w:r>
      <w:r>
        <w:rPr>
          <w:rFonts w:hint="eastAsia" w:cs="Times New Roman"/>
          <w:bCs/>
          <w:color w:val="auto"/>
          <w:sz w:val="21"/>
          <w:szCs w:val="21"/>
          <w:highlight w:val="none"/>
          <w:lang w:val="en-US" w:eastAsia="zh-CN"/>
        </w:rPr>
        <w:t>乙方</w:t>
      </w:r>
      <w:r>
        <w:rPr>
          <w:rFonts w:hint="default" w:ascii="Times New Roman" w:hAnsi="Times New Roman" w:eastAsia="宋体" w:cs="Times New Roman"/>
          <w:bCs/>
          <w:color w:val="auto"/>
          <w:sz w:val="21"/>
          <w:szCs w:val="21"/>
          <w:highlight w:val="none"/>
        </w:rPr>
        <w:t>保管的物品，除赔偿该物品外并承担由此造成的直接损失。</w:t>
      </w:r>
    </w:p>
    <w:p w14:paraId="1E57B245">
      <w:pPr>
        <w:keepNext w:val="0"/>
        <w:keepLines w:val="0"/>
        <w:pageBreakBefore w:val="0"/>
        <w:widowControl/>
        <w:kinsoku/>
        <w:wordWrap/>
        <w:overflowPunct w:val="0"/>
        <w:topLinePunct w:val="0"/>
        <w:autoSpaceDE w:val="0"/>
        <w:autoSpaceDN w:val="0"/>
        <w:bidi w:val="0"/>
        <w:adjustRightInd w:val="0"/>
        <w:snapToGrid w:val="0"/>
        <w:spacing w:line="360" w:lineRule="auto"/>
        <w:ind w:left="0" w:leftChars="0" w:right="0" w:rightChars="0"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3.1</w:t>
      </w:r>
      <w:r>
        <w:rPr>
          <w:rFonts w:hint="eastAsia" w:cs="Times New Roman"/>
          <w:bCs/>
          <w:color w:val="auto"/>
          <w:sz w:val="21"/>
          <w:szCs w:val="21"/>
          <w:highlight w:val="none"/>
          <w:lang w:val="en-US" w:eastAsia="zh-CN"/>
        </w:rPr>
        <w:t>5</w:t>
      </w:r>
      <w:r>
        <w:rPr>
          <w:rFonts w:hint="default" w:ascii="Times New Roman" w:hAnsi="Times New Roman" w:eastAsia="宋体" w:cs="Times New Roman"/>
          <w:bCs/>
          <w:color w:val="auto"/>
          <w:sz w:val="21"/>
          <w:szCs w:val="21"/>
          <w:highlight w:val="none"/>
        </w:rPr>
        <w:t xml:space="preserve"> 由乙方及其人员原因造成群体性事件的，每次罚款5万元，乙方负责赔偿所造成的损失，当事人移交公安机关处理，甲方保留继续追究责任的权利。</w:t>
      </w:r>
    </w:p>
    <w:p w14:paraId="1CA645B7">
      <w:pPr>
        <w:keepNext w:val="0"/>
        <w:keepLines w:val="0"/>
        <w:pageBreakBefore w:val="0"/>
        <w:widowControl/>
        <w:kinsoku/>
        <w:wordWrap/>
        <w:overflowPunct w:val="0"/>
        <w:topLinePunct w:val="0"/>
        <w:autoSpaceDE w:val="0"/>
        <w:autoSpaceDN w:val="0"/>
        <w:bidi w:val="0"/>
        <w:adjustRightInd w:val="0"/>
        <w:snapToGrid w:val="0"/>
        <w:spacing w:line="360" w:lineRule="auto"/>
        <w:ind w:left="0" w:leftChars="0" w:right="0" w:rightChars="0" w:firstLine="420" w:firstLineChars="200"/>
        <w:textAlignment w:val="baseline"/>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w:t>
      </w:r>
      <w:r>
        <w:rPr>
          <w:rFonts w:hint="eastAsia" w:cs="Times New Roman"/>
          <w:bCs/>
          <w:color w:val="auto"/>
          <w:sz w:val="21"/>
          <w:szCs w:val="21"/>
          <w:highlight w:val="none"/>
          <w:lang w:val="en-US" w:eastAsia="zh-CN"/>
        </w:rPr>
        <w:t xml:space="preserve">. </w:t>
      </w:r>
      <w:r>
        <w:rPr>
          <w:rFonts w:hint="default" w:ascii="Times New Roman" w:hAnsi="Times New Roman" w:eastAsia="宋体" w:cs="Times New Roman"/>
          <w:bCs/>
          <w:color w:val="auto"/>
          <w:sz w:val="21"/>
          <w:szCs w:val="21"/>
          <w:highlight w:val="none"/>
        </w:rPr>
        <w:t>甲方保留对本细则的最终解释权。</w:t>
      </w:r>
    </w:p>
    <w:p w14:paraId="5E49FDF9">
      <w:pPr>
        <w:rPr>
          <w:rFonts w:hint="default" w:ascii="Times New Roman" w:hAnsi="Times New Roman" w:eastAsia="宋体" w:cs="Times New Roman"/>
          <w:color w:val="auto"/>
          <w:highlight w:val="none"/>
        </w:rPr>
      </w:pPr>
    </w:p>
    <w:p w14:paraId="6BFDF855">
      <w:pPr>
        <w:outlineLvl w:val="9"/>
        <w:rPr>
          <w:rFonts w:hint="eastAsia" w:ascii="宋体" w:hAnsi="宋体"/>
          <w:b/>
          <w:color w:val="auto"/>
          <w:sz w:val="21"/>
          <w:szCs w:val="21"/>
          <w:highlight w:val="none"/>
          <w:lang w:val="en-US" w:eastAsia="zh-CN"/>
        </w:rPr>
      </w:pPr>
      <w:r>
        <w:rPr>
          <w:rFonts w:hint="eastAsia" w:ascii="宋体" w:hAnsi="宋体"/>
          <w:b/>
          <w:color w:val="auto"/>
          <w:sz w:val="21"/>
          <w:szCs w:val="21"/>
          <w:highlight w:val="none"/>
          <w:lang w:val="en-US" w:eastAsia="zh-CN"/>
        </w:rPr>
        <w:br w:type="page"/>
      </w:r>
    </w:p>
    <w:p w14:paraId="18473694">
      <w:pPr>
        <w:outlineLvl w:val="9"/>
        <w:rPr>
          <w:rFonts w:ascii="宋体" w:hAnsi="宋体"/>
          <w:b/>
          <w:color w:val="auto"/>
          <w:sz w:val="24"/>
          <w:highlight w:val="none"/>
        </w:rPr>
      </w:pPr>
      <w:r>
        <w:rPr>
          <w:rFonts w:hint="eastAsia" w:ascii="宋体" w:hAnsi="宋体"/>
          <w:b/>
          <w:color w:val="auto"/>
          <w:sz w:val="21"/>
          <w:szCs w:val="21"/>
          <w:highlight w:val="none"/>
          <w:lang w:val="en-US" w:eastAsia="zh-CN"/>
        </w:rPr>
        <w:t>合同附件11：</w:t>
      </w:r>
      <w:r>
        <w:rPr>
          <w:rFonts w:hint="eastAsia" w:ascii="宋体" w:hAnsi="宋体"/>
          <w:b/>
          <w:color w:val="auto"/>
          <w:sz w:val="21"/>
          <w:szCs w:val="21"/>
          <w:highlight w:val="none"/>
        </w:rPr>
        <w:t>《阳光合作协议》</w:t>
      </w:r>
      <w:bookmarkEnd w:id="391"/>
      <w:bookmarkEnd w:id="392"/>
      <w:bookmarkEnd w:id="393"/>
      <w:bookmarkEnd w:id="394"/>
      <w:bookmarkEnd w:id="395"/>
      <w:bookmarkEnd w:id="396"/>
      <w:bookmarkEnd w:id="397"/>
      <w:bookmarkEnd w:id="398"/>
      <w:bookmarkEnd w:id="399"/>
      <w:bookmarkEnd w:id="400"/>
      <w:bookmarkEnd w:id="402"/>
      <w:bookmarkEnd w:id="403"/>
      <w:bookmarkEnd w:id="404"/>
    </w:p>
    <w:p w14:paraId="46EA6E71">
      <w:pPr>
        <w:outlineLvl w:val="9"/>
        <w:rPr>
          <w:rFonts w:ascii="宋体" w:hAnsi="宋体" w:cs="Times New Roman"/>
          <w:b/>
          <w:color w:val="auto"/>
          <w:sz w:val="24"/>
          <w:highlight w:val="none"/>
        </w:rPr>
      </w:pPr>
    </w:p>
    <w:p w14:paraId="7A76235F">
      <w:pPr>
        <w:jc w:val="center"/>
        <w:outlineLvl w:val="9"/>
        <w:rPr>
          <w:b/>
          <w:bCs/>
          <w:color w:val="auto"/>
          <w:sz w:val="32"/>
          <w:szCs w:val="32"/>
          <w:highlight w:val="none"/>
        </w:rPr>
      </w:pPr>
      <w:bookmarkStart w:id="454" w:name="_Toc6739"/>
      <w:bookmarkStart w:id="455" w:name="_Toc31539"/>
      <w:bookmarkStart w:id="456" w:name="_Toc25909"/>
      <w:bookmarkStart w:id="457" w:name="_Toc4917"/>
      <w:bookmarkStart w:id="458" w:name="_Toc2825"/>
      <w:bookmarkStart w:id="459" w:name="_Toc19734"/>
      <w:bookmarkStart w:id="460" w:name="_Toc30736"/>
      <w:r>
        <w:rPr>
          <w:rFonts w:hint="eastAsia"/>
          <w:b/>
          <w:bCs/>
          <w:color w:val="auto"/>
          <w:sz w:val="32"/>
          <w:szCs w:val="32"/>
          <w:highlight w:val="none"/>
        </w:rPr>
        <w:t>阳光合作协议</w:t>
      </w:r>
    </w:p>
    <w:p w14:paraId="38F9A039">
      <w:pPr>
        <w:spacing w:before="180" w:beforeLines="50" w:after="180" w:afterLines="50"/>
        <w:ind w:firstLine="420" w:firstLineChars="200"/>
        <w:contextualSpacing/>
        <w:outlineLvl w:val="9"/>
        <w:rPr>
          <w:rFonts w:ascii="宋体" w:hAnsi="宋体"/>
          <w:color w:val="auto"/>
          <w:szCs w:val="21"/>
          <w:highlight w:val="none"/>
        </w:rPr>
      </w:pPr>
    </w:p>
    <w:p w14:paraId="18A4DF00">
      <w:pPr>
        <w:spacing w:before="180" w:beforeLines="50" w:after="180" w:afterLines="50"/>
        <w:ind w:firstLine="420" w:firstLineChars="200"/>
        <w:contextualSpacing/>
        <w:outlineLvl w:val="9"/>
        <w:rPr>
          <w:rFonts w:ascii="宋体" w:hAnsi="宋体"/>
          <w:color w:val="auto"/>
          <w:szCs w:val="21"/>
          <w:highlight w:val="none"/>
        </w:rPr>
      </w:pPr>
      <w:r>
        <w:rPr>
          <w:rFonts w:hint="eastAsia" w:ascii="宋体" w:hAnsi="宋体"/>
          <w:color w:val="auto"/>
          <w:szCs w:val="21"/>
          <w:highlight w:val="none"/>
        </w:rPr>
        <w:t>甲方：</w:t>
      </w:r>
      <w:r>
        <w:rPr>
          <w:rFonts w:hint="eastAsia" w:ascii="宋体" w:hAnsi="宋体"/>
          <w:color w:val="auto"/>
          <w:szCs w:val="21"/>
          <w:highlight w:val="none"/>
          <w:u w:val="single"/>
        </w:rPr>
        <w:t xml:space="preserve">                                      </w:t>
      </w:r>
    </w:p>
    <w:p w14:paraId="48563774">
      <w:pPr>
        <w:spacing w:before="180" w:beforeLines="50" w:after="180" w:afterLines="50"/>
        <w:ind w:firstLine="420" w:firstLineChars="200"/>
        <w:contextualSpacing/>
        <w:outlineLvl w:val="9"/>
        <w:rPr>
          <w:rFonts w:ascii="宋体" w:hAnsi="宋体"/>
          <w:color w:val="auto"/>
          <w:szCs w:val="21"/>
          <w:highlight w:val="none"/>
        </w:rPr>
      </w:pPr>
      <w:r>
        <w:rPr>
          <w:rFonts w:hint="eastAsia" w:ascii="宋体" w:hAnsi="宋体"/>
          <w:color w:val="auto"/>
          <w:szCs w:val="21"/>
          <w:highlight w:val="none"/>
        </w:rPr>
        <w:t>乙方：</w:t>
      </w:r>
      <w:r>
        <w:rPr>
          <w:rFonts w:hint="eastAsia" w:ascii="宋体" w:hAnsi="宋体"/>
          <w:color w:val="auto"/>
          <w:szCs w:val="21"/>
          <w:highlight w:val="none"/>
          <w:u w:val="single"/>
        </w:rPr>
        <w:t xml:space="preserve">                                       </w:t>
      </w:r>
    </w:p>
    <w:p w14:paraId="133848FF">
      <w:pPr>
        <w:spacing w:before="180" w:beforeLines="50" w:after="180" w:afterLines="50"/>
        <w:ind w:firstLine="420" w:firstLineChars="200"/>
        <w:contextualSpacing/>
        <w:outlineLvl w:val="9"/>
        <w:rPr>
          <w:rFonts w:ascii="宋体" w:hAnsi="宋体"/>
          <w:color w:val="auto"/>
          <w:szCs w:val="21"/>
          <w:highlight w:val="none"/>
        </w:rPr>
      </w:pPr>
    </w:p>
    <w:p w14:paraId="61D0CCA2">
      <w:pPr>
        <w:spacing w:before="180" w:beforeLines="50" w:after="180" w:afterLines="50"/>
        <w:ind w:firstLine="420" w:firstLineChars="200"/>
        <w:contextualSpacing/>
        <w:outlineLvl w:val="9"/>
        <w:rPr>
          <w:rFonts w:ascii="宋体" w:hAnsi="宋体"/>
          <w:color w:val="auto"/>
          <w:szCs w:val="21"/>
          <w:highlight w:val="none"/>
        </w:rPr>
      </w:pPr>
      <w:r>
        <w:rPr>
          <w:rFonts w:hint="eastAsia" w:ascii="宋体" w:hAnsi="宋体"/>
          <w:color w:val="auto"/>
          <w:szCs w:val="21"/>
          <w:highlight w:val="none"/>
        </w:rPr>
        <w:t>甲乙双方于</w:t>
      </w:r>
      <w:r>
        <w:rPr>
          <w:rFonts w:hint="eastAsia" w:ascii="宋体" w:hAnsi="宋体"/>
          <w:color w:val="auto"/>
          <w:szCs w:val="21"/>
          <w:highlight w:val="none"/>
          <w:u w:val="single"/>
        </w:rPr>
        <w:t xml:space="preserve">      </w:t>
      </w:r>
      <w:r>
        <w:rPr>
          <w:rFonts w:hint="eastAsia" w:ascii="宋体" w:hAnsi="宋体"/>
          <w:color w:val="auto"/>
          <w:szCs w:val="21"/>
          <w:highlight w:val="none"/>
        </w:rPr>
        <w:t>年</w:t>
      </w:r>
      <w:r>
        <w:rPr>
          <w:rFonts w:hint="eastAsia" w:ascii="宋体" w:hAnsi="宋体"/>
          <w:color w:val="auto"/>
          <w:szCs w:val="21"/>
          <w:highlight w:val="none"/>
          <w:u w:val="single"/>
        </w:rPr>
        <w:t xml:space="preserve">      </w:t>
      </w:r>
      <w:r>
        <w:rPr>
          <w:rFonts w:hint="eastAsia" w:ascii="宋体" w:hAnsi="宋体"/>
          <w:color w:val="auto"/>
          <w:szCs w:val="21"/>
          <w:highlight w:val="none"/>
        </w:rPr>
        <w:t>月</w:t>
      </w:r>
      <w:r>
        <w:rPr>
          <w:rFonts w:hint="eastAsia" w:ascii="宋体" w:hAnsi="宋体"/>
          <w:color w:val="auto"/>
          <w:szCs w:val="21"/>
          <w:highlight w:val="none"/>
          <w:u w:val="single"/>
        </w:rPr>
        <w:t xml:space="preserve">      </w:t>
      </w:r>
      <w:r>
        <w:rPr>
          <w:rFonts w:hint="eastAsia" w:ascii="宋体" w:hAnsi="宋体"/>
          <w:color w:val="auto"/>
          <w:szCs w:val="21"/>
          <w:highlight w:val="none"/>
        </w:rPr>
        <w:t>日签署了《……合同》（以下简称原合同），为加强双方阳光合作，保证职员职业安全，甲乙双方经协商签订本协议并作为双方共同遵守的阳光合作行为准则。</w:t>
      </w:r>
    </w:p>
    <w:p w14:paraId="412A375D">
      <w:pPr>
        <w:spacing w:before="180" w:beforeLines="50" w:after="180" w:afterLines="50"/>
        <w:ind w:firstLine="422" w:firstLineChars="200"/>
        <w:contextualSpacing/>
        <w:outlineLvl w:val="9"/>
        <w:rPr>
          <w:rFonts w:ascii="宋体" w:hAnsi="宋体"/>
          <w:b/>
          <w:bCs/>
          <w:color w:val="auto"/>
          <w:szCs w:val="21"/>
          <w:highlight w:val="none"/>
        </w:rPr>
      </w:pPr>
      <w:r>
        <w:rPr>
          <w:rFonts w:hint="eastAsia" w:ascii="宋体" w:hAnsi="宋体"/>
          <w:b/>
          <w:bCs/>
          <w:color w:val="auto"/>
          <w:szCs w:val="21"/>
          <w:highlight w:val="none"/>
        </w:rPr>
        <w:t>一、甲方责任</w:t>
      </w:r>
    </w:p>
    <w:p w14:paraId="0145EF18">
      <w:pPr>
        <w:spacing w:before="180" w:beforeLines="50" w:after="180" w:afterLines="50"/>
        <w:ind w:firstLine="420" w:firstLineChars="200"/>
        <w:contextualSpacing/>
        <w:outlineLvl w:val="9"/>
        <w:rPr>
          <w:rFonts w:ascii="宋体" w:hAnsi="宋体"/>
          <w:color w:val="auto"/>
          <w:szCs w:val="21"/>
          <w:highlight w:val="none"/>
        </w:rPr>
      </w:pPr>
      <w:r>
        <w:rPr>
          <w:rFonts w:hint="eastAsia" w:ascii="宋体" w:hAnsi="宋体"/>
          <w:color w:val="auto"/>
          <w:szCs w:val="21"/>
          <w:highlight w:val="none"/>
        </w:rPr>
        <w:t>1.甲方有责任向乙方介绍本单位有关采购管理通用原则和本协议的规定。</w:t>
      </w:r>
    </w:p>
    <w:p w14:paraId="021CDFBA">
      <w:pPr>
        <w:spacing w:before="180" w:beforeLines="50" w:after="180" w:afterLines="50"/>
        <w:ind w:firstLine="420" w:firstLineChars="200"/>
        <w:contextualSpacing/>
        <w:outlineLvl w:val="9"/>
        <w:rPr>
          <w:rFonts w:ascii="宋体" w:hAnsi="宋体"/>
          <w:color w:val="auto"/>
          <w:szCs w:val="21"/>
          <w:highlight w:val="none"/>
        </w:rPr>
      </w:pPr>
      <w:r>
        <w:rPr>
          <w:rFonts w:hint="eastAsia" w:ascii="宋体" w:hAnsi="宋体"/>
          <w:color w:val="auto"/>
          <w:szCs w:val="21"/>
          <w:highlight w:val="none"/>
        </w:rPr>
        <w:t>2.甲方有责任对本单位相关人员进行阳光合作教育。</w:t>
      </w:r>
    </w:p>
    <w:p w14:paraId="79BD5AF0">
      <w:pPr>
        <w:spacing w:before="180" w:beforeLines="50" w:after="180" w:afterLines="50"/>
        <w:ind w:firstLine="420" w:firstLineChars="200"/>
        <w:contextualSpacing/>
        <w:outlineLvl w:val="9"/>
        <w:rPr>
          <w:rFonts w:ascii="宋体" w:hAnsi="宋体"/>
          <w:color w:val="auto"/>
          <w:szCs w:val="21"/>
          <w:highlight w:val="none"/>
        </w:rPr>
      </w:pPr>
      <w:r>
        <w:rPr>
          <w:rFonts w:hint="eastAsia" w:ascii="宋体" w:hAnsi="宋体"/>
          <w:color w:val="auto"/>
          <w:szCs w:val="21"/>
          <w:highlight w:val="none"/>
        </w:rPr>
        <w:t xml:space="preserve">3.甲方人员应严格遵守本单位有关阳光合作管理的规定，不得接受乙方任何形式的回扣、实物、现金、有价证券、礼券等有价物品，不得参加乙方提供的旅游或其他可能影响职务行为公正履行的活动。 </w:t>
      </w:r>
    </w:p>
    <w:p w14:paraId="0D92F4D9">
      <w:pPr>
        <w:spacing w:before="180" w:beforeLines="50" w:after="180" w:afterLines="50"/>
        <w:ind w:firstLine="420" w:firstLineChars="200"/>
        <w:contextualSpacing/>
        <w:outlineLvl w:val="9"/>
        <w:rPr>
          <w:rFonts w:ascii="宋体" w:hAnsi="宋体"/>
          <w:color w:val="auto"/>
          <w:szCs w:val="21"/>
          <w:highlight w:val="none"/>
        </w:rPr>
      </w:pPr>
      <w:r>
        <w:rPr>
          <w:rFonts w:hint="eastAsia" w:ascii="宋体" w:hAnsi="宋体"/>
          <w:color w:val="auto"/>
          <w:szCs w:val="21"/>
          <w:highlight w:val="none"/>
        </w:rPr>
        <w:t>4.甲方人员如违反阳光合作管理制度及本协议规定，甲方视情节轻重、影响大小给予行政及经济处罚。</w:t>
      </w:r>
    </w:p>
    <w:p w14:paraId="7EF9EB5E">
      <w:pPr>
        <w:spacing w:before="180" w:beforeLines="50" w:after="180" w:afterLines="50"/>
        <w:ind w:firstLine="420" w:firstLineChars="200"/>
        <w:contextualSpacing/>
        <w:outlineLvl w:val="9"/>
        <w:rPr>
          <w:rFonts w:ascii="宋体" w:hAnsi="宋体"/>
          <w:color w:val="auto"/>
          <w:szCs w:val="21"/>
          <w:highlight w:val="none"/>
        </w:rPr>
      </w:pPr>
      <w:r>
        <w:rPr>
          <w:rFonts w:hint="eastAsia" w:ascii="宋体" w:hAnsi="宋体"/>
          <w:color w:val="auto"/>
          <w:szCs w:val="21"/>
          <w:highlight w:val="none"/>
        </w:rPr>
        <w:t>5．对于乙方举报甲方人员违反阳光合作规定的情况，甲方应及时进行调查，根据调查情况进行处理，并将调查结果向乙方反馈。</w:t>
      </w:r>
    </w:p>
    <w:p w14:paraId="0727AC14">
      <w:pPr>
        <w:spacing w:before="180" w:beforeLines="50" w:after="180" w:afterLines="50"/>
        <w:ind w:firstLine="420" w:firstLineChars="200"/>
        <w:contextualSpacing/>
        <w:outlineLvl w:val="9"/>
        <w:rPr>
          <w:rFonts w:ascii="宋体" w:hAnsi="宋体"/>
          <w:color w:val="auto"/>
          <w:szCs w:val="21"/>
          <w:highlight w:val="none"/>
        </w:rPr>
      </w:pPr>
      <w:r>
        <w:rPr>
          <w:rFonts w:hint="eastAsia" w:ascii="宋体" w:hAnsi="宋体"/>
          <w:color w:val="auto"/>
          <w:szCs w:val="21"/>
          <w:highlight w:val="none"/>
        </w:rPr>
        <w:t>6.接受举报的一方应为举报方保密，不得对举报方进行报复，对举报属实和严格遵守《阳光合作协议》的合作方，在同等条件下给予后续合作的优先权。</w:t>
      </w:r>
    </w:p>
    <w:p w14:paraId="36A08455">
      <w:pPr>
        <w:spacing w:before="180" w:beforeLines="50" w:after="180" w:afterLines="50"/>
        <w:ind w:firstLine="422" w:firstLineChars="200"/>
        <w:contextualSpacing/>
        <w:outlineLvl w:val="9"/>
        <w:rPr>
          <w:rFonts w:ascii="宋体" w:hAnsi="宋体"/>
          <w:b/>
          <w:bCs/>
          <w:color w:val="auto"/>
          <w:szCs w:val="21"/>
          <w:highlight w:val="none"/>
        </w:rPr>
      </w:pPr>
      <w:r>
        <w:rPr>
          <w:rFonts w:hint="eastAsia" w:ascii="宋体" w:hAnsi="宋体"/>
          <w:b/>
          <w:bCs/>
          <w:color w:val="auto"/>
          <w:szCs w:val="21"/>
          <w:highlight w:val="none"/>
        </w:rPr>
        <w:t>二、乙方责任</w:t>
      </w:r>
    </w:p>
    <w:p w14:paraId="7DA0A60A">
      <w:pPr>
        <w:spacing w:before="180" w:beforeLines="50" w:after="180" w:afterLines="50"/>
        <w:ind w:firstLine="420" w:firstLineChars="200"/>
        <w:contextualSpacing/>
        <w:outlineLvl w:val="9"/>
        <w:rPr>
          <w:rFonts w:ascii="宋体" w:hAnsi="宋体"/>
          <w:color w:val="auto"/>
          <w:szCs w:val="21"/>
          <w:highlight w:val="none"/>
        </w:rPr>
      </w:pPr>
      <w:r>
        <w:rPr>
          <w:rFonts w:hint="eastAsia" w:ascii="宋体" w:hAnsi="宋体"/>
          <w:color w:val="auto"/>
          <w:szCs w:val="21"/>
          <w:highlight w:val="none"/>
        </w:rPr>
        <w:t>1.乙方应保证乙方人员了解甲方有关采购管理通用原则和本协议的规定，并遵照执行。</w:t>
      </w:r>
    </w:p>
    <w:p w14:paraId="0C8750D6">
      <w:pPr>
        <w:spacing w:before="180" w:beforeLines="50" w:after="180" w:afterLines="50"/>
        <w:ind w:firstLine="420" w:firstLineChars="200"/>
        <w:contextualSpacing/>
        <w:outlineLvl w:val="9"/>
        <w:rPr>
          <w:rFonts w:ascii="宋体" w:hAnsi="宋体"/>
          <w:color w:val="auto"/>
          <w:szCs w:val="21"/>
          <w:highlight w:val="none"/>
        </w:rPr>
      </w:pPr>
      <w:r>
        <w:rPr>
          <w:rFonts w:hint="eastAsia" w:ascii="宋体" w:hAnsi="宋体"/>
          <w:color w:val="auto"/>
          <w:szCs w:val="21"/>
          <w:highlight w:val="none"/>
        </w:rPr>
        <w:t>2.乙方不得以任何形式给予甲方人员回扣、赠送实物、现金、有价证券、礼券等有价物品或提供旅游等其他可能影响职务行为公正履行的活动（以下统称“财物”）。</w:t>
      </w:r>
    </w:p>
    <w:p w14:paraId="5FE4073D">
      <w:pPr>
        <w:spacing w:before="180" w:beforeLines="50" w:after="180" w:afterLines="50"/>
        <w:ind w:firstLine="420" w:firstLineChars="200"/>
        <w:contextualSpacing/>
        <w:outlineLvl w:val="9"/>
        <w:rPr>
          <w:rFonts w:ascii="宋体" w:hAnsi="宋体"/>
          <w:color w:val="auto"/>
          <w:szCs w:val="21"/>
          <w:highlight w:val="none"/>
        </w:rPr>
      </w:pPr>
      <w:r>
        <w:rPr>
          <w:rFonts w:hint="eastAsia" w:ascii="宋体" w:hAnsi="宋体"/>
          <w:color w:val="auto"/>
          <w:szCs w:val="21"/>
          <w:highlight w:val="none"/>
        </w:rPr>
        <w:t>3.乙方有责任接受甲方对乙方在合作期间阳光合作管理执行情况的监督，并对甲方相关调查工作主动配合。</w:t>
      </w:r>
    </w:p>
    <w:p w14:paraId="48312B0D">
      <w:pPr>
        <w:spacing w:before="180" w:beforeLines="50" w:after="180" w:afterLines="50"/>
        <w:ind w:firstLine="420" w:firstLineChars="200"/>
        <w:contextualSpacing/>
        <w:outlineLvl w:val="9"/>
        <w:rPr>
          <w:rFonts w:ascii="宋体" w:hAnsi="宋体"/>
          <w:color w:val="auto"/>
          <w:szCs w:val="21"/>
          <w:highlight w:val="none"/>
        </w:rPr>
      </w:pPr>
      <w:r>
        <w:rPr>
          <w:rFonts w:hint="eastAsia" w:ascii="宋体" w:hAnsi="宋体"/>
          <w:color w:val="auto"/>
          <w:szCs w:val="21"/>
          <w:highlight w:val="none"/>
        </w:rPr>
        <w:t>4.乙方有义务就甲方人员任何形式的索取或收受财物行为及时向甲方（直接联系人为东莞实业投资控股集团有限公司</w:t>
      </w:r>
      <w:r>
        <w:rPr>
          <w:rFonts w:hint="eastAsia" w:ascii="宋体" w:hAnsi="宋体"/>
          <w:color w:val="auto"/>
          <w:szCs w:val="21"/>
          <w:highlight w:val="none"/>
          <w:lang w:eastAsia="zh-CN"/>
        </w:rPr>
        <w:t>风控法务部</w:t>
      </w:r>
      <w:r>
        <w:rPr>
          <w:rFonts w:hint="eastAsia" w:ascii="宋体" w:hAnsi="宋体"/>
          <w:color w:val="auto"/>
          <w:szCs w:val="21"/>
          <w:highlight w:val="none"/>
        </w:rPr>
        <w:t>）举报。如乙方或其人员向甲方人员给予财物，或甲方人员向乙方索取财物，乙方满足其要求并且未向甲方举报的，一经查实（包括但不限于被甲方核实属实，或者被司法机关或第三方核实属实的），甲方将在内部通报；乙方除应向甲方赔偿由此给甲方造成的损失外，乙方还应向甲方支付相当于原合同总价的10%的违约金，并对乙方知情不报人员进行相应处罚；连续出现2次及以上类似情况或者因乙方在合作期间贿赂甲方人员，被司法机关立案查处核实属实的，甲方有权解除原合同，如甲方解除原合同的，则乙方应退还甲方所支付的所有款项并按原合同与本合同约定承担违约责任，且五年之内不得作为东实集团（东莞实业投资控股集团有限公司及下属子公司）合格供应商。</w:t>
      </w:r>
    </w:p>
    <w:p w14:paraId="3A055478">
      <w:pPr>
        <w:spacing w:before="180" w:beforeLines="50" w:after="180" w:afterLines="50"/>
        <w:ind w:firstLine="420" w:firstLineChars="200"/>
        <w:contextualSpacing/>
        <w:outlineLvl w:val="9"/>
        <w:rPr>
          <w:rFonts w:ascii="宋体" w:hAnsi="宋体"/>
          <w:color w:val="auto"/>
          <w:szCs w:val="21"/>
          <w:highlight w:val="none"/>
        </w:rPr>
      </w:pPr>
      <w:r>
        <w:rPr>
          <w:rFonts w:hint="eastAsia" w:ascii="宋体" w:hAnsi="宋体"/>
          <w:color w:val="auto"/>
          <w:szCs w:val="21"/>
          <w:highlight w:val="none"/>
        </w:rPr>
        <w:t xml:space="preserve">5．甲方接受乙方实名或匿名举报，保证为举报者的信息保密，常设举报部门及电话： </w:t>
      </w:r>
    </w:p>
    <w:p w14:paraId="4428AD5A">
      <w:pPr>
        <w:spacing w:before="180" w:beforeLines="50" w:after="180" w:afterLines="50"/>
        <w:ind w:firstLine="420" w:firstLineChars="200"/>
        <w:contextualSpacing/>
        <w:outlineLvl w:val="9"/>
        <w:rPr>
          <w:rFonts w:hint="eastAsia" w:ascii="宋体" w:hAnsi="宋体" w:eastAsia="宋体"/>
          <w:color w:val="auto"/>
          <w:szCs w:val="21"/>
          <w:highlight w:val="none"/>
          <w:lang w:eastAsia="zh-CN"/>
        </w:rPr>
      </w:pPr>
      <w:r>
        <w:rPr>
          <w:rFonts w:hint="eastAsia" w:ascii="宋体" w:hAnsi="宋体"/>
          <w:color w:val="auto"/>
          <w:szCs w:val="21"/>
          <w:highlight w:val="none"/>
        </w:rPr>
        <w:t>举报受理部门：东莞实业投资控股集团有限公司</w:t>
      </w:r>
      <w:r>
        <w:rPr>
          <w:rFonts w:hint="eastAsia" w:ascii="宋体" w:hAnsi="宋体"/>
          <w:color w:val="auto"/>
          <w:szCs w:val="21"/>
          <w:highlight w:val="none"/>
          <w:lang w:eastAsia="zh-CN"/>
        </w:rPr>
        <w:t>风控法务部</w:t>
      </w:r>
    </w:p>
    <w:p w14:paraId="778B14AA">
      <w:pPr>
        <w:spacing w:before="180" w:beforeLines="50" w:after="180" w:afterLines="50"/>
        <w:ind w:firstLine="420" w:firstLineChars="200"/>
        <w:contextualSpacing/>
        <w:outlineLvl w:val="9"/>
        <w:rPr>
          <w:rFonts w:ascii="宋体" w:hAnsi="宋体"/>
          <w:color w:val="auto"/>
          <w:szCs w:val="21"/>
          <w:highlight w:val="none"/>
        </w:rPr>
      </w:pPr>
      <w:r>
        <w:rPr>
          <w:rFonts w:hint="eastAsia" w:ascii="宋体" w:hAnsi="宋体"/>
          <w:color w:val="auto"/>
          <w:szCs w:val="21"/>
          <w:highlight w:val="none"/>
        </w:rPr>
        <w:t>东实集团举报邮箱：dgsyxf@163.com</w:t>
      </w:r>
    </w:p>
    <w:p w14:paraId="0FFF72EF">
      <w:pPr>
        <w:spacing w:before="180" w:beforeLines="50" w:after="180" w:afterLines="50"/>
        <w:ind w:firstLine="420" w:firstLineChars="200"/>
        <w:contextualSpacing/>
        <w:outlineLvl w:val="9"/>
        <w:rPr>
          <w:rFonts w:ascii="宋体" w:hAnsi="宋体"/>
          <w:color w:val="auto"/>
          <w:szCs w:val="21"/>
          <w:highlight w:val="none"/>
        </w:rPr>
      </w:pPr>
      <w:r>
        <w:rPr>
          <w:rFonts w:hint="eastAsia" w:ascii="宋体" w:hAnsi="宋体"/>
          <w:color w:val="auto"/>
          <w:szCs w:val="21"/>
          <w:highlight w:val="none"/>
        </w:rPr>
        <w:t>东实集团举报电话：0769-28820703（周一至周五9:00-12:00和14:00-18:00）</w:t>
      </w:r>
    </w:p>
    <w:p w14:paraId="7B19F191">
      <w:pPr>
        <w:spacing w:before="180" w:beforeLines="50" w:after="180" w:afterLines="50"/>
        <w:ind w:firstLine="420" w:firstLineChars="200"/>
        <w:contextualSpacing/>
        <w:outlineLvl w:val="9"/>
        <w:rPr>
          <w:rFonts w:ascii="宋体" w:hAnsi="宋体"/>
          <w:color w:val="auto"/>
          <w:szCs w:val="21"/>
          <w:highlight w:val="none"/>
        </w:rPr>
      </w:pPr>
      <w:r>
        <w:rPr>
          <w:rFonts w:hint="eastAsia" w:ascii="宋体" w:hAnsi="宋体"/>
          <w:color w:val="auto"/>
          <w:szCs w:val="21"/>
          <w:highlight w:val="none"/>
        </w:rPr>
        <w:t>邮寄地址：东莞市东城区八一路1号机关二号大院9号楼，东莞实业投资控股集团有限公司</w:t>
      </w:r>
      <w:r>
        <w:rPr>
          <w:rFonts w:hint="eastAsia" w:ascii="宋体" w:hAnsi="宋体"/>
          <w:color w:val="auto"/>
          <w:szCs w:val="21"/>
          <w:highlight w:val="none"/>
          <w:lang w:eastAsia="zh-CN"/>
        </w:rPr>
        <w:t>风控法务部</w:t>
      </w:r>
      <w:r>
        <w:rPr>
          <w:rFonts w:hint="eastAsia" w:ascii="宋体" w:hAnsi="宋体"/>
          <w:color w:val="auto"/>
          <w:szCs w:val="21"/>
          <w:highlight w:val="none"/>
        </w:rPr>
        <w:t>收，邮编523000。</w:t>
      </w:r>
    </w:p>
    <w:p w14:paraId="5E312E1D">
      <w:pPr>
        <w:spacing w:before="180" w:beforeLines="50" w:after="180" w:afterLines="50"/>
        <w:ind w:firstLine="422" w:firstLineChars="200"/>
        <w:contextualSpacing/>
        <w:outlineLvl w:val="9"/>
        <w:rPr>
          <w:rFonts w:ascii="宋体" w:hAnsi="宋体"/>
          <w:b/>
          <w:bCs/>
          <w:color w:val="auto"/>
          <w:szCs w:val="21"/>
          <w:highlight w:val="none"/>
        </w:rPr>
      </w:pPr>
      <w:r>
        <w:rPr>
          <w:rFonts w:hint="eastAsia" w:ascii="宋体" w:hAnsi="宋体"/>
          <w:b/>
          <w:bCs/>
          <w:color w:val="auto"/>
          <w:szCs w:val="21"/>
          <w:highlight w:val="none"/>
        </w:rPr>
        <w:t>三、其他</w:t>
      </w:r>
    </w:p>
    <w:p w14:paraId="1A344622">
      <w:pPr>
        <w:spacing w:before="180" w:beforeLines="50" w:after="180" w:afterLines="50"/>
        <w:ind w:firstLine="420" w:firstLineChars="200"/>
        <w:contextualSpacing/>
        <w:outlineLvl w:val="9"/>
        <w:rPr>
          <w:rFonts w:ascii="宋体" w:hAnsi="宋体"/>
          <w:color w:val="auto"/>
          <w:szCs w:val="21"/>
          <w:highlight w:val="none"/>
        </w:rPr>
      </w:pPr>
      <w:r>
        <w:rPr>
          <w:rFonts w:hint="eastAsia" w:ascii="宋体" w:hAnsi="宋体"/>
          <w:color w:val="auto"/>
          <w:szCs w:val="21"/>
          <w:highlight w:val="none"/>
        </w:rPr>
        <w:t>1.本协议是原合同的补充协议，与原合同有同等法律效力。</w:t>
      </w:r>
    </w:p>
    <w:p w14:paraId="0E23F532">
      <w:pPr>
        <w:spacing w:before="180" w:beforeLines="50" w:after="180" w:afterLines="50"/>
        <w:ind w:firstLine="420" w:firstLineChars="200"/>
        <w:contextualSpacing/>
        <w:outlineLvl w:val="9"/>
        <w:rPr>
          <w:rFonts w:ascii="宋体" w:hAnsi="宋体"/>
          <w:color w:val="auto"/>
          <w:szCs w:val="21"/>
          <w:highlight w:val="none"/>
        </w:rPr>
      </w:pPr>
      <w:r>
        <w:rPr>
          <w:rFonts w:hint="eastAsia" w:ascii="宋体" w:hAnsi="宋体"/>
          <w:color w:val="auto"/>
          <w:szCs w:val="21"/>
          <w:highlight w:val="none"/>
        </w:rPr>
        <w:t>2.本协议一式</w:t>
      </w:r>
      <w:r>
        <w:rPr>
          <w:rFonts w:hint="eastAsia" w:ascii="宋体" w:hAnsi="宋体"/>
          <w:color w:val="auto"/>
          <w:szCs w:val="21"/>
          <w:highlight w:val="none"/>
          <w:lang w:val="en-US" w:eastAsia="zh-CN"/>
        </w:rPr>
        <w:t>柒</w:t>
      </w:r>
      <w:r>
        <w:rPr>
          <w:rFonts w:hint="eastAsia" w:ascii="宋体" w:hAnsi="宋体"/>
          <w:color w:val="auto"/>
          <w:szCs w:val="21"/>
          <w:highlight w:val="none"/>
        </w:rPr>
        <w:t>份，甲方执肆份，乙方执</w:t>
      </w:r>
      <w:r>
        <w:rPr>
          <w:rFonts w:hint="eastAsia" w:ascii="宋体" w:hAnsi="宋体"/>
          <w:color w:val="auto"/>
          <w:szCs w:val="21"/>
          <w:highlight w:val="none"/>
          <w:lang w:val="en-US" w:eastAsia="zh-CN"/>
        </w:rPr>
        <w:t>叁</w:t>
      </w:r>
      <w:r>
        <w:rPr>
          <w:rFonts w:hint="eastAsia" w:ascii="宋体" w:hAnsi="宋体"/>
          <w:color w:val="auto"/>
          <w:szCs w:val="21"/>
          <w:highlight w:val="none"/>
        </w:rPr>
        <w:t>份,具有同等法律效力。</w:t>
      </w:r>
    </w:p>
    <w:p w14:paraId="4ECC3986">
      <w:pPr>
        <w:spacing w:before="180" w:beforeLines="50" w:after="180" w:afterLines="50"/>
        <w:ind w:firstLine="420" w:firstLineChars="200"/>
        <w:contextualSpacing/>
        <w:outlineLvl w:val="9"/>
        <w:rPr>
          <w:rFonts w:ascii="宋体" w:hAnsi="宋体"/>
          <w:color w:val="auto"/>
          <w:szCs w:val="21"/>
          <w:highlight w:val="none"/>
        </w:rPr>
      </w:pPr>
      <w:r>
        <w:rPr>
          <w:rFonts w:hint="eastAsia" w:ascii="宋体" w:hAnsi="宋体"/>
          <w:color w:val="auto"/>
          <w:szCs w:val="21"/>
          <w:highlight w:val="none"/>
        </w:rPr>
        <w:t>3.本协议经双方签署后生效。</w:t>
      </w:r>
    </w:p>
    <w:p w14:paraId="2EDA1850">
      <w:pPr>
        <w:adjustRightInd/>
        <w:snapToGrid/>
        <w:ind w:firstLine="480" w:firstLineChars="200"/>
        <w:contextualSpacing/>
        <w:jc w:val="both"/>
        <w:outlineLvl w:val="9"/>
        <w:rPr>
          <w:rFonts w:ascii="楷体" w:hAnsi="楷体" w:eastAsia="楷体"/>
          <w:color w:val="auto"/>
          <w:sz w:val="24"/>
          <w:szCs w:val="24"/>
          <w:highlight w:val="none"/>
        </w:rPr>
      </w:pPr>
    </w:p>
    <w:p w14:paraId="3FC823FB">
      <w:pPr>
        <w:spacing w:before="180" w:beforeLines="50" w:after="180" w:afterLines="50"/>
        <w:ind w:firstLine="420" w:firstLineChars="200"/>
        <w:contextualSpacing/>
        <w:outlineLvl w:val="9"/>
        <w:rPr>
          <w:rFonts w:ascii="宋体" w:hAnsi="宋体"/>
          <w:color w:val="auto"/>
          <w:szCs w:val="21"/>
          <w:highlight w:val="none"/>
        </w:rPr>
      </w:pPr>
      <w:r>
        <w:rPr>
          <w:rFonts w:hint="eastAsia" w:ascii="宋体" w:hAnsi="宋体"/>
          <w:color w:val="auto"/>
          <w:szCs w:val="21"/>
          <w:highlight w:val="none"/>
        </w:rPr>
        <w:t xml:space="preserve">甲方（盖章）：                      乙方（盖章）： </w:t>
      </w:r>
    </w:p>
    <w:p w14:paraId="75324319">
      <w:pPr>
        <w:spacing w:before="180" w:beforeLines="50" w:after="180" w:afterLines="50"/>
        <w:ind w:firstLine="420" w:firstLineChars="200"/>
        <w:contextualSpacing/>
        <w:outlineLvl w:val="9"/>
        <w:rPr>
          <w:rFonts w:ascii="宋体" w:hAnsi="宋体"/>
          <w:color w:val="auto"/>
          <w:szCs w:val="21"/>
          <w:highlight w:val="none"/>
        </w:rPr>
      </w:pPr>
    </w:p>
    <w:p w14:paraId="287B4425">
      <w:pPr>
        <w:spacing w:before="180" w:beforeLines="50" w:after="180" w:afterLines="50"/>
        <w:ind w:firstLine="420" w:firstLineChars="200"/>
        <w:contextualSpacing/>
        <w:outlineLvl w:val="9"/>
        <w:rPr>
          <w:rFonts w:ascii="宋体" w:hAnsi="宋体"/>
          <w:color w:val="auto"/>
          <w:szCs w:val="21"/>
          <w:highlight w:val="none"/>
        </w:rPr>
      </w:pPr>
      <w:r>
        <w:rPr>
          <w:rFonts w:hint="eastAsia" w:ascii="宋体" w:hAnsi="宋体"/>
          <w:color w:val="auto"/>
          <w:szCs w:val="21"/>
          <w:highlight w:val="none"/>
        </w:rPr>
        <w:t>法定代表人（授权代表）：</w:t>
      </w:r>
      <w:r>
        <w:rPr>
          <w:rFonts w:hint="eastAsia" w:ascii="宋体" w:hAnsi="宋体"/>
          <w:color w:val="auto"/>
          <w:szCs w:val="21"/>
          <w:highlight w:val="none"/>
        </w:rPr>
        <w:tab/>
      </w:r>
      <w:r>
        <w:rPr>
          <w:rFonts w:hint="eastAsia" w:ascii="宋体" w:hAnsi="宋体"/>
          <w:color w:val="auto"/>
          <w:szCs w:val="21"/>
          <w:highlight w:val="none"/>
        </w:rPr>
        <w:t xml:space="preserve">      法定代表人（授权代表）：</w:t>
      </w:r>
    </w:p>
    <w:p w14:paraId="13AF0B95">
      <w:pPr>
        <w:spacing w:before="180" w:beforeLines="50" w:after="180" w:afterLines="50"/>
        <w:ind w:firstLine="420" w:firstLineChars="200"/>
        <w:contextualSpacing/>
        <w:outlineLvl w:val="9"/>
        <w:rPr>
          <w:rFonts w:ascii="宋体" w:hAnsi="宋体"/>
          <w:color w:val="auto"/>
          <w:szCs w:val="21"/>
          <w:highlight w:val="none"/>
        </w:rPr>
      </w:pPr>
    </w:p>
    <w:p w14:paraId="0A4C08B2">
      <w:pPr>
        <w:spacing w:before="180" w:beforeLines="50" w:after="180" w:afterLines="50"/>
        <w:ind w:firstLine="420" w:firstLineChars="200"/>
        <w:contextualSpacing/>
        <w:outlineLvl w:val="9"/>
        <w:rPr>
          <w:rFonts w:ascii="宋体" w:hAnsi="宋体"/>
          <w:color w:val="auto"/>
          <w:szCs w:val="21"/>
          <w:highlight w:val="none"/>
        </w:rPr>
      </w:pPr>
      <w:r>
        <w:rPr>
          <w:rFonts w:hint="eastAsia" w:ascii="宋体" w:hAnsi="宋体"/>
          <w:color w:val="auto"/>
          <w:szCs w:val="21"/>
          <w:highlight w:val="none"/>
        </w:rPr>
        <w:t>签约日期：   年   月   日</w:t>
      </w:r>
      <w:r>
        <w:rPr>
          <w:rFonts w:hint="eastAsia" w:ascii="宋体" w:hAnsi="宋体"/>
          <w:color w:val="auto"/>
          <w:szCs w:val="21"/>
          <w:highlight w:val="none"/>
        </w:rPr>
        <w:tab/>
      </w:r>
      <w:r>
        <w:rPr>
          <w:rFonts w:hint="eastAsia" w:ascii="宋体" w:hAnsi="宋体"/>
          <w:color w:val="auto"/>
          <w:szCs w:val="21"/>
          <w:highlight w:val="none"/>
        </w:rPr>
        <w:t xml:space="preserve">       签约日期：   年   月   日</w:t>
      </w:r>
    </w:p>
    <w:bookmarkEnd w:id="454"/>
    <w:bookmarkEnd w:id="455"/>
    <w:bookmarkEnd w:id="456"/>
    <w:bookmarkEnd w:id="457"/>
    <w:bookmarkEnd w:id="458"/>
    <w:bookmarkEnd w:id="459"/>
    <w:bookmarkEnd w:id="460"/>
    <w:p w14:paraId="2A6192BA">
      <w:pPr>
        <w:outlineLvl w:val="9"/>
        <w:rPr>
          <w:color w:val="auto"/>
          <w:highlight w:val="none"/>
        </w:rPr>
      </w:pPr>
      <w:r>
        <w:rPr>
          <w:color w:val="auto"/>
          <w:highlight w:val="none"/>
          <w:lang w:bidi="zh-CN"/>
        </w:rPr>
        <w:br w:type="page"/>
      </w:r>
    </w:p>
    <w:p w14:paraId="7D64D65B">
      <w:pPr>
        <w:pStyle w:val="4"/>
        <w:spacing w:before="0" w:after="0" w:line="240" w:lineRule="auto"/>
        <w:rPr>
          <w:color w:val="auto"/>
          <w:sz w:val="28"/>
          <w:szCs w:val="28"/>
          <w:highlight w:val="none"/>
        </w:rPr>
      </w:pPr>
      <w:bookmarkStart w:id="461" w:name="_Toc25010"/>
      <w:r>
        <w:rPr>
          <w:rFonts w:hint="eastAsia"/>
          <w:color w:val="auto"/>
          <w:sz w:val="28"/>
          <w:szCs w:val="28"/>
          <w:highlight w:val="none"/>
        </w:rPr>
        <w:t>第六部分附件－投标文件格式</w:t>
      </w:r>
      <w:bookmarkEnd w:id="461"/>
    </w:p>
    <w:p w14:paraId="37E37DB3">
      <w:pPr>
        <w:rPr>
          <w:color w:val="auto"/>
          <w:highlight w:val="none"/>
        </w:rPr>
      </w:pPr>
    </w:p>
    <w:p w14:paraId="1F864604">
      <w:pPr>
        <w:pStyle w:val="6"/>
        <w:widowControl w:val="0"/>
        <w:overflowPunct w:val="0"/>
        <w:spacing w:line="240" w:lineRule="auto"/>
        <w:rPr>
          <w:rFonts w:ascii="宋体" w:hAnsi="宋体"/>
          <w:color w:val="auto"/>
          <w:sz w:val="21"/>
          <w:szCs w:val="21"/>
          <w:highlight w:val="none"/>
        </w:rPr>
      </w:pPr>
      <w:bookmarkStart w:id="462" w:name="_Toc1695"/>
      <w:r>
        <w:rPr>
          <w:rFonts w:hint="eastAsia" w:ascii="宋体" w:hAnsi="宋体"/>
          <w:color w:val="auto"/>
          <w:sz w:val="21"/>
          <w:szCs w:val="21"/>
          <w:highlight w:val="none"/>
        </w:rPr>
        <w:t>投标文件目录</w:t>
      </w:r>
      <w:bookmarkEnd w:id="462"/>
    </w:p>
    <w:p w14:paraId="1C3F0E2E">
      <w:pPr>
        <w:jc w:val="center"/>
        <w:rPr>
          <w:rFonts w:ascii="黑体" w:eastAsia="黑体"/>
          <w:color w:val="auto"/>
          <w:sz w:val="32"/>
          <w:szCs w:val="32"/>
          <w:highlight w:val="none"/>
        </w:rPr>
      </w:pPr>
    </w:p>
    <w:p w14:paraId="27157358">
      <w:pPr>
        <w:jc w:val="center"/>
        <w:rPr>
          <w:rFonts w:ascii="黑体" w:eastAsia="黑体"/>
          <w:color w:val="auto"/>
          <w:sz w:val="32"/>
          <w:szCs w:val="32"/>
          <w:highlight w:val="none"/>
        </w:rPr>
      </w:pPr>
      <w:r>
        <w:rPr>
          <w:rFonts w:hint="eastAsia" w:ascii="黑体" w:eastAsia="黑体"/>
          <w:color w:val="auto"/>
          <w:sz w:val="32"/>
          <w:szCs w:val="32"/>
          <w:highlight w:val="none"/>
        </w:rPr>
        <w:t>目录</w:t>
      </w:r>
    </w:p>
    <w:p w14:paraId="1CD122F2">
      <w:pPr>
        <w:adjustRightInd/>
        <w:snapToGrid/>
        <w:spacing w:line="276" w:lineRule="auto"/>
        <w:rPr>
          <w:rFonts w:ascii="宋体" w:hAnsi="宋体"/>
          <w:color w:val="auto"/>
          <w:szCs w:val="21"/>
          <w:highlight w:val="none"/>
        </w:rPr>
      </w:pPr>
      <w:r>
        <w:rPr>
          <w:rFonts w:hint="eastAsia" w:ascii="宋体" w:hAnsi="宋体"/>
          <w:color w:val="auto"/>
          <w:szCs w:val="21"/>
          <w:highlight w:val="none"/>
        </w:rPr>
        <w:t>格式自理。</w:t>
      </w:r>
    </w:p>
    <w:p w14:paraId="3BD18436">
      <w:pPr>
        <w:adjustRightInd/>
        <w:snapToGrid/>
        <w:spacing w:line="276" w:lineRule="auto"/>
        <w:rPr>
          <w:rFonts w:ascii="宋体" w:hAnsi="宋体"/>
          <w:color w:val="auto"/>
          <w:szCs w:val="21"/>
          <w:highlight w:val="none"/>
        </w:rPr>
      </w:pPr>
    </w:p>
    <w:p w14:paraId="5F7C8EE0">
      <w:pPr>
        <w:adjustRightInd/>
        <w:snapToGrid/>
        <w:spacing w:line="276" w:lineRule="auto"/>
        <w:rPr>
          <w:rFonts w:ascii="宋体" w:hAnsi="宋体"/>
          <w:color w:val="auto"/>
          <w:szCs w:val="21"/>
          <w:highlight w:val="none"/>
        </w:rPr>
      </w:pPr>
    </w:p>
    <w:p w14:paraId="49D156B5">
      <w:pPr>
        <w:adjustRightInd/>
        <w:snapToGrid/>
        <w:spacing w:line="276" w:lineRule="auto"/>
        <w:rPr>
          <w:rFonts w:ascii="宋体" w:hAnsi="宋体"/>
          <w:color w:val="auto"/>
          <w:szCs w:val="21"/>
          <w:highlight w:val="none"/>
        </w:rPr>
      </w:pPr>
      <w:r>
        <w:rPr>
          <w:rFonts w:hint="eastAsia" w:ascii="宋体" w:hAnsi="宋体"/>
          <w:color w:val="auto"/>
          <w:szCs w:val="21"/>
          <w:highlight w:val="none"/>
        </w:rPr>
        <w:t>注：</w:t>
      </w:r>
    </w:p>
    <w:p w14:paraId="5A7BC555">
      <w:pPr>
        <w:adjustRightInd/>
        <w:snapToGrid/>
        <w:spacing w:line="276" w:lineRule="auto"/>
        <w:rPr>
          <w:rFonts w:ascii="宋体" w:hAnsi="宋体"/>
          <w:color w:val="auto"/>
          <w:szCs w:val="21"/>
          <w:highlight w:val="none"/>
        </w:rPr>
      </w:pPr>
      <w:r>
        <w:rPr>
          <w:rFonts w:hint="eastAsia" w:ascii="宋体" w:hAnsi="宋体"/>
          <w:color w:val="auto"/>
          <w:szCs w:val="21"/>
          <w:highlight w:val="none"/>
        </w:rPr>
        <w:t>1、投标人制作的投标文件应当具备目录。</w:t>
      </w:r>
      <w:r>
        <w:rPr>
          <w:rFonts w:ascii="宋体" w:hAnsi="宋体"/>
          <w:color w:val="auto"/>
          <w:szCs w:val="21"/>
          <w:highlight w:val="none"/>
        </w:rPr>
        <w:br w:type="page"/>
      </w:r>
    </w:p>
    <w:p w14:paraId="0EF3E29A">
      <w:pPr>
        <w:pStyle w:val="6"/>
        <w:widowControl w:val="0"/>
        <w:overflowPunct w:val="0"/>
        <w:spacing w:line="240" w:lineRule="auto"/>
        <w:rPr>
          <w:rFonts w:ascii="宋体" w:hAnsi="宋体"/>
          <w:color w:val="auto"/>
          <w:sz w:val="21"/>
          <w:szCs w:val="21"/>
          <w:highlight w:val="none"/>
        </w:rPr>
      </w:pPr>
      <w:bookmarkStart w:id="463" w:name="_Toc17627"/>
      <w:r>
        <w:rPr>
          <w:rFonts w:hint="eastAsia" w:ascii="宋体" w:hAnsi="宋体"/>
          <w:color w:val="auto"/>
          <w:sz w:val="21"/>
          <w:szCs w:val="21"/>
          <w:highlight w:val="none"/>
        </w:rPr>
        <w:t>附件1.评分标准索引表</w:t>
      </w:r>
      <w:bookmarkEnd w:id="463"/>
    </w:p>
    <w:p w14:paraId="7045DB6A">
      <w:pPr>
        <w:adjustRightInd/>
        <w:snapToGrid/>
        <w:spacing w:line="276" w:lineRule="auto"/>
        <w:rPr>
          <w:rFonts w:ascii="宋体" w:hAnsi="宋体"/>
          <w:color w:val="auto"/>
          <w:szCs w:val="21"/>
          <w:highlight w:val="none"/>
        </w:rPr>
      </w:pPr>
    </w:p>
    <w:p w14:paraId="17861239">
      <w:pPr>
        <w:jc w:val="center"/>
        <w:rPr>
          <w:rFonts w:ascii="黑体" w:eastAsia="黑体"/>
          <w:color w:val="auto"/>
          <w:sz w:val="32"/>
          <w:szCs w:val="32"/>
          <w:highlight w:val="none"/>
        </w:rPr>
      </w:pPr>
      <w:r>
        <w:rPr>
          <w:rFonts w:hint="eastAsia" w:ascii="黑体" w:eastAsia="黑体"/>
          <w:color w:val="auto"/>
          <w:sz w:val="32"/>
          <w:szCs w:val="32"/>
          <w:highlight w:val="none"/>
        </w:rPr>
        <w:t>评分标准索引表</w:t>
      </w:r>
    </w:p>
    <w:tbl>
      <w:tblPr>
        <w:tblStyle w:val="31"/>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04"/>
        <w:gridCol w:w="1704"/>
        <w:gridCol w:w="1704"/>
        <w:gridCol w:w="1705"/>
        <w:gridCol w:w="1705"/>
      </w:tblGrid>
      <w:tr w14:paraId="1FD9B7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7" w:hRule="atLeast"/>
        </w:trPr>
        <w:tc>
          <w:tcPr>
            <w:tcW w:w="1704" w:type="dxa"/>
            <w:vAlign w:val="center"/>
          </w:tcPr>
          <w:p w14:paraId="7433F611">
            <w:pPr>
              <w:jc w:val="center"/>
              <w:rPr>
                <w:rFonts w:ascii="宋体" w:hAnsi="宋体" w:cs="宋体"/>
                <w:color w:val="auto"/>
                <w:highlight w:val="none"/>
              </w:rPr>
            </w:pPr>
            <w:r>
              <w:rPr>
                <w:rFonts w:hint="eastAsia" w:ascii="宋体" w:hAnsi="宋体" w:cs="宋体"/>
                <w:color w:val="auto"/>
                <w:highlight w:val="none"/>
              </w:rPr>
              <w:t>序号</w:t>
            </w:r>
          </w:p>
        </w:tc>
        <w:tc>
          <w:tcPr>
            <w:tcW w:w="1704" w:type="dxa"/>
            <w:vAlign w:val="center"/>
          </w:tcPr>
          <w:p w14:paraId="06AC65F1">
            <w:pPr>
              <w:jc w:val="center"/>
              <w:rPr>
                <w:rFonts w:ascii="宋体" w:hAnsi="宋体" w:cs="宋体"/>
                <w:color w:val="auto"/>
                <w:highlight w:val="none"/>
              </w:rPr>
            </w:pPr>
            <w:r>
              <w:rPr>
                <w:rFonts w:hint="eastAsia" w:ascii="宋体" w:hAnsi="宋体" w:cs="宋体"/>
                <w:color w:val="auto"/>
                <w:highlight w:val="none"/>
              </w:rPr>
              <w:t>评审项目</w:t>
            </w:r>
          </w:p>
        </w:tc>
        <w:tc>
          <w:tcPr>
            <w:tcW w:w="1704" w:type="dxa"/>
            <w:vAlign w:val="center"/>
          </w:tcPr>
          <w:p w14:paraId="7C3A7347">
            <w:pPr>
              <w:jc w:val="center"/>
              <w:rPr>
                <w:rFonts w:ascii="宋体" w:hAnsi="宋体" w:cs="宋体"/>
                <w:color w:val="auto"/>
                <w:highlight w:val="none"/>
              </w:rPr>
            </w:pPr>
            <w:r>
              <w:rPr>
                <w:rFonts w:hint="eastAsia" w:ascii="宋体" w:hAnsi="宋体" w:cs="宋体"/>
                <w:color w:val="auto"/>
                <w:highlight w:val="none"/>
              </w:rPr>
              <w:t>评审细则</w:t>
            </w:r>
          </w:p>
        </w:tc>
        <w:tc>
          <w:tcPr>
            <w:tcW w:w="1705" w:type="dxa"/>
            <w:vAlign w:val="center"/>
          </w:tcPr>
          <w:p w14:paraId="0B2A3088">
            <w:pPr>
              <w:jc w:val="center"/>
              <w:rPr>
                <w:rFonts w:ascii="宋体" w:hAnsi="宋体" w:cs="宋体"/>
                <w:color w:val="auto"/>
                <w:highlight w:val="none"/>
              </w:rPr>
            </w:pPr>
            <w:r>
              <w:rPr>
                <w:rFonts w:hint="eastAsia" w:ascii="宋体" w:hAnsi="宋体" w:cs="宋体"/>
                <w:color w:val="auto"/>
                <w:highlight w:val="none"/>
              </w:rPr>
              <w:t>分值</w:t>
            </w:r>
          </w:p>
        </w:tc>
        <w:tc>
          <w:tcPr>
            <w:tcW w:w="1705" w:type="dxa"/>
            <w:vAlign w:val="center"/>
          </w:tcPr>
          <w:p w14:paraId="40B2044A">
            <w:pPr>
              <w:jc w:val="center"/>
              <w:rPr>
                <w:rFonts w:ascii="宋体" w:hAnsi="宋体" w:cs="宋体"/>
                <w:color w:val="auto"/>
                <w:highlight w:val="none"/>
              </w:rPr>
            </w:pPr>
            <w:r>
              <w:rPr>
                <w:rFonts w:hint="eastAsia" w:ascii="宋体" w:hAnsi="宋体" w:cs="宋体"/>
                <w:color w:val="auto"/>
                <w:highlight w:val="none"/>
              </w:rPr>
              <w:t>页码范围</w:t>
            </w:r>
          </w:p>
        </w:tc>
      </w:tr>
      <w:tr w14:paraId="1968F8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1" w:hRule="atLeast"/>
        </w:trPr>
        <w:tc>
          <w:tcPr>
            <w:tcW w:w="8522" w:type="dxa"/>
            <w:gridSpan w:val="5"/>
            <w:vAlign w:val="center"/>
          </w:tcPr>
          <w:p w14:paraId="5C3182F8">
            <w:pPr>
              <w:rPr>
                <w:rFonts w:ascii="宋体" w:hAnsi="宋体" w:cs="宋体"/>
                <w:color w:val="auto"/>
                <w:highlight w:val="none"/>
              </w:rPr>
            </w:pPr>
            <w:r>
              <w:rPr>
                <w:rFonts w:hint="eastAsia" w:ascii="宋体" w:hAnsi="宋体" w:cs="宋体"/>
                <w:color w:val="auto"/>
                <w:highlight w:val="none"/>
              </w:rPr>
              <w:t>商务评审</w:t>
            </w:r>
          </w:p>
        </w:tc>
      </w:tr>
      <w:tr w14:paraId="61DFE5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1" w:hRule="atLeast"/>
        </w:trPr>
        <w:tc>
          <w:tcPr>
            <w:tcW w:w="1704" w:type="dxa"/>
            <w:vAlign w:val="center"/>
          </w:tcPr>
          <w:p w14:paraId="7B809195">
            <w:pPr>
              <w:jc w:val="center"/>
              <w:rPr>
                <w:rFonts w:ascii="宋体" w:hAnsi="宋体" w:cs="宋体"/>
                <w:color w:val="auto"/>
                <w:highlight w:val="none"/>
              </w:rPr>
            </w:pPr>
          </w:p>
        </w:tc>
        <w:tc>
          <w:tcPr>
            <w:tcW w:w="1704" w:type="dxa"/>
            <w:vAlign w:val="center"/>
          </w:tcPr>
          <w:p w14:paraId="4220A8F9">
            <w:pPr>
              <w:jc w:val="center"/>
              <w:rPr>
                <w:rFonts w:ascii="宋体" w:hAnsi="宋体" w:cs="宋体"/>
                <w:color w:val="auto"/>
                <w:highlight w:val="none"/>
              </w:rPr>
            </w:pPr>
          </w:p>
        </w:tc>
        <w:tc>
          <w:tcPr>
            <w:tcW w:w="1704" w:type="dxa"/>
            <w:vAlign w:val="center"/>
          </w:tcPr>
          <w:p w14:paraId="67CA77D1">
            <w:pPr>
              <w:jc w:val="center"/>
              <w:rPr>
                <w:rFonts w:ascii="宋体" w:hAnsi="宋体" w:cs="宋体"/>
                <w:color w:val="auto"/>
                <w:highlight w:val="none"/>
              </w:rPr>
            </w:pPr>
          </w:p>
        </w:tc>
        <w:tc>
          <w:tcPr>
            <w:tcW w:w="1705" w:type="dxa"/>
            <w:vAlign w:val="center"/>
          </w:tcPr>
          <w:p w14:paraId="50702383">
            <w:pPr>
              <w:jc w:val="center"/>
              <w:rPr>
                <w:rFonts w:ascii="宋体" w:hAnsi="宋体" w:cs="宋体"/>
                <w:color w:val="auto"/>
                <w:highlight w:val="none"/>
              </w:rPr>
            </w:pPr>
          </w:p>
        </w:tc>
        <w:tc>
          <w:tcPr>
            <w:tcW w:w="1705" w:type="dxa"/>
            <w:vAlign w:val="center"/>
          </w:tcPr>
          <w:p w14:paraId="6C92C718">
            <w:pPr>
              <w:jc w:val="center"/>
              <w:rPr>
                <w:rFonts w:ascii="宋体" w:hAnsi="宋体" w:cs="宋体"/>
                <w:color w:val="auto"/>
                <w:highlight w:val="none"/>
              </w:rPr>
            </w:pPr>
          </w:p>
        </w:tc>
      </w:tr>
      <w:tr w14:paraId="050A3E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51" w:hRule="atLeast"/>
        </w:trPr>
        <w:tc>
          <w:tcPr>
            <w:tcW w:w="1704" w:type="dxa"/>
            <w:vAlign w:val="center"/>
          </w:tcPr>
          <w:p w14:paraId="12D36D6D">
            <w:pPr>
              <w:jc w:val="center"/>
              <w:rPr>
                <w:rFonts w:ascii="宋体" w:hAnsi="宋体" w:cs="宋体"/>
                <w:color w:val="auto"/>
                <w:highlight w:val="none"/>
              </w:rPr>
            </w:pPr>
          </w:p>
        </w:tc>
        <w:tc>
          <w:tcPr>
            <w:tcW w:w="1704" w:type="dxa"/>
            <w:vAlign w:val="center"/>
          </w:tcPr>
          <w:p w14:paraId="516983F6">
            <w:pPr>
              <w:jc w:val="center"/>
              <w:rPr>
                <w:rFonts w:ascii="宋体" w:hAnsi="宋体" w:cs="宋体"/>
                <w:color w:val="auto"/>
                <w:highlight w:val="none"/>
              </w:rPr>
            </w:pPr>
          </w:p>
        </w:tc>
        <w:tc>
          <w:tcPr>
            <w:tcW w:w="1704" w:type="dxa"/>
            <w:vAlign w:val="center"/>
          </w:tcPr>
          <w:p w14:paraId="451131BE">
            <w:pPr>
              <w:jc w:val="center"/>
              <w:rPr>
                <w:rFonts w:ascii="宋体" w:hAnsi="宋体" w:cs="宋体"/>
                <w:color w:val="auto"/>
                <w:highlight w:val="none"/>
              </w:rPr>
            </w:pPr>
          </w:p>
        </w:tc>
        <w:tc>
          <w:tcPr>
            <w:tcW w:w="1705" w:type="dxa"/>
            <w:vAlign w:val="center"/>
          </w:tcPr>
          <w:p w14:paraId="0EF214DE">
            <w:pPr>
              <w:jc w:val="center"/>
              <w:rPr>
                <w:rFonts w:ascii="宋体" w:hAnsi="宋体" w:cs="宋体"/>
                <w:color w:val="auto"/>
                <w:highlight w:val="none"/>
              </w:rPr>
            </w:pPr>
          </w:p>
        </w:tc>
        <w:tc>
          <w:tcPr>
            <w:tcW w:w="1705" w:type="dxa"/>
            <w:vAlign w:val="center"/>
          </w:tcPr>
          <w:p w14:paraId="293BFD19">
            <w:pPr>
              <w:jc w:val="center"/>
              <w:rPr>
                <w:rFonts w:ascii="宋体" w:hAnsi="宋体" w:cs="宋体"/>
                <w:color w:val="auto"/>
                <w:highlight w:val="none"/>
              </w:rPr>
            </w:pPr>
          </w:p>
        </w:tc>
      </w:tr>
      <w:tr w14:paraId="26C7C8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1" w:hRule="atLeast"/>
        </w:trPr>
        <w:tc>
          <w:tcPr>
            <w:tcW w:w="1704" w:type="dxa"/>
            <w:vAlign w:val="center"/>
          </w:tcPr>
          <w:p w14:paraId="4C30119B">
            <w:pPr>
              <w:jc w:val="center"/>
              <w:rPr>
                <w:rFonts w:ascii="宋体" w:hAnsi="宋体" w:cs="宋体"/>
                <w:color w:val="auto"/>
                <w:highlight w:val="none"/>
              </w:rPr>
            </w:pPr>
          </w:p>
        </w:tc>
        <w:tc>
          <w:tcPr>
            <w:tcW w:w="1704" w:type="dxa"/>
            <w:vAlign w:val="center"/>
          </w:tcPr>
          <w:p w14:paraId="7BDD5A69">
            <w:pPr>
              <w:jc w:val="center"/>
              <w:rPr>
                <w:rFonts w:ascii="宋体" w:hAnsi="宋体" w:cs="宋体"/>
                <w:color w:val="auto"/>
                <w:highlight w:val="none"/>
              </w:rPr>
            </w:pPr>
          </w:p>
        </w:tc>
        <w:tc>
          <w:tcPr>
            <w:tcW w:w="1704" w:type="dxa"/>
            <w:vAlign w:val="center"/>
          </w:tcPr>
          <w:p w14:paraId="7D187E5E">
            <w:pPr>
              <w:jc w:val="center"/>
              <w:rPr>
                <w:rFonts w:ascii="宋体" w:hAnsi="宋体" w:cs="宋体"/>
                <w:color w:val="auto"/>
                <w:highlight w:val="none"/>
              </w:rPr>
            </w:pPr>
          </w:p>
        </w:tc>
        <w:tc>
          <w:tcPr>
            <w:tcW w:w="1705" w:type="dxa"/>
            <w:vAlign w:val="center"/>
          </w:tcPr>
          <w:p w14:paraId="20FF3B2F">
            <w:pPr>
              <w:jc w:val="center"/>
              <w:rPr>
                <w:rFonts w:ascii="宋体" w:hAnsi="宋体" w:cs="宋体"/>
                <w:color w:val="auto"/>
                <w:highlight w:val="none"/>
              </w:rPr>
            </w:pPr>
          </w:p>
        </w:tc>
        <w:tc>
          <w:tcPr>
            <w:tcW w:w="1705" w:type="dxa"/>
            <w:vAlign w:val="center"/>
          </w:tcPr>
          <w:p w14:paraId="286206F1">
            <w:pPr>
              <w:jc w:val="center"/>
              <w:rPr>
                <w:rFonts w:ascii="宋体" w:hAnsi="宋体" w:cs="宋体"/>
                <w:color w:val="auto"/>
                <w:highlight w:val="none"/>
              </w:rPr>
            </w:pPr>
          </w:p>
        </w:tc>
      </w:tr>
      <w:tr w14:paraId="7D9ED7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1" w:hRule="atLeast"/>
        </w:trPr>
        <w:tc>
          <w:tcPr>
            <w:tcW w:w="8522" w:type="dxa"/>
            <w:gridSpan w:val="5"/>
            <w:vAlign w:val="center"/>
          </w:tcPr>
          <w:p w14:paraId="5615BD8A">
            <w:pPr>
              <w:rPr>
                <w:rFonts w:ascii="宋体" w:hAnsi="宋体" w:cs="宋体"/>
                <w:color w:val="auto"/>
                <w:highlight w:val="none"/>
              </w:rPr>
            </w:pPr>
            <w:r>
              <w:rPr>
                <w:rFonts w:hint="eastAsia" w:ascii="宋体" w:hAnsi="宋体" w:cs="宋体"/>
                <w:color w:val="auto"/>
                <w:highlight w:val="none"/>
              </w:rPr>
              <w:t>技术评审</w:t>
            </w:r>
          </w:p>
        </w:tc>
      </w:tr>
      <w:tr w14:paraId="2BA66C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1" w:hRule="atLeast"/>
        </w:trPr>
        <w:tc>
          <w:tcPr>
            <w:tcW w:w="1704" w:type="dxa"/>
            <w:vAlign w:val="center"/>
          </w:tcPr>
          <w:p w14:paraId="41999A39">
            <w:pPr>
              <w:jc w:val="center"/>
              <w:rPr>
                <w:rFonts w:ascii="宋体" w:hAnsi="宋体" w:cs="宋体"/>
                <w:color w:val="auto"/>
                <w:highlight w:val="none"/>
              </w:rPr>
            </w:pPr>
          </w:p>
        </w:tc>
        <w:tc>
          <w:tcPr>
            <w:tcW w:w="1704" w:type="dxa"/>
            <w:vAlign w:val="center"/>
          </w:tcPr>
          <w:p w14:paraId="2CA4E8D4">
            <w:pPr>
              <w:jc w:val="center"/>
              <w:rPr>
                <w:rFonts w:ascii="宋体" w:hAnsi="宋体" w:cs="宋体"/>
                <w:color w:val="auto"/>
                <w:highlight w:val="none"/>
              </w:rPr>
            </w:pPr>
          </w:p>
        </w:tc>
        <w:tc>
          <w:tcPr>
            <w:tcW w:w="1704" w:type="dxa"/>
            <w:vAlign w:val="center"/>
          </w:tcPr>
          <w:p w14:paraId="15A73D2D">
            <w:pPr>
              <w:jc w:val="center"/>
              <w:rPr>
                <w:rFonts w:ascii="宋体" w:hAnsi="宋体" w:cs="宋体"/>
                <w:color w:val="auto"/>
                <w:highlight w:val="none"/>
              </w:rPr>
            </w:pPr>
          </w:p>
        </w:tc>
        <w:tc>
          <w:tcPr>
            <w:tcW w:w="1705" w:type="dxa"/>
            <w:vAlign w:val="center"/>
          </w:tcPr>
          <w:p w14:paraId="27C9086E">
            <w:pPr>
              <w:jc w:val="center"/>
              <w:rPr>
                <w:rFonts w:ascii="宋体" w:hAnsi="宋体" w:cs="宋体"/>
                <w:color w:val="auto"/>
                <w:highlight w:val="none"/>
              </w:rPr>
            </w:pPr>
          </w:p>
        </w:tc>
        <w:tc>
          <w:tcPr>
            <w:tcW w:w="1705" w:type="dxa"/>
            <w:vAlign w:val="center"/>
          </w:tcPr>
          <w:p w14:paraId="153CD866">
            <w:pPr>
              <w:jc w:val="center"/>
              <w:rPr>
                <w:rFonts w:ascii="宋体" w:hAnsi="宋体" w:cs="宋体"/>
                <w:color w:val="auto"/>
                <w:highlight w:val="none"/>
              </w:rPr>
            </w:pPr>
          </w:p>
        </w:tc>
      </w:tr>
      <w:tr w14:paraId="2269B1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1" w:hRule="atLeast"/>
        </w:trPr>
        <w:tc>
          <w:tcPr>
            <w:tcW w:w="1704" w:type="dxa"/>
            <w:vAlign w:val="center"/>
          </w:tcPr>
          <w:p w14:paraId="7321C3CD">
            <w:pPr>
              <w:jc w:val="center"/>
              <w:rPr>
                <w:rFonts w:ascii="宋体" w:hAnsi="宋体" w:cs="宋体"/>
                <w:color w:val="auto"/>
                <w:highlight w:val="none"/>
              </w:rPr>
            </w:pPr>
          </w:p>
        </w:tc>
        <w:tc>
          <w:tcPr>
            <w:tcW w:w="1704" w:type="dxa"/>
            <w:vAlign w:val="center"/>
          </w:tcPr>
          <w:p w14:paraId="399496CC">
            <w:pPr>
              <w:jc w:val="center"/>
              <w:rPr>
                <w:rFonts w:ascii="宋体" w:hAnsi="宋体" w:cs="宋体"/>
                <w:color w:val="auto"/>
                <w:highlight w:val="none"/>
              </w:rPr>
            </w:pPr>
          </w:p>
        </w:tc>
        <w:tc>
          <w:tcPr>
            <w:tcW w:w="1704" w:type="dxa"/>
            <w:vAlign w:val="center"/>
          </w:tcPr>
          <w:p w14:paraId="069C38EA">
            <w:pPr>
              <w:jc w:val="center"/>
              <w:rPr>
                <w:rFonts w:ascii="宋体" w:hAnsi="宋体" w:cs="宋体"/>
                <w:color w:val="auto"/>
                <w:highlight w:val="none"/>
              </w:rPr>
            </w:pPr>
          </w:p>
        </w:tc>
        <w:tc>
          <w:tcPr>
            <w:tcW w:w="1705" w:type="dxa"/>
            <w:vAlign w:val="center"/>
          </w:tcPr>
          <w:p w14:paraId="700C4F89">
            <w:pPr>
              <w:jc w:val="center"/>
              <w:rPr>
                <w:rFonts w:ascii="宋体" w:hAnsi="宋体" w:cs="宋体"/>
                <w:color w:val="auto"/>
                <w:highlight w:val="none"/>
              </w:rPr>
            </w:pPr>
          </w:p>
        </w:tc>
        <w:tc>
          <w:tcPr>
            <w:tcW w:w="1705" w:type="dxa"/>
            <w:vAlign w:val="center"/>
          </w:tcPr>
          <w:p w14:paraId="17AD3BAF">
            <w:pPr>
              <w:jc w:val="center"/>
              <w:rPr>
                <w:rFonts w:ascii="宋体" w:hAnsi="宋体" w:cs="宋体"/>
                <w:color w:val="auto"/>
                <w:highlight w:val="none"/>
              </w:rPr>
            </w:pPr>
          </w:p>
        </w:tc>
      </w:tr>
      <w:tr w14:paraId="19E6C9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1" w:hRule="atLeast"/>
        </w:trPr>
        <w:tc>
          <w:tcPr>
            <w:tcW w:w="1704" w:type="dxa"/>
            <w:vAlign w:val="center"/>
          </w:tcPr>
          <w:p w14:paraId="456AE4E2">
            <w:pPr>
              <w:jc w:val="center"/>
              <w:rPr>
                <w:rFonts w:ascii="宋体" w:hAnsi="宋体" w:cs="宋体"/>
                <w:color w:val="auto"/>
                <w:highlight w:val="none"/>
              </w:rPr>
            </w:pPr>
          </w:p>
        </w:tc>
        <w:tc>
          <w:tcPr>
            <w:tcW w:w="1704" w:type="dxa"/>
            <w:vAlign w:val="center"/>
          </w:tcPr>
          <w:p w14:paraId="7CB1D65F">
            <w:pPr>
              <w:jc w:val="center"/>
              <w:rPr>
                <w:rFonts w:ascii="宋体" w:hAnsi="宋体" w:cs="宋体"/>
                <w:color w:val="auto"/>
                <w:highlight w:val="none"/>
              </w:rPr>
            </w:pPr>
          </w:p>
        </w:tc>
        <w:tc>
          <w:tcPr>
            <w:tcW w:w="1704" w:type="dxa"/>
            <w:vAlign w:val="center"/>
          </w:tcPr>
          <w:p w14:paraId="1B1D7661">
            <w:pPr>
              <w:jc w:val="center"/>
              <w:rPr>
                <w:rFonts w:ascii="宋体" w:hAnsi="宋体" w:cs="宋体"/>
                <w:color w:val="auto"/>
                <w:highlight w:val="none"/>
              </w:rPr>
            </w:pPr>
          </w:p>
        </w:tc>
        <w:tc>
          <w:tcPr>
            <w:tcW w:w="1705" w:type="dxa"/>
            <w:vAlign w:val="center"/>
          </w:tcPr>
          <w:p w14:paraId="6F887792">
            <w:pPr>
              <w:jc w:val="center"/>
              <w:rPr>
                <w:rFonts w:ascii="宋体" w:hAnsi="宋体" w:cs="宋体"/>
                <w:color w:val="auto"/>
                <w:highlight w:val="none"/>
              </w:rPr>
            </w:pPr>
          </w:p>
        </w:tc>
        <w:tc>
          <w:tcPr>
            <w:tcW w:w="1705" w:type="dxa"/>
            <w:vAlign w:val="center"/>
          </w:tcPr>
          <w:p w14:paraId="66FC6096">
            <w:pPr>
              <w:jc w:val="center"/>
              <w:rPr>
                <w:rFonts w:ascii="宋体" w:hAnsi="宋体" w:cs="宋体"/>
                <w:color w:val="auto"/>
                <w:highlight w:val="none"/>
              </w:rPr>
            </w:pPr>
          </w:p>
        </w:tc>
      </w:tr>
    </w:tbl>
    <w:p w14:paraId="4FC0B759">
      <w:pPr>
        <w:rPr>
          <w:rFonts w:ascii="宋体" w:hAnsi="宋体"/>
          <w:color w:val="auto"/>
          <w:szCs w:val="21"/>
          <w:highlight w:val="none"/>
        </w:rPr>
      </w:pPr>
    </w:p>
    <w:p w14:paraId="1C03C495">
      <w:pPr>
        <w:rPr>
          <w:rFonts w:ascii="宋体" w:hAnsi="宋体"/>
          <w:color w:val="auto"/>
          <w:szCs w:val="21"/>
          <w:highlight w:val="none"/>
        </w:rPr>
      </w:pPr>
      <w:r>
        <w:rPr>
          <w:rFonts w:hint="eastAsia" w:ascii="宋体" w:hAnsi="宋体"/>
          <w:color w:val="auto"/>
          <w:szCs w:val="21"/>
          <w:highlight w:val="none"/>
        </w:rPr>
        <w:t>注：</w:t>
      </w:r>
    </w:p>
    <w:p w14:paraId="6FB680D9">
      <w:pPr>
        <w:numPr>
          <w:ilvl w:val="0"/>
          <w:numId w:val="10"/>
        </w:numPr>
        <w:rPr>
          <w:rFonts w:ascii="宋体" w:hAnsi="宋体"/>
          <w:color w:val="auto"/>
          <w:szCs w:val="21"/>
          <w:highlight w:val="none"/>
        </w:rPr>
      </w:pPr>
      <w:r>
        <w:rPr>
          <w:rFonts w:hint="eastAsia" w:ascii="宋体" w:hAnsi="宋体"/>
          <w:color w:val="auto"/>
          <w:szCs w:val="21"/>
          <w:highlight w:val="none"/>
        </w:rPr>
        <w:t>该表格为参考格式，投标人可按实际情况自行制订评分标准索引表。</w:t>
      </w:r>
    </w:p>
    <w:p w14:paraId="2A489B2E">
      <w:pPr>
        <w:pStyle w:val="10"/>
        <w:spacing w:before="0"/>
        <w:ind w:left="0"/>
        <w:rPr>
          <w:color w:val="auto"/>
          <w:highlight w:val="none"/>
        </w:rPr>
      </w:pPr>
    </w:p>
    <w:p w14:paraId="7D8AEEA3">
      <w:pPr>
        <w:adjustRightInd/>
        <w:snapToGrid/>
        <w:spacing w:line="276" w:lineRule="auto"/>
        <w:rPr>
          <w:rFonts w:ascii="宋体" w:hAnsi="宋体"/>
          <w:color w:val="auto"/>
          <w:szCs w:val="21"/>
          <w:highlight w:val="none"/>
        </w:rPr>
      </w:pPr>
    </w:p>
    <w:p w14:paraId="6AC90FF5">
      <w:pPr>
        <w:adjustRightInd/>
        <w:snapToGrid/>
        <w:spacing w:line="276" w:lineRule="auto"/>
        <w:rPr>
          <w:rFonts w:ascii="宋体" w:hAnsi="宋体"/>
          <w:color w:val="auto"/>
          <w:szCs w:val="21"/>
          <w:highlight w:val="none"/>
        </w:rPr>
      </w:pPr>
    </w:p>
    <w:p w14:paraId="796A78F5">
      <w:pPr>
        <w:adjustRightInd/>
        <w:snapToGrid/>
        <w:spacing w:line="276" w:lineRule="auto"/>
        <w:rPr>
          <w:rFonts w:ascii="宋体" w:hAnsi="宋体"/>
          <w:color w:val="auto"/>
          <w:szCs w:val="21"/>
          <w:highlight w:val="none"/>
        </w:rPr>
      </w:pPr>
    </w:p>
    <w:p w14:paraId="2D9664DF">
      <w:pPr>
        <w:adjustRightInd/>
        <w:snapToGrid/>
        <w:spacing w:line="276" w:lineRule="auto"/>
        <w:rPr>
          <w:rFonts w:ascii="宋体" w:hAnsi="宋体"/>
          <w:color w:val="auto"/>
          <w:szCs w:val="21"/>
          <w:highlight w:val="none"/>
        </w:rPr>
      </w:pPr>
    </w:p>
    <w:p w14:paraId="56E83D0D">
      <w:pPr>
        <w:adjustRightInd/>
        <w:snapToGrid/>
        <w:spacing w:line="276" w:lineRule="auto"/>
        <w:rPr>
          <w:rFonts w:ascii="宋体" w:hAnsi="宋体"/>
          <w:color w:val="auto"/>
          <w:szCs w:val="21"/>
          <w:highlight w:val="none"/>
        </w:rPr>
      </w:pPr>
    </w:p>
    <w:p w14:paraId="49627D4C">
      <w:pPr>
        <w:adjustRightInd/>
        <w:snapToGrid/>
        <w:spacing w:line="276" w:lineRule="auto"/>
        <w:rPr>
          <w:rFonts w:ascii="宋体" w:hAnsi="宋体"/>
          <w:color w:val="auto"/>
          <w:szCs w:val="21"/>
          <w:highlight w:val="none"/>
        </w:rPr>
      </w:pPr>
      <w:r>
        <w:rPr>
          <w:rFonts w:ascii="宋体" w:hAnsi="宋体"/>
          <w:color w:val="auto"/>
          <w:szCs w:val="21"/>
          <w:highlight w:val="none"/>
        </w:rPr>
        <w:br w:type="page"/>
      </w:r>
    </w:p>
    <w:p w14:paraId="360B1513">
      <w:pPr>
        <w:jc w:val="center"/>
        <w:rPr>
          <w:rFonts w:ascii="黑体" w:eastAsia="黑体"/>
          <w:color w:val="auto"/>
          <w:sz w:val="52"/>
          <w:szCs w:val="52"/>
          <w:highlight w:val="none"/>
        </w:rPr>
      </w:pPr>
      <w:bookmarkStart w:id="464" w:name="_Toc18450"/>
      <w:bookmarkStart w:id="465" w:name="_Toc30918"/>
      <w:bookmarkStart w:id="466" w:name="_Toc20335"/>
      <w:bookmarkStart w:id="467" w:name="_Toc21746"/>
      <w:bookmarkStart w:id="468" w:name="_Toc28154"/>
    </w:p>
    <w:p w14:paraId="7B82DB54">
      <w:pPr>
        <w:pStyle w:val="4"/>
        <w:spacing w:before="0" w:after="0" w:line="360" w:lineRule="auto"/>
        <w:jc w:val="center"/>
        <w:rPr>
          <w:color w:val="auto"/>
          <w:sz w:val="72"/>
          <w:szCs w:val="72"/>
          <w:highlight w:val="none"/>
        </w:rPr>
      </w:pPr>
      <w:bookmarkStart w:id="469" w:name="_Toc9476"/>
      <w:r>
        <w:rPr>
          <w:rFonts w:hint="eastAsia"/>
          <w:color w:val="auto"/>
          <w:sz w:val="72"/>
          <w:szCs w:val="72"/>
          <w:highlight w:val="none"/>
        </w:rPr>
        <w:t>价格文件</w:t>
      </w:r>
      <w:bookmarkEnd w:id="464"/>
      <w:bookmarkEnd w:id="465"/>
      <w:bookmarkEnd w:id="469"/>
      <w:bookmarkStart w:id="470" w:name="_Hlt10519799"/>
      <w:bookmarkEnd w:id="470"/>
      <w:bookmarkStart w:id="471" w:name="_Hlt10456397"/>
      <w:bookmarkEnd w:id="471"/>
    </w:p>
    <w:p w14:paraId="078E8774">
      <w:pPr>
        <w:jc w:val="center"/>
        <w:rPr>
          <w:rFonts w:ascii="黑体" w:eastAsia="黑体"/>
          <w:color w:val="auto"/>
          <w:sz w:val="72"/>
          <w:szCs w:val="72"/>
          <w:highlight w:val="none"/>
        </w:rPr>
      </w:pPr>
      <w:r>
        <w:rPr>
          <w:rFonts w:hint="eastAsia" w:ascii="黑体" w:eastAsia="黑体"/>
          <w:color w:val="auto"/>
          <w:sz w:val="72"/>
          <w:szCs w:val="72"/>
          <w:highlight w:val="none"/>
        </w:rPr>
        <w:t>（单独装订成册）</w:t>
      </w:r>
      <w:bookmarkEnd w:id="466"/>
      <w:bookmarkEnd w:id="467"/>
      <w:bookmarkEnd w:id="468"/>
    </w:p>
    <w:p w14:paraId="7A6F600C">
      <w:pPr>
        <w:rPr>
          <w:color w:val="auto"/>
          <w:highlight w:val="none"/>
        </w:rPr>
      </w:pPr>
    </w:p>
    <w:p w14:paraId="18B8F2E1">
      <w:pPr>
        <w:pStyle w:val="10"/>
        <w:rPr>
          <w:color w:val="auto"/>
          <w:highlight w:val="none"/>
        </w:rPr>
      </w:pPr>
    </w:p>
    <w:p w14:paraId="1DA759BF">
      <w:pPr>
        <w:pStyle w:val="27"/>
        <w:keepNext w:val="0"/>
        <w:keepLines w:val="0"/>
        <w:pageBreakBefore w:val="0"/>
        <w:widowControl/>
        <w:kinsoku/>
        <w:wordWrap/>
        <w:overflowPunct/>
        <w:topLinePunct w:val="0"/>
        <w:autoSpaceDE/>
        <w:autoSpaceDN/>
        <w:bidi w:val="0"/>
        <w:adjustRightInd w:val="0"/>
        <w:snapToGrid w:val="0"/>
        <w:spacing w:before="0" w:after="0" w:afterAutospacing="0" w:line="360" w:lineRule="auto"/>
        <w:ind w:left="0" w:firstLine="240"/>
        <w:textAlignment w:val="auto"/>
        <w:rPr>
          <w:color w:val="auto"/>
          <w:highlight w:val="none"/>
        </w:rPr>
      </w:pPr>
    </w:p>
    <w:p w14:paraId="2C2474C1">
      <w:pPr>
        <w:keepNext w:val="0"/>
        <w:keepLines w:val="0"/>
        <w:pageBreakBefore w:val="0"/>
        <w:widowControl/>
        <w:kinsoku/>
        <w:wordWrap/>
        <w:overflowPunct/>
        <w:topLinePunct w:val="0"/>
        <w:autoSpaceDE/>
        <w:autoSpaceDN/>
        <w:bidi w:val="0"/>
        <w:adjustRightInd w:val="0"/>
        <w:snapToGrid w:val="0"/>
        <w:spacing w:afterAutospacing="0" w:line="360" w:lineRule="auto"/>
        <w:ind w:left="0"/>
        <w:textAlignment w:val="auto"/>
        <w:rPr>
          <w:rFonts w:ascii="宋体" w:hAnsi="宋体" w:cs="宋体"/>
          <w:b/>
          <w:bCs/>
          <w:color w:val="auto"/>
          <w:spacing w:val="-6"/>
          <w:sz w:val="32"/>
          <w:szCs w:val="32"/>
          <w:highlight w:val="none"/>
        </w:rPr>
      </w:pPr>
      <w:r>
        <w:rPr>
          <w:rFonts w:hint="eastAsia" w:ascii="宋体" w:hAnsi="宋体" w:cs="宋体"/>
          <w:b/>
          <w:bCs/>
          <w:color w:val="auto"/>
          <w:spacing w:val="53"/>
          <w:kern w:val="0"/>
          <w:sz w:val="32"/>
          <w:szCs w:val="32"/>
          <w:highlight w:val="none"/>
          <w:fitText w:val="1600" w:id="1947737316"/>
        </w:rPr>
        <w:t>项目名</w:t>
      </w:r>
      <w:r>
        <w:rPr>
          <w:rFonts w:hint="eastAsia" w:ascii="宋体" w:hAnsi="宋体" w:cs="宋体"/>
          <w:b/>
          <w:bCs/>
          <w:color w:val="auto"/>
          <w:spacing w:val="1"/>
          <w:kern w:val="0"/>
          <w:sz w:val="32"/>
          <w:szCs w:val="32"/>
          <w:highlight w:val="none"/>
          <w:fitText w:val="1600" w:id="1947737316"/>
        </w:rPr>
        <w:t>称</w:t>
      </w:r>
      <w:r>
        <w:rPr>
          <w:rFonts w:hint="eastAsia" w:ascii="宋体" w:hAnsi="宋体" w:cs="宋体"/>
          <w:b/>
          <w:bCs/>
          <w:color w:val="auto"/>
          <w:spacing w:val="-6"/>
          <w:sz w:val="32"/>
          <w:szCs w:val="32"/>
          <w:highlight w:val="none"/>
        </w:rPr>
        <w:t>：</w:t>
      </w:r>
    </w:p>
    <w:p w14:paraId="2003F1A2">
      <w:pPr>
        <w:keepNext w:val="0"/>
        <w:keepLines w:val="0"/>
        <w:pageBreakBefore w:val="0"/>
        <w:widowControl/>
        <w:kinsoku/>
        <w:wordWrap/>
        <w:overflowPunct/>
        <w:topLinePunct w:val="0"/>
        <w:autoSpaceDE/>
        <w:autoSpaceDN/>
        <w:bidi w:val="0"/>
        <w:adjustRightInd w:val="0"/>
        <w:snapToGrid w:val="0"/>
        <w:spacing w:afterAutospacing="0" w:line="360" w:lineRule="auto"/>
        <w:ind w:left="0"/>
        <w:textAlignment w:val="auto"/>
        <w:rPr>
          <w:rFonts w:ascii="宋体" w:hAnsi="宋体" w:cs="宋体"/>
          <w:b/>
          <w:bCs/>
          <w:color w:val="auto"/>
          <w:sz w:val="32"/>
          <w:szCs w:val="32"/>
          <w:highlight w:val="none"/>
        </w:rPr>
      </w:pPr>
      <w:r>
        <w:rPr>
          <w:rFonts w:hint="eastAsia" w:ascii="宋体" w:hAnsi="宋体" w:cs="宋体"/>
          <w:b/>
          <w:bCs/>
          <w:color w:val="auto"/>
          <w:spacing w:val="53"/>
          <w:kern w:val="0"/>
          <w:sz w:val="32"/>
          <w:szCs w:val="32"/>
          <w:highlight w:val="none"/>
          <w:fitText w:val="1600" w:id="70211570"/>
        </w:rPr>
        <w:t>项目编</w:t>
      </w:r>
      <w:r>
        <w:rPr>
          <w:rFonts w:hint="eastAsia" w:ascii="宋体" w:hAnsi="宋体" w:cs="宋体"/>
          <w:b/>
          <w:bCs/>
          <w:color w:val="auto"/>
          <w:spacing w:val="1"/>
          <w:kern w:val="0"/>
          <w:sz w:val="32"/>
          <w:szCs w:val="32"/>
          <w:highlight w:val="none"/>
          <w:fitText w:val="1600" w:id="70211570"/>
        </w:rPr>
        <w:t>号</w:t>
      </w:r>
      <w:r>
        <w:rPr>
          <w:rFonts w:hint="eastAsia" w:ascii="宋体" w:hAnsi="宋体" w:cs="宋体"/>
          <w:b/>
          <w:bCs/>
          <w:color w:val="auto"/>
          <w:sz w:val="32"/>
          <w:szCs w:val="32"/>
          <w:highlight w:val="none"/>
        </w:rPr>
        <w:t>：</w:t>
      </w:r>
    </w:p>
    <w:p w14:paraId="49556C75">
      <w:pPr>
        <w:pStyle w:val="25"/>
        <w:keepNext w:val="0"/>
        <w:keepLines w:val="0"/>
        <w:pageBreakBefore w:val="0"/>
        <w:widowControl/>
        <w:kinsoku/>
        <w:wordWrap/>
        <w:overflowPunct/>
        <w:topLinePunct w:val="0"/>
        <w:autoSpaceDE/>
        <w:autoSpaceDN/>
        <w:bidi w:val="0"/>
        <w:adjustRightInd w:val="0"/>
        <w:snapToGrid w:val="0"/>
        <w:spacing w:afterAutospacing="0" w:line="360" w:lineRule="auto"/>
        <w:ind w:left="0"/>
        <w:jc w:val="left"/>
        <w:textAlignment w:val="auto"/>
        <w:rPr>
          <w:rFonts w:ascii="宋体" w:hAnsi="宋体" w:cs="宋体"/>
          <w:b/>
          <w:color w:val="auto"/>
          <w:spacing w:val="1280"/>
          <w:kern w:val="0"/>
          <w:sz w:val="32"/>
          <w:szCs w:val="32"/>
          <w:highlight w:val="none"/>
        </w:rPr>
      </w:pPr>
      <w:r>
        <w:rPr>
          <w:rFonts w:hint="eastAsia" w:ascii="宋体" w:hAnsi="宋体" w:cs="宋体"/>
          <w:b/>
          <w:color w:val="auto"/>
          <w:spacing w:val="106"/>
          <w:kern w:val="0"/>
          <w:sz w:val="32"/>
          <w:szCs w:val="32"/>
          <w:highlight w:val="none"/>
          <w:lang w:bidi="ar"/>
        </w:rPr>
        <w:t>包组号（如有）：</w:t>
      </w:r>
    </w:p>
    <w:p w14:paraId="194A770F">
      <w:pPr>
        <w:keepNext w:val="0"/>
        <w:keepLines w:val="0"/>
        <w:pageBreakBefore w:val="0"/>
        <w:widowControl/>
        <w:kinsoku/>
        <w:wordWrap/>
        <w:overflowPunct/>
        <w:topLinePunct w:val="0"/>
        <w:autoSpaceDE/>
        <w:autoSpaceDN/>
        <w:bidi w:val="0"/>
        <w:adjustRightInd w:val="0"/>
        <w:snapToGrid w:val="0"/>
        <w:spacing w:afterAutospacing="0" w:line="360" w:lineRule="auto"/>
        <w:ind w:left="0"/>
        <w:textAlignment w:val="auto"/>
        <w:rPr>
          <w:rFonts w:ascii="宋体" w:hAnsi="宋体" w:cs="宋体"/>
          <w:b/>
          <w:color w:val="auto"/>
          <w:sz w:val="32"/>
          <w:szCs w:val="32"/>
          <w:highlight w:val="none"/>
        </w:rPr>
      </w:pPr>
      <w:r>
        <w:rPr>
          <w:rFonts w:hint="eastAsia" w:ascii="宋体" w:hAnsi="宋体" w:cs="宋体"/>
          <w:b/>
          <w:color w:val="auto"/>
          <w:spacing w:val="0"/>
          <w:kern w:val="0"/>
          <w:sz w:val="32"/>
          <w:szCs w:val="32"/>
          <w:highlight w:val="none"/>
          <w:fitText w:val="1600" w:id="1458731915"/>
        </w:rPr>
        <w:t>投标人名称</w:t>
      </w:r>
      <w:r>
        <w:rPr>
          <w:rFonts w:hint="eastAsia" w:ascii="宋体" w:hAnsi="宋体" w:cs="宋体"/>
          <w:b/>
          <w:color w:val="auto"/>
          <w:sz w:val="32"/>
          <w:szCs w:val="32"/>
          <w:highlight w:val="none"/>
        </w:rPr>
        <w:t>：</w:t>
      </w:r>
    </w:p>
    <w:p w14:paraId="1B7AD2AC">
      <w:pPr>
        <w:keepNext w:val="0"/>
        <w:keepLines w:val="0"/>
        <w:pageBreakBefore w:val="0"/>
        <w:widowControl/>
        <w:kinsoku/>
        <w:wordWrap/>
        <w:overflowPunct/>
        <w:topLinePunct w:val="0"/>
        <w:autoSpaceDE/>
        <w:autoSpaceDN/>
        <w:bidi w:val="0"/>
        <w:adjustRightInd w:val="0"/>
        <w:snapToGrid w:val="0"/>
        <w:spacing w:afterAutospacing="0" w:line="360" w:lineRule="auto"/>
        <w:ind w:left="0"/>
        <w:textAlignment w:val="auto"/>
        <w:rPr>
          <w:rFonts w:ascii="宋体" w:hAnsi="宋体" w:cs="宋体"/>
          <w:b/>
          <w:color w:val="auto"/>
          <w:sz w:val="32"/>
          <w:szCs w:val="32"/>
          <w:highlight w:val="none"/>
        </w:rPr>
      </w:pPr>
      <w:r>
        <w:rPr>
          <w:rFonts w:hint="eastAsia" w:ascii="宋体" w:hAnsi="宋体" w:cs="宋体"/>
          <w:b/>
          <w:color w:val="auto"/>
          <w:spacing w:val="32"/>
          <w:kern w:val="0"/>
          <w:sz w:val="32"/>
          <w:szCs w:val="32"/>
          <w:highlight w:val="none"/>
          <w:fitText w:val="1600" w:id="437591866"/>
        </w:rPr>
        <w:t xml:space="preserve">日    </w:t>
      </w:r>
      <w:r>
        <w:rPr>
          <w:rFonts w:hint="eastAsia" w:ascii="宋体" w:hAnsi="宋体" w:cs="宋体"/>
          <w:b/>
          <w:color w:val="auto"/>
          <w:spacing w:val="0"/>
          <w:kern w:val="0"/>
          <w:sz w:val="32"/>
          <w:szCs w:val="32"/>
          <w:highlight w:val="none"/>
          <w:fitText w:val="1600" w:id="437591866"/>
        </w:rPr>
        <w:t>期</w:t>
      </w:r>
      <w:r>
        <w:rPr>
          <w:rFonts w:hint="eastAsia" w:ascii="宋体" w:hAnsi="宋体" w:cs="宋体"/>
          <w:b/>
          <w:color w:val="auto"/>
          <w:sz w:val="32"/>
          <w:szCs w:val="32"/>
          <w:highlight w:val="none"/>
        </w:rPr>
        <w:t>：</w:t>
      </w:r>
    </w:p>
    <w:p w14:paraId="7A4C63F1">
      <w:pPr>
        <w:rPr>
          <w:color w:val="auto"/>
          <w:highlight w:val="none"/>
        </w:rPr>
      </w:pPr>
    </w:p>
    <w:p w14:paraId="51EF6C68">
      <w:pPr>
        <w:pStyle w:val="10"/>
        <w:rPr>
          <w:color w:val="auto"/>
          <w:highlight w:val="none"/>
        </w:rPr>
      </w:pPr>
    </w:p>
    <w:p w14:paraId="7F7C2C26">
      <w:pPr>
        <w:pStyle w:val="27"/>
        <w:ind w:firstLine="240"/>
        <w:rPr>
          <w:color w:val="auto"/>
          <w:highlight w:val="none"/>
        </w:rPr>
      </w:pPr>
    </w:p>
    <w:p w14:paraId="5035C8E1">
      <w:pPr>
        <w:pStyle w:val="22"/>
        <w:rPr>
          <w:color w:val="auto"/>
          <w:highlight w:val="none"/>
        </w:rPr>
      </w:pPr>
    </w:p>
    <w:p w14:paraId="3A1058CE">
      <w:pPr>
        <w:rPr>
          <w:color w:val="auto"/>
          <w:highlight w:val="none"/>
        </w:rPr>
      </w:pPr>
    </w:p>
    <w:p w14:paraId="25FF387E">
      <w:pPr>
        <w:pStyle w:val="10"/>
        <w:rPr>
          <w:color w:val="auto"/>
          <w:highlight w:val="none"/>
        </w:rPr>
      </w:pPr>
    </w:p>
    <w:p w14:paraId="1C1F59D6">
      <w:pPr>
        <w:pStyle w:val="27"/>
        <w:ind w:firstLine="240"/>
        <w:rPr>
          <w:color w:val="auto"/>
          <w:highlight w:val="none"/>
        </w:rPr>
      </w:pPr>
    </w:p>
    <w:p w14:paraId="664B90A1">
      <w:pPr>
        <w:pStyle w:val="22"/>
        <w:rPr>
          <w:color w:val="auto"/>
          <w:highlight w:val="none"/>
        </w:rPr>
      </w:pPr>
    </w:p>
    <w:p w14:paraId="187194CC">
      <w:pPr>
        <w:pStyle w:val="22"/>
        <w:ind w:left="0"/>
        <w:rPr>
          <w:color w:val="auto"/>
          <w:highlight w:val="none"/>
        </w:rPr>
      </w:pPr>
    </w:p>
    <w:p w14:paraId="4174B7F2">
      <w:pPr>
        <w:rPr>
          <w:rFonts w:ascii="宋体" w:hAnsi="宋体"/>
          <w:color w:val="auto"/>
          <w:szCs w:val="21"/>
          <w:highlight w:val="none"/>
        </w:rPr>
      </w:pPr>
      <w:r>
        <w:rPr>
          <w:rFonts w:hint="eastAsia" w:ascii="宋体" w:hAnsi="宋体"/>
          <w:color w:val="auto"/>
          <w:szCs w:val="21"/>
          <w:highlight w:val="none"/>
        </w:rPr>
        <w:br w:type="page"/>
      </w:r>
    </w:p>
    <w:p w14:paraId="3A428203">
      <w:pPr>
        <w:pStyle w:val="6"/>
        <w:widowControl w:val="0"/>
        <w:overflowPunct w:val="0"/>
        <w:spacing w:line="240" w:lineRule="auto"/>
        <w:rPr>
          <w:rFonts w:ascii="宋体" w:hAnsi="宋体"/>
          <w:color w:val="auto"/>
          <w:sz w:val="21"/>
          <w:szCs w:val="21"/>
          <w:highlight w:val="none"/>
        </w:rPr>
      </w:pPr>
      <w:bookmarkStart w:id="472" w:name="_Toc29502"/>
      <w:r>
        <w:rPr>
          <w:rFonts w:hint="eastAsia" w:ascii="宋体" w:hAnsi="宋体"/>
          <w:color w:val="auto"/>
          <w:sz w:val="21"/>
          <w:szCs w:val="21"/>
          <w:highlight w:val="none"/>
        </w:rPr>
        <w:t>附件2.开标一览表格式</w:t>
      </w:r>
      <w:bookmarkEnd w:id="472"/>
    </w:p>
    <w:p w14:paraId="4BCC3D02">
      <w:pPr>
        <w:jc w:val="center"/>
        <w:rPr>
          <w:rFonts w:ascii="黑体" w:eastAsia="黑体"/>
          <w:color w:val="auto"/>
          <w:sz w:val="32"/>
          <w:szCs w:val="32"/>
          <w:highlight w:val="none"/>
        </w:rPr>
      </w:pPr>
      <w:r>
        <w:rPr>
          <w:rFonts w:hint="eastAsia" w:ascii="黑体" w:eastAsia="黑体"/>
          <w:color w:val="auto"/>
          <w:sz w:val="32"/>
          <w:szCs w:val="32"/>
          <w:highlight w:val="none"/>
        </w:rPr>
        <w:t>开标一览表</w:t>
      </w:r>
    </w:p>
    <w:p w14:paraId="0EAEDAE8">
      <w:pPr>
        <w:rPr>
          <w:color w:val="auto"/>
          <w:highlight w:val="none"/>
        </w:rPr>
      </w:pPr>
    </w:p>
    <w:p w14:paraId="12854334">
      <w:pPr>
        <w:rPr>
          <w:rFonts w:ascii="宋体" w:hAnsi="宋体"/>
          <w:color w:val="auto"/>
          <w:szCs w:val="21"/>
          <w:highlight w:val="none"/>
        </w:rPr>
      </w:pPr>
      <w:r>
        <w:rPr>
          <w:rFonts w:hint="eastAsia" w:ascii="宋体" w:hAnsi="宋体"/>
          <w:color w:val="auto"/>
          <w:szCs w:val="21"/>
          <w:highlight w:val="none"/>
        </w:rPr>
        <w:t>投标人名称：</w:t>
      </w:r>
    </w:p>
    <w:p w14:paraId="1824F3D7">
      <w:pPr>
        <w:rPr>
          <w:color w:val="auto"/>
          <w:highlight w:val="none"/>
        </w:rPr>
      </w:pPr>
      <w:r>
        <w:rPr>
          <w:rFonts w:hint="eastAsia" w:ascii="宋体" w:hAnsi="宋体"/>
          <w:color w:val="auto"/>
          <w:szCs w:val="21"/>
          <w:highlight w:val="none"/>
        </w:rPr>
        <w:t>采购项目编号：</w:t>
      </w:r>
    </w:p>
    <w:tbl>
      <w:tblPr>
        <w:tblStyle w:val="30"/>
        <w:tblW w:w="453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54"/>
        <w:gridCol w:w="1467"/>
        <w:gridCol w:w="1040"/>
        <w:gridCol w:w="1295"/>
        <w:gridCol w:w="1779"/>
      </w:tblGrid>
      <w:tr w14:paraId="135D20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1392" w:type="pct"/>
            <w:vAlign w:val="center"/>
          </w:tcPr>
          <w:p w14:paraId="4AB3B8C9">
            <w:pPr>
              <w:spacing w:line="240" w:lineRule="auto"/>
              <w:jc w:val="center"/>
              <w:rPr>
                <w:rFonts w:ascii="宋体" w:hAnsi="宋体" w:cs="宋体"/>
                <w:color w:val="auto"/>
                <w:kern w:val="28"/>
                <w:szCs w:val="21"/>
                <w:highlight w:val="none"/>
              </w:rPr>
            </w:pPr>
            <w:r>
              <w:rPr>
                <w:rFonts w:hint="eastAsia" w:ascii="宋体" w:hAnsi="宋体"/>
                <w:color w:val="auto"/>
                <w:szCs w:val="21"/>
                <w:highlight w:val="none"/>
              </w:rPr>
              <w:t>项目名称</w:t>
            </w:r>
          </w:p>
        </w:tc>
        <w:tc>
          <w:tcPr>
            <w:tcW w:w="948" w:type="pct"/>
            <w:vAlign w:val="center"/>
          </w:tcPr>
          <w:p w14:paraId="575C9B23">
            <w:pPr>
              <w:spacing w:line="240" w:lineRule="auto"/>
              <w:jc w:val="center"/>
              <w:rPr>
                <w:rFonts w:ascii="宋体" w:hAnsi="宋体" w:cs="宋体"/>
                <w:color w:val="auto"/>
                <w:kern w:val="28"/>
                <w:szCs w:val="21"/>
                <w:highlight w:val="none"/>
              </w:rPr>
            </w:pPr>
            <w:r>
              <w:rPr>
                <w:rFonts w:hint="eastAsia" w:ascii="宋体" w:hAnsi="宋体" w:cs="宋体"/>
                <w:color w:val="auto"/>
                <w:kern w:val="28"/>
                <w:szCs w:val="21"/>
                <w:highlight w:val="none"/>
                <w:lang w:val="en-US" w:eastAsia="zh-CN"/>
              </w:rPr>
              <w:t>暂定含税</w:t>
            </w:r>
            <w:r>
              <w:rPr>
                <w:rFonts w:hint="eastAsia" w:ascii="宋体" w:hAnsi="宋体" w:cs="宋体"/>
                <w:color w:val="auto"/>
                <w:kern w:val="28"/>
                <w:szCs w:val="21"/>
                <w:highlight w:val="none"/>
              </w:rPr>
              <w:t>投标总价（元）</w:t>
            </w:r>
          </w:p>
        </w:tc>
        <w:tc>
          <w:tcPr>
            <w:tcW w:w="672" w:type="pct"/>
            <w:vAlign w:val="center"/>
          </w:tcPr>
          <w:p w14:paraId="2C2F83E9">
            <w:pPr>
              <w:spacing w:line="240" w:lineRule="auto"/>
              <w:jc w:val="center"/>
              <w:rPr>
                <w:rFonts w:hint="eastAsia" w:ascii="宋体" w:hAnsi="宋体" w:eastAsia="宋体" w:cs="宋体"/>
                <w:color w:val="auto"/>
                <w:kern w:val="28"/>
                <w:szCs w:val="21"/>
                <w:highlight w:val="none"/>
                <w:lang w:val="en-US" w:eastAsia="zh-CN"/>
              </w:rPr>
            </w:pPr>
            <w:r>
              <w:rPr>
                <w:rFonts w:hint="eastAsia" w:ascii="宋体" w:hAnsi="宋体" w:cs="宋体"/>
                <w:color w:val="auto"/>
                <w:kern w:val="28"/>
                <w:szCs w:val="21"/>
                <w:highlight w:val="none"/>
                <w:lang w:val="en-US" w:eastAsia="zh-CN"/>
              </w:rPr>
              <w:t>税率</w:t>
            </w:r>
          </w:p>
        </w:tc>
        <w:tc>
          <w:tcPr>
            <w:tcW w:w="837" w:type="pct"/>
            <w:vAlign w:val="center"/>
          </w:tcPr>
          <w:p w14:paraId="3DB6F20D">
            <w:pPr>
              <w:spacing w:line="240" w:lineRule="auto"/>
              <w:jc w:val="center"/>
              <w:rPr>
                <w:rFonts w:ascii="宋体" w:hAnsi="宋体" w:cs="宋体"/>
                <w:color w:val="auto"/>
                <w:kern w:val="28"/>
                <w:szCs w:val="21"/>
                <w:highlight w:val="none"/>
              </w:rPr>
            </w:pPr>
            <w:r>
              <w:rPr>
                <w:rFonts w:hint="eastAsia" w:ascii="宋体" w:hAnsi="宋体" w:cs="宋体"/>
                <w:color w:val="auto"/>
                <w:kern w:val="28"/>
                <w:szCs w:val="21"/>
                <w:highlight w:val="none"/>
              </w:rPr>
              <w:t>服务期</w:t>
            </w:r>
          </w:p>
        </w:tc>
        <w:tc>
          <w:tcPr>
            <w:tcW w:w="1149" w:type="pct"/>
            <w:vAlign w:val="center"/>
          </w:tcPr>
          <w:p w14:paraId="11DF764A">
            <w:pPr>
              <w:spacing w:line="240" w:lineRule="auto"/>
              <w:jc w:val="center"/>
              <w:rPr>
                <w:rFonts w:ascii="宋体" w:hAnsi="宋体" w:cs="宋体"/>
                <w:color w:val="auto"/>
                <w:kern w:val="28"/>
                <w:szCs w:val="21"/>
                <w:highlight w:val="none"/>
              </w:rPr>
            </w:pPr>
            <w:r>
              <w:rPr>
                <w:rFonts w:hint="eastAsia" w:ascii="宋体" w:hAnsi="宋体" w:cs="宋体"/>
                <w:color w:val="auto"/>
                <w:kern w:val="28"/>
                <w:szCs w:val="21"/>
                <w:highlight w:val="none"/>
              </w:rPr>
              <w:t>备注</w:t>
            </w:r>
          </w:p>
        </w:tc>
      </w:tr>
      <w:tr w14:paraId="64DB1D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67" w:hRule="atLeast"/>
          <w:jc w:val="center"/>
        </w:trPr>
        <w:tc>
          <w:tcPr>
            <w:tcW w:w="1392" w:type="pct"/>
            <w:vAlign w:val="center"/>
          </w:tcPr>
          <w:p w14:paraId="6BFBE12F">
            <w:pPr>
              <w:spacing w:line="240" w:lineRule="auto"/>
              <w:jc w:val="center"/>
              <w:rPr>
                <w:rFonts w:hint="eastAsia" w:ascii="宋体" w:hAnsi="宋体" w:eastAsia="宋体" w:cs="宋体"/>
                <w:color w:val="auto"/>
                <w:szCs w:val="21"/>
                <w:highlight w:val="none"/>
                <w:lang w:eastAsia="zh-CN"/>
              </w:rPr>
            </w:pPr>
            <w:r>
              <w:rPr>
                <w:rFonts w:hint="eastAsia"/>
                <w:color w:val="auto"/>
                <w:highlight w:val="none"/>
                <w:u w:val="single"/>
                <w:lang w:eastAsia="zh-CN"/>
              </w:rPr>
              <w:t>东莞市新东欣环保投资有限公司莞惠区域危废运输服务项目</w:t>
            </w:r>
          </w:p>
        </w:tc>
        <w:tc>
          <w:tcPr>
            <w:tcW w:w="948" w:type="pct"/>
            <w:vAlign w:val="center"/>
          </w:tcPr>
          <w:p w14:paraId="744D5998">
            <w:pPr>
              <w:spacing w:line="240" w:lineRule="auto"/>
              <w:jc w:val="center"/>
              <w:rPr>
                <w:rFonts w:ascii="宋体" w:hAnsi="宋体" w:cs="宋体"/>
                <w:color w:val="auto"/>
                <w:szCs w:val="21"/>
                <w:highlight w:val="none"/>
              </w:rPr>
            </w:pPr>
            <w:r>
              <w:rPr>
                <w:rFonts w:hint="eastAsia" w:ascii="宋体" w:hAnsi="宋体" w:cs="宋体"/>
                <w:color w:val="auto"/>
                <w:szCs w:val="21"/>
                <w:highlight w:val="none"/>
              </w:rPr>
              <w:t>小写：</w:t>
            </w:r>
          </w:p>
          <w:p w14:paraId="01EAE944">
            <w:pPr>
              <w:spacing w:line="240" w:lineRule="auto"/>
              <w:jc w:val="center"/>
              <w:rPr>
                <w:rFonts w:ascii="宋体" w:hAnsi="宋体" w:cs="宋体"/>
                <w:color w:val="auto"/>
                <w:szCs w:val="21"/>
                <w:highlight w:val="none"/>
              </w:rPr>
            </w:pPr>
            <w:r>
              <w:rPr>
                <w:rFonts w:hint="eastAsia" w:ascii="宋体" w:hAnsi="宋体" w:cs="宋体"/>
                <w:color w:val="auto"/>
                <w:szCs w:val="21"/>
                <w:highlight w:val="none"/>
              </w:rPr>
              <w:t>大写：</w:t>
            </w:r>
          </w:p>
        </w:tc>
        <w:tc>
          <w:tcPr>
            <w:tcW w:w="672" w:type="pct"/>
            <w:vAlign w:val="center"/>
          </w:tcPr>
          <w:p w14:paraId="75B81DE7">
            <w:pPr>
              <w:pStyle w:val="65"/>
              <w:jc w:val="center"/>
              <w:rPr>
                <w:rFonts w:hint="default" w:hAnsi="宋体" w:eastAsia="宋体"/>
                <w:color w:val="auto"/>
                <w:sz w:val="21"/>
                <w:szCs w:val="21"/>
                <w:highlight w:val="none"/>
                <w:lang w:val="en-US" w:eastAsia="zh-CN"/>
              </w:rPr>
            </w:pPr>
            <w:r>
              <w:rPr>
                <w:rFonts w:hint="eastAsia" w:hAnsi="宋体"/>
                <w:color w:val="auto"/>
                <w:sz w:val="21"/>
                <w:szCs w:val="21"/>
                <w:highlight w:val="none"/>
                <w:lang w:val="en-US" w:eastAsia="zh-CN"/>
              </w:rPr>
              <w:t>%</w:t>
            </w:r>
          </w:p>
        </w:tc>
        <w:tc>
          <w:tcPr>
            <w:tcW w:w="837" w:type="pct"/>
            <w:vAlign w:val="center"/>
          </w:tcPr>
          <w:p w14:paraId="755A2063">
            <w:pPr>
              <w:pStyle w:val="65"/>
              <w:jc w:val="center"/>
              <w:rPr>
                <w:rFonts w:hAnsi="宋体"/>
                <w:color w:val="auto"/>
                <w:sz w:val="21"/>
                <w:szCs w:val="21"/>
                <w:highlight w:val="none"/>
              </w:rPr>
            </w:pPr>
            <w:r>
              <w:rPr>
                <w:rFonts w:hint="eastAsia" w:hAnsi="宋体"/>
                <w:color w:val="auto"/>
                <w:sz w:val="21"/>
                <w:szCs w:val="21"/>
                <w:highlight w:val="none"/>
              </w:rPr>
              <w:t>合同服务期限自签订运输服务合同之日起</w:t>
            </w:r>
            <w:r>
              <w:rPr>
                <w:rFonts w:hint="eastAsia" w:hAnsi="宋体"/>
                <w:color w:val="auto"/>
                <w:sz w:val="21"/>
                <w:szCs w:val="21"/>
                <w:highlight w:val="none"/>
                <w:lang w:val="en-US" w:eastAsia="zh-CN"/>
              </w:rPr>
              <w:t>一</w:t>
            </w:r>
            <w:r>
              <w:rPr>
                <w:rFonts w:hint="eastAsia" w:hAnsi="宋体"/>
                <w:color w:val="auto"/>
                <w:sz w:val="21"/>
                <w:szCs w:val="21"/>
                <w:highlight w:val="none"/>
              </w:rPr>
              <w:t xml:space="preserve">年。 </w:t>
            </w:r>
          </w:p>
        </w:tc>
        <w:tc>
          <w:tcPr>
            <w:tcW w:w="1149" w:type="pct"/>
            <w:vAlign w:val="center"/>
          </w:tcPr>
          <w:p w14:paraId="7F3FA151">
            <w:pPr>
              <w:pStyle w:val="65"/>
              <w:jc w:val="center"/>
              <w:rPr>
                <w:rFonts w:hAnsi="宋体"/>
                <w:color w:val="auto"/>
                <w:sz w:val="21"/>
                <w:szCs w:val="21"/>
                <w:highlight w:val="none"/>
              </w:rPr>
            </w:pPr>
          </w:p>
        </w:tc>
      </w:tr>
    </w:tbl>
    <w:p w14:paraId="4F62808F">
      <w:pPr>
        <w:rPr>
          <w:rFonts w:ascii="宋体" w:hAnsi="宋体"/>
          <w:color w:val="auto"/>
          <w:szCs w:val="21"/>
          <w:highlight w:val="none"/>
        </w:rPr>
      </w:pPr>
    </w:p>
    <w:p w14:paraId="6C835048">
      <w:pPr>
        <w:ind w:firstLine="359" w:firstLineChars="171"/>
        <w:rPr>
          <w:rFonts w:ascii="宋体" w:hAnsi="宋体"/>
          <w:color w:val="auto"/>
          <w:szCs w:val="21"/>
          <w:highlight w:val="none"/>
        </w:rPr>
      </w:pPr>
    </w:p>
    <w:p w14:paraId="30E27C6E">
      <w:pPr>
        <w:ind w:firstLine="359" w:firstLineChars="171"/>
        <w:rPr>
          <w:rFonts w:ascii="宋体" w:hAnsi="宋体"/>
          <w:color w:val="auto"/>
          <w:szCs w:val="21"/>
          <w:highlight w:val="none"/>
        </w:rPr>
      </w:pPr>
      <w:r>
        <w:rPr>
          <w:rFonts w:hint="eastAsia" w:ascii="宋体" w:hAnsi="宋体"/>
          <w:color w:val="auto"/>
          <w:szCs w:val="21"/>
          <w:highlight w:val="none"/>
        </w:rPr>
        <w:t>投标人代表签字：</w:t>
      </w:r>
    </w:p>
    <w:p w14:paraId="07DF38E1">
      <w:pPr>
        <w:ind w:firstLine="359" w:firstLineChars="171"/>
        <w:rPr>
          <w:rFonts w:ascii="宋体" w:hAnsi="宋体"/>
          <w:color w:val="auto"/>
          <w:szCs w:val="21"/>
          <w:highlight w:val="none"/>
        </w:rPr>
      </w:pPr>
      <w:r>
        <w:rPr>
          <w:rFonts w:hint="eastAsia" w:ascii="宋体" w:hAnsi="宋体"/>
          <w:color w:val="auto"/>
          <w:szCs w:val="21"/>
          <w:highlight w:val="none"/>
        </w:rPr>
        <w:t>投标人盖章：</w:t>
      </w:r>
    </w:p>
    <w:p w14:paraId="4DC1894C">
      <w:pPr>
        <w:ind w:firstLine="359" w:firstLineChars="171"/>
        <w:rPr>
          <w:rFonts w:ascii="宋体" w:hAnsi="宋体"/>
          <w:color w:val="auto"/>
          <w:szCs w:val="21"/>
          <w:highlight w:val="none"/>
        </w:rPr>
      </w:pPr>
      <w:r>
        <w:rPr>
          <w:rFonts w:hint="eastAsia" w:ascii="宋体" w:hAnsi="宋体"/>
          <w:color w:val="auto"/>
          <w:szCs w:val="21"/>
          <w:highlight w:val="none"/>
        </w:rPr>
        <w:t>日期：</w:t>
      </w:r>
    </w:p>
    <w:p w14:paraId="48A07048">
      <w:pPr>
        <w:ind w:firstLine="359" w:firstLineChars="171"/>
        <w:rPr>
          <w:rFonts w:ascii="宋体" w:hAnsi="宋体"/>
          <w:color w:val="auto"/>
          <w:szCs w:val="21"/>
          <w:highlight w:val="none"/>
        </w:rPr>
      </w:pPr>
    </w:p>
    <w:p w14:paraId="5C911F7D">
      <w:pPr>
        <w:ind w:left="391" w:hanging="390" w:hangingChars="186"/>
        <w:rPr>
          <w:rFonts w:ascii="宋体" w:hAnsi="宋体"/>
          <w:color w:val="auto"/>
          <w:szCs w:val="21"/>
          <w:highlight w:val="none"/>
        </w:rPr>
      </w:pPr>
      <w:r>
        <w:rPr>
          <w:rFonts w:hint="eastAsia" w:ascii="宋体" w:hAnsi="宋体"/>
          <w:color w:val="auto"/>
          <w:szCs w:val="21"/>
          <w:highlight w:val="none"/>
        </w:rPr>
        <w:t xml:space="preserve">   </w:t>
      </w:r>
      <w:r>
        <w:rPr>
          <w:rFonts w:hint="eastAsia" w:ascii="宋体" w:hAnsi="宋体"/>
          <w:color w:val="auto"/>
          <w:szCs w:val="21"/>
          <w:highlight w:val="none"/>
        </w:rPr>
        <w:t>注：</w:t>
      </w:r>
    </w:p>
    <w:p w14:paraId="50EB638C">
      <w:pPr>
        <w:ind w:firstLine="420" w:firstLineChars="200"/>
        <w:rPr>
          <w:rFonts w:ascii="宋体" w:hAnsi="宋体"/>
          <w:color w:val="auto"/>
          <w:szCs w:val="21"/>
          <w:highlight w:val="none"/>
        </w:rPr>
      </w:pPr>
      <w:r>
        <w:rPr>
          <w:rFonts w:hint="eastAsia" w:ascii="宋体" w:hAnsi="宋体"/>
          <w:color w:val="auto"/>
          <w:szCs w:val="21"/>
          <w:highlight w:val="none"/>
        </w:rPr>
        <w:t>1、暂定含税投标总价栏按照《危险废物运输费单价表》对应标包各区域、各车型“预计车次*投标单价报价”之和计取，并须用大写金额和小写金额两种方式表示的投标总价，</w:t>
      </w:r>
      <w:r>
        <w:rPr>
          <w:rFonts w:hint="eastAsia" w:ascii="宋体" w:hAnsi="宋体"/>
          <w:b/>
          <w:bCs/>
          <w:color w:val="auto"/>
          <w:szCs w:val="21"/>
          <w:highlight w:val="none"/>
        </w:rPr>
        <w:t>报价保留</w:t>
      </w:r>
      <w:r>
        <w:rPr>
          <w:rFonts w:hint="eastAsia" w:ascii="宋体" w:hAnsi="宋体"/>
          <w:b/>
          <w:bCs/>
          <w:color w:val="auto"/>
          <w:szCs w:val="21"/>
          <w:highlight w:val="none"/>
          <w:lang w:val="en-US" w:eastAsia="zh-CN"/>
        </w:rPr>
        <w:t>到个位</w:t>
      </w:r>
      <w:r>
        <w:rPr>
          <w:rFonts w:hint="eastAsia" w:ascii="宋体" w:hAnsi="宋体"/>
          <w:color w:val="auto"/>
          <w:szCs w:val="21"/>
          <w:highlight w:val="none"/>
        </w:rPr>
        <w:t>。投标总价大小写不一致，以大写为准</w:t>
      </w:r>
      <w:r>
        <w:rPr>
          <w:rFonts w:hint="eastAsia" w:ascii="宋体" w:hAnsi="宋体"/>
          <w:color w:val="auto"/>
          <w:szCs w:val="21"/>
          <w:highlight w:val="none"/>
          <w:lang w:eastAsia="zh-CN"/>
        </w:rPr>
        <w:t>；</w:t>
      </w:r>
      <w:r>
        <w:rPr>
          <w:rFonts w:hint="eastAsia" w:ascii="宋体" w:hAnsi="宋体"/>
          <w:color w:val="auto"/>
          <w:szCs w:val="21"/>
          <w:highlight w:val="none"/>
        </w:rPr>
        <w:t>投标价格开标一览表与《危险废物运输费单价表》不一致，以《危险废物运输费单价表》为准。投标总价必须准确唯一且应包含采购文件要求的费用。</w:t>
      </w:r>
    </w:p>
    <w:p w14:paraId="24B0C986">
      <w:pPr>
        <w:ind w:firstLine="420" w:firstLineChars="200"/>
        <w:rPr>
          <w:rFonts w:ascii="宋体" w:hAnsi="宋体"/>
          <w:color w:val="auto"/>
          <w:szCs w:val="21"/>
          <w:highlight w:val="none"/>
        </w:rPr>
      </w:pPr>
      <w:r>
        <w:rPr>
          <w:rFonts w:hint="eastAsia" w:ascii="宋体" w:hAnsi="宋体"/>
          <w:color w:val="auto"/>
          <w:szCs w:val="21"/>
          <w:highlight w:val="none"/>
        </w:rPr>
        <w:t>2、温馨提示：未按采购文件要求报价、填写开标一览表是导致</w:t>
      </w:r>
      <w:r>
        <w:rPr>
          <w:rFonts w:hint="eastAsia" w:ascii="宋体" w:hAnsi="宋体"/>
          <w:color w:val="auto"/>
          <w:szCs w:val="21"/>
          <w:highlight w:val="none"/>
          <w:lang w:eastAsia="zh-CN"/>
        </w:rPr>
        <w:t>投标人</w:t>
      </w:r>
      <w:r>
        <w:rPr>
          <w:rFonts w:hint="eastAsia" w:ascii="宋体" w:hAnsi="宋体"/>
          <w:color w:val="auto"/>
          <w:szCs w:val="21"/>
          <w:highlight w:val="none"/>
        </w:rPr>
        <w:t>废标的常见问题，请</w:t>
      </w:r>
      <w:r>
        <w:rPr>
          <w:rFonts w:hint="eastAsia" w:ascii="宋体" w:hAnsi="宋体"/>
          <w:color w:val="auto"/>
          <w:szCs w:val="21"/>
          <w:highlight w:val="none"/>
          <w:lang w:eastAsia="zh-CN"/>
        </w:rPr>
        <w:t>投标人</w:t>
      </w:r>
      <w:r>
        <w:rPr>
          <w:rFonts w:hint="eastAsia" w:ascii="宋体" w:hAnsi="宋体"/>
          <w:color w:val="auto"/>
          <w:szCs w:val="21"/>
          <w:highlight w:val="none"/>
        </w:rPr>
        <w:t>仔细填写，认真核对。漏写、错写或报价超过单价限价的，将被视为非实质性响应而予以投标无效处理。</w:t>
      </w:r>
    </w:p>
    <w:p w14:paraId="2EF18965">
      <w:pPr>
        <w:ind w:firstLine="420" w:firstLineChars="200"/>
        <w:rPr>
          <w:rFonts w:ascii="宋体" w:hAnsi="宋体"/>
          <w:color w:val="auto"/>
          <w:szCs w:val="21"/>
          <w:highlight w:val="none"/>
        </w:rPr>
      </w:pPr>
    </w:p>
    <w:p w14:paraId="36C3B276">
      <w:pPr>
        <w:pStyle w:val="4"/>
        <w:spacing w:line="240" w:lineRule="auto"/>
        <w:rPr>
          <w:rFonts w:ascii="黑体" w:hAnsi="Times New Roman"/>
          <w:b w:val="0"/>
          <w:bCs w:val="0"/>
          <w:color w:val="auto"/>
          <w:sz w:val="28"/>
          <w:szCs w:val="28"/>
          <w:highlight w:val="none"/>
        </w:rPr>
      </w:pPr>
      <w:r>
        <w:rPr>
          <w:rFonts w:hint="eastAsia" w:ascii="宋体" w:hAnsi="宋体"/>
          <w:color w:val="auto"/>
          <w:szCs w:val="21"/>
          <w:highlight w:val="none"/>
        </w:rPr>
        <w:br w:type="page"/>
      </w:r>
      <w:bookmarkStart w:id="473" w:name="_Toc11933"/>
      <w:r>
        <w:rPr>
          <w:rFonts w:hint="eastAsia" w:ascii="宋体" w:hAnsi="宋体" w:eastAsia="宋体" w:cstheme="majorBidi"/>
          <w:b/>
          <w:bCs/>
          <w:color w:val="auto"/>
          <w:sz w:val="21"/>
          <w:szCs w:val="21"/>
          <w:highlight w:val="none"/>
          <w:lang w:val="en-US" w:eastAsia="zh-CN" w:bidi="ar-SA"/>
        </w:rPr>
        <w:t>附件3.</w:t>
      </w:r>
      <w:bookmarkStart w:id="474" w:name="_Toc23105"/>
      <w:r>
        <w:rPr>
          <w:rFonts w:hint="eastAsia" w:ascii="宋体" w:hAnsi="宋体" w:eastAsia="宋体" w:cstheme="majorBidi"/>
          <w:b/>
          <w:bCs/>
          <w:color w:val="auto"/>
          <w:sz w:val="21"/>
          <w:szCs w:val="21"/>
          <w:highlight w:val="none"/>
          <w:lang w:val="en-US" w:eastAsia="zh-CN" w:bidi="ar-SA"/>
        </w:rPr>
        <w:t>分项报价表</w:t>
      </w:r>
      <w:bookmarkEnd w:id="473"/>
      <w:bookmarkEnd w:id="474"/>
    </w:p>
    <w:p w14:paraId="1F69C0C8">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eastAsia="宋体"/>
          <w:color w:val="auto"/>
          <w:highlight w:val="none"/>
          <w:lang w:val="en-US" w:eastAsia="zh-CN"/>
        </w:rPr>
      </w:pPr>
      <w:r>
        <w:rPr>
          <w:rFonts w:hint="eastAsia"/>
          <w:color w:val="auto"/>
          <w:highlight w:val="none"/>
        </w:rPr>
        <w:t>1.格式详见采购文件附件《危险废物运输费单价表》</w:t>
      </w:r>
      <w:r>
        <w:rPr>
          <w:rFonts w:hint="eastAsia"/>
          <w:color w:val="auto"/>
          <w:highlight w:val="none"/>
          <w:lang w:eastAsia="zh-CN"/>
        </w:rPr>
        <w:t>，</w:t>
      </w:r>
      <w:r>
        <w:rPr>
          <w:rFonts w:hint="eastAsia"/>
          <w:color w:val="auto"/>
          <w:highlight w:val="none"/>
          <w:lang w:val="en-US" w:eastAsia="zh-CN"/>
        </w:rPr>
        <w:t>要求盖公章；</w:t>
      </w:r>
    </w:p>
    <w:p w14:paraId="5F84364C">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color w:val="auto"/>
          <w:highlight w:val="none"/>
        </w:rPr>
      </w:pPr>
      <w:r>
        <w:rPr>
          <w:rFonts w:hint="eastAsia"/>
          <w:color w:val="auto"/>
          <w:highlight w:val="none"/>
        </w:rPr>
        <w:t>2.本项目采用固定单价暂定总价方式报价，</w:t>
      </w:r>
      <w:r>
        <w:rPr>
          <w:rFonts w:hint="eastAsia"/>
          <w:color w:val="auto"/>
          <w:highlight w:val="none"/>
          <w:lang w:eastAsia="zh-CN"/>
        </w:rPr>
        <w:t>投标人</w:t>
      </w:r>
      <w:r>
        <w:rPr>
          <w:rFonts w:hint="eastAsia"/>
          <w:color w:val="auto"/>
          <w:highlight w:val="none"/>
        </w:rPr>
        <w:t>必须根据附件《危险废物运输费单价表》规定的各标段、各区域、各车型的单价限价（元/车次）范围内进行报价（</w:t>
      </w:r>
      <w:r>
        <w:rPr>
          <w:rFonts w:hint="eastAsia"/>
          <w:b/>
          <w:bCs/>
          <w:color w:val="auto"/>
          <w:highlight w:val="none"/>
        </w:rPr>
        <w:t>报价为含税价且保留至个位数</w:t>
      </w:r>
      <w:r>
        <w:rPr>
          <w:rFonts w:hint="eastAsia"/>
          <w:color w:val="auto"/>
          <w:highlight w:val="none"/>
        </w:rPr>
        <w:t>），并结合相应的预计车次计算出暂定总价（含税价），即某标段所有区域各车型供应商所投运输单价报价与对应预计次数的乘积之和；</w:t>
      </w:r>
    </w:p>
    <w:p w14:paraId="71112D76">
      <w:pPr>
        <w:keepNext w:val="0"/>
        <w:keepLines w:val="0"/>
        <w:pageBreakBefore w:val="0"/>
        <w:kinsoku/>
        <w:wordWrap/>
        <w:overflowPunct/>
        <w:topLinePunct w:val="0"/>
        <w:autoSpaceDE/>
        <w:autoSpaceDN/>
        <w:bidi w:val="0"/>
        <w:spacing w:line="500" w:lineRule="exact"/>
        <w:ind w:firstLine="420" w:firstLineChars="200"/>
        <w:textAlignment w:val="auto"/>
        <w:rPr>
          <w:rFonts w:ascii="宋体" w:hAnsi="宋体" w:cs="宋体"/>
          <w:b/>
          <w:color w:val="auto"/>
          <w:szCs w:val="21"/>
          <w:highlight w:val="none"/>
        </w:rPr>
      </w:pPr>
      <w:r>
        <w:rPr>
          <w:rFonts w:hint="eastAsia"/>
          <w:color w:val="auto"/>
          <w:highlight w:val="none"/>
        </w:rPr>
        <w:t>3.</w:t>
      </w:r>
      <w:r>
        <w:rPr>
          <w:rFonts w:hint="eastAsia"/>
          <w:color w:val="auto"/>
          <w:highlight w:val="none"/>
          <w:lang w:eastAsia="zh-CN"/>
        </w:rPr>
        <w:t>投标人</w:t>
      </w:r>
      <w:r>
        <w:rPr>
          <w:rFonts w:hint="eastAsia"/>
          <w:color w:val="auto"/>
          <w:highlight w:val="none"/>
        </w:rPr>
        <w:t>必须严格按照附件《危险废物运输费单价表》进行填写，漏写、错写或报价超过单价限价的，将被视为非实质性响应而予以投标无效处理。</w:t>
      </w:r>
    </w:p>
    <w:p w14:paraId="6EB2FA1B">
      <w:pPr>
        <w:rPr>
          <w:color w:val="auto"/>
          <w:highlight w:val="none"/>
        </w:rPr>
      </w:pPr>
    </w:p>
    <w:p w14:paraId="34DEF644">
      <w:pPr>
        <w:rPr>
          <w:rFonts w:ascii="宋体" w:hAnsi="宋体"/>
          <w:color w:val="auto"/>
          <w:szCs w:val="21"/>
          <w:highlight w:val="none"/>
        </w:rPr>
      </w:pPr>
      <w:bookmarkStart w:id="475" w:name="_Toc12412"/>
      <w:r>
        <w:rPr>
          <w:rFonts w:hint="eastAsia" w:ascii="宋体" w:hAnsi="宋体"/>
          <w:color w:val="auto"/>
          <w:szCs w:val="21"/>
          <w:highlight w:val="none"/>
        </w:rPr>
        <w:br w:type="page"/>
      </w:r>
    </w:p>
    <w:bookmarkEnd w:id="475"/>
    <w:p w14:paraId="6FEA73AF">
      <w:pPr>
        <w:rPr>
          <w:color w:val="auto"/>
          <w:sz w:val="52"/>
          <w:szCs w:val="52"/>
          <w:highlight w:val="none"/>
        </w:rPr>
      </w:pPr>
    </w:p>
    <w:p w14:paraId="577FA350">
      <w:pPr>
        <w:pStyle w:val="4"/>
        <w:spacing w:before="0" w:after="0" w:line="360" w:lineRule="auto"/>
        <w:jc w:val="center"/>
        <w:rPr>
          <w:color w:val="auto"/>
          <w:sz w:val="72"/>
          <w:szCs w:val="72"/>
          <w:highlight w:val="none"/>
        </w:rPr>
      </w:pPr>
      <w:bookmarkStart w:id="476" w:name="_Toc29645"/>
      <w:r>
        <w:rPr>
          <w:rFonts w:hint="eastAsia"/>
          <w:color w:val="auto"/>
          <w:sz w:val="72"/>
          <w:szCs w:val="72"/>
          <w:highlight w:val="none"/>
        </w:rPr>
        <w:t>商务文件</w:t>
      </w:r>
      <w:bookmarkEnd w:id="476"/>
    </w:p>
    <w:p w14:paraId="2D789219">
      <w:pPr>
        <w:jc w:val="center"/>
        <w:rPr>
          <w:rFonts w:ascii="黑体" w:eastAsia="黑体"/>
          <w:color w:val="auto"/>
          <w:sz w:val="72"/>
          <w:szCs w:val="72"/>
          <w:highlight w:val="none"/>
        </w:rPr>
      </w:pPr>
      <w:r>
        <w:rPr>
          <w:rFonts w:hint="eastAsia" w:ascii="黑体" w:eastAsia="黑体"/>
          <w:color w:val="auto"/>
          <w:sz w:val="72"/>
          <w:szCs w:val="72"/>
          <w:highlight w:val="none"/>
        </w:rPr>
        <w:t>（单独装订成册）</w:t>
      </w:r>
    </w:p>
    <w:p w14:paraId="4F2552AC">
      <w:pPr>
        <w:rPr>
          <w:color w:val="auto"/>
          <w:highlight w:val="none"/>
        </w:rPr>
      </w:pPr>
    </w:p>
    <w:p w14:paraId="6DE4DAAF">
      <w:pPr>
        <w:pStyle w:val="10"/>
        <w:rPr>
          <w:color w:val="auto"/>
          <w:highlight w:val="none"/>
        </w:rPr>
      </w:pPr>
    </w:p>
    <w:p w14:paraId="22651B2C">
      <w:pPr>
        <w:pStyle w:val="27"/>
        <w:ind w:firstLine="240"/>
        <w:rPr>
          <w:color w:val="auto"/>
          <w:highlight w:val="none"/>
        </w:rPr>
      </w:pPr>
    </w:p>
    <w:p w14:paraId="0C33FD14">
      <w:pPr>
        <w:rPr>
          <w:rFonts w:ascii="宋体" w:hAnsi="宋体" w:cs="宋体"/>
          <w:b/>
          <w:bCs/>
          <w:color w:val="auto"/>
          <w:spacing w:val="-6"/>
          <w:sz w:val="32"/>
          <w:szCs w:val="32"/>
          <w:highlight w:val="none"/>
        </w:rPr>
      </w:pPr>
      <w:r>
        <w:rPr>
          <w:rFonts w:hint="eastAsia" w:ascii="宋体" w:hAnsi="宋体" w:cs="宋体"/>
          <w:b/>
          <w:bCs/>
          <w:color w:val="auto"/>
          <w:spacing w:val="53"/>
          <w:kern w:val="0"/>
          <w:sz w:val="32"/>
          <w:szCs w:val="32"/>
          <w:highlight w:val="none"/>
          <w:fitText w:val="1600" w:id="292250509"/>
        </w:rPr>
        <w:t>项目名</w:t>
      </w:r>
      <w:r>
        <w:rPr>
          <w:rFonts w:hint="eastAsia" w:ascii="宋体" w:hAnsi="宋体" w:cs="宋体"/>
          <w:b/>
          <w:bCs/>
          <w:color w:val="auto"/>
          <w:spacing w:val="1"/>
          <w:kern w:val="0"/>
          <w:sz w:val="32"/>
          <w:szCs w:val="32"/>
          <w:highlight w:val="none"/>
          <w:fitText w:val="1600" w:id="292250509"/>
        </w:rPr>
        <w:t>称</w:t>
      </w:r>
      <w:r>
        <w:rPr>
          <w:rFonts w:hint="eastAsia" w:ascii="宋体" w:hAnsi="宋体" w:cs="宋体"/>
          <w:b/>
          <w:bCs/>
          <w:color w:val="auto"/>
          <w:spacing w:val="-6"/>
          <w:sz w:val="32"/>
          <w:szCs w:val="32"/>
          <w:highlight w:val="none"/>
        </w:rPr>
        <w:t>：</w:t>
      </w:r>
    </w:p>
    <w:p w14:paraId="5B213719">
      <w:pPr>
        <w:rPr>
          <w:rFonts w:ascii="宋体" w:hAnsi="宋体" w:cs="宋体"/>
          <w:b/>
          <w:bCs/>
          <w:color w:val="auto"/>
          <w:sz w:val="32"/>
          <w:szCs w:val="32"/>
          <w:highlight w:val="none"/>
        </w:rPr>
      </w:pPr>
      <w:r>
        <w:rPr>
          <w:rFonts w:hint="eastAsia" w:ascii="宋体" w:hAnsi="宋体" w:cs="宋体"/>
          <w:b/>
          <w:bCs/>
          <w:color w:val="auto"/>
          <w:spacing w:val="53"/>
          <w:kern w:val="0"/>
          <w:sz w:val="32"/>
          <w:szCs w:val="32"/>
          <w:highlight w:val="none"/>
          <w:fitText w:val="1600" w:id="1231831253"/>
        </w:rPr>
        <w:t>项目编</w:t>
      </w:r>
      <w:r>
        <w:rPr>
          <w:rFonts w:hint="eastAsia" w:ascii="宋体" w:hAnsi="宋体" w:cs="宋体"/>
          <w:b/>
          <w:bCs/>
          <w:color w:val="auto"/>
          <w:spacing w:val="1"/>
          <w:kern w:val="0"/>
          <w:sz w:val="32"/>
          <w:szCs w:val="32"/>
          <w:highlight w:val="none"/>
          <w:fitText w:val="1600" w:id="1231831253"/>
        </w:rPr>
        <w:t>号</w:t>
      </w:r>
      <w:r>
        <w:rPr>
          <w:rFonts w:hint="eastAsia" w:ascii="宋体" w:hAnsi="宋体" w:cs="宋体"/>
          <w:b/>
          <w:bCs/>
          <w:color w:val="auto"/>
          <w:sz w:val="32"/>
          <w:szCs w:val="32"/>
          <w:highlight w:val="none"/>
        </w:rPr>
        <w:t>：</w:t>
      </w:r>
    </w:p>
    <w:p w14:paraId="39727CC8">
      <w:pPr>
        <w:pStyle w:val="10"/>
        <w:ind w:left="0"/>
        <w:rPr>
          <w:b/>
          <w:color w:val="auto"/>
          <w:spacing w:val="1280"/>
          <w:sz w:val="32"/>
          <w:szCs w:val="32"/>
          <w:highlight w:val="none"/>
        </w:rPr>
      </w:pPr>
      <w:r>
        <w:rPr>
          <w:b/>
          <w:color w:val="auto"/>
          <w:spacing w:val="106"/>
          <w:sz w:val="32"/>
          <w:szCs w:val="32"/>
          <w:highlight w:val="none"/>
          <w:lang w:val="en-US" w:bidi="ar-SA"/>
        </w:rPr>
        <w:t>包组号（如有）：</w:t>
      </w:r>
    </w:p>
    <w:p w14:paraId="511782EE">
      <w:pPr>
        <w:rPr>
          <w:rFonts w:ascii="宋体" w:hAnsi="宋体" w:cs="宋体"/>
          <w:b/>
          <w:color w:val="auto"/>
          <w:sz w:val="32"/>
          <w:szCs w:val="32"/>
          <w:highlight w:val="none"/>
        </w:rPr>
      </w:pPr>
      <w:r>
        <w:rPr>
          <w:rFonts w:hint="eastAsia" w:ascii="宋体" w:hAnsi="宋体" w:cs="宋体"/>
          <w:b/>
          <w:color w:val="auto"/>
          <w:spacing w:val="0"/>
          <w:kern w:val="0"/>
          <w:sz w:val="32"/>
          <w:szCs w:val="32"/>
          <w:highlight w:val="none"/>
          <w:fitText w:val="1600" w:id="1764384445"/>
        </w:rPr>
        <w:t>投标人名称</w:t>
      </w:r>
      <w:r>
        <w:rPr>
          <w:rFonts w:hint="eastAsia" w:ascii="宋体" w:hAnsi="宋体" w:cs="宋体"/>
          <w:b/>
          <w:color w:val="auto"/>
          <w:sz w:val="32"/>
          <w:szCs w:val="32"/>
          <w:highlight w:val="none"/>
        </w:rPr>
        <w:t>：</w:t>
      </w:r>
    </w:p>
    <w:p w14:paraId="746454DD">
      <w:pPr>
        <w:rPr>
          <w:rFonts w:ascii="宋体" w:hAnsi="宋体" w:cs="宋体"/>
          <w:b/>
          <w:color w:val="auto"/>
          <w:sz w:val="32"/>
          <w:szCs w:val="32"/>
          <w:highlight w:val="none"/>
        </w:rPr>
      </w:pPr>
      <w:r>
        <w:rPr>
          <w:rFonts w:hint="eastAsia" w:ascii="宋体" w:hAnsi="宋体" w:cs="宋体"/>
          <w:b/>
          <w:color w:val="auto"/>
          <w:spacing w:val="32"/>
          <w:kern w:val="0"/>
          <w:sz w:val="32"/>
          <w:szCs w:val="32"/>
          <w:highlight w:val="none"/>
          <w:fitText w:val="1600" w:id="2061173831"/>
        </w:rPr>
        <w:t xml:space="preserve">日    </w:t>
      </w:r>
      <w:r>
        <w:rPr>
          <w:rFonts w:hint="eastAsia" w:ascii="宋体" w:hAnsi="宋体" w:cs="宋体"/>
          <w:b/>
          <w:color w:val="auto"/>
          <w:spacing w:val="0"/>
          <w:kern w:val="0"/>
          <w:sz w:val="32"/>
          <w:szCs w:val="32"/>
          <w:highlight w:val="none"/>
          <w:fitText w:val="1600" w:id="2061173831"/>
        </w:rPr>
        <w:t>期</w:t>
      </w:r>
      <w:r>
        <w:rPr>
          <w:rFonts w:hint="eastAsia" w:ascii="宋体" w:hAnsi="宋体" w:cs="宋体"/>
          <w:b/>
          <w:color w:val="auto"/>
          <w:sz w:val="32"/>
          <w:szCs w:val="32"/>
          <w:highlight w:val="none"/>
        </w:rPr>
        <w:t>：</w:t>
      </w:r>
    </w:p>
    <w:p w14:paraId="55A23E62">
      <w:pPr>
        <w:pStyle w:val="10"/>
        <w:rPr>
          <w:b/>
          <w:color w:val="auto"/>
          <w:sz w:val="32"/>
          <w:szCs w:val="32"/>
          <w:highlight w:val="none"/>
        </w:rPr>
      </w:pPr>
    </w:p>
    <w:p w14:paraId="2C6100C8">
      <w:pPr>
        <w:pStyle w:val="27"/>
        <w:ind w:firstLine="321"/>
        <w:rPr>
          <w:b/>
          <w:color w:val="auto"/>
          <w:sz w:val="32"/>
          <w:szCs w:val="32"/>
          <w:highlight w:val="none"/>
        </w:rPr>
      </w:pPr>
    </w:p>
    <w:p w14:paraId="3A0A75F1">
      <w:pPr>
        <w:pStyle w:val="22"/>
        <w:rPr>
          <w:rFonts w:ascii="宋体" w:hAnsi="宋体" w:cs="宋体"/>
          <w:b/>
          <w:color w:val="auto"/>
          <w:sz w:val="32"/>
          <w:szCs w:val="32"/>
          <w:highlight w:val="none"/>
        </w:rPr>
      </w:pPr>
    </w:p>
    <w:p w14:paraId="142E2AC1">
      <w:pPr>
        <w:rPr>
          <w:rFonts w:ascii="宋体" w:hAnsi="宋体" w:cs="宋体"/>
          <w:b/>
          <w:color w:val="auto"/>
          <w:sz w:val="32"/>
          <w:szCs w:val="32"/>
          <w:highlight w:val="none"/>
        </w:rPr>
      </w:pPr>
    </w:p>
    <w:p w14:paraId="4D7A348D">
      <w:pPr>
        <w:pStyle w:val="10"/>
        <w:rPr>
          <w:b/>
          <w:color w:val="auto"/>
          <w:sz w:val="32"/>
          <w:szCs w:val="32"/>
          <w:highlight w:val="none"/>
        </w:rPr>
      </w:pPr>
    </w:p>
    <w:p w14:paraId="65E7FDB7">
      <w:pPr>
        <w:rPr>
          <w:color w:val="auto"/>
          <w:highlight w:val="none"/>
        </w:rPr>
      </w:pPr>
    </w:p>
    <w:p w14:paraId="1EEE195A">
      <w:pPr>
        <w:rPr>
          <w:rFonts w:ascii="宋体" w:hAnsi="宋体"/>
          <w:color w:val="auto"/>
          <w:szCs w:val="21"/>
          <w:highlight w:val="none"/>
        </w:rPr>
      </w:pPr>
      <w:r>
        <w:rPr>
          <w:rFonts w:hint="eastAsia" w:ascii="宋体" w:hAnsi="宋体"/>
          <w:color w:val="auto"/>
          <w:szCs w:val="21"/>
          <w:highlight w:val="none"/>
        </w:rPr>
        <w:br w:type="page"/>
      </w:r>
    </w:p>
    <w:p w14:paraId="397E4CCC">
      <w:pPr>
        <w:pStyle w:val="6"/>
        <w:widowControl w:val="0"/>
        <w:overflowPunct w:val="0"/>
        <w:spacing w:line="240" w:lineRule="auto"/>
        <w:rPr>
          <w:color w:val="auto"/>
          <w:highlight w:val="none"/>
        </w:rPr>
      </w:pPr>
      <w:bookmarkStart w:id="477" w:name="_Toc16903"/>
      <w:r>
        <w:rPr>
          <w:rFonts w:hint="eastAsia" w:ascii="宋体" w:hAnsi="宋体"/>
          <w:color w:val="auto"/>
          <w:sz w:val="21"/>
          <w:szCs w:val="21"/>
          <w:highlight w:val="none"/>
        </w:rPr>
        <w:t>附件4.投标书格式</w:t>
      </w:r>
      <w:bookmarkEnd w:id="477"/>
    </w:p>
    <w:p w14:paraId="5FD5F4AE">
      <w:pPr>
        <w:jc w:val="center"/>
        <w:rPr>
          <w:rFonts w:ascii="宋体" w:hAnsi="宋体"/>
          <w:color w:val="auto"/>
          <w:szCs w:val="21"/>
          <w:highlight w:val="none"/>
        </w:rPr>
      </w:pPr>
      <w:r>
        <w:rPr>
          <w:rFonts w:hint="eastAsia" w:ascii="黑体" w:eastAsia="黑体"/>
          <w:color w:val="auto"/>
          <w:sz w:val="32"/>
          <w:szCs w:val="32"/>
          <w:highlight w:val="none"/>
        </w:rPr>
        <w:t>投标书</w:t>
      </w:r>
    </w:p>
    <w:p w14:paraId="2342D43A">
      <w:pPr>
        <w:rPr>
          <w:rFonts w:ascii="宋体" w:hAnsi="宋体"/>
          <w:color w:val="auto"/>
          <w:szCs w:val="21"/>
          <w:highlight w:val="none"/>
        </w:rPr>
      </w:pPr>
      <w:r>
        <w:rPr>
          <w:rFonts w:hint="eastAsia" w:ascii="宋体" w:hAnsi="宋体"/>
          <w:color w:val="auto"/>
          <w:szCs w:val="21"/>
          <w:highlight w:val="none"/>
        </w:rPr>
        <w:t>致：xxx公司：</w:t>
      </w:r>
    </w:p>
    <w:p w14:paraId="34667DE4">
      <w:pPr>
        <w:rPr>
          <w:rFonts w:ascii="宋体" w:hAnsi="宋体"/>
          <w:color w:val="auto"/>
          <w:szCs w:val="21"/>
          <w:highlight w:val="none"/>
        </w:rPr>
      </w:pPr>
    </w:p>
    <w:p w14:paraId="04F8CDF2">
      <w:pPr>
        <w:ind w:firstLine="420" w:firstLineChars="200"/>
        <w:rPr>
          <w:rFonts w:ascii="宋体" w:hAnsi="宋体"/>
          <w:color w:val="auto"/>
          <w:szCs w:val="21"/>
          <w:highlight w:val="none"/>
        </w:rPr>
      </w:pPr>
      <w:r>
        <w:rPr>
          <w:rFonts w:hint="eastAsia" w:ascii="宋体" w:hAnsi="宋体"/>
          <w:color w:val="auto"/>
          <w:szCs w:val="21"/>
          <w:highlight w:val="none"/>
        </w:rPr>
        <w:t>根据贵方为</w:t>
      </w:r>
      <w:r>
        <w:rPr>
          <w:rFonts w:hint="eastAsia" w:ascii="宋体" w:hAnsi="宋体"/>
          <w:color w:val="auto"/>
          <w:szCs w:val="21"/>
          <w:highlight w:val="none"/>
          <w:u w:val="single"/>
        </w:rPr>
        <w:t>（项目名称）（采购项目编号）</w:t>
      </w:r>
      <w:r>
        <w:rPr>
          <w:rFonts w:hint="eastAsia" w:ascii="宋体" w:hAnsi="宋体"/>
          <w:color w:val="auto"/>
          <w:szCs w:val="21"/>
          <w:highlight w:val="none"/>
        </w:rPr>
        <w:t>项目采购公告/采购邀请，签字代表</w:t>
      </w:r>
      <w:r>
        <w:rPr>
          <w:rFonts w:hint="eastAsia" w:ascii="宋体" w:hAnsi="宋体"/>
          <w:color w:val="auto"/>
          <w:szCs w:val="21"/>
          <w:highlight w:val="none"/>
          <w:u w:val="single"/>
        </w:rPr>
        <w:t>（姓名、职务）</w:t>
      </w:r>
      <w:r>
        <w:rPr>
          <w:rFonts w:hint="eastAsia" w:ascii="宋体" w:hAnsi="宋体"/>
          <w:color w:val="auto"/>
          <w:szCs w:val="21"/>
          <w:highlight w:val="none"/>
        </w:rPr>
        <w:t>经正式授权并代表投标人</w:t>
      </w:r>
      <w:r>
        <w:rPr>
          <w:rFonts w:hint="eastAsia" w:ascii="宋体" w:hAnsi="宋体"/>
          <w:color w:val="auto"/>
          <w:szCs w:val="21"/>
          <w:highlight w:val="none"/>
          <w:u w:val="single"/>
        </w:rPr>
        <w:t>（投标人名称、地址）</w:t>
      </w:r>
      <w:r>
        <w:rPr>
          <w:rFonts w:hint="eastAsia" w:ascii="宋体" w:hAnsi="宋体"/>
          <w:color w:val="auto"/>
          <w:szCs w:val="21"/>
          <w:highlight w:val="none"/>
        </w:rPr>
        <w:t>提交投标文件及“唱标信封”：</w:t>
      </w:r>
    </w:p>
    <w:p w14:paraId="46E14D20">
      <w:pPr>
        <w:ind w:firstLine="420" w:firstLineChars="200"/>
        <w:rPr>
          <w:rFonts w:ascii="宋体" w:hAnsi="宋体"/>
          <w:color w:val="auto"/>
          <w:szCs w:val="21"/>
          <w:highlight w:val="none"/>
        </w:rPr>
      </w:pPr>
      <w:r>
        <w:rPr>
          <w:rFonts w:hint="eastAsia" w:ascii="宋体" w:hAnsi="宋体"/>
          <w:color w:val="auto"/>
          <w:szCs w:val="21"/>
          <w:highlight w:val="none"/>
        </w:rPr>
        <w:t xml:space="preserve">在此，签字代表宣布同意如下： </w:t>
      </w:r>
    </w:p>
    <w:p w14:paraId="7120C530">
      <w:pPr>
        <w:widowControl w:val="0"/>
        <w:numPr>
          <w:ilvl w:val="0"/>
          <w:numId w:val="11"/>
        </w:numPr>
        <w:adjustRightInd/>
        <w:snapToGrid/>
        <w:jc w:val="both"/>
        <w:rPr>
          <w:rFonts w:ascii="宋体" w:hAnsi="宋体"/>
          <w:color w:val="auto"/>
          <w:szCs w:val="21"/>
          <w:highlight w:val="none"/>
        </w:rPr>
      </w:pPr>
      <w:r>
        <w:rPr>
          <w:rFonts w:hint="eastAsia" w:ascii="宋体" w:hAnsi="宋体"/>
          <w:color w:val="auto"/>
          <w:szCs w:val="21"/>
          <w:highlight w:val="none"/>
        </w:rPr>
        <w:t xml:space="preserve">我方将按采购文件的规定履行合同责任和义务。 </w:t>
      </w:r>
    </w:p>
    <w:p w14:paraId="225DE3DA">
      <w:pPr>
        <w:widowControl w:val="0"/>
        <w:numPr>
          <w:ilvl w:val="0"/>
          <w:numId w:val="11"/>
        </w:numPr>
        <w:adjustRightInd/>
        <w:snapToGrid/>
        <w:jc w:val="both"/>
        <w:rPr>
          <w:rFonts w:ascii="宋体" w:hAnsi="宋体"/>
          <w:color w:val="auto"/>
          <w:szCs w:val="21"/>
          <w:highlight w:val="none"/>
        </w:rPr>
      </w:pPr>
      <w:r>
        <w:rPr>
          <w:rFonts w:hint="eastAsia" w:ascii="宋体" w:hAnsi="宋体"/>
          <w:b/>
          <w:color w:val="auto"/>
          <w:szCs w:val="21"/>
          <w:highlight w:val="none"/>
        </w:rPr>
        <w:t>我方已完整阅读了本项目采购文件的所有内容（包括澄清，以及所有已提供的参考资料和有关附件），并完全理解上述文件所表达的意思，</w:t>
      </w:r>
      <w:r>
        <w:rPr>
          <w:rFonts w:hint="eastAsia" w:ascii="宋体" w:hAnsi="宋体"/>
          <w:b/>
          <w:color w:val="auto"/>
          <w:szCs w:val="21"/>
          <w:highlight w:val="none"/>
          <w:lang w:val="en-US" w:eastAsia="zh-CN"/>
        </w:rPr>
        <w:t>在</w:t>
      </w:r>
      <w:r>
        <w:rPr>
          <w:rFonts w:hint="eastAsia" w:ascii="宋体" w:hAnsi="宋体"/>
          <w:b/>
          <w:color w:val="auto"/>
          <w:szCs w:val="21"/>
          <w:highlight w:val="none"/>
        </w:rPr>
        <w:t>该项目递交投标文件时间截止后，我方承诺不再对上述文件内容进行异议。</w:t>
      </w:r>
    </w:p>
    <w:p w14:paraId="4B509E54">
      <w:pPr>
        <w:widowControl w:val="0"/>
        <w:numPr>
          <w:ilvl w:val="0"/>
          <w:numId w:val="11"/>
        </w:numPr>
        <w:adjustRightInd/>
        <w:snapToGrid/>
        <w:jc w:val="both"/>
        <w:rPr>
          <w:rFonts w:ascii="宋体" w:hAnsi="宋体"/>
          <w:color w:val="auto"/>
          <w:szCs w:val="21"/>
          <w:highlight w:val="none"/>
        </w:rPr>
      </w:pPr>
      <w:r>
        <w:rPr>
          <w:rFonts w:hint="eastAsia" w:ascii="宋体" w:hAnsi="宋体"/>
          <w:color w:val="auto"/>
          <w:szCs w:val="21"/>
          <w:highlight w:val="none"/>
        </w:rPr>
        <w:t>本投标有效期为自开标日起</w:t>
      </w:r>
      <w:r>
        <w:rPr>
          <w:rFonts w:hint="eastAsia" w:ascii="宋体" w:hAnsi="宋体"/>
          <w:color w:val="auto"/>
          <w:szCs w:val="21"/>
          <w:highlight w:val="none"/>
          <w:u w:val="single"/>
        </w:rPr>
        <w:t>90</w:t>
      </w:r>
      <w:r>
        <w:rPr>
          <w:rFonts w:hint="eastAsia" w:ascii="宋体" w:hAnsi="宋体"/>
          <w:color w:val="auto"/>
          <w:szCs w:val="21"/>
          <w:highlight w:val="none"/>
        </w:rPr>
        <w:t xml:space="preserve">个日历日。 </w:t>
      </w:r>
    </w:p>
    <w:p w14:paraId="0DAF5B2C">
      <w:pPr>
        <w:widowControl w:val="0"/>
        <w:numPr>
          <w:ilvl w:val="0"/>
          <w:numId w:val="11"/>
        </w:numPr>
        <w:adjustRightInd/>
        <w:snapToGrid/>
        <w:jc w:val="both"/>
        <w:rPr>
          <w:rFonts w:ascii="宋体" w:hAnsi="宋体"/>
          <w:color w:val="auto"/>
          <w:szCs w:val="21"/>
          <w:highlight w:val="none"/>
        </w:rPr>
      </w:pPr>
      <w:r>
        <w:rPr>
          <w:rFonts w:hint="eastAsia" w:ascii="宋体" w:hAnsi="宋体"/>
          <w:color w:val="auto"/>
          <w:szCs w:val="21"/>
          <w:highlight w:val="none"/>
        </w:rPr>
        <w:t>我方保证遵守投标人须知中关于没收投标保证金的规定。</w:t>
      </w:r>
    </w:p>
    <w:p w14:paraId="3523D24B">
      <w:pPr>
        <w:widowControl w:val="0"/>
        <w:numPr>
          <w:ilvl w:val="0"/>
          <w:numId w:val="11"/>
        </w:numPr>
        <w:adjustRightInd/>
        <w:snapToGrid/>
        <w:jc w:val="both"/>
        <w:rPr>
          <w:rFonts w:ascii="宋体" w:hAnsi="宋体"/>
          <w:color w:val="auto"/>
          <w:szCs w:val="21"/>
          <w:highlight w:val="none"/>
        </w:rPr>
      </w:pPr>
      <w:r>
        <w:rPr>
          <w:rFonts w:hint="eastAsia" w:ascii="宋体" w:hAnsi="宋体"/>
          <w:color w:val="auto"/>
          <w:szCs w:val="21"/>
          <w:highlight w:val="none"/>
        </w:rPr>
        <w:t xml:space="preserve">我方承诺，与买方聘请的为此项目提供咨询服务的公司及任何附属机构均无关联，我方不是买方的附属机构。 </w:t>
      </w:r>
    </w:p>
    <w:p w14:paraId="18128D2D">
      <w:pPr>
        <w:widowControl w:val="0"/>
        <w:numPr>
          <w:ilvl w:val="0"/>
          <w:numId w:val="11"/>
        </w:numPr>
        <w:adjustRightInd/>
        <w:snapToGrid/>
        <w:jc w:val="both"/>
        <w:rPr>
          <w:rFonts w:ascii="宋体" w:hAnsi="宋体"/>
          <w:color w:val="auto"/>
          <w:szCs w:val="21"/>
          <w:highlight w:val="none"/>
        </w:rPr>
      </w:pPr>
      <w:r>
        <w:rPr>
          <w:rFonts w:hint="eastAsia" w:ascii="宋体" w:hAnsi="宋体"/>
          <w:color w:val="auto"/>
          <w:szCs w:val="21"/>
          <w:highlight w:val="none"/>
        </w:rPr>
        <w:t>我方承诺，我方具备投标人邀请中所要求的资格条件，已清楚采购文件所有要求及有关规定；并承诺参加本次采购活动中，如有违法、违规、弄虚作假行为，所造成的损失、不良后果及法律责任，一律由我方承担；</w:t>
      </w:r>
    </w:p>
    <w:p w14:paraId="6B04333D">
      <w:pPr>
        <w:widowControl w:val="0"/>
        <w:numPr>
          <w:ilvl w:val="0"/>
          <w:numId w:val="11"/>
        </w:numPr>
        <w:adjustRightInd/>
        <w:snapToGrid/>
        <w:jc w:val="both"/>
        <w:rPr>
          <w:rFonts w:ascii="宋体" w:hAnsi="宋体"/>
          <w:color w:val="auto"/>
          <w:szCs w:val="21"/>
          <w:highlight w:val="none"/>
        </w:rPr>
      </w:pPr>
      <w:r>
        <w:rPr>
          <w:rFonts w:hint="eastAsia" w:ascii="宋体" w:hAnsi="宋体"/>
          <w:color w:val="auto"/>
          <w:szCs w:val="21"/>
          <w:highlight w:val="none"/>
        </w:rPr>
        <w:t>我方同意提供按照贵方可能要求的与其投标有关的一切数据或资料。</w:t>
      </w:r>
    </w:p>
    <w:p w14:paraId="12D89395">
      <w:pPr>
        <w:widowControl w:val="0"/>
        <w:numPr>
          <w:ilvl w:val="0"/>
          <w:numId w:val="11"/>
        </w:numPr>
        <w:adjustRightInd/>
        <w:snapToGrid/>
        <w:jc w:val="both"/>
        <w:rPr>
          <w:rFonts w:ascii="宋体" w:hAnsi="宋体"/>
          <w:color w:val="auto"/>
          <w:szCs w:val="21"/>
          <w:highlight w:val="none"/>
        </w:rPr>
      </w:pPr>
      <w:r>
        <w:rPr>
          <w:rFonts w:hint="eastAsia" w:ascii="宋体" w:hAnsi="宋体"/>
          <w:color w:val="auto"/>
          <w:szCs w:val="21"/>
          <w:highlight w:val="none"/>
        </w:rPr>
        <w:t>与本投标有关的一切正式信函请寄：</w:t>
      </w:r>
    </w:p>
    <w:p w14:paraId="7A624135">
      <w:pPr>
        <w:rPr>
          <w:rFonts w:ascii="宋体" w:hAnsi="宋体"/>
          <w:color w:val="auto"/>
          <w:szCs w:val="21"/>
          <w:highlight w:val="none"/>
        </w:rPr>
      </w:pPr>
      <w:r>
        <w:rPr>
          <w:rFonts w:hint="eastAsia" w:ascii="宋体" w:hAnsi="宋体"/>
          <w:color w:val="auto"/>
          <w:szCs w:val="21"/>
          <w:highlight w:val="none"/>
        </w:rPr>
        <w:t>地址：　　　　　　　　　　　　　　　　　　　 电子邮箱：</w:t>
      </w:r>
    </w:p>
    <w:p w14:paraId="69970AE4">
      <w:pPr>
        <w:rPr>
          <w:rFonts w:ascii="宋体" w:hAnsi="宋体"/>
          <w:color w:val="auto"/>
          <w:szCs w:val="21"/>
          <w:highlight w:val="none"/>
        </w:rPr>
      </w:pPr>
      <w:r>
        <w:rPr>
          <w:rFonts w:hint="eastAsia" w:ascii="宋体" w:hAnsi="宋体"/>
          <w:color w:val="auto"/>
          <w:szCs w:val="21"/>
          <w:highlight w:val="none"/>
        </w:rPr>
        <w:t>电话/移动电话：　　　　　　　　　　　　　　　</w:t>
      </w:r>
    </w:p>
    <w:p w14:paraId="30A729C6">
      <w:pPr>
        <w:rPr>
          <w:rFonts w:ascii="宋体" w:hAnsi="宋体"/>
          <w:color w:val="auto"/>
          <w:szCs w:val="21"/>
          <w:highlight w:val="none"/>
        </w:rPr>
      </w:pPr>
      <w:r>
        <w:rPr>
          <w:rFonts w:hint="eastAsia" w:ascii="宋体" w:hAnsi="宋体"/>
          <w:color w:val="auto"/>
          <w:szCs w:val="21"/>
          <w:highlight w:val="none"/>
        </w:rPr>
        <w:t xml:space="preserve">投标人法定代表人（或其授权代表）签字： </w:t>
      </w:r>
    </w:p>
    <w:p w14:paraId="365ECBDB">
      <w:pPr>
        <w:rPr>
          <w:rFonts w:ascii="宋体" w:hAnsi="宋体"/>
          <w:color w:val="auto"/>
          <w:szCs w:val="21"/>
          <w:highlight w:val="none"/>
        </w:rPr>
      </w:pPr>
      <w:r>
        <w:rPr>
          <w:rFonts w:hint="eastAsia" w:ascii="宋体" w:hAnsi="宋体"/>
          <w:color w:val="auto"/>
          <w:szCs w:val="21"/>
          <w:highlight w:val="none"/>
        </w:rPr>
        <w:t xml:space="preserve">投标人名称（全称）： </w:t>
      </w:r>
    </w:p>
    <w:p w14:paraId="0F031A5E">
      <w:pPr>
        <w:rPr>
          <w:rFonts w:ascii="宋体" w:hAnsi="宋体"/>
          <w:color w:val="auto"/>
          <w:szCs w:val="21"/>
          <w:highlight w:val="none"/>
        </w:rPr>
      </w:pPr>
      <w:r>
        <w:rPr>
          <w:rFonts w:hint="eastAsia" w:ascii="宋体" w:hAnsi="宋体"/>
          <w:color w:val="auto"/>
          <w:szCs w:val="21"/>
          <w:highlight w:val="none"/>
        </w:rPr>
        <w:t xml:space="preserve">投标人盖章： </w:t>
      </w:r>
    </w:p>
    <w:p w14:paraId="3EE00456">
      <w:pPr>
        <w:rPr>
          <w:color w:val="auto"/>
          <w:highlight w:val="none"/>
        </w:rPr>
      </w:pPr>
      <w:r>
        <w:rPr>
          <w:rFonts w:hint="eastAsia" w:ascii="宋体" w:hAnsi="宋体"/>
          <w:color w:val="auto"/>
          <w:szCs w:val="21"/>
          <w:highlight w:val="none"/>
        </w:rPr>
        <w:t>日期：</w:t>
      </w:r>
      <w:r>
        <w:rPr>
          <w:color w:val="auto"/>
          <w:highlight w:val="none"/>
        </w:rPr>
        <w:br w:type="page"/>
      </w:r>
    </w:p>
    <w:p w14:paraId="24E1A032">
      <w:pPr>
        <w:pStyle w:val="6"/>
        <w:widowControl w:val="0"/>
        <w:overflowPunct w:val="0"/>
        <w:spacing w:line="240" w:lineRule="auto"/>
        <w:rPr>
          <w:rFonts w:ascii="宋体" w:hAnsi="宋体"/>
          <w:color w:val="auto"/>
          <w:sz w:val="21"/>
          <w:szCs w:val="21"/>
          <w:highlight w:val="none"/>
        </w:rPr>
      </w:pPr>
      <w:bookmarkStart w:id="478" w:name="_Toc13039"/>
      <w:r>
        <w:rPr>
          <w:rFonts w:hint="eastAsia" w:ascii="宋体" w:hAnsi="宋体"/>
          <w:color w:val="auto"/>
          <w:sz w:val="21"/>
          <w:szCs w:val="21"/>
          <w:highlight w:val="none"/>
        </w:rPr>
        <w:t>附件5. 法定代表人证明书格式</w:t>
      </w:r>
      <w:bookmarkEnd w:id="478"/>
    </w:p>
    <w:p w14:paraId="51235E31">
      <w:pPr>
        <w:rPr>
          <w:color w:val="auto"/>
          <w:highlight w:val="none"/>
        </w:rPr>
      </w:pPr>
    </w:p>
    <w:p w14:paraId="767A5292">
      <w:pPr>
        <w:jc w:val="center"/>
        <w:rPr>
          <w:rFonts w:ascii="黑体" w:eastAsia="黑体"/>
          <w:color w:val="auto"/>
          <w:sz w:val="28"/>
          <w:szCs w:val="28"/>
          <w:highlight w:val="none"/>
        </w:rPr>
      </w:pPr>
      <w:r>
        <w:rPr>
          <w:rFonts w:hint="eastAsia" w:ascii="黑体" w:eastAsia="黑体"/>
          <w:color w:val="auto"/>
          <w:sz w:val="28"/>
          <w:szCs w:val="28"/>
          <w:highlight w:val="none"/>
        </w:rPr>
        <w:t>法定代表人证明书</w:t>
      </w:r>
    </w:p>
    <w:p w14:paraId="7385145C">
      <w:pPr>
        <w:pStyle w:val="44"/>
        <w:spacing w:line="420" w:lineRule="atLeast"/>
        <w:ind w:firstLine="0" w:firstLineChars="0"/>
        <w:rPr>
          <w:rFonts w:ascii="宋体" w:eastAsia="宋体"/>
          <w:color w:val="auto"/>
          <w:sz w:val="21"/>
          <w:szCs w:val="21"/>
          <w:highlight w:val="none"/>
        </w:rPr>
      </w:pPr>
      <w:r>
        <w:rPr>
          <w:rFonts w:hint="eastAsia" w:ascii="宋体" w:eastAsia="宋体"/>
          <w:color w:val="auto"/>
          <w:sz w:val="21"/>
          <w:szCs w:val="21"/>
          <w:highlight w:val="none"/>
        </w:rPr>
        <w:t>致：xxx公司</w:t>
      </w:r>
    </w:p>
    <w:p w14:paraId="4C45C384">
      <w:pPr>
        <w:pStyle w:val="44"/>
        <w:spacing w:line="420" w:lineRule="atLeast"/>
        <w:ind w:firstLine="433"/>
        <w:rPr>
          <w:rFonts w:ascii="宋体" w:eastAsia="宋体"/>
          <w:color w:val="auto"/>
          <w:sz w:val="21"/>
          <w:szCs w:val="21"/>
          <w:highlight w:val="none"/>
        </w:rPr>
      </w:pPr>
    </w:p>
    <w:p w14:paraId="07B32BAA">
      <w:pPr>
        <w:pStyle w:val="44"/>
        <w:spacing w:line="420" w:lineRule="atLeast"/>
        <w:ind w:firstLine="433"/>
        <w:rPr>
          <w:rFonts w:ascii="宋体" w:eastAsia="宋体"/>
          <w:color w:val="auto"/>
          <w:sz w:val="21"/>
          <w:szCs w:val="21"/>
          <w:highlight w:val="none"/>
          <w:u w:val="single"/>
        </w:rPr>
      </w:pPr>
      <w:r>
        <w:rPr>
          <w:rFonts w:hint="eastAsia" w:ascii="宋体" w:eastAsia="宋体"/>
          <w:color w:val="auto"/>
          <w:sz w:val="21"/>
          <w:szCs w:val="21"/>
          <w:highlight w:val="none"/>
        </w:rPr>
        <w:t>投标人名称:</w:t>
      </w:r>
    </w:p>
    <w:p w14:paraId="141339D8">
      <w:pPr>
        <w:pStyle w:val="44"/>
        <w:spacing w:line="420" w:lineRule="atLeast"/>
        <w:ind w:firstLine="433"/>
        <w:rPr>
          <w:rFonts w:ascii="宋体" w:eastAsia="宋体"/>
          <w:color w:val="auto"/>
          <w:sz w:val="21"/>
          <w:szCs w:val="21"/>
          <w:highlight w:val="none"/>
          <w:u w:val="single"/>
        </w:rPr>
      </w:pPr>
      <w:r>
        <w:rPr>
          <w:rFonts w:hint="eastAsia" w:ascii="宋体" w:eastAsia="宋体"/>
          <w:color w:val="auto"/>
          <w:sz w:val="21"/>
          <w:szCs w:val="21"/>
          <w:highlight w:val="none"/>
        </w:rPr>
        <w:t>单 位 性质：</w:t>
      </w:r>
    </w:p>
    <w:p w14:paraId="4E6AC434">
      <w:pPr>
        <w:pStyle w:val="44"/>
        <w:spacing w:line="420" w:lineRule="atLeast"/>
        <w:ind w:firstLine="433"/>
        <w:rPr>
          <w:rFonts w:ascii="宋体" w:eastAsia="宋体"/>
          <w:color w:val="auto"/>
          <w:sz w:val="21"/>
          <w:szCs w:val="21"/>
          <w:highlight w:val="none"/>
          <w:u w:val="single"/>
        </w:rPr>
      </w:pPr>
      <w:r>
        <w:rPr>
          <w:rFonts w:hint="eastAsia" w:ascii="宋体" w:eastAsia="宋体"/>
          <w:color w:val="auto"/>
          <w:sz w:val="21"/>
          <w:szCs w:val="21"/>
          <w:highlight w:val="none"/>
        </w:rPr>
        <w:t>地      址：</w:t>
      </w:r>
    </w:p>
    <w:p w14:paraId="2B645FBC">
      <w:pPr>
        <w:pStyle w:val="44"/>
        <w:spacing w:line="420" w:lineRule="atLeast"/>
        <w:ind w:firstLine="433"/>
        <w:rPr>
          <w:rFonts w:ascii="宋体" w:eastAsia="宋体"/>
          <w:color w:val="auto"/>
          <w:sz w:val="21"/>
          <w:szCs w:val="21"/>
          <w:highlight w:val="none"/>
        </w:rPr>
      </w:pPr>
      <w:r>
        <w:rPr>
          <w:rFonts w:hint="eastAsia" w:ascii="宋体" w:eastAsia="宋体"/>
          <w:color w:val="auto"/>
          <w:sz w:val="21"/>
          <w:szCs w:val="21"/>
          <w:highlight w:val="none"/>
        </w:rPr>
        <w:t>成 立 时间：年月日</w:t>
      </w:r>
    </w:p>
    <w:p w14:paraId="4F468D25">
      <w:pPr>
        <w:pStyle w:val="44"/>
        <w:spacing w:line="420" w:lineRule="atLeast"/>
        <w:ind w:firstLine="433"/>
        <w:rPr>
          <w:rFonts w:ascii="宋体" w:eastAsia="宋体"/>
          <w:color w:val="auto"/>
          <w:sz w:val="21"/>
          <w:szCs w:val="21"/>
          <w:highlight w:val="none"/>
        </w:rPr>
      </w:pPr>
      <w:r>
        <w:rPr>
          <w:rFonts w:hint="eastAsia" w:ascii="宋体" w:eastAsia="宋体"/>
          <w:color w:val="auto"/>
          <w:sz w:val="21"/>
          <w:szCs w:val="21"/>
          <w:highlight w:val="none"/>
        </w:rPr>
        <w:t>经 营 期限：</w:t>
      </w:r>
    </w:p>
    <w:p w14:paraId="2D139F57">
      <w:pPr>
        <w:pStyle w:val="44"/>
        <w:spacing w:line="420" w:lineRule="atLeast"/>
        <w:ind w:firstLine="433"/>
        <w:rPr>
          <w:rFonts w:ascii="宋体" w:eastAsia="宋体"/>
          <w:color w:val="auto"/>
          <w:sz w:val="21"/>
          <w:szCs w:val="21"/>
          <w:highlight w:val="none"/>
        </w:rPr>
      </w:pPr>
      <w:r>
        <w:rPr>
          <w:rFonts w:hint="eastAsia" w:ascii="宋体" w:eastAsia="宋体"/>
          <w:color w:val="auto"/>
          <w:sz w:val="21"/>
          <w:szCs w:val="21"/>
          <w:highlight w:val="none"/>
        </w:rPr>
        <w:t>姓名：性别：年龄：职务：</w:t>
      </w:r>
    </w:p>
    <w:p w14:paraId="3E359188">
      <w:pPr>
        <w:pStyle w:val="44"/>
        <w:spacing w:line="420" w:lineRule="atLeast"/>
        <w:ind w:firstLine="433"/>
        <w:rPr>
          <w:rFonts w:ascii="宋体" w:eastAsia="宋体"/>
          <w:color w:val="auto"/>
          <w:sz w:val="21"/>
          <w:szCs w:val="21"/>
          <w:highlight w:val="none"/>
        </w:rPr>
      </w:pPr>
      <w:r>
        <w:rPr>
          <w:rFonts w:hint="eastAsia" w:ascii="宋体" w:eastAsia="宋体"/>
          <w:color w:val="auto"/>
          <w:sz w:val="21"/>
          <w:szCs w:val="21"/>
          <w:highlight w:val="none"/>
        </w:rPr>
        <w:t>系（投标人名称）的法定代表人。</w:t>
      </w:r>
    </w:p>
    <w:p w14:paraId="4C8F5877">
      <w:pPr>
        <w:spacing w:line="420" w:lineRule="atLeast"/>
        <w:ind w:firstLine="420" w:firstLineChars="200"/>
        <w:rPr>
          <w:rFonts w:ascii="宋体" w:hAnsi="宋体"/>
          <w:color w:val="auto"/>
          <w:szCs w:val="21"/>
          <w:highlight w:val="none"/>
        </w:rPr>
      </w:pPr>
      <w:r>
        <w:rPr>
          <w:rFonts w:hint="eastAsia" w:ascii="宋体" w:hAnsi="宋体"/>
          <w:color w:val="auto"/>
          <w:szCs w:val="21"/>
          <w:highlight w:val="none"/>
        </w:rPr>
        <w:t>特此证明。</w:t>
      </w:r>
    </w:p>
    <w:p w14:paraId="18DA1D0E">
      <w:pPr>
        <w:pStyle w:val="44"/>
        <w:spacing w:line="500" w:lineRule="atLeast"/>
        <w:ind w:firstLine="3517" w:firstLineChars="1675"/>
        <w:rPr>
          <w:rFonts w:ascii="宋体" w:eastAsia="宋体"/>
          <w:color w:val="auto"/>
          <w:sz w:val="21"/>
          <w:szCs w:val="21"/>
          <w:highlight w:val="none"/>
        </w:rPr>
      </w:pPr>
    </w:p>
    <w:p w14:paraId="410F28A8">
      <w:pPr>
        <w:pStyle w:val="44"/>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投标人名称（加盖公章）：</w:t>
      </w:r>
    </w:p>
    <w:p w14:paraId="5B30ECFE">
      <w:pPr>
        <w:pStyle w:val="44"/>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法定代表人（签名或盖私章）：</w:t>
      </w:r>
    </w:p>
    <w:p w14:paraId="69F64F55">
      <w:pPr>
        <w:pStyle w:val="44"/>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法定代表人联系方式：</w:t>
      </w:r>
    </w:p>
    <w:p w14:paraId="67C7DBBD">
      <w:pPr>
        <w:pStyle w:val="44"/>
        <w:spacing w:line="500" w:lineRule="atLeast"/>
        <w:ind w:firstLine="3517" w:firstLineChars="1675"/>
        <w:rPr>
          <w:rFonts w:ascii="宋体" w:eastAsia="宋体"/>
          <w:color w:val="auto"/>
          <w:sz w:val="21"/>
          <w:szCs w:val="21"/>
          <w:highlight w:val="none"/>
          <w:u w:val="single"/>
        </w:rPr>
      </w:pPr>
      <w:r>
        <w:rPr>
          <w:rFonts w:hint="eastAsia" w:ascii="宋体" w:eastAsia="宋体"/>
          <w:color w:val="auto"/>
          <w:sz w:val="21"/>
          <w:szCs w:val="21"/>
          <w:highlight w:val="none"/>
        </w:rPr>
        <w:t>身份证号码：</w:t>
      </w:r>
    </w:p>
    <w:p w14:paraId="493ED78A">
      <w:pPr>
        <w:pStyle w:val="44"/>
        <w:spacing w:line="500" w:lineRule="atLeast"/>
        <w:ind w:firstLine="3507" w:firstLineChars="1670"/>
        <w:rPr>
          <w:rFonts w:ascii="宋体" w:eastAsia="宋体"/>
          <w:color w:val="auto"/>
          <w:sz w:val="21"/>
          <w:szCs w:val="21"/>
          <w:highlight w:val="none"/>
        </w:rPr>
      </w:pPr>
      <w:r>
        <w:rPr>
          <w:rFonts w:hint="eastAsia" w:ascii="宋体" w:eastAsia="宋体"/>
          <w:color w:val="auto"/>
          <w:sz w:val="21"/>
          <w:szCs w:val="21"/>
          <w:highlight w:val="none"/>
        </w:rPr>
        <w:t>日     期：  年  月  日</w:t>
      </w:r>
    </w:p>
    <w:p w14:paraId="49D68434">
      <w:pPr>
        <w:ind w:firstLine="420" w:firstLineChars="200"/>
        <w:rPr>
          <w:rFonts w:ascii="宋体" w:hAnsi="宋体"/>
          <w:color w:val="auto"/>
          <w:szCs w:val="21"/>
          <w:highlight w:val="none"/>
        </w:rPr>
      </w:pPr>
    </w:p>
    <w:p w14:paraId="285A7E81">
      <w:pPr>
        <w:ind w:firstLine="420" w:firstLineChars="200"/>
        <w:rPr>
          <w:rFonts w:ascii="宋体" w:hAnsi="宋体"/>
          <w:color w:val="auto"/>
          <w:szCs w:val="21"/>
          <w:highlight w:val="none"/>
        </w:rPr>
      </w:pPr>
      <w:r>
        <w:rPr>
          <w:rFonts w:hint="eastAsia" w:ascii="宋体" w:hAnsi="宋体"/>
          <w:color w:val="auto"/>
          <w:szCs w:val="21"/>
          <w:highlight w:val="none"/>
        </w:rPr>
        <w:t>注：法定代表人身份证明书需附法人代表身份证复印件。</w:t>
      </w:r>
    </w:p>
    <w:tbl>
      <w:tblPr>
        <w:tblStyle w:val="30"/>
        <w:tblW w:w="8364" w:type="dxa"/>
        <w:jc w:val="center"/>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Layout w:type="fixed"/>
        <w:tblCellMar>
          <w:top w:w="0" w:type="dxa"/>
          <w:left w:w="108" w:type="dxa"/>
          <w:bottom w:w="0" w:type="dxa"/>
          <w:right w:w="108" w:type="dxa"/>
        </w:tblCellMar>
      </w:tblPr>
      <w:tblGrid>
        <w:gridCol w:w="4182"/>
        <w:gridCol w:w="4182"/>
      </w:tblGrid>
      <w:tr w14:paraId="114494AB">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2517" w:hRule="atLeast"/>
          <w:jc w:val="center"/>
        </w:trPr>
        <w:tc>
          <w:tcPr>
            <w:tcW w:w="4182" w:type="dxa"/>
            <w:vAlign w:val="center"/>
          </w:tcPr>
          <w:p w14:paraId="39F205DD">
            <w:pPr>
              <w:pStyle w:val="44"/>
              <w:spacing w:line="460" w:lineRule="exact"/>
              <w:ind w:firstLine="0" w:firstLineChars="0"/>
              <w:jc w:val="center"/>
              <w:rPr>
                <w:rFonts w:ascii="宋体" w:eastAsia="宋体"/>
                <w:color w:val="auto"/>
                <w:sz w:val="22"/>
                <w:highlight w:val="none"/>
              </w:rPr>
            </w:pPr>
            <w:r>
              <w:rPr>
                <w:rFonts w:hint="eastAsia" w:ascii="宋体" w:eastAsia="宋体"/>
                <w:color w:val="auto"/>
                <w:sz w:val="22"/>
                <w:highlight w:val="none"/>
              </w:rPr>
              <w:t>正面</w:t>
            </w:r>
          </w:p>
        </w:tc>
        <w:tc>
          <w:tcPr>
            <w:tcW w:w="4182" w:type="dxa"/>
            <w:vAlign w:val="center"/>
          </w:tcPr>
          <w:p w14:paraId="6D8385DB">
            <w:pPr>
              <w:pStyle w:val="44"/>
              <w:spacing w:line="460" w:lineRule="exact"/>
              <w:ind w:firstLine="0" w:firstLineChars="0"/>
              <w:jc w:val="center"/>
              <w:rPr>
                <w:rFonts w:ascii="宋体" w:eastAsia="宋体"/>
                <w:color w:val="auto"/>
                <w:sz w:val="22"/>
                <w:highlight w:val="none"/>
              </w:rPr>
            </w:pPr>
            <w:r>
              <w:rPr>
                <w:rFonts w:hint="eastAsia" w:ascii="宋体" w:eastAsia="宋体"/>
                <w:color w:val="auto"/>
                <w:sz w:val="22"/>
                <w:highlight w:val="none"/>
              </w:rPr>
              <w:t>背面</w:t>
            </w:r>
          </w:p>
        </w:tc>
      </w:tr>
    </w:tbl>
    <w:p w14:paraId="62D5FEDE">
      <w:pPr>
        <w:rPr>
          <w:color w:val="auto"/>
          <w:highlight w:val="none"/>
        </w:rPr>
      </w:pPr>
    </w:p>
    <w:p w14:paraId="1E94DD67">
      <w:pPr>
        <w:adjustRightInd/>
        <w:snapToGrid/>
        <w:spacing w:line="276" w:lineRule="auto"/>
        <w:rPr>
          <w:rFonts w:ascii="楷体_GB2312" w:eastAsia="楷体_GB2312" w:hAnsiTheme="majorHAnsi" w:cstheme="majorBidi"/>
          <w:b/>
          <w:bCs/>
          <w:color w:val="auto"/>
          <w:sz w:val="24"/>
          <w:szCs w:val="28"/>
          <w:highlight w:val="none"/>
        </w:rPr>
      </w:pPr>
      <w:r>
        <w:rPr>
          <w:rFonts w:ascii="楷体_GB2312" w:eastAsia="楷体_GB2312"/>
          <w:color w:val="auto"/>
          <w:sz w:val="24"/>
          <w:highlight w:val="none"/>
        </w:rPr>
        <w:br w:type="page"/>
      </w:r>
    </w:p>
    <w:p w14:paraId="53DE3F35">
      <w:pPr>
        <w:pStyle w:val="6"/>
        <w:widowControl w:val="0"/>
        <w:overflowPunct w:val="0"/>
        <w:spacing w:line="240" w:lineRule="auto"/>
        <w:rPr>
          <w:color w:val="auto"/>
          <w:highlight w:val="none"/>
        </w:rPr>
      </w:pPr>
      <w:bookmarkStart w:id="479" w:name="_Toc28322"/>
      <w:r>
        <w:rPr>
          <w:rFonts w:hint="eastAsia" w:ascii="宋体" w:hAnsi="宋体"/>
          <w:color w:val="auto"/>
          <w:sz w:val="21"/>
          <w:szCs w:val="21"/>
          <w:highlight w:val="none"/>
        </w:rPr>
        <w:t>附件6.法定代表人授权书格式</w:t>
      </w:r>
      <w:bookmarkEnd w:id="479"/>
    </w:p>
    <w:p w14:paraId="08EBCD16">
      <w:pPr>
        <w:rPr>
          <w:color w:val="auto"/>
          <w:highlight w:val="none"/>
        </w:rPr>
      </w:pPr>
    </w:p>
    <w:p w14:paraId="1466DD40">
      <w:pPr>
        <w:jc w:val="center"/>
        <w:rPr>
          <w:rFonts w:ascii="黑体" w:eastAsia="黑体"/>
          <w:color w:val="auto"/>
          <w:sz w:val="28"/>
          <w:szCs w:val="28"/>
          <w:highlight w:val="none"/>
        </w:rPr>
      </w:pPr>
      <w:r>
        <w:rPr>
          <w:rFonts w:hint="eastAsia" w:ascii="黑体" w:eastAsia="黑体"/>
          <w:color w:val="auto"/>
          <w:sz w:val="28"/>
          <w:szCs w:val="28"/>
          <w:highlight w:val="none"/>
        </w:rPr>
        <w:t>法定代表人授权书</w:t>
      </w:r>
    </w:p>
    <w:p w14:paraId="384E275A">
      <w:pPr>
        <w:pStyle w:val="44"/>
        <w:spacing w:line="420" w:lineRule="atLeast"/>
        <w:ind w:firstLine="0" w:firstLineChars="0"/>
        <w:rPr>
          <w:rFonts w:ascii="宋体" w:eastAsia="宋体"/>
          <w:color w:val="auto"/>
          <w:sz w:val="21"/>
          <w:szCs w:val="21"/>
          <w:highlight w:val="none"/>
        </w:rPr>
      </w:pPr>
      <w:r>
        <w:rPr>
          <w:rFonts w:hint="eastAsia" w:ascii="宋体" w:eastAsia="宋体"/>
          <w:color w:val="auto"/>
          <w:sz w:val="21"/>
          <w:szCs w:val="21"/>
          <w:highlight w:val="none"/>
        </w:rPr>
        <w:t>致：xxx公司</w:t>
      </w:r>
    </w:p>
    <w:p w14:paraId="2AC3BE83">
      <w:pPr>
        <w:pStyle w:val="44"/>
        <w:spacing w:line="420" w:lineRule="atLeast"/>
        <w:ind w:firstLine="433"/>
        <w:rPr>
          <w:rFonts w:ascii="宋体" w:eastAsia="宋体"/>
          <w:color w:val="auto"/>
          <w:sz w:val="21"/>
          <w:szCs w:val="21"/>
          <w:highlight w:val="none"/>
        </w:rPr>
      </w:pPr>
    </w:p>
    <w:p w14:paraId="2E0E6677">
      <w:pPr>
        <w:ind w:firstLine="420" w:firstLineChars="200"/>
        <w:rPr>
          <w:rFonts w:ascii="宋体" w:hAnsi="宋体" w:cs="Times New Roman"/>
          <w:color w:val="auto"/>
          <w:szCs w:val="21"/>
          <w:highlight w:val="none"/>
        </w:rPr>
      </w:pPr>
      <w:r>
        <w:rPr>
          <w:rFonts w:hint="eastAsia" w:ascii="宋体" w:hAnsi="宋体" w:cs="Times New Roman"/>
          <w:color w:val="auto"/>
          <w:szCs w:val="21"/>
          <w:highlight w:val="none"/>
        </w:rPr>
        <w:t>本授权书声明：注册于</w:t>
      </w:r>
      <w:r>
        <w:rPr>
          <w:rFonts w:hint="eastAsia" w:ascii="宋体" w:hAnsi="宋体" w:cs="Times New Roman"/>
          <w:color w:val="auto"/>
          <w:szCs w:val="21"/>
          <w:highlight w:val="none"/>
          <w:u w:val="single"/>
        </w:rPr>
        <w:t>（国家或地区的名称）</w:t>
      </w:r>
      <w:r>
        <w:rPr>
          <w:rFonts w:hint="eastAsia" w:ascii="宋体" w:hAnsi="宋体" w:cs="Times New Roman"/>
          <w:color w:val="auto"/>
          <w:szCs w:val="21"/>
          <w:highlight w:val="none"/>
        </w:rPr>
        <w:t>的</w:t>
      </w:r>
      <w:r>
        <w:rPr>
          <w:rFonts w:hint="eastAsia" w:ascii="宋体" w:hAnsi="宋体" w:cs="Times New Roman"/>
          <w:color w:val="auto"/>
          <w:szCs w:val="21"/>
          <w:highlight w:val="none"/>
          <w:u w:val="single"/>
        </w:rPr>
        <w:t>（单位名称）</w:t>
      </w:r>
      <w:r>
        <w:rPr>
          <w:rFonts w:hint="eastAsia" w:ascii="宋体" w:hAnsi="宋体" w:cs="Times New Roman"/>
          <w:color w:val="auto"/>
          <w:szCs w:val="21"/>
          <w:highlight w:val="none"/>
        </w:rPr>
        <w:t>的在下面签字的</w:t>
      </w:r>
      <w:r>
        <w:rPr>
          <w:rFonts w:hint="eastAsia" w:ascii="宋体" w:hAnsi="宋体" w:cs="Times New Roman"/>
          <w:color w:val="auto"/>
          <w:szCs w:val="21"/>
          <w:highlight w:val="none"/>
          <w:u w:val="single"/>
        </w:rPr>
        <w:t>（法定代表人姓名、职务）</w:t>
      </w:r>
      <w:r>
        <w:rPr>
          <w:rFonts w:hint="eastAsia" w:ascii="宋体" w:hAnsi="宋体" w:cs="Times New Roman"/>
          <w:color w:val="auto"/>
          <w:szCs w:val="21"/>
          <w:highlight w:val="none"/>
        </w:rPr>
        <w:t>代表本单位授权</w:t>
      </w:r>
      <w:r>
        <w:rPr>
          <w:rFonts w:hint="eastAsia" w:ascii="宋体" w:hAnsi="宋体" w:cs="Times New Roman"/>
          <w:color w:val="auto"/>
          <w:szCs w:val="21"/>
          <w:highlight w:val="none"/>
          <w:u w:val="single"/>
        </w:rPr>
        <w:t>（单位名称）</w:t>
      </w:r>
      <w:r>
        <w:rPr>
          <w:rFonts w:hint="eastAsia" w:ascii="宋体" w:hAnsi="宋体" w:cs="Times New Roman"/>
          <w:color w:val="auto"/>
          <w:szCs w:val="21"/>
          <w:highlight w:val="none"/>
        </w:rPr>
        <w:t>的在下面签字的</w:t>
      </w:r>
      <w:r>
        <w:rPr>
          <w:rFonts w:hint="eastAsia" w:ascii="宋体" w:hAnsi="宋体" w:cs="Times New Roman"/>
          <w:color w:val="auto"/>
          <w:szCs w:val="21"/>
          <w:highlight w:val="none"/>
          <w:u w:val="single"/>
        </w:rPr>
        <w:t>（被授权人的姓名、职务）</w:t>
      </w:r>
      <w:r>
        <w:rPr>
          <w:rFonts w:hint="eastAsia" w:ascii="宋体" w:hAnsi="宋体" w:cs="Times New Roman"/>
          <w:color w:val="auto"/>
          <w:szCs w:val="21"/>
          <w:highlight w:val="none"/>
        </w:rPr>
        <w:t>为本单位的合法代理人，就</w:t>
      </w:r>
      <w:r>
        <w:rPr>
          <w:rFonts w:hint="eastAsia" w:ascii="宋体" w:hAnsi="宋体" w:cs="Times New Roman"/>
          <w:color w:val="auto"/>
          <w:szCs w:val="21"/>
          <w:highlight w:val="none"/>
          <w:u w:val="single"/>
        </w:rPr>
        <w:t>（项目名称）</w:t>
      </w:r>
      <w:r>
        <w:rPr>
          <w:rFonts w:hint="eastAsia" w:ascii="宋体" w:hAnsi="宋体" w:cs="Times New Roman"/>
          <w:color w:val="auto"/>
          <w:szCs w:val="21"/>
          <w:highlight w:val="none"/>
        </w:rPr>
        <w:t>投标及参加项目谈判，以本单位名义处理一切与之有关的事务。</w:t>
      </w:r>
    </w:p>
    <w:p w14:paraId="2AAD7CD4">
      <w:pPr>
        <w:ind w:firstLine="315" w:firstLineChars="150"/>
        <w:rPr>
          <w:rFonts w:ascii="宋体" w:hAnsi="宋体" w:cs="Times New Roman"/>
          <w:color w:val="auto"/>
          <w:szCs w:val="21"/>
          <w:highlight w:val="none"/>
        </w:rPr>
      </w:pPr>
      <w:r>
        <w:rPr>
          <w:rFonts w:hint="eastAsia" w:ascii="宋体" w:hAnsi="宋体" w:cs="Times New Roman"/>
          <w:color w:val="auto"/>
          <w:szCs w:val="21"/>
          <w:highlight w:val="none"/>
        </w:rPr>
        <w:t>本授权书于</w:t>
      </w:r>
      <w:r>
        <w:rPr>
          <w:rFonts w:hint="eastAsia" w:ascii="宋体" w:hAnsi="宋体" w:cs="Times New Roman"/>
          <w:color w:val="auto"/>
          <w:szCs w:val="21"/>
          <w:highlight w:val="none"/>
          <w:u w:val="single"/>
        </w:rPr>
        <w:t>　　</w:t>
      </w:r>
      <w:r>
        <w:rPr>
          <w:rFonts w:hint="eastAsia" w:ascii="宋体" w:hAnsi="宋体" w:cs="Times New Roman"/>
          <w:color w:val="auto"/>
          <w:szCs w:val="21"/>
          <w:highlight w:val="none"/>
        </w:rPr>
        <w:t>年</w:t>
      </w:r>
      <w:r>
        <w:rPr>
          <w:rFonts w:hint="eastAsia" w:ascii="宋体" w:hAnsi="宋体" w:cs="Times New Roman"/>
          <w:color w:val="auto"/>
          <w:szCs w:val="21"/>
          <w:highlight w:val="none"/>
          <w:u w:val="single"/>
        </w:rPr>
        <w:t>　　</w:t>
      </w:r>
      <w:r>
        <w:rPr>
          <w:rFonts w:hint="eastAsia" w:ascii="宋体" w:hAnsi="宋体" w:cs="Times New Roman"/>
          <w:color w:val="auto"/>
          <w:szCs w:val="21"/>
          <w:highlight w:val="none"/>
        </w:rPr>
        <w:t>月</w:t>
      </w:r>
      <w:r>
        <w:rPr>
          <w:rFonts w:hint="eastAsia" w:ascii="宋体" w:hAnsi="宋体" w:cs="Times New Roman"/>
          <w:color w:val="auto"/>
          <w:szCs w:val="21"/>
          <w:highlight w:val="none"/>
          <w:u w:val="single"/>
        </w:rPr>
        <w:t>　　</w:t>
      </w:r>
      <w:r>
        <w:rPr>
          <w:rFonts w:hint="eastAsia" w:ascii="宋体" w:hAnsi="宋体" w:cs="Times New Roman"/>
          <w:color w:val="auto"/>
          <w:szCs w:val="21"/>
          <w:highlight w:val="none"/>
        </w:rPr>
        <w:t>日签字生效，特此声明。</w:t>
      </w:r>
    </w:p>
    <w:p w14:paraId="2257E23A">
      <w:pPr>
        <w:pStyle w:val="44"/>
        <w:spacing w:line="500" w:lineRule="atLeast"/>
        <w:ind w:firstLine="3517" w:firstLineChars="1675"/>
        <w:rPr>
          <w:rFonts w:ascii="宋体" w:eastAsia="宋体"/>
          <w:color w:val="auto"/>
          <w:sz w:val="21"/>
          <w:szCs w:val="21"/>
          <w:highlight w:val="none"/>
        </w:rPr>
      </w:pPr>
    </w:p>
    <w:p w14:paraId="6EE9447D">
      <w:pPr>
        <w:pStyle w:val="44"/>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投标人名称（加盖公章）：</w:t>
      </w:r>
    </w:p>
    <w:p w14:paraId="242C020F">
      <w:pPr>
        <w:pStyle w:val="44"/>
        <w:spacing w:line="500" w:lineRule="atLeast"/>
        <w:ind w:firstLine="3517" w:firstLineChars="1675"/>
        <w:rPr>
          <w:rFonts w:ascii="宋体" w:eastAsia="宋体"/>
          <w:color w:val="auto"/>
          <w:sz w:val="21"/>
          <w:szCs w:val="21"/>
          <w:highlight w:val="none"/>
          <w:u w:val="single"/>
        </w:rPr>
      </w:pPr>
      <w:r>
        <w:rPr>
          <w:rFonts w:hint="eastAsia" w:ascii="宋体" w:eastAsia="宋体"/>
          <w:color w:val="auto"/>
          <w:sz w:val="21"/>
          <w:szCs w:val="21"/>
          <w:highlight w:val="none"/>
        </w:rPr>
        <w:t>法定代表人签字（签名或盖私章）：</w:t>
      </w:r>
    </w:p>
    <w:p w14:paraId="4ECD6673">
      <w:pPr>
        <w:pStyle w:val="44"/>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被授权人签字：</w:t>
      </w:r>
    </w:p>
    <w:p w14:paraId="239BA487">
      <w:pPr>
        <w:pStyle w:val="44"/>
        <w:spacing w:line="500" w:lineRule="atLeast"/>
        <w:ind w:firstLine="3517" w:firstLineChars="1675"/>
        <w:rPr>
          <w:rFonts w:ascii="宋体" w:eastAsia="宋体"/>
          <w:color w:val="auto"/>
          <w:sz w:val="21"/>
          <w:szCs w:val="21"/>
          <w:highlight w:val="none"/>
          <w:u w:val="single"/>
        </w:rPr>
      </w:pPr>
      <w:r>
        <w:rPr>
          <w:rFonts w:hint="eastAsia" w:ascii="宋体" w:eastAsia="宋体"/>
          <w:color w:val="auto"/>
          <w:sz w:val="21"/>
          <w:szCs w:val="21"/>
          <w:highlight w:val="none"/>
        </w:rPr>
        <w:t>职务：</w:t>
      </w:r>
    </w:p>
    <w:p w14:paraId="0A194B5C">
      <w:pPr>
        <w:pStyle w:val="44"/>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 xml:space="preserve">移动电话： </w:t>
      </w:r>
    </w:p>
    <w:p w14:paraId="6DFD8BFA">
      <w:pPr>
        <w:pStyle w:val="44"/>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详细通讯地址：</w:t>
      </w:r>
    </w:p>
    <w:p w14:paraId="47354B53">
      <w:pPr>
        <w:pStyle w:val="44"/>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 xml:space="preserve">邮箱：                          </w:t>
      </w:r>
    </w:p>
    <w:p w14:paraId="5A267128">
      <w:pPr>
        <w:pStyle w:val="44"/>
        <w:spacing w:line="500" w:lineRule="atLeast"/>
        <w:ind w:firstLine="3507" w:firstLineChars="1670"/>
        <w:rPr>
          <w:rFonts w:ascii="宋体" w:eastAsia="宋体"/>
          <w:color w:val="auto"/>
          <w:sz w:val="21"/>
          <w:szCs w:val="21"/>
          <w:highlight w:val="none"/>
        </w:rPr>
      </w:pPr>
      <w:r>
        <w:rPr>
          <w:rFonts w:hint="eastAsia" w:ascii="宋体" w:eastAsia="宋体"/>
          <w:color w:val="auto"/>
          <w:sz w:val="21"/>
          <w:szCs w:val="21"/>
          <w:highlight w:val="none"/>
        </w:rPr>
        <w:t>日     期：  年  月  日</w:t>
      </w:r>
    </w:p>
    <w:p w14:paraId="0611F965">
      <w:pPr>
        <w:pStyle w:val="44"/>
        <w:spacing w:line="460" w:lineRule="exact"/>
        <w:ind w:firstLine="433"/>
        <w:rPr>
          <w:rFonts w:ascii="宋体" w:eastAsia="宋体"/>
          <w:color w:val="auto"/>
          <w:sz w:val="21"/>
          <w:szCs w:val="21"/>
          <w:highlight w:val="none"/>
        </w:rPr>
      </w:pPr>
    </w:p>
    <w:p w14:paraId="462423D1">
      <w:pPr>
        <w:ind w:firstLine="420" w:firstLineChars="200"/>
        <w:rPr>
          <w:color w:val="auto"/>
          <w:highlight w:val="none"/>
        </w:rPr>
      </w:pPr>
      <w:r>
        <w:rPr>
          <w:rFonts w:hint="eastAsia" w:ascii="宋体" w:hAnsi="宋体"/>
          <w:color w:val="auto"/>
          <w:szCs w:val="21"/>
          <w:highlight w:val="none"/>
        </w:rPr>
        <w:t>须附：被授权人身份证复印件。</w:t>
      </w:r>
    </w:p>
    <w:tbl>
      <w:tblPr>
        <w:tblStyle w:val="30"/>
        <w:tblW w:w="8464" w:type="dxa"/>
        <w:jc w:val="center"/>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Layout w:type="fixed"/>
        <w:tblCellMar>
          <w:top w:w="0" w:type="dxa"/>
          <w:left w:w="108" w:type="dxa"/>
          <w:bottom w:w="0" w:type="dxa"/>
          <w:right w:w="108" w:type="dxa"/>
        </w:tblCellMar>
      </w:tblPr>
      <w:tblGrid>
        <w:gridCol w:w="4232"/>
        <w:gridCol w:w="4232"/>
      </w:tblGrid>
      <w:tr w14:paraId="052446F1">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2661" w:hRule="atLeast"/>
          <w:jc w:val="center"/>
        </w:trPr>
        <w:tc>
          <w:tcPr>
            <w:tcW w:w="4232" w:type="dxa"/>
            <w:vAlign w:val="center"/>
          </w:tcPr>
          <w:p w14:paraId="10571D3B">
            <w:pPr>
              <w:pStyle w:val="44"/>
              <w:spacing w:line="460" w:lineRule="exact"/>
              <w:ind w:firstLine="0" w:firstLineChars="0"/>
              <w:jc w:val="center"/>
              <w:rPr>
                <w:rFonts w:ascii="宋体" w:eastAsia="宋体"/>
                <w:color w:val="auto"/>
                <w:sz w:val="22"/>
                <w:highlight w:val="none"/>
              </w:rPr>
            </w:pPr>
            <w:r>
              <w:rPr>
                <w:rFonts w:hint="eastAsia" w:ascii="宋体" w:eastAsia="宋体"/>
                <w:color w:val="auto"/>
                <w:sz w:val="22"/>
                <w:highlight w:val="none"/>
              </w:rPr>
              <w:t>正面</w:t>
            </w:r>
          </w:p>
        </w:tc>
        <w:tc>
          <w:tcPr>
            <w:tcW w:w="4232" w:type="dxa"/>
            <w:vAlign w:val="center"/>
          </w:tcPr>
          <w:p w14:paraId="149A5589">
            <w:pPr>
              <w:pStyle w:val="44"/>
              <w:spacing w:line="460" w:lineRule="exact"/>
              <w:ind w:firstLine="0" w:firstLineChars="0"/>
              <w:jc w:val="center"/>
              <w:rPr>
                <w:rFonts w:ascii="宋体" w:eastAsia="宋体"/>
                <w:color w:val="auto"/>
                <w:sz w:val="22"/>
                <w:highlight w:val="none"/>
              </w:rPr>
            </w:pPr>
            <w:r>
              <w:rPr>
                <w:rFonts w:hint="eastAsia" w:ascii="宋体" w:eastAsia="宋体"/>
                <w:color w:val="auto"/>
                <w:sz w:val="22"/>
                <w:highlight w:val="none"/>
              </w:rPr>
              <w:t>背面</w:t>
            </w:r>
          </w:p>
        </w:tc>
      </w:tr>
    </w:tbl>
    <w:p w14:paraId="3AFA51FE">
      <w:pPr>
        <w:adjustRightInd/>
        <w:snapToGrid/>
        <w:spacing w:line="276" w:lineRule="auto"/>
        <w:rPr>
          <w:color w:val="auto"/>
          <w:highlight w:val="none"/>
        </w:rPr>
      </w:pPr>
      <w:bookmarkStart w:id="480" w:name="_Toc22486"/>
      <w:r>
        <w:rPr>
          <w:rFonts w:hint="eastAsia" w:ascii="宋体" w:hAnsi="宋体"/>
          <w:color w:val="auto"/>
          <w:szCs w:val="21"/>
          <w:highlight w:val="none"/>
        </w:rPr>
        <w:br w:type="page"/>
      </w:r>
    </w:p>
    <w:p w14:paraId="1751C279">
      <w:pPr>
        <w:pStyle w:val="6"/>
        <w:widowControl w:val="0"/>
        <w:overflowPunct w:val="0"/>
        <w:spacing w:line="240" w:lineRule="auto"/>
        <w:rPr>
          <w:rFonts w:ascii="宋体" w:hAnsi="宋体"/>
          <w:color w:val="auto"/>
          <w:sz w:val="21"/>
          <w:szCs w:val="21"/>
          <w:highlight w:val="none"/>
        </w:rPr>
      </w:pPr>
      <w:bookmarkStart w:id="481" w:name="_Toc27829"/>
      <w:r>
        <w:rPr>
          <w:rFonts w:hint="eastAsia" w:ascii="宋体" w:hAnsi="宋体"/>
          <w:color w:val="auto"/>
          <w:sz w:val="21"/>
          <w:szCs w:val="21"/>
          <w:highlight w:val="none"/>
        </w:rPr>
        <w:t>附件7.资格申明</w:t>
      </w:r>
      <w:bookmarkEnd w:id="481"/>
    </w:p>
    <w:p w14:paraId="553EA114">
      <w:pPr>
        <w:jc w:val="center"/>
        <w:rPr>
          <w:rFonts w:ascii="黑体" w:eastAsia="黑体"/>
          <w:color w:val="auto"/>
          <w:sz w:val="28"/>
          <w:szCs w:val="28"/>
          <w:highlight w:val="none"/>
        </w:rPr>
      </w:pPr>
      <w:r>
        <w:rPr>
          <w:rFonts w:hint="eastAsia" w:ascii="黑体" w:eastAsia="黑体"/>
          <w:color w:val="auto"/>
          <w:sz w:val="28"/>
          <w:szCs w:val="28"/>
          <w:highlight w:val="none"/>
        </w:rPr>
        <w:t>资格申明</w:t>
      </w:r>
    </w:p>
    <w:p w14:paraId="1512428C">
      <w:pPr>
        <w:pStyle w:val="44"/>
        <w:spacing w:line="420" w:lineRule="atLeast"/>
        <w:ind w:firstLine="0" w:firstLineChars="0"/>
        <w:rPr>
          <w:rFonts w:ascii="宋体" w:eastAsia="宋体"/>
          <w:color w:val="auto"/>
          <w:sz w:val="21"/>
          <w:szCs w:val="21"/>
          <w:highlight w:val="none"/>
        </w:rPr>
      </w:pPr>
      <w:r>
        <w:rPr>
          <w:rFonts w:hint="eastAsia" w:ascii="宋体" w:eastAsia="宋体"/>
          <w:color w:val="auto"/>
          <w:sz w:val="21"/>
          <w:szCs w:val="21"/>
          <w:highlight w:val="none"/>
          <w:u w:val="single"/>
        </w:rPr>
        <w:t xml:space="preserve">  xxx   </w:t>
      </w:r>
      <w:r>
        <w:rPr>
          <w:rFonts w:hint="eastAsia" w:ascii="宋体" w:eastAsia="宋体"/>
          <w:color w:val="auto"/>
          <w:sz w:val="21"/>
          <w:szCs w:val="21"/>
          <w:highlight w:val="none"/>
        </w:rPr>
        <w:t>公司：</w:t>
      </w:r>
    </w:p>
    <w:p w14:paraId="1807F5D4">
      <w:pPr>
        <w:ind w:firstLine="420" w:firstLineChars="200"/>
        <w:rPr>
          <w:rFonts w:ascii="宋体" w:hAnsi="宋体"/>
          <w:color w:val="auto"/>
          <w:szCs w:val="21"/>
          <w:highlight w:val="none"/>
        </w:rPr>
      </w:pPr>
    </w:p>
    <w:p w14:paraId="755E3220">
      <w:pPr>
        <w:ind w:firstLine="420" w:firstLineChars="200"/>
        <w:rPr>
          <w:rFonts w:ascii="宋体" w:hAnsi="宋体"/>
          <w:color w:val="auto"/>
          <w:szCs w:val="21"/>
          <w:highlight w:val="none"/>
        </w:rPr>
      </w:pPr>
      <w:r>
        <w:rPr>
          <w:rFonts w:hint="eastAsia" w:ascii="宋体" w:hAnsi="宋体"/>
          <w:color w:val="auto"/>
          <w:szCs w:val="21"/>
          <w:highlight w:val="none"/>
        </w:rPr>
        <w:t>我方</w:t>
      </w:r>
      <w:r>
        <w:rPr>
          <w:rFonts w:ascii="宋体" w:hAnsi="宋体"/>
          <w:color w:val="auto"/>
          <w:szCs w:val="21"/>
          <w:highlight w:val="none"/>
        </w:rPr>
        <w:t>愿响应</w:t>
      </w:r>
      <w:r>
        <w:rPr>
          <w:rFonts w:hint="eastAsia" w:ascii="宋体" w:hAnsi="宋体"/>
          <w:color w:val="auto"/>
          <w:szCs w:val="21"/>
          <w:highlight w:val="none"/>
        </w:rPr>
        <w:t>贵</w:t>
      </w:r>
      <w:r>
        <w:rPr>
          <w:rFonts w:ascii="宋体" w:hAnsi="宋体"/>
          <w:color w:val="auto"/>
          <w:szCs w:val="21"/>
          <w:highlight w:val="none"/>
        </w:rPr>
        <w:t>方</w:t>
      </w:r>
      <w:r>
        <w:rPr>
          <w:rFonts w:hint="eastAsia" w:ascii="宋体" w:hAnsi="宋体"/>
          <w:color w:val="auto"/>
          <w:szCs w:val="21"/>
          <w:highlight w:val="none"/>
        </w:rPr>
        <w:t>关于（项目名称：</w:t>
      </w:r>
      <w:r>
        <w:rPr>
          <w:rFonts w:hint="eastAsia" w:ascii="宋体" w:hAnsi="宋体"/>
          <w:color w:val="auto"/>
          <w:szCs w:val="21"/>
          <w:highlight w:val="none"/>
          <w:u w:val="single"/>
        </w:rPr>
        <w:t xml:space="preserve">         </w:t>
      </w:r>
      <w:r>
        <w:rPr>
          <w:rFonts w:hint="eastAsia" w:ascii="宋体" w:hAnsi="宋体"/>
          <w:color w:val="auto"/>
          <w:szCs w:val="21"/>
          <w:highlight w:val="none"/>
        </w:rPr>
        <w:t>）</w:t>
      </w:r>
      <w:r>
        <w:rPr>
          <w:rFonts w:ascii="宋体" w:hAnsi="宋体"/>
          <w:color w:val="auto"/>
          <w:szCs w:val="21"/>
          <w:highlight w:val="none"/>
        </w:rPr>
        <w:t>（</w:t>
      </w:r>
      <w:r>
        <w:rPr>
          <w:rFonts w:hint="eastAsia" w:ascii="宋体" w:hAnsi="宋体"/>
          <w:color w:val="auto"/>
          <w:szCs w:val="21"/>
          <w:highlight w:val="none"/>
        </w:rPr>
        <w:t>采购项目编号：</w:t>
      </w:r>
      <w:r>
        <w:rPr>
          <w:rFonts w:hint="eastAsia" w:ascii="宋体" w:hAnsi="宋体"/>
          <w:color w:val="auto"/>
          <w:szCs w:val="21"/>
          <w:highlight w:val="none"/>
          <w:u w:val="single"/>
        </w:rPr>
        <w:t xml:space="preserve">        </w:t>
      </w:r>
      <w:r>
        <w:rPr>
          <w:rFonts w:ascii="宋体" w:hAnsi="宋体"/>
          <w:color w:val="auto"/>
          <w:szCs w:val="21"/>
          <w:highlight w:val="none"/>
        </w:rPr>
        <w:t>）</w:t>
      </w:r>
      <w:r>
        <w:rPr>
          <w:rFonts w:hint="eastAsia" w:ascii="宋体" w:hAnsi="宋体"/>
          <w:color w:val="auto"/>
          <w:szCs w:val="21"/>
          <w:highlight w:val="none"/>
        </w:rPr>
        <w:t>的</w:t>
      </w:r>
      <w:r>
        <w:rPr>
          <w:rFonts w:ascii="宋体" w:hAnsi="宋体"/>
          <w:color w:val="auto"/>
          <w:szCs w:val="21"/>
          <w:highlight w:val="none"/>
        </w:rPr>
        <w:t>投标邀请，参与投标，提供用户需求书中规定的</w:t>
      </w:r>
      <w:r>
        <w:rPr>
          <w:rFonts w:hint="eastAsia" w:ascii="宋体" w:hAnsi="宋体"/>
          <w:color w:val="auto"/>
          <w:szCs w:val="21"/>
          <w:highlight w:val="none"/>
        </w:rPr>
        <w:t>货物及相关服务</w:t>
      </w:r>
      <w:r>
        <w:rPr>
          <w:rFonts w:ascii="宋体" w:hAnsi="宋体"/>
          <w:color w:val="auto"/>
          <w:szCs w:val="21"/>
          <w:highlight w:val="none"/>
        </w:rPr>
        <w:t>，并按</w:t>
      </w:r>
      <w:r>
        <w:rPr>
          <w:rFonts w:hint="eastAsia" w:ascii="宋体" w:hAnsi="宋体"/>
          <w:color w:val="auto"/>
          <w:szCs w:val="21"/>
          <w:highlight w:val="none"/>
        </w:rPr>
        <w:t>采购</w:t>
      </w:r>
      <w:r>
        <w:rPr>
          <w:rFonts w:ascii="宋体" w:hAnsi="宋体"/>
          <w:color w:val="auto"/>
          <w:szCs w:val="21"/>
          <w:highlight w:val="none"/>
        </w:rPr>
        <w:t>文件要求提交所附资格文件且声明和保证如下：</w:t>
      </w:r>
    </w:p>
    <w:p w14:paraId="207BE5AE">
      <w:pPr>
        <w:ind w:firstLine="420" w:firstLineChars="200"/>
        <w:rPr>
          <w:rFonts w:ascii="宋体" w:hAnsi="宋体"/>
          <w:color w:val="auto"/>
          <w:szCs w:val="21"/>
          <w:highlight w:val="none"/>
        </w:rPr>
      </w:pPr>
      <w:r>
        <w:rPr>
          <w:rFonts w:hint="eastAsia" w:ascii="宋体" w:hAnsi="宋体"/>
          <w:color w:val="auto"/>
          <w:szCs w:val="21"/>
          <w:highlight w:val="none"/>
        </w:rPr>
        <w:t>一、我方具备投标人邀请中所要求</w:t>
      </w:r>
      <w:r>
        <w:rPr>
          <w:rFonts w:hint="eastAsia" w:ascii="宋体" w:hAnsi="宋体"/>
          <w:color w:val="auto"/>
          <w:szCs w:val="21"/>
          <w:highlight w:val="none"/>
          <w:lang w:val="en-US" w:eastAsia="zh-CN"/>
        </w:rPr>
        <w:t>的</w:t>
      </w:r>
      <w:r>
        <w:rPr>
          <w:rFonts w:hint="eastAsia" w:ascii="宋体" w:hAnsi="宋体"/>
          <w:color w:val="auto"/>
          <w:szCs w:val="21"/>
          <w:highlight w:val="none"/>
        </w:rPr>
        <w:t>资格条件，已清楚采购文件所有要求及有关规定；并承诺参加本次采购活动中，如有违法、违规、弄虚作假行为，所造成的损失、不良后果及法律责任，一律由我方承担；</w:t>
      </w:r>
    </w:p>
    <w:p w14:paraId="28F1F670">
      <w:pPr>
        <w:ind w:firstLine="420" w:firstLineChars="200"/>
        <w:rPr>
          <w:rFonts w:ascii="宋体" w:hAnsi="宋体"/>
          <w:color w:val="auto"/>
          <w:szCs w:val="21"/>
          <w:highlight w:val="none"/>
        </w:rPr>
      </w:pPr>
      <w:r>
        <w:rPr>
          <w:rFonts w:hint="eastAsia" w:ascii="宋体" w:hAnsi="宋体"/>
          <w:color w:val="auto"/>
          <w:szCs w:val="21"/>
          <w:highlight w:val="none"/>
        </w:rPr>
        <w:t>二、</w:t>
      </w:r>
      <w:r>
        <w:rPr>
          <w:rFonts w:ascii="宋体" w:hAnsi="宋体"/>
          <w:color w:val="auto"/>
          <w:szCs w:val="21"/>
          <w:highlight w:val="none"/>
        </w:rPr>
        <w:t>我方依法注册，在法律上、财务上和运作上完全独立于</w:t>
      </w:r>
      <w:r>
        <w:rPr>
          <w:rFonts w:hint="eastAsia" w:ascii="宋体" w:hAnsi="宋体"/>
          <w:color w:val="auto"/>
          <w:szCs w:val="21"/>
          <w:highlight w:val="none"/>
          <w:u w:val="single"/>
        </w:rPr>
        <w:t xml:space="preserve">  xxxx   </w:t>
      </w:r>
      <w:r>
        <w:rPr>
          <w:rFonts w:hint="eastAsia" w:ascii="宋体" w:hAnsi="宋体"/>
          <w:color w:val="auto"/>
          <w:szCs w:val="21"/>
          <w:highlight w:val="none"/>
        </w:rPr>
        <w:t>公司</w:t>
      </w:r>
      <w:r>
        <w:rPr>
          <w:rFonts w:ascii="宋体" w:hAnsi="宋体"/>
          <w:color w:val="auto"/>
          <w:szCs w:val="21"/>
          <w:highlight w:val="none"/>
        </w:rPr>
        <w:t>（</w:t>
      </w:r>
      <w:r>
        <w:rPr>
          <w:rFonts w:hint="eastAsia" w:ascii="宋体" w:hAnsi="宋体"/>
          <w:color w:val="auto"/>
          <w:szCs w:val="21"/>
          <w:highlight w:val="none"/>
        </w:rPr>
        <w:t>采购人</w:t>
      </w:r>
      <w:r>
        <w:rPr>
          <w:rFonts w:ascii="宋体" w:hAnsi="宋体"/>
          <w:color w:val="auto"/>
          <w:szCs w:val="21"/>
          <w:highlight w:val="none"/>
        </w:rPr>
        <w:t>）及</w:t>
      </w:r>
      <w:r>
        <w:rPr>
          <w:rFonts w:hint="eastAsia" w:ascii="宋体" w:hAnsi="宋体"/>
          <w:color w:val="auto"/>
          <w:szCs w:val="21"/>
          <w:highlight w:val="none"/>
          <w:u w:val="single"/>
        </w:rPr>
        <w:t xml:space="preserve">    xxx   </w:t>
      </w:r>
      <w:r>
        <w:rPr>
          <w:rFonts w:hint="eastAsia" w:ascii="宋体" w:hAnsi="宋体"/>
          <w:color w:val="auto"/>
          <w:szCs w:val="21"/>
          <w:highlight w:val="none"/>
        </w:rPr>
        <w:t>公司</w:t>
      </w:r>
      <w:r>
        <w:rPr>
          <w:rFonts w:ascii="宋体" w:hAnsi="宋体"/>
          <w:color w:val="auto"/>
          <w:szCs w:val="21"/>
          <w:highlight w:val="none"/>
        </w:rPr>
        <w:t>（采购代理机构）</w:t>
      </w:r>
      <w:r>
        <w:rPr>
          <w:rFonts w:hint="eastAsia" w:ascii="宋体" w:hAnsi="宋体"/>
          <w:color w:val="auto"/>
          <w:szCs w:val="21"/>
          <w:highlight w:val="none"/>
        </w:rPr>
        <w:t>。</w:t>
      </w:r>
    </w:p>
    <w:p w14:paraId="7429AF51">
      <w:pPr>
        <w:pStyle w:val="44"/>
        <w:spacing w:line="500" w:lineRule="atLeast"/>
        <w:ind w:firstLine="3517" w:firstLineChars="1675"/>
        <w:rPr>
          <w:rFonts w:ascii="宋体" w:eastAsia="宋体"/>
          <w:color w:val="auto"/>
          <w:sz w:val="21"/>
          <w:szCs w:val="21"/>
          <w:highlight w:val="none"/>
        </w:rPr>
      </w:pPr>
    </w:p>
    <w:p w14:paraId="68DDC413">
      <w:pPr>
        <w:pStyle w:val="44"/>
        <w:spacing w:line="500" w:lineRule="atLeast"/>
        <w:ind w:firstLine="3517" w:firstLineChars="1675"/>
        <w:rPr>
          <w:rFonts w:ascii="宋体" w:eastAsia="宋体"/>
          <w:color w:val="auto"/>
          <w:sz w:val="21"/>
          <w:szCs w:val="21"/>
          <w:highlight w:val="none"/>
        </w:rPr>
      </w:pPr>
    </w:p>
    <w:p w14:paraId="3CAE08F1">
      <w:pPr>
        <w:pStyle w:val="44"/>
        <w:spacing w:line="500" w:lineRule="atLeast"/>
        <w:ind w:firstLine="433"/>
        <w:rPr>
          <w:rFonts w:ascii="宋体" w:eastAsia="宋体"/>
          <w:color w:val="auto"/>
          <w:sz w:val="21"/>
          <w:szCs w:val="21"/>
          <w:highlight w:val="none"/>
        </w:rPr>
      </w:pPr>
      <w:r>
        <w:rPr>
          <w:rFonts w:hint="eastAsia" w:ascii="宋体" w:eastAsia="宋体"/>
          <w:color w:val="auto"/>
          <w:sz w:val="21"/>
          <w:szCs w:val="21"/>
          <w:highlight w:val="none"/>
        </w:rPr>
        <w:t>投标人名称（加盖公章）：</w:t>
      </w:r>
    </w:p>
    <w:p w14:paraId="3C3E4D2A">
      <w:pPr>
        <w:pStyle w:val="44"/>
        <w:spacing w:line="500" w:lineRule="atLeast"/>
        <w:ind w:firstLine="433"/>
        <w:rPr>
          <w:rFonts w:ascii="宋体" w:eastAsia="宋体"/>
          <w:color w:val="auto"/>
          <w:sz w:val="21"/>
          <w:szCs w:val="21"/>
          <w:highlight w:val="none"/>
        </w:rPr>
      </w:pPr>
      <w:r>
        <w:rPr>
          <w:rFonts w:hint="eastAsia" w:ascii="宋体" w:eastAsia="宋体"/>
          <w:color w:val="auto"/>
          <w:sz w:val="21"/>
          <w:szCs w:val="21"/>
          <w:highlight w:val="none"/>
        </w:rPr>
        <w:t>法定代表人签字（签名或盖私章）：</w:t>
      </w:r>
    </w:p>
    <w:p w14:paraId="179277D2">
      <w:pPr>
        <w:pStyle w:val="44"/>
        <w:spacing w:line="500" w:lineRule="atLeast"/>
        <w:ind w:firstLine="433"/>
        <w:rPr>
          <w:rFonts w:ascii="宋体" w:eastAsia="宋体"/>
          <w:color w:val="auto"/>
          <w:sz w:val="21"/>
          <w:szCs w:val="21"/>
          <w:highlight w:val="none"/>
        </w:rPr>
      </w:pPr>
      <w:r>
        <w:rPr>
          <w:rFonts w:hint="eastAsia" w:ascii="宋体" w:eastAsia="宋体"/>
          <w:color w:val="auto"/>
          <w:sz w:val="21"/>
          <w:szCs w:val="21"/>
          <w:highlight w:val="none"/>
        </w:rPr>
        <w:t>日     期：年月日</w:t>
      </w:r>
    </w:p>
    <w:p w14:paraId="69625C80">
      <w:pPr>
        <w:pStyle w:val="44"/>
        <w:spacing w:line="500" w:lineRule="atLeast"/>
        <w:ind w:firstLine="433"/>
        <w:rPr>
          <w:rFonts w:ascii="宋体" w:eastAsia="宋体"/>
          <w:color w:val="auto"/>
          <w:sz w:val="21"/>
          <w:szCs w:val="21"/>
          <w:highlight w:val="none"/>
        </w:rPr>
      </w:pPr>
      <w:r>
        <w:rPr>
          <w:rFonts w:hint="eastAsia" w:ascii="宋体" w:eastAsia="宋体"/>
          <w:color w:val="auto"/>
          <w:sz w:val="21"/>
          <w:szCs w:val="21"/>
          <w:highlight w:val="none"/>
        </w:rPr>
        <w:br w:type="page"/>
      </w:r>
    </w:p>
    <w:p w14:paraId="0BF0DD31">
      <w:pPr>
        <w:pStyle w:val="6"/>
        <w:widowControl w:val="0"/>
        <w:overflowPunct w:val="0"/>
        <w:spacing w:line="240" w:lineRule="auto"/>
        <w:rPr>
          <w:rFonts w:hint="eastAsia" w:ascii="宋体" w:hAnsi="宋体" w:eastAsia="宋体"/>
          <w:color w:val="auto"/>
          <w:sz w:val="21"/>
          <w:szCs w:val="21"/>
          <w:highlight w:val="none"/>
          <w:lang w:eastAsia="zh-CN"/>
        </w:rPr>
      </w:pPr>
      <w:bookmarkStart w:id="482" w:name="_Toc2475"/>
      <w:r>
        <w:rPr>
          <w:rFonts w:hint="eastAsia" w:ascii="宋体" w:hAnsi="宋体"/>
          <w:color w:val="auto"/>
          <w:sz w:val="21"/>
          <w:szCs w:val="21"/>
          <w:highlight w:val="none"/>
        </w:rPr>
        <w:t>附件8.营业执照、道路运输经营许可证</w:t>
      </w:r>
      <w:r>
        <w:rPr>
          <w:rFonts w:hint="eastAsia" w:ascii="宋体" w:hAnsi="宋体"/>
          <w:color w:val="auto"/>
          <w:sz w:val="21"/>
          <w:szCs w:val="21"/>
          <w:highlight w:val="none"/>
          <w:lang w:eastAsia="zh-CN"/>
        </w:rPr>
        <w:t>、</w:t>
      </w:r>
      <w:r>
        <w:rPr>
          <w:rFonts w:hint="eastAsia" w:ascii="宋体" w:hAnsi="宋体"/>
          <w:color w:val="auto"/>
          <w:sz w:val="21"/>
          <w:szCs w:val="21"/>
          <w:highlight w:val="none"/>
        </w:rPr>
        <w:t>惠州市石化区通行证</w:t>
      </w:r>
      <w:bookmarkEnd w:id="482"/>
    </w:p>
    <w:p w14:paraId="4B85A2E2">
      <w:pPr>
        <w:jc w:val="center"/>
        <w:rPr>
          <w:rFonts w:hint="eastAsia" w:ascii="黑体" w:eastAsia="黑体"/>
          <w:color w:val="auto"/>
          <w:sz w:val="28"/>
          <w:szCs w:val="28"/>
          <w:highlight w:val="none"/>
          <w:lang w:eastAsia="zh-CN"/>
        </w:rPr>
      </w:pPr>
      <w:bookmarkStart w:id="483" w:name="_Toc5919"/>
      <w:bookmarkStart w:id="484" w:name="_Toc24210"/>
      <w:bookmarkStart w:id="485" w:name="_Toc1511"/>
      <w:bookmarkStart w:id="486" w:name="_Toc17470"/>
      <w:bookmarkStart w:id="487" w:name="_Toc4926"/>
      <w:r>
        <w:rPr>
          <w:rFonts w:hint="eastAsia" w:ascii="黑体" w:eastAsia="黑体"/>
          <w:color w:val="auto"/>
          <w:sz w:val="28"/>
          <w:szCs w:val="28"/>
          <w:highlight w:val="none"/>
        </w:rPr>
        <w:t>营业执照、道路运输经营许可证</w:t>
      </w:r>
      <w:r>
        <w:rPr>
          <w:rFonts w:hint="eastAsia" w:ascii="黑体" w:eastAsia="黑体"/>
          <w:color w:val="auto"/>
          <w:sz w:val="28"/>
          <w:szCs w:val="28"/>
          <w:highlight w:val="none"/>
          <w:lang w:eastAsia="zh-CN"/>
        </w:rPr>
        <w:t>、惠州市石化区通行证</w:t>
      </w:r>
    </w:p>
    <w:p w14:paraId="47F2C5DE">
      <w:pPr>
        <w:jc w:val="center"/>
        <w:rPr>
          <w:rFonts w:hint="eastAsia" w:ascii="黑体" w:eastAsia="黑体"/>
          <w:color w:val="auto"/>
          <w:sz w:val="28"/>
          <w:szCs w:val="28"/>
          <w:highlight w:val="none"/>
        </w:rPr>
      </w:pPr>
      <w:r>
        <w:rPr>
          <w:rFonts w:hint="eastAsia" w:ascii="黑体" w:eastAsia="黑体"/>
          <w:color w:val="auto"/>
          <w:sz w:val="28"/>
          <w:szCs w:val="28"/>
          <w:highlight w:val="none"/>
        </w:rPr>
        <w:t>（提供复印件并加盖公章）</w:t>
      </w:r>
      <w:bookmarkEnd w:id="483"/>
      <w:bookmarkEnd w:id="484"/>
      <w:bookmarkEnd w:id="485"/>
      <w:bookmarkEnd w:id="486"/>
      <w:bookmarkEnd w:id="487"/>
    </w:p>
    <w:p w14:paraId="379EB238">
      <w:pPr>
        <w:rPr>
          <w:rFonts w:hint="eastAsia" w:ascii="黑体" w:eastAsia="黑体"/>
          <w:color w:val="auto"/>
          <w:sz w:val="28"/>
          <w:szCs w:val="28"/>
          <w:highlight w:val="none"/>
        </w:rPr>
      </w:pPr>
      <w:r>
        <w:rPr>
          <w:rFonts w:hint="eastAsia" w:ascii="黑体" w:eastAsia="黑体"/>
          <w:color w:val="auto"/>
          <w:sz w:val="28"/>
          <w:szCs w:val="28"/>
          <w:highlight w:val="none"/>
        </w:rPr>
        <w:br w:type="page"/>
      </w:r>
    </w:p>
    <w:p w14:paraId="7C658BA9">
      <w:pPr>
        <w:pStyle w:val="6"/>
        <w:widowControl w:val="0"/>
        <w:overflowPunct w:val="0"/>
        <w:spacing w:line="240" w:lineRule="auto"/>
        <w:rPr>
          <w:rFonts w:hint="eastAsia" w:ascii="宋体" w:hAnsi="宋体" w:eastAsia="宋体"/>
          <w:color w:val="auto"/>
          <w:sz w:val="21"/>
          <w:szCs w:val="21"/>
          <w:highlight w:val="none"/>
        </w:rPr>
      </w:pPr>
      <w:bookmarkStart w:id="488" w:name="_Toc11564"/>
      <w:r>
        <w:rPr>
          <w:rFonts w:hint="eastAsia" w:ascii="宋体" w:hAnsi="宋体" w:eastAsia="宋体"/>
          <w:color w:val="auto"/>
          <w:sz w:val="21"/>
          <w:szCs w:val="21"/>
          <w:highlight w:val="none"/>
          <w:lang w:val="en-US" w:eastAsia="zh-CN"/>
        </w:rPr>
        <w:t xml:space="preserve">附件9  </w:t>
      </w:r>
      <w:r>
        <w:rPr>
          <w:rFonts w:hint="eastAsia" w:ascii="宋体" w:hAnsi="宋体" w:eastAsia="宋体"/>
          <w:color w:val="auto"/>
          <w:sz w:val="21"/>
          <w:szCs w:val="21"/>
          <w:highlight w:val="none"/>
        </w:rPr>
        <w:t>体系认证</w:t>
      </w:r>
      <w:r>
        <w:rPr>
          <w:rFonts w:hint="eastAsia" w:ascii="宋体" w:hAnsi="宋体" w:eastAsia="宋体"/>
          <w:color w:val="auto"/>
          <w:sz w:val="21"/>
          <w:szCs w:val="21"/>
          <w:highlight w:val="none"/>
          <w:lang w:val="en-US" w:eastAsia="zh-CN"/>
        </w:rPr>
        <w:t>证明材料</w:t>
      </w:r>
      <w:r>
        <w:rPr>
          <w:rFonts w:hint="eastAsia" w:ascii="宋体" w:hAnsi="宋体" w:eastAsia="宋体"/>
          <w:color w:val="auto"/>
          <w:sz w:val="21"/>
          <w:szCs w:val="21"/>
          <w:highlight w:val="none"/>
          <w:lang w:eastAsia="zh-CN"/>
        </w:rPr>
        <w:t>、</w:t>
      </w:r>
      <w:r>
        <w:rPr>
          <w:rFonts w:hint="eastAsia" w:ascii="宋体" w:hAnsi="宋体" w:eastAsia="宋体"/>
          <w:color w:val="auto"/>
          <w:sz w:val="21"/>
          <w:szCs w:val="21"/>
          <w:highlight w:val="none"/>
        </w:rPr>
        <w:t>财务报表</w:t>
      </w:r>
      <w:bookmarkEnd w:id="488"/>
    </w:p>
    <w:p w14:paraId="2A675F28">
      <w:pPr>
        <w:bidi w:val="0"/>
        <w:rPr>
          <w:rFonts w:hint="eastAsia"/>
          <w:color w:val="auto"/>
          <w:highlight w:val="none"/>
        </w:rPr>
      </w:pPr>
    </w:p>
    <w:p w14:paraId="4F750259">
      <w:pPr>
        <w:jc w:val="center"/>
        <w:rPr>
          <w:rFonts w:hint="eastAsia" w:ascii="黑体" w:eastAsia="黑体"/>
          <w:color w:val="auto"/>
          <w:sz w:val="28"/>
          <w:szCs w:val="28"/>
          <w:highlight w:val="none"/>
        </w:rPr>
      </w:pPr>
      <w:r>
        <w:rPr>
          <w:rFonts w:hint="eastAsia" w:ascii="黑体" w:eastAsia="黑体"/>
          <w:color w:val="auto"/>
          <w:sz w:val="28"/>
          <w:szCs w:val="28"/>
          <w:highlight w:val="none"/>
        </w:rPr>
        <w:t>体系认证</w:t>
      </w:r>
      <w:r>
        <w:rPr>
          <w:rFonts w:hint="eastAsia" w:ascii="黑体" w:eastAsia="黑体"/>
          <w:color w:val="auto"/>
          <w:sz w:val="28"/>
          <w:szCs w:val="28"/>
          <w:highlight w:val="none"/>
          <w:lang w:val="en-US" w:eastAsia="zh-CN"/>
        </w:rPr>
        <w:t>证明材料</w:t>
      </w:r>
      <w:r>
        <w:rPr>
          <w:rFonts w:hint="eastAsia" w:ascii="黑体" w:eastAsia="黑体"/>
          <w:color w:val="auto"/>
          <w:sz w:val="28"/>
          <w:szCs w:val="28"/>
          <w:highlight w:val="none"/>
          <w:lang w:eastAsia="zh-CN"/>
        </w:rPr>
        <w:t>、</w:t>
      </w:r>
      <w:r>
        <w:rPr>
          <w:rFonts w:hint="eastAsia" w:ascii="黑体" w:eastAsia="黑体"/>
          <w:color w:val="auto"/>
          <w:sz w:val="28"/>
          <w:szCs w:val="28"/>
          <w:highlight w:val="none"/>
        </w:rPr>
        <w:t>财务报表</w:t>
      </w:r>
    </w:p>
    <w:p w14:paraId="7160DB7D">
      <w:pPr>
        <w:jc w:val="center"/>
        <w:rPr>
          <w:rFonts w:hint="eastAsia" w:ascii="黑体" w:eastAsia="黑体"/>
          <w:color w:val="auto"/>
          <w:sz w:val="28"/>
          <w:szCs w:val="28"/>
          <w:highlight w:val="none"/>
        </w:rPr>
      </w:pPr>
      <w:r>
        <w:rPr>
          <w:rFonts w:hint="eastAsia" w:ascii="黑体" w:eastAsia="黑体"/>
          <w:color w:val="auto"/>
          <w:sz w:val="28"/>
          <w:szCs w:val="28"/>
          <w:highlight w:val="none"/>
        </w:rPr>
        <w:t>（提供复印件并加盖公章）</w:t>
      </w:r>
    </w:p>
    <w:p w14:paraId="1AA81A26">
      <w:pPr>
        <w:bidi w:val="0"/>
        <w:rPr>
          <w:rFonts w:hint="eastAsia"/>
          <w:color w:val="auto"/>
          <w:highlight w:val="none"/>
        </w:rPr>
      </w:pPr>
    </w:p>
    <w:p w14:paraId="012FA6AD">
      <w:pPr>
        <w:bidi w:val="0"/>
        <w:rPr>
          <w:rFonts w:hint="eastAsia"/>
          <w:color w:val="auto"/>
          <w:highlight w:val="none"/>
        </w:rPr>
      </w:pPr>
      <w:r>
        <w:rPr>
          <w:rFonts w:hint="eastAsia"/>
          <w:color w:val="auto"/>
          <w:highlight w:val="none"/>
        </w:rPr>
        <w:br w:type="page"/>
      </w:r>
    </w:p>
    <w:p w14:paraId="445473A5">
      <w:pPr>
        <w:pStyle w:val="6"/>
        <w:widowControl w:val="0"/>
        <w:overflowPunct w:val="0"/>
        <w:spacing w:line="240" w:lineRule="auto"/>
        <w:rPr>
          <w:rFonts w:ascii="楷体_GB2312" w:eastAsia="楷体_GB2312"/>
          <w:color w:val="auto"/>
          <w:sz w:val="21"/>
          <w:szCs w:val="21"/>
          <w:highlight w:val="none"/>
        </w:rPr>
      </w:pPr>
      <w:bookmarkStart w:id="489" w:name="_Toc21426"/>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 xml:space="preserve">10  </w:t>
      </w:r>
      <w:r>
        <w:rPr>
          <w:rFonts w:hint="eastAsia" w:ascii="宋体" w:hAnsi="宋体"/>
          <w:color w:val="auto"/>
          <w:sz w:val="21"/>
          <w:szCs w:val="21"/>
          <w:highlight w:val="none"/>
        </w:rPr>
        <w:t>在经营活动中没有重大违法记录的书面声明格式</w:t>
      </w:r>
      <w:bookmarkEnd w:id="489"/>
    </w:p>
    <w:p w14:paraId="7608B67B">
      <w:pPr>
        <w:rPr>
          <w:color w:val="auto"/>
          <w:highlight w:val="none"/>
        </w:rPr>
      </w:pPr>
    </w:p>
    <w:p w14:paraId="10989E2A">
      <w:pPr>
        <w:jc w:val="center"/>
        <w:rPr>
          <w:rFonts w:ascii="黑体" w:eastAsia="黑体"/>
          <w:color w:val="auto"/>
          <w:sz w:val="28"/>
          <w:szCs w:val="28"/>
          <w:highlight w:val="none"/>
        </w:rPr>
      </w:pPr>
      <w:r>
        <w:rPr>
          <w:rFonts w:hint="eastAsia" w:ascii="黑体" w:eastAsia="黑体"/>
          <w:color w:val="auto"/>
          <w:sz w:val="28"/>
          <w:szCs w:val="28"/>
          <w:highlight w:val="none"/>
        </w:rPr>
        <w:t>投标人在经营活动中前三年内未有重大违法记录、没有不良信用记录的声明函</w:t>
      </w:r>
    </w:p>
    <w:p w14:paraId="337EEBEC">
      <w:pPr>
        <w:ind w:firstLine="420" w:firstLineChars="200"/>
        <w:rPr>
          <w:rFonts w:ascii="宋体" w:hAnsi="宋体" w:cs="宋体"/>
          <w:color w:val="auto"/>
          <w:szCs w:val="21"/>
          <w:highlight w:val="none"/>
        </w:rPr>
      </w:pPr>
    </w:p>
    <w:p w14:paraId="4EFD351A">
      <w:pPr>
        <w:spacing w:line="480" w:lineRule="auto"/>
        <w:ind w:firstLine="0" w:firstLineChars="0"/>
        <w:rPr>
          <w:rFonts w:ascii="宋体" w:hAnsi="宋体" w:cs="宋体"/>
          <w:color w:val="auto"/>
          <w:szCs w:val="21"/>
          <w:highlight w:val="none"/>
        </w:rPr>
      </w:pPr>
      <w:r>
        <w:rPr>
          <w:rFonts w:hint="eastAsia" w:ascii="宋体" w:hAnsi="宋体" w:cs="宋体"/>
          <w:color w:val="auto"/>
          <w:szCs w:val="21"/>
          <w:highlight w:val="none"/>
        </w:rPr>
        <w:t>x</w:t>
      </w:r>
      <w:r>
        <w:rPr>
          <w:rFonts w:ascii="宋体" w:hAnsi="宋体" w:cs="宋体"/>
          <w:color w:val="auto"/>
          <w:szCs w:val="21"/>
          <w:highlight w:val="none"/>
        </w:rPr>
        <w:t>xxxxx</w:t>
      </w:r>
      <w:r>
        <w:rPr>
          <w:rFonts w:hint="eastAsia" w:ascii="宋体" w:hAnsi="宋体" w:cs="宋体"/>
          <w:color w:val="auto"/>
          <w:szCs w:val="21"/>
          <w:highlight w:val="none"/>
        </w:rPr>
        <w:t>公司：</w:t>
      </w:r>
    </w:p>
    <w:p w14:paraId="1EB4BD94">
      <w:pPr>
        <w:spacing w:line="48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我公司郑重承诺：在参加“</w:t>
      </w:r>
      <w:r>
        <w:rPr>
          <w:rFonts w:hint="eastAsia" w:ascii="宋体" w:hAnsi="宋体" w:cs="宋体"/>
          <w:color w:val="auto"/>
          <w:szCs w:val="21"/>
          <w:highlight w:val="none"/>
          <w:u w:val="single"/>
        </w:rPr>
        <w:t xml:space="preserve">       （采购项目名称）</w:t>
      </w:r>
      <w:r>
        <w:rPr>
          <w:rFonts w:hint="eastAsia" w:ascii="宋体" w:hAnsi="宋体" w:cs="宋体"/>
          <w:color w:val="auto"/>
          <w:szCs w:val="21"/>
          <w:highlight w:val="none"/>
        </w:rPr>
        <w:t>” （项目编号:</w:t>
      </w:r>
      <w:r>
        <w:rPr>
          <w:rFonts w:hint="eastAsia" w:ascii="宋体" w:hAnsi="宋体" w:cs="宋体"/>
          <w:color w:val="auto"/>
          <w:szCs w:val="21"/>
          <w:highlight w:val="none"/>
          <w:lang w:val="en-US" w:eastAsia="zh-CN"/>
        </w:rPr>
        <w:t>XX</w:t>
      </w:r>
      <w:r>
        <w:rPr>
          <w:rFonts w:hint="eastAsia" w:ascii="宋体" w:hAnsi="宋体" w:cs="宋体"/>
          <w:color w:val="auto"/>
          <w:szCs w:val="21"/>
          <w:highlight w:val="none"/>
        </w:rPr>
        <w:t>）采购活动前三年内（设立不满三年的从设立之日计算），在经营活动中没有重大违法记录；至本项目提交投标文件截止时间止未被列入“信用中国”网站失信被执行人、重大税收违法失信主体、政府采购严重违法失信行为记录名单。</w:t>
      </w:r>
    </w:p>
    <w:p w14:paraId="39852AD9">
      <w:pPr>
        <w:spacing w:line="48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我公司以上承诺均为真实有效，绝无任何虚假、伪造的成</w:t>
      </w:r>
      <w:r>
        <w:rPr>
          <w:rFonts w:hint="eastAsia" w:ascii="宋体" w:hAnsi="宋体" w:cs="宋体"/>
          <w:color w:val="auto"/>
          <w:szCs w:val="21"/>
          <w:highlight w:val="none"/>
          <w:lang w:val="en-US" w:eastAsia="zh-CN"/>
        </w:rPr>
        <w:t>分</w:t>
      </w:r>
      <w:r>
        <w:rPr>
          <w:rFonts w:hint="eastAsia" w:ascii="宋体" w:hAnsi="宋体" w:cs="宋体"/>
          <w:color w:val="auto"/>
          <w:szCs w:val="21"/>
          <w:highlight w:val="none"/>
        </w:rPr>
        <w:t>，否则，愿承担相应的后果和法律责任。</w:t>
      </w:r>
    </w:p>
    <w:p w14:paraId="4590318B">
      <w:pPr>
        <w:ind w:firstLine="420" w:firstLineChars="200"/>
        <w:rPr>
          <w:rFonts w:ascii="宋体" w:hAnsi="宋体" w:cs="宋体"/>
          <w:color w:val="auto"/>
          <w:szCs w:val="21"/>
          <w:highlight w:val="none"/>
        </w:rPr>
      </w:pPr>
    </w:p>
    <w:p w14:paraId="5090E150">
      <w:pPr>
        <w:rPr>
          <w:rFonts w:ascii="宋体" w:hAnsi="宋体" w:cs="宋体"/>
          <w:color w:val="auto"/>
          <w:szCs w:val="21"/>
          <w:highlight w:val="none"/>
        </w:rPr>
      </w:pPr>
    </w:p>
    <w:p w14:paraId="4B48A363">
      <w:pPr>
        <w:ind w:firstLine="420" w:firstLineChars="200"/>
        <w:rPr>
          <w:rFonts w:ascii="宋体" w:hAnsi="宋体" w:cs="宋体"/>
          <w:color w:val="auto"/>
          <w:szCs w:val="21"/>
          <w:highlight w:val="none"/>
        </w:rPr>
      </w:pPr>
      <w:r>
        <w:rPr>
          <w:rFonts w:hint="eastAsia" w:ascii="宋体" w:hAnsi="宋体" w:cs="宋体"/>
          <w:color w:val="auto"/>
          <w:szCs w:val="21"/>
          <w:highlight w:val="none"/>
        </w:rPr>
        <w:t>投标人名称（盖章）：</w:t>
      </w:r>
    </w:p>
    <w:p w14:paraId="18147A31">
      <w:pPr>
        <w:rPr>
          <w:rFonts w:ascii="宋体" w:hAnsi="宋体" w:cs="宋体"/>
          <w:color w:val="auto"/>
          <w:szCs w:val="21"/>
          <w:highlight w:val="none"/>
        </w:rPr>
      </w:pPr>
    </w:p>
    <w:p w14:paraId="2D72D20A">
      <w:pPr>
        <w:ind w:firstLine="420" w:firstLineChars="200"/>
        <w:rPr>
          <w:rFonts w:ascii="宋体" w:hAnsi="宋体" w:cs="宋体"/>
          <w:color w:val="auto"/>
          <w:szCs w:val="21"/>
          <w:highlight w:val="none"/>
        </w:rPr>
      </w:pPr>
      <w:r>
        <w:rPr>
          <w:rFonts w:hint="eastAsia" w:ascii="宋体" w:hAnsi="宋体" w:cs="宋体"/>
          <w:color w:val="auto"/>
          <w:szCs w:val="21"/>
          <w:highlight w:val="none"/>
        </w:rPr>
        <w:t>日期：</w:t>
      </w:r>
    </w:p>
    <w:p w14:paraId="7355270D">
      <w:pPr>
        <w:pStyle w:val="6"/>
        <w:widowControl w:val="0"/>
        <w:overflowPunct w:val="0"/>
        <w:spacing w:line="240" w:lineRule="auto"/>
        <w:rPr>
          <w:rFonts w:hint="eastAsia" w:ascii="宋体" w:hAnsi="宋体" w:eastAsia="宋体"/>
          <w:color w:val="auto"/>
          <w:sz w:val="21"/>
          <w:szCs w:val="21"/>
          <w:highlight w:val="none"/>
          <w:lang w:val="en-US" w:eastAsia="zh-CN"/>
        </w:rPr>
      </w:pPr>
      <w:r>
        <w:rPr>
          <w:color w:val="auto"/>
          <w:highlight w:val="none"/>
        </w:rPr>
        <w:br w:type="page"/>
      </w:r>
      <w:bookmarkStart w:id="490" w:name="_Toc27765"/>
      <w:r>
        <w:rPr>
          <w:rFonts w:hint="eastAsia"/>
          <w:color w:val="auto"/>
          <w:highlight w:val="none"/>
          <w:lang w:val="en-US" w:eastAsia="zh-CN"/>
        </w:rPr>
        <w:t xml:space="preserve">附件11  </w:t>
      </w:r>
      <w:r>
        <w:rPr>
          <w:rFonts w:hint="eastAsia" w:ascii="宋体" w:hAnsi="宋体"/>
          <w:color w:val="auto"/>
          <w:sz w:val="21"/>
          <w:szCs w:val="21"/>
          <w:highlight w:val="none"/>
          <w:lang w:val="en-US" w:eastAsia="zh-CN"/>
        </w:rPr>
        <w:t>纳税证明和无欠税证明</w:t>
      </w:r>
      <w:bookmarkEnd w:id="490"/>
    </w:p>
    <w:p w14:paraId="74697000">
      <w:pPr>
        <w:rPr>
          <w:rFonts w:hint="eastAsia" w:ascii="宋体" w:hAnsi="宋体"/>
          <w:color w:val="auto"/>
          <w:szCs w:val="21"/>
          <w:highlight w:val="none"/>
        </w:rPr>
      </w:pPr>
    </w:p>
    <w:p w14:paraId="45F0EE29">
      <w:pPr>
        <w:rPr>
          <w:rFonts w:ascii="宋体" w:hAnsi="宋体"/>
          <w:color w:val="auto"/>
          <w:szCs w:val="21"/>
          <w:highlight w:val="none"/>
        </w:rPr>
      </w:pPr>
      <w:r>
        <w:rPr>
          <w:rFonts w:hint="eastAsia" w:ascii="宋体" w:hAnsi="宋体"/>
          <w:color w:val="auto"/>
          <w:szCs w:val="21"/>
          <w:highlight w:val="none"/>
        </w:rPr>
        <w:t>报价人须提供投标截止日前6个月内任意1个月依法</w:t>
      </w:r>
      <w:r>
        <w:rPr>
          <w:rFonts w:hint="eastAsia" w:ascii="宋体" w:hAnsi="宋体"/>
          <w:b/>
          <w:bCs/>
          <w:color w:val="auto"/>
          <w:szCs w:val="21"/>
          <w:highlight w:val="none"/>
        </w:rPr>
        <w:t>缴纳税收的证明材料</w:t>
      </w:r>
      <w:r>
        <w:rPr>
          <w:rFonts w:hint="eastAsia" w:ascii="宋体" w:hAnsi="宋体"/>
          <w:b/>
          <w:bCs/>
          <w:color w:val="auto"/>
          <w:szCs w:val="21"/>
          <w:highlight w:val="none"/>
          <w:u w:val="single"/>
        </w:rPr>
        <w:t>及</w:t>
      </w:r>
      <w:r>
        <w:rPr>
          <w:rFonts w:hint="eastAsia" w:ascii="宋体" w:hAnsi="宋体"/>
          <w:b/>
          <w:bCs/>
          <w:color w:val="auto"/>
          <w:szCs w:val="21"/>
          <w:highlight w:val="none"/>
        </w:rPr>
        <w:t>无欠税的证明</w:t>
      </w:r>
      <w:r>
        <w:rPr>
          <w:rFonts w:hint="eastAsia" w:ascii="宋体" w:hAnsi="宋体"/>
          <w:color w:val="auto"/>
          <w:szCs w:val="21"/>
          <w:highlight w:val="none"/>
        </w:rPr>
        <w:t>材料。如依法免税的，须提供相应证明材料（提供依法缴纳税收的证明材料及无欠税的证明材料，</w:t>
      </w:r>
      <w:r>
        <w:rPr>
          <w:rFonts w:hint="eastAsia" w:ascii="宋体" w:hAnsi="宋体"/>
          <w:b/>
          <w:bCs/>
          <w:color w:val="auto"/>
          <w:szCs w:val="21"/>
          <w:highlight w:val="none"/>
        </w:rPr>
        <w:t>证明材料须加盖公章</w:t>
      </w:r>
      <w:r>
        <w:rPr>
          <w:rFonts w:hint="eastAsia" w:ascii="宋体" w:hAnsi="宋体"/>
          <w:color w:val="auto"/>
          <w:szCs w:val="21"/>
          <w:highlight w:val="none"/>
        </w:rPr>
        <w:t>）。</w:t>
      </w:r>
    </w:p>
    <w:p w14:paraId="28FF9412">
      <w:pPr>
        <w:pStyle w:val="10"/>
        <w:spacing w:line="460" w:lineRule="exact"/>
        <w:jc w:val="center"/>
        <w:rPr>
          <w:rFonts w:hint="eastAsia" w:ascii="楷体" w:hAnsi="楷体" w:eastAsia="楷体" w:cs="楷体"/>
          <w:color w:val="auto"/>
          <w:sz w:val="24"/>
          <w:szCs w:val="24"/>
          <w:highlight w:val="none"/>
        </w:rPr>
      </w:pPr>
      <w:r>
        <w:rPr>
          <w:rFonts w:hint="eastAsia" w:ascii="楷体" w:hAnsi="楷体" w:eastAsia="楷体" w:cs="楷体"/>
          <w:color w:val="auto"/>
          <w:sz w:val="24"/>
          <w:szCs w:val="24"/>
          <w:highlight w:val="none"/>
        </w:rPr>
        <w:drawing>
          <wp:anchor distT="0" distB="0" distL="114300" distR="114300" simplePos="0" relativeHeight="251664384" behindDoc="0" locked="0" layoutInCell="1" allowOverlap="1">
            <wp:simplePos x="0" y="0"/>
            <wp:positionH relativeFrom="column">
              <wp:posOffset>34925</wp:posOffset>
            </wp:positionH>
            <wp:positionV relativeFrom="paragraph">
              <wp:posOffset>225425</wp:posOffset>
            </wp:positionV>
            <wp:extent cx="5192395" cy="3663950"/>
            <wp:effectExtent l="0" t="0" r="8255" b="12700"/>
            <wp:wrapTopAndBottom/>
            <wp:docPr id="21" name="图片 21" descr="74358953-b4bf-4151-b761-5eed190046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74358953-b4bf-4151-b761-5eed190046fc"/>
                    <pic:cNvPicPr>
                      <a:picLocks noChangeAspect="1"/>
                    </pic:cNvPicPr>
                  </pic:nvPicPr>
                  <pic:blipFill>
                    <a:blip r:embed="rId17"/>
                    <a:stretch>
                      <a:fillRect/>
                    </a:stretch>
                  </pic:blipFill>
                  <pic:spPr>
                    <a:xfrm>
                      <a:off x="0" y="0"/>
                      <a:ext cx="5192395" cy="3663950"/>
                    </a:xfrm>
                    <a:prstGeom prst="rect">
                      <a:avLst/>
                    </a:prstGeom>
                  </pic:spPr>
                </pic:pic>
              </a:graphicData>
            </a:graphic>
          </wp:anchor>
        </w:drawing>
      </w:r>
      <w:r>
        <w:rPr>
          <w:rFonts w:hint="eastAsia" w:ascii="楷体" w:hAnsi="楷体" w:eastAsia="楷体" w:cs="楷体"/>
          <w:color w:val="auto"/>
          <w:sz w:val="24"/>
          <w:szCs w:val="24"/>
          <w:highlight w:val="none"/>
        </w:rPr>
        <w:t>▲</w:t>
      </w:r>
      <w:r>
        <w:rPr>
          <w:rFonts w:hint="eastAsia" w:ascii="楷体" w:hAnsi="楷体" w:eastAsia="楷体" w:cs="楷体"/>
          <w:color w:val="auto"/>
          <w:sz w:val="24"/>
          <w:szCs w:val="24"/>
          <w:highlight w:val="none"/>
          <w:lang w:val="en-US" w:eastAsia="zh-CN"/>
        </w:rPr>
        <w:t>纳税（完税）证明</w:t>
      </w:r>
      <w:r>
        <w:rPr>
          <w:rFonts w:hint="eastAsia" w:ascii="楷体" w:hAnsi="楷体" w:eastAsia="楷体" w:cs="楷体"/>
          <w:color w:val="auto"/>
          <w:sz w:val="24"/>
          <w:szCs w:val="24"/>
          <w:highlight w:val="none"/>
        </w:rPr>
        <w:t>示图，供参考</w:t>
      </w:r>
    </w:p>
    <w:p w14:paraId="57AA8B22">
      <w:pPr>
        <w:jc w:val="center"/>
        <w:rPr>
          <w:rFonts w:hint="eastAsia" w:ascii="楷体" w:hAnsi="楷体" w:eastAsia="楷体" w:cs="楷体"/>
          <w:color w:val="auto"/>
          <w:sz w:val="24"/>
          <w:szCs w:val="24"/>
          <w:highlight w:val="none"/>
        </w:rPr>
      </w:pPr>
      <w:r>
        <w:rPr>
          <w:color w:val="auto"/>
          <w:highlight w:val="none"/>
        </w:rPr>
        <w:drawing>
          <wp:inline distT="0" distB="0" distL="114300" distR="114300">
            <wp:extent cx="5272405" cy="4209415"/>
            <wp:effectExtent l="0" t="0" r="4445" b="635"/>
            <wp:docPr id="6" name="图片 6" descr="fda532986622e0229a6f4425e96396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fda532986622e0229a6f4425e96396e7"/>
                    <pic:cNvPicPr>
                      <a:picLocks noChangeAspect="1"/>
                    </pic:cNvPicPr>
                  </pic:nvPicPr>
                  <pic:blipFill>
                    <a:blip r:embed="rId18"/>
                    <a:stretch>
                      <a:fillRect/>
                    </a:stretch>
                  </pic:blipFill>
                  <pic:spPr>
                    <a:xfrm>
                      <a:off x="0" y="0"/>
                      <a:ext cx="5272405" cy="4209415"/>
                    </a:xfrm>
                    <a:prstGeom prst="rect">
                      <a:avLst/>
                    </a:prstGeom>
                  </pic:spPr>
                </pic:pic>
              </a:graphicData>
            </a:graphic>
          </wp:inline>
        </w:drawing>
      </w:r>
      <w:r>
        <w:rPr>
          <w:rFonts w:hint="eastAsia" w:ascii="楷体" w:hAnsi="楷体" w:eastAsia="楷体" w:cs="楷体"/>
          <w:color w:val="auto"/>
          <w:sz w:val="24"/>
          <w:szCs w:val="24"/>
          <w:highlight w:val="none"/>
        </w:rPr>
        <w:t>▲</w:t>
      </w:r>
      <w:r>
        <w:rPr>
          <w:rFonts w:hint="eastAsia" w:ascii="楷体" w:hAnsi="楷体" w:eastAsia="楷体" w:cs="楷体"/>
          <w:color w:val="auto"/>
          <w:sz w:val="24"/>
          <w:szCs w:val="24"/>
          <w:highlight w:val="none"/>
          <w:lang w:val="en-US" w:eastAsia="zh-CN"/>
        </w:rPr>
        <w:t>无欠税证明</w:t>
      </w:r>
      <w:r>
        <w:rPr>
          <w:rFonts w:hint="eastAsia" w:ascii="楷体" w:hAnsi="楷体" w:eastAsia="楷体" w:cs="楷体"/>
          <w:color w:val="auto"/>
          <w:sz w:val="24"/>
          <w:szCs w:val="24"/>
          <w:highlight w:val="none"/>
        </w:rPr>
        <w:t>示图，供参考</w:t>
      </w:r>
    </w:p>
    <w:p w14:paraId="539CB638">
      <w:pPr>
        <w:rPr>
          <w:color w:val="auto"/>
          <w:highlight w:val="none"/>
        </w:rPr>
      </w:pPr>
      <w:r>
        <w:rPr>
          <w:color w:val="auto"/>
          <w:highlight w:val="none"/>
        </w:rPr>
        <w:br w:type="page"/>
      </w:r>
    </w:p>
    <w:p w14:paraId="605928F9">
      <w:pPr>
        <w:pStyle w:val="6"/>
        <w:widowControl w:val="0"/>
        <w:overflowPunct w:val="0"/>
        <w:spacing w:line="240" w:lineRule="auto"/>
        <w:rPr>
          <w:rFonts w:hint="eastAsia" w:ascii="宋体" w:hAnsi="宋体"/>
          <w:color w:val="auto"/>
          <w:sz w:val="21"/>
          <w:szCs w:val="21"/>
          <w:highlight w:val="none"/>
        </w:rPr>
      </w:pPr>
      <w:bookmarkStart w:id="491" w:name="_Toc32477"/>
      <w:r>
        <w:rPr>
          <w:rFonts w:hint="eastAsia" w:ascii="宋体" w:hAnsi="宋体"/>
          <w:color w:val="auto"/>
          <w:sz w:val="21"/>
          <w:szCs w:val="21"/>
          <w:highlight w:val="none"/>
          <w:lang w:val="en-US" w:eastAsia="zh-CN"/>
        </w:rPr>
        <w:t xml:space="preserve">附件12  </w:t>
      </w:r>
      <w:r>
        <w:rPr>
          <w:rFonts w:hint="eastAsia" w:ascii="宋体" w:hAnsi="宋体"/>
          <w:color w:val="auto"/>
          <w:sz w:val="21"/>
          <w:szCs w:val="21"/>
          <w:highlight w:val="none"/>
        </w:rPr>
        <w:t>固废平台运输量截图</w:t>
      </w:r>
      <w:bookmarkEnd w:id="491"/>
    </w:p>
    <w:p w14:paraId="6D570C78">
      <w:pPr>
        <w:keepNext w:val="0"/>
        <w:keepLines w:val="0"/>
        <w:pageBreakBefore w:val="0"/>
        <w:widowControl w:val="0"/>
        <w:kinsoku/>
        <w:wordWrap/>
        <w:overflowPunct/>
        <w:topLinePunct w:val="0"/>
        <w:autoSpaceDE/>
        <w:autoSpaceDN/>
        <w:bidi w:val="0"/>
        <w:adjustRightInd/>
        <w:snapToGrid/>
        <w:spacing w:line="560" w:lineRule="exact"/>
        <w:ind w:firstLine="420" w:firstLineChars="200"/>
        <w:textAlignment w:val="auto"/>
        <w:rPr>
          <w:rFonts w:hint="eastAsia" w:ascii="宋体" w:hAnsi="宋体" w:eastAsia="宋体" w:cs="宋体"/>
          <w:color w:val="auto"/>
          <w:sz w:val="21"/>
          <w:szCs w:val="21"/>
          <w:highlight w:val="none"/>
        </w:rPr>
      </w:pPr>
      <w:r>
        <w:rPr>
          <w:rFonts w:hint="eastAsia" w:ascii="宋体" w:hAnsi="宋体" w:cs="宋体"/>
          <w:color w:val="auto"/>
          <w:sz w:val="21"/>
          <w:szCs w:val="21"/>
          <w:highlight w:val="none"/>
          <w:lang w:val="en-US" w:eastAsia="zh-CN"/>
        </w:rPr>
        <w:t>投标人必须</w:t>
      </w:r>
      <w:r>
        <w:rPr>
          <w:rFonts w:hint="eastAsia" w:ascii="宋体" w:hAnsi="宋体" w:eastAsia="宋体" w:cs="宋体"/>
          <w:color w:val="auto"/>
          <w:sz w:val="21"/>
          <w:szCs w:val="21"/>
          <w:highlight w:val="none"/>
          <w:lang w:val="en-US" w:eastAsia="zh-CN"/>
        </w:rPr>
        <w:t>提供</w:t>
      </w:r>
      <w:r>
        <w:rPr>
          <w:rFonts w:hint="eastAsia" w:ascii="宋体" w:hAnsi="宋体" w:eastAsia="宋体" w:cs="宋体"/>
          <w:color w:val="auto"/>
          <w:sz w:val="21"/>
          <w:szCs w:val="21"/>
          <w:highlight w:val="none"/>
        </w:rPr>
        <w:t>：</w:t>
      </w:r>
      <w:r>
        <w:rPr>
          <w:rFonts w:hint="eastAsia" w:ascii="宋体" w:hAnsi="宋体" w:cs="宋体"/>
          <w:color w:val="auto"/>
          <w:sz w:val="21"/>
          <w:szCs w:val="21"/>
          <w:highlight w:val="none"/>
          <w:lang w:val="en-US" w:eastAsia="zh-CN"/>
        </w:rPr>
        <w:t>投标人2022年8月-2025年8月期间</w:t>
      </w:r>
      <w:r>
        <w:rPr>
          <w:rFonts w:hint="eastAsia" w:ascii="宋体" w:hAnsi="宋体" w:eastAsia="宋体" w:cs="宋体"/>
          <w:color w:val="auto"/>
          <w:sz w:val="21"/>
          <w:szCs w:val="21"/>
          <w:highlight w:val="none"/>
        </w:rPr>
        <w:t>“广东省固体废物环境监管信息平台”</w:t>
      </w:r>
      <w:r>
        <w:rPr>
          <w:rFonts w:hint="eastAsia" w:ascii="宋体" w:hAnsi="宋体" w:cs="宋体"/>
          <w:color w:val="auto"/>
          <w:sz w:val="21"/>
          <w:szCs w:val="21"/>
          <w:highlight w:val="none"/>
          <w:lang w:eastAsia="zh-CN"/>
        </w:rPr>
        <w:t>（</w:t>
      </w:r>
      <w:r>
        <w:rPr>
          <w:rFonts w:hint="eastAsia" w:ascii="宋体" w:hAnsi="宋体" w:eastAsia="宋体" w:cs="宋体"/>
          <w:color w:val="auto"/>
          <w:sz w:val="21"/>
          <w:szCs w:val="21"/>
          <w:highlight w:val="none"/>
        </w:rPr>
        <w:t>https://www-app.gdeei.cn/gfjgqy-rz/login</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lang w:val="en-US" w:eastAsia="zh-CN"/>
        </w:rPr>
        <w:t>危废运输量，具体</w:t>
      </w:r>
      <w:r>
        <w:rPr>
          <w:rFonts w:hint="eastAsia" w:ascii="宋体" w:hAnsi="宋体" w:eastAsia="宋体" w:cs="宋体"/>
          <w:color w:val="auto"/>
          <w:sz w:val="21"/>
          <w:szCs w:val="21"/>
          <w:highlight w:val="none"/>
        </w:rPr>
        <w:t>固废平台数据筛选按下表：</w:t>
      </w:r>
    </w:p>
    <w:tbl>
      <w:tblPr>
        <w:tblStyle w:val="31"/>
        <w:tblW w:w="85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74"/>
        <w:gridCol w:w="2316"/>
        <w:gridCol w:w="4110"/>
      </w:tblGrid>
      <w:tr w14:paraId="7867C5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Align w:val="center"/>
          </w:tcPr>
          <w:p w14:paraId="486B02D3">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宋体" w:hAnsi="宋体" w:eastAsia="宋体" w:cs="宋体"/>
                <w:b w:val="0"/>
                <w:bCs w:val="0"/>
                <w:color w:val="auto"/>
                <w:sz w:val="21"/>
                <w:szCs w:val="21"/>
                <w:highlight w:val="none"/>
              </w:rPr>
            </w:pPr>
            <w:r>
              <w:rPr>
                <w:rFonts w:hint="eastAsia" w:ascii="宋体" w:hAnsi="宋体" w:eastAsia="宋体" w:cs="宋体"/>
                <w:b w:val="0"/>
                <w:bCs w:val="0"/>
                <w:color w:val="auto"/>
                <w:sz w:val="21"/>
                <w:szCs w:val="21"/>
                <w:highlight w:val="none"/>
              </w:rPr>
              <w:t>处置方式大类</w:t>
            </w:r>
          </w:p>
        </w:tc>
        <w:tc>
          <w:tcPr>
            <w:tcW w:w="2316" w:type="dxa"/>
            <w:vAlign w:val="center"/>
          </w:tcPr>
          <w:p w14:paraId="1BFD1F7C">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宋体" w:hAnsi="宋体" w:eastAsia="宋体" w:cs="宋体"/>
                <w:b w:val="0"/>
                <w:bCs w:val="0"/>
                <w:color w:val="auto"/>
                <w:sz w:val="21"/>
                <w:szCs w:val="21"/>
                <w:highlight w:val="none"/>
              </w:rPr>
            </w:pPr>
            <w:r>
              <w:rPr>
                <w:rFonts w:hint="eastAsia" w:ascii="宋体" w:hAnsi="宋体" w:eastAsia="宋体" w:cs="宋体"/>
                <w:b w:val="0"/>
                <w:bCs w:val="0"/>
                <w:color w:val="auto"/>
                <w:sz w:val="21"/>
                <w:szCs w:val="21"/>
                <w:highlight w:val="none"/>
              </w:rPr>
              <w:t>处置方式小类</w:t>
            </w:r>
          </w:p>
        </w:tc>
        <w:tc>
          <w:tcPr>
            <w:tcW w:w="4110" w:type="dxa"/>
            <w:vAlign w:val="center"/>
          </w:tcPr>
          <w:p w14:paraId="55B8EBB4">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宋体" w:hAnsi="宋体" w:eastAsia="宋体" w:cs="宋体"/>
                <w:b w:val="0"/>
                <w:bCs w:val="0"/>
                <w:color w:val="auto"/>
                <w:sz w:val="21"/>
                <w:szCs w:val="21"/>
                <w:highlight w:val="none"/>
                <w:lang w:val="en-US" w:eastAsia="zh-CN"/>
              </w:rPr>
            </w:pPr>
            <w:r>
              <w:rPr>
                <w:rFonts w:hint="eastAsia" w:ascii="宋体" w:hAnsi="宋体" w:eastAsia="宋体" w:cs="宋体"/>
                <w:b w:val="0"/>
                <w:bCs w:val="0"/>
                <w:color w:val="auto"/>
                <w:sz w:val="21"/>
                <w:szCs w:val="21"/>
                <w:highlight w:val="none"/>
              </w:rPr>
              <w:t>202</w:t>
            </w:r>
            <w:r>
              <w:rPr>
                <w:rFonts w:hint="eastAsia" w:ascii="宋体" w:hAnsi="宋体" w:eastAsia="宋体" w:cs="宋体"/>
                <w:b w:val="0"/>
                <w:bCs w:val="0"/>
                <w:color w:val="auto"/>
                <w:sz w:val="21"/>
                <w:szCs w:val="21"/>
                <w:highlight w:val="none"/>
                <w:lang w:val="en-US" w:eastAsia="zh-CN"/>
              </w:rPr>
              <w:t>2</w:t>
            </w:r>
            <w:r>
              <w:rPr>
                <w:rFonts w:hint="eastAsia" w:ascii="宋体" w:hAnsi="宋体" w:eastAsia="宋体" w:cs="宋体"/>
                <w:b w:val="0"/>
                <w:bCs w:val="0"/>
                <w:color w:val="auto"/>
                <w:sz w:val="21"/>
                <w:szCs w:val="21"/>
                <w:highlight w:val="none"/>
              </w:rPr>
              <w:t>年</w:t>
            </w:r>
            <w:r>
              <w:rPr>
                <w:rFonts w:hint="eastAsia" w:ascii="宋体" w:hAnsi="宋体" w:eastAsia="宋体" w:cs="宋体"/>
                <w:b w:val="0"/>
                <w:bCs w:val="0"/>
                <w:color w:val="auto"/>
                <w:sz w:val="21"/>
                <w:szCs w:val="21"/>
                <w:highlight w:val="none"/>
                <w:lang w:val="en-US" w:eastAsia="zh-CN"/>
              </w:rPr>
              <w:t>8月-2025年8月</w:t>
            </w:r>
          </w:p>
          <w:p w14:paraId="6505C728">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宋体" w:hAnsi="宋体" w:eastAsia="宋体" w:cs="宋体"/>
                <w:b w:val="0"/>
                <w:bCs w:val="0"/>
                <w:color w:val="auto"/>
                <w:sz w:val="21"/>
                <w:szCs w:val="21"/>
                <w:highlight w:val="none"/>
              </w:rPr>
            </w:pPr>
            <w:r>
              <w:rPr>
                <w:rFonts w:hint="eastAsia" w:ascii="宋体" w:hAnsi="宋体" w:eastAsia="宋体" w:cs="宋体"/>
                <w:b w:val="0"/>
                <w:bCs w:val="0"/>
                <w:color w:val="auto"/>
                <w:sz w:val="21"/>
                <w:szCs w:val="21"/>
                <w:highlight w:val="none"/>
              </w:rPr>
              <w:t>合计量（吨）</w:t>
            </w:r>
          </w:p>
        </w:tc>
      </w:tr>
      <w:tr w14:paraId="3591B8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Align w:val="center"/>
          </w:tcPr>
          <w:p w14:paraId="49752977">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D-处置</w:t>
            </w:r>
          </w:p>
        </w:tc>
        <w:tc>
          <w:tcPr>
            <w:tcW w:w="2316" w:type="dxa"/>
            <w:vAlign w:val="center"/>
          </w:tcPr>
          <w:p w14:paraId="1189FE07">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D10-焚烧</w:t>
            </w:r>
          </w:p>
        </w:tc>
        <w:tc>
          <w:tcPr>
            <w:tcW w:w="4110" w:type="dxa"/>
            <w:vAlign w:val="center"/>
          </w:tcPr>
          <w:p w14:paraId="3EFE57EF">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宋体" w:hAnsi="宋体" w:eastAsia="宋体" w:cs="宋体"/>
                <w:color w:val="auto"/>
                <w:sz w:val="21"/>
                <w:szCs w:val="21"/>
                <w:highlight w:val="none"/>
              </w:rPr>
            </w:pPr>
          </w:p>
        </w:tc>
      </w:tr>
    </w:tbl>
    <w:p w14:paraId="7DF37C36">
      <w:pPr>
        <w:keepNext w:val="0"/>
        <w:keepLines w:val="0"/>
        <w:pageBreakBefore w:val="0"/>
        <w:widowControl w:val="0"/>
        <w:kinsoku/>
        <w:wordWrap/>
        <w:overflowPunct/>
        <w:topLinePunct w:val="0"/>
        <w:autoSpaceDE/>
        <w:autoSpaceDN/>
        <w:bidi w:val="0"/>
        <w:adjustRightInd/>
        <w:snapToGrid/>
        <w:ind w:firstLine="422" w:firstLineChars="200"/>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drawing>
          <wp:anchor distT="0" distB="0" distL="0" distR="0" simplePos="0" relativeHeight="251665408" behindDoc="0" locked="0" layoutInCell="1" allowOverlap="1">
            <wp:simplePos x="0" y="0"/>
            <wp:positionH relativeFrom="column">
              <wp:posOffset>-32385</wp:posOffset>
            </wp:positionH>
            <wp:positionV relativeFrom="paragraph">
              <wp:posOffset>133350</wp:posOffset>
            </wp:positionV>
            <wp:extent cx="5237480" cy="2829560"/>
            <wp:effectExtent l="0" t="0" r="1270" b="8890"/>
            <wp:wrapTopAndBottom/>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19"/>
                    <a:stretch>
                      <a:fillRect/>
                    </a:stretch>
                  </pic:blipFill>
                  <pic:spPr>
                    <a:xfrm>
                      <a:off x="0" y="0"/>
                      <a:ext cx="5255819" cy="2839889"/>
                    </a:xfrm>
                    <a:prstGeom prst="rect">
                      <a:avLst/>
                    </a:prstGeom>
                  </pic:spPr>
                </pic:pic>
              </a:graphicData>
            </a:graphic>
          </wp:anchor>
        </w:drawing>
      </w:r>
    </w:p>
    <w:p w14:paraId="45786612">
      <w:pPr>
        <w:keepNext w:val="0"/>
        <w:keepLines w:val="0"/>
        <w:pageBreakBefore w:val="0"/>
        <w:widowControl w:val="0"/>
        <w:kinsoku/>
        <w:wordWrap/>
        <w:overflowPunct/>
        <w:topLinePunct w:val="0"/>
        <w:autoSpaceDE/>
        <w:autoSpaceDN/>
        <w:bidi w:val="0"/>
        <w:adjustRightInd/>
        <w:snapToGrid/>
        <w:ind w:firstLine="422" w:firstLineChars="200"/>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备注：截图必须清晰体现“实际转移量汇总”、投标人公司名称等信息，如因截图模糊或信息不全等影响评审的，视为无效资料。</w:t>
      </w:r>
    </w:p>
    <w:p w14:paraId="28AB535A">
      <w:pPr>
        <w:keepNext w:val="0"/>
        <w:keepLines w:val="0"/>
        <w:pageBreakBefore w:val="0"/>
        <w:widowControl w:val="0"/>
        <w:kinsoku/>
        <w:wordWrap/>
        <w:overflowPunct/>
        <w:topLinePunct w:val="0"/>
        <w:autoSpaceDE/>
        <w:autoSpaceDN/>
        <w:bidi w:val="0"/>
        <w:adjustRightInd/>
        <w:snapToGrid/>
        <w:ind w:firstLine="420" w:firstLineChars="200"/>
        <w:jc w:val="center"/>
        <w:textAlignment w:val="auto"/>
        <w:rPr>
          <w:rFonts w:hint="eastAsia" w:ascii="宋体" w:hAnsi="宋体" w:eastAsia="宋体" w:cs="宋体"/>
          <w:color w:val="auto"/>
          <w:sz w:val="21"/>
          <w:szCs w:val="21"/>
          <w:highlight w:val="none"/>
        </w:rPr>
      </w:pPr>
    </w:p>
    <w:p w14:paraId="36E85B6F">
      <w:pPr>
        <w:keepNext w:val="0"/>
        <w:keepLines w:val="0"/>
        <w:pageBreakBefore w:val="0"/>
        <w:widowControl w:val="0"/>
        <w:kinsoku/>
        <w:wordWrap/>
        <w:overflowPunct/>
        <w:topLinePunct w:val="0"/>
        <w:autoSpaceDE/>
        <w:autoSpaceDN/>
        <w:bidi w:val="0"/>
        <w:adjustRightInd/>
        <w:snapToGrid/>
        <w:spacing w:line="560" w:lineRule="exact"/>
        <w:ind w:firstLine="422" w:firstLineChars="200"/>
        <w:textAlignment w:val="auto"/>
        <w:rPr>
          <w:rFonts w:hint="eastAsia" w:ascii="宋体" w:hAnsi="宋体" w:eastAsia="宋体" w:cs="宋体"/>
          <w:b/>
          <w:bCs/>
          <w:color w:val="auto"/>
          <w:sz w:val="21"/>
          <w:szCs w:val="21"/>
          <w:highlight w:val="none"/>
        </w:rPr>
      </w:pPr>
    </w:p>
    <w:p w14:paraId="227819C8">
      <w:pPr>
        <w:rPr>
          <w:rFonts w:hint="default"/>
          <w:color w:val="auto"/>
          <w:highlight w:val="none"/>
          <w:lang w:val="en-US" w:eastAsia="zh-CN"/>
        </w:rPr>
      </w:pPr>
    </w:p>
    <w:p w14:paraId="1B4F03E2">
      <w:pPr>
        <w:widowControl w:val="0"/>
        <w:overflowPunct w:val="0"/>
        <w:spacing w:line="240" w:lineRule="auto"/>
        <w:rPr>
          <w:rFonts w:hint="eastAsia" w:ascii="宋体" w:hAnsi="宋体"/>
          <w:color w:val="auto"/>
          <w:sz w:val="21"/>
          <w:szCs w:val="21"/>
          <w:highlight w:val="none"/>
        </w:rPr>
      </w:pPr>
      <w:r>
        <w:rPr>
          <w:rFonts w:hint="eastAsia" w:ascii="宋体" w:hAnsi="宋体"/>
          <w:color w:val="auto"/>
          <w:sz w:val="21"/>
          <w:szCs w:val="21"/>
          <w:highlight w:val="none"/>
        </w:rPr>
        <w:br w:type="page"/>
      </w:r>
    </w:p>
    <w:p w14:paraId="35CAC4C9">
      <w:pPr>
        <w:pStyle w:val="6"/>
        <w:widowControl w:val="0"/>
        <w:overflowPunct w:val="0"/>
        <w:spacing w:line="240" w:lineRule="auto"/>
        <w:rPr>
          <w:color w:val="auto"/>
          <w:highlight w:val="none"/>
        </w:rPr>
      </w:pPr>
      <w:bookmarkStart w:id="492" w:name="_Toc27774"/>
      <w:r>
        <w:rPr>
          <w:rFonts w:hint="eastAsia" w:ascii="宋体" w:hAnsi="宋体"/>
          <w:color w:val="auto"/>
          <w:sz w:val="21"/>
          <w:szCs w:val="21"/>
          <w:highlight w:val="none"/>
          <w:lang w:val="en-US" w:eastAsia="zh-CN"/>
        </w:rPr>
        <w:t xml:space="preserve">附件13  </w:t>
      </w:r>
      <w:bookmarkStart w:id="493" w:name="_Toc17437"/>
      <w:bookmarkStart w:id="494" w:name="_Toc18421"/>
      <w:bookmarkStart w:id="495" w:name="_Toc22061"/>
      <w:bookmarkStart w:id="496" w:name="_Toc21350"/>
      <w:bookmarkStart w:id="497" w:name="_Toc30127"/>
      <w:bookmarkStart w:id="498" w:name="_Toc3228"/>
      <w:bookmarkStart w:id="499" w:name="_Toc1278"/>
      <w:bookmarkStart w:id="500" w:name="_Toc16324"/>
      <w:bookmarkStart w:id="501" w:name="_Toc14363"/>
      <w:r>
        <w:rPr>
          <w:rFonts w:hint="eastAsia" w:ascii="宋体" w:hAnsi="宋体"/>
          <w:color w:val="auto"/>
          <w:sz w:val="21"/>
          <w:szCs w:val="21"/>
          <w:highlight w:val="none"/>
        </w:rPr>
        <w:t>投标保证金汇入情况说明格式</w:t>
      </w:r>
      <w:bookmarkEnd w:id="492"/>
      <w:bookmarkEnd w:id="493"/>
      <w:bookmarkEnd w:id="494"/>
      <w:bookmarkEnd w:id="495"/>
      <w:bookmarkEnd w:id="496"/>
      <w:bookmarkEnd w:id="497"/>
      <w:bookmarkEnd w:id="498"/>
      <w:bookmarkEnd w:id="499"/>
      <w:bookmarkEnd w:id="500"/>
      <w:bookmarkEnd w:id="501"/>
    </w:p>
    <w:p w14:paraId="6072462D">
      <w:pPr>
        <w:rPr>
          <w:color w:val="auto"/>
          <w:highlight w:val="none"/>
        </w:rPr>
      </w:pPr>
    </w:p>
    <w:p w14:paraId="72E26185">
      <w:pPr>
        <w:jc w:val="center"/>
        <w:rPr>
          <w:rFonts w:ascii="黑体" w:eastAsia="黑体"/>
          <w:color w:val="auto"/>
          <w:sz w:val="28"/>
          <w:szCs w:val="28"/>
          <w:highlight w:val="none"/>
        </w:rPr>
      </w:pPr>
      <w:r>
        <w:rPr>
          <w:rFonts w:hint="eastAsia" w:ascii="黑体" w:eastAsia="黑体"/>
          <w:color w:val="auto"/>
          <w:sz w:val="28"/>
          <w:szCs w:val="28"/>
          <w:highlight w:val="none"/>
        </w:rPr>
        <w:t>投标保证金汇入情况说明</w:t>
      </w:r>
    </w:p>
    <w:p w14:paraId="0DEAA2F3">
      <w:pPr>
        <w:spacing w:line="480" w:lineRule="auto"/>
        <w:rPr>
          <w:rFonts w:ascii="宋体" w:hAnsi="宋体"/>
          <w:color w:val="auto"/>
          <w:szCs w:val="21"/>
          <w:highlight w:val="none"/>
        </w:rPr>
      </w:pPr>
      <w:r>
        <w:rPr>
          <w:rFonts w:hint="eastAsia" w:ascii="宋体" w:hAnsi="宋体"/>
          <w:color w:val="auto"/>
          <w:szCs w:val="21"/>
          <w:highlight w:val="none"/>
        </w:rPr>
        <w:t>致：x</w:t>
      </w:r>
      <w:r>
        <w:rPr>
          <w:rFonts w:ascii="宋体" w:hAnsi="宋体"/>
          <w:color w:val="auto"/>
          <w:szCs w:val="21"/>
          <w:highlight w:val="none"/>
        </w:rPr>
        <w:t>xxxxx</w:t>
      </w:r>
      <w:r>
        <w:rPr>
          <w:rFonts w:hint="eastAsia" w:ascii="宋体" w:hAnsi="宋体"/>
          <w:color w:val="auto"/>
          <w:szCs w:val="21"/>
          <w:highlight w:val="none"/>
        </w:rPr>
        <w:t>公司：</w:t>
      </w:r>
    </w:p>
    <w:p w14:paraId="6FAE84C9">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本单位已按</w:t>
      </w:r>
      <w:r>
        <w:rPr>
          <w:rFonts w:hint="eastAsia" w:ascii="宋体" w:hAnsi="宋体"/>
          <w:color w:val="auto"/>
          <w:szCs w:val="21"/>
          <w:highlight w:val="none"/>
          <w:u w:val="single"/>
        </w:rPr>
        <w:t xml:space="preserve">         </w:t>
      </w:r>
      <w:r>
        <w:rPr>
          <w:rFonts w:hint="eastAsia" w:ascii="宋体" w:hAnsi="宋体"/>
          <w:color w:val="auto"/>
          <w:szCs w:val="21"/>
          <w:highlight w:val="none"/>
        </w:rPr>
        <w:t>项目（采购项目编号：）的采购文件要求，于年月日前以</w:t>
      </w:r>
      <w:r>
        <w:rPr>
          <w:rFonts w:hint="eastAsia" w:ascii="宋体" w:hAnsi="宋体"/>
          <w:color w:val="auto"/>
          <w:szCs w:val="21"/>
          <w:highlight w:val="none"/>
          <w:u w:val="single"/>
        </w:rPr>
        <w:t xml:space="preserve">           （付款形式）</w:t>
      </w:r>
      <w:r>
        <w:rPr>
          <w:rFonts w:hint="eastAsia" w:ascii="宋体" w:hAnsi="宋体"/>
          <w:color w:val="auto"/>
          <w:szCs w:val="21"/>
          <w:highlight w:val="none"/>
        </w:rPr>
        <w:t>方式汇入指定</w:t>
      </w:r>
      <w:r>
        <w:rPr>
          <w:rFonts w:hint="eastAsia" w:ascii="宋体" w:hAnsi="宋体"/>
          <w:color w:val="auto"/>
          <w:szCs w:val="21"/>
          <w:highlight w:val="none"/>
          <w:lang w:eastAsia="zh-CN"/>
        </w:rPr>
        <w:t>账</w:t>
      </w:r>
      <w:r>
        <w:rPr>
          <w:rFonts w:hint="eastAsia" w:ascii="宋体" w:hAnsi="宋体"/>
          <w:color w:val="auto"/>
          <w:szCs w:val="21"/>
          <w:highlight w:val="none"/>
        </w:rPr>
        <w:t>户（</w:t>
      </w:r>
      <w:r>
        <w:rPr>
          <w:rFonts w:hint="eastAsia" w:ascii="宋体" w:hAnsi="宋体"/>
          <w:color w:val="auto"/>
          <w:szCs w:val="21"/>
          <w:highlight w:val="none"/>
          <w:lang w:eastAsia="zh-CN"/>
        </w:rPr>
        <w:t>账</w:t>
      </w:r>
      <w:r>
        <w:rPr>
          <w:rFonts w:hint="eastAsia" w:ascii="宋体" w:hAnsi="宋体"/>
          <w:color w:val="auto"/>
          <w:szCs w:val="21"/>
          <w:highlight w:val="none"/>
        </w:rPr>
        <w:t>户名称：</w:t>
      </w:r>
      <w:r>
        <w:rPr>
          <w:rFonts w:hint="eastAsia" w:ascii="宋体" w:hAnsi="宋体"/>
          <w:color w:val="auto"/>
          <w:szCs w:val="21"/>
          <w:highlight w:val="none"/>
          <w:u w:val="single"/>
        </w:rPr>
        <w:t xml:space="preserve">       </w:t>
      </w:r>
      <w:r>
        <w:rPr>
          <w:rFonts w:hint="eastAsia" w:ascii="宋体" w:hAnsi="宋体"/>
          <w:color w:val="auto"/>
          <w:szCs w:val="21"/>
          <w:highlight w:val="none"/>
        </w:rPr>
        <w:t>，</w:t>
      </w:r>
      <w:r>
        <w:rPr>
          <w:rFonts w:hint="eastAsia" w:ascii="宋体" w:hAnsi="宋体"/>
          <w:color w:val="auto"/>
          <w:szCs w:val="21"/>
          <w:highlight w:val="none"/>
          <w:lang w:eastAsia="zh-CN"/>
        </w:rPr>
        <w:t>账</w:t>
      </w:r>
      <w:r>
        <w:rPr>
          <w:rFonts w:hint="eastAsia" w:ascii="宋体" w:hAnsi="宋体"/>
          <w:color w:val="auto"/>
          <w:szCs w:val="21"/>
          <w:highlight w:val="none"/>
        </w:rPr>
        <w:t>号：</w:t>
      </w:r>
      <w:r>
        <w:rPr>
          <w:rFonts w:hint="eastAsia" w:ascii="宋体" w:hAnsi="宋体"/>
          <w:color w:val="auto"/>
          <w:szCs w:val="21"/>
          <w:highlight w:val="none"/>
          <w:u w:val="single"/>
        </w:rPr>
        <w:t xml:space="preserve">       </w:t>
      </w:r>
      <w:r>
        <w:rPr>
          <w:rFonts w:hint="eastAsia" w:ascii="宋体" w:hAnsi="宋体"/>
          <w:color w:val="auto"/>
          <w:szCs w:val="21"/>
          <w:highlight w:val="none"/>
        </w:rPr>
        <w:t>,开户银行：</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14:paraId="78A39706">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本单位投标保证金的汇款情况：（详见附件－投标保证金进</w:t>
      </w:r>
      <w:r>
        <w:rPr>
          <w:rFonts w:hint="eastAsia" w:ascii="宋体" w:hAnsi="宋体"/>
          <w:color w:val="auto"/>
          <w:szCs w:val="21"/>
          <w:highlight w:val="none"/>
          <w:lang w:eastAsia="zh-CN"/>
        </w:rPr>
        <w:t>账</w:t>
      </w:r>
      <w:r>
        <w:rPr>
          <w:rFonts w:hint="eastAsia" w:ascii="宋体" w:hAnsi="宋体"/>
          <w:color w:val="auto"/>
          <w:szCs w:val="21"/>
          <w:highlight w:val="none"/>
        </w:rPr>
        <w:t>单）</w:t>
      </w:r>
    </w:p>
    <w:p w14:paraId="74395AC8">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汇出时间：</w:t>
      </w:r>
      <w:r>
        <w:rPr>
          <w:rFonts w:hint="eastAsia" w:ascii="宋体" w:hAnsi="宋体"/>
          <w:color w:val="auto"/>
          <w:szCs w:val="21"/>
          <w:highlight w:val="none"/>
          <w:u w:val="single"/>
        </w:rPr>
        <w:t xml:space="preserve">       </w:t>
      </w:r>
      <w:r>
        <w:rPr>
          <w:rFonts w:hint="eastAsia" w:ascii="宋体" w:hAnsi="宋体"/>
          <w:color w:val="auto"/>
          <w:szCs w:val="21"/>
          <w:highlight w:val="none"/>
        </w:rPr>
        <w:t>年</w:t>
      </w:r>
      <w:r>
        <w:rPr>
          <w:rFonts w:hint="eastAsia" w:ascii="宋体" w:hAnsi="宋体"/>
          <w:color w:val="auto"/>
          <w:szCs w:val="21"/>
          <w:highlight w:val="none"/>
          <w:u w:val="single"/>
        </w:rPr>
        <w:t xml:space="preserve">       </w:t>
      </w:r>
      <w:r>
        <w:rPr>
          <w:rFonts w:hint="eastAsia" w:ascii="宋体" w:hAnsi="宋体"/>
          <w:color w:val="auto"/>
          <w:szCs w:val="21"/>
          <w:highlight w:val="none"/>
        </w:rPr>
        <w:t>月</w:t>
      </w:r>
      <w:r>
        <w:rPr>
          <w:rFonts w:hint="eastAsia" w:ascii="宋体" w:hAnsi="宋体"/>
          <w:color w:val="auto"/>
          <w:szCs w:val="21"/>
          <w:highlight w:val="none"/>
          <w:u w:val="single"/>
        </w:rPr>
        <w:t xml:space="preserve">       </w:t>
      </w:r>
      <w:r>
        <w:rPr>
          <w:rFonts w:hint="eastAsia" w:ascii="宋体" w:hAnsi="宋体"/>
          <w:color w:val="auto"/>
          <w:szCs w:val="21"/>
          <w:highlight w:val="none"/>
        </w:rPr>
        <w:t>日；</w:t>
      </w:r>
    </w:p>
    <w:p w14:paraId="78452BF3">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汇款金额：（大写）人民币</w:t>
      </w:r>
      <w:r>
        <w:rPr>
          <w:rFonts w:hint="eastAsia" w:ascii="宋体" w:hAnsi="宋体"/>
          <w:color w:val="auto"/>
          <w:szCs w:val="21"/>
          <w:highlight w:val="none"/>
          <w:u w:val="single"/>
        </w:rPr>
        <w:t xml:space="preserve">       </w:t>
      </w:r>
      <w:r>
        <w:rPr>
          <w:rFonts w:hint="eastAsia" w:ascii="宋体" w:hAnsi="宋体"/>
          <w:color w:val="auto"/>
          <w:szCs w:val="21"/>
          <w:highlight w:val="none"/>
        </w:rPr>
        <w:t>元（小写：￥</w:t>
      </w:r>
      <w:r>
        <w:rPr>
          <w:rFonts w:hint="eastAsia" w:ascii="宋体" w:hAnsi="宋体"/>
          <w:color w:val="auto"/>
          <w:szCs w:val="21"/>
          <w:highlight w:val="none"/>
          <w:u w:val="single"/>
        </w:rPr>
        <w:t xml:space="preserve">       </w:t>
      </w:r>
      <w:r>
        <w:rPr>
          <w:rFonts w:hint="eastAsia" w:ascii="宋体" w:hAnsi="宋体"/>
          <w:color w:val="auto"/>
          <w:szCs w:val="21"/>
          <w:highlight w:val="none"/>
        </w:rPr>
        <w:t>元），</w:t>
      </w:r>
    </w:p>
    <w:p w14:paraId="7DF29749">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汇款</w:t>
      </w:r>
      <w:r>
        <w:rPr>
          <w:rFonts w:hint="eastAsia" w:ascii="宋体" w:hAnsi="宋体"/>
          <w:color w:val="auto"/>
          <w:szCs w:val="21"/>
          <w:highlight w:val="none"/>
          <w:lang w:eastAsia="zh-CN"/>
        </w:rPr>
        <w:t>账</w:t>
      </w:r>
      <w:r>
        <w:rPr>
          <w:rFonts w:hint="eastAsia" w:ascii="宋体" w:hAnsi="宋体"/>
          <w:color w:val="auto"/>
          <w:szCs w:val="21"/>
          <w:highlight w:val="none"/>
        </w:rPr>
        <w:t>户名称：</w:t>
      </w:r>
      <w:r>
        <w:rPr>
          <w:rFonts w:hint="eastAsia" w:ascii="宋体" w:hAnsi="宋体"/>
          <w:color w:val="auto"/>
          <w:szCs w:val="21"/>
          <w:highlight w:val="none"/>
          <w:u w:val="single"/>
        </w:rPr>
        <w:t xml:space="preserve">  （必须是投标时使用的</w:t>
      </w:r>
      <w:r>
        <w:rPr>
          <w:rFonts w:hint="eastAsia" w:ascii="宋体" w:hAnsi="宋体"/>
          <w:color w:val="auto"/>
          <w:szCs w:val="21"/>
          <w:highlight w:val="none"/>
          <w:u w:val="single"/>
          <w:lang w:eastAsia="zh-CN"/>
        </w:rPr>
        <w:t>账</w:t>
      </w:r>
      <w:r>
        <w:rPr>
          <w:rFonts w:hint="eastAsia" w:ascii="宋体" w:hAnsi="宋体"/>
          <w:color w:val="auto"/>
          <w:szCs w:val="21"/>
          <w:highlight w:val="none"/>
          <w:u w:val="single"/>
        </w:rPr>
        <w:t xml:space="preserve">户名）   </w:t>
      </w:r>
    </w:p>
    <w:p w14:paraId="3D8BE28C">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lang w:eastAsia="zh-CN"/>
        </w:rPr>
        <w:t>账</w:t>
      </w:r>
      <w:r>
        <w:rPr>
          <w:rFonts w:hint="eastAsia" w:ascii="宋体" w:hAnsi="宋体"/>
          <w:color w:val="auto"/>
          <w:szCs w:val="21"/>
          <w:highlight w:val="none"/>
        </w:rPr>
        <w:t xml:space="preserve">        号：</w:t>
      </w:r>
      <w:r>
        <w:rPr>
          <w:rFonts w:hint="eastAsia" w:ascii="宋体" w:hAnsi="宋体"/>
          <w:color w:val="auto"/>
          <w:szCs w:val="21"/>
          <w:highlight w:val="none"/>
          <w:u w:val="single"/>
        </w:rPr>
        <w:t xml:space="preserve">  （必须是投标时使用的</w:t>
      </w:r>
      <w:r>
        <w:rPr>
          <w:rFonts w:hint="eastAsia" w:ascii="宋体" w:hAnsi="宋体"/>
          <w:color w:val="auto"/>
          <w:szCs w:val="21"/>
          <w:highlight w:val="none"/>
          <w:u w:val="single"/>
          <w:lang w:eastAsia="zh-CN"/>
        </w:rPr>
        <w:t>账</w:t>
      </w:r>
      <w:r>
        <w:rPr>
          <w:rFonts w:hint="eastAsia" w:ascii="宋体" w:hAnsi="宋体"/>
          <w:color w:val="auto"/>
          <w:szCs w:val="21"/>
          <w:highlight w:val="none"/>
          <w:u w:val="single"/>
        </w:rPr>
        <w:t xml:space="preserve">号）        </w:t>
      </w:r>
    </w:p>
    <w:p w14:paraId="29D2C261">
      <w:pPr>
        <w:spacing w:line="480" w:lineRule="auto"/>
        <w:ind w:firstLine="420" w:firstLineChars="200"/>
        <w:rPr>
          <w:rFonts w:ascii="宋体" w:hAnsi="宋体"/>
          <w:color w:val="auto"/>
          <w:szCs w:val="21"/>
          <w:highlight w:val="none"/>
          <w:u w:val="single"/>
        </w:rPr>
      </w:pPr>
      <w:r>
        <w:rPr>
          <w:rFonts w:hint="eastAsia" w:ascii="宋体" w:hAnsi="宋体"/>
          <w:color w:val="auto"/>
          <w:szCs w:val="21"/>
          <w:highlight w:val="none"/>
        </w:rPr>
        <w:t>开 户  银 行：</w:t>
      </w:r>
      <w:r>
        <w:rPr>
          <w:rFonts w:hint="eastAsia" w:ascii="宋体" w:hAnsi="宋体"/>
          <w:color w:val="auto"/>
          <w:szCs w:val="21"/>
          <w:highlight w:val="none"/>
          <w:u w:val="single"/>
        </w:rPr>
        <w:t xml:space="preserve">  （  XX 银行 XX 分行 XX 支行   ）</w:t>
      </w:r>
    </w:p>
    <w:p w14:paraId="2531AAB8">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本单位谨承诺上述资料是正确、真实的，如因上述证明与事实不符导致的一切损失，本单位保证承担赔偿等一切法律责任。</w:t>
      </w:r>
    </w:p>
    <w:p w14:paraId="34568E02">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投标保证金退回时，请按上述资料退回。</w:t>
      </w:r>
    </w:p>
    <w:p w14:paraId="73AE8B8F">
      <w:pPr>
        <w:spacing w:line="480" w:lineRule="auto"/>
        <w:ind w:right="844" w:rightChars="402"/>
        <w:jc w:val="right"/>
        <w:rPr>
          <w:rFonts w:ascii="宋体" w:hAnsi="宋体"/>
          <w:color w:val="auto"/>
          <w:szCs w:val="21"/>
          <w:highlight w:val="none"/>
        </w:rPr>
      </w:pPr>
      <w:r>
        <w:rPr>
          <w:rFonts w:hint="eastAsia" w:ascii="宋体" w:hAnsi="宋体"/>
          <w:color w:val="auto"/>
          <w:szCs w:val="21"/>
          <w:highlight w:val="none"/>
        </w:rPr>
        <w:t>（单位公章）</w:t>
      </w:r>
    </w:p>
    <w:p w14:paraId="07BE4A41">
      <w:pPr>
        <w:spacing w:line="480" w:lineRule="auto"/>
        <w:ind w:right="628" w:rightChars="299"/>
        <w:jc w:val="right"/>
        <w:rPr>
          <w:rFonts w:ascii="宋体" w:hAnsi="宋体"/>
          <w:color w:val="auto"/>
          <w:szCs w:val="21"/>
          <w:highlight w:val="none"/>
        </w:rPr>
      </w:pPr>
      <w:r>
        <w:rPr>
          <w:rFonts w:hint="eastAsia" w:ascii="宋体" w:hAnsi="宋体"/>
          <w:color w:val="auto"/>
          <w:szCs w:val="21"/>
          <w:highlight w:val="none"/>
        </w:rPr>
        <w:t>年</w:t>
      </w:r>
      <w:r>
        <w:rPr>
          <w:rFonts w:hint="eastAsia" w:ascii="宋体" w:hAnsi="宋体"/>
          <w:color w:val="auto"/>
          <w:szCs w:val="21"/>
          <w:highlight w:val="none"/>
          <w:lang w:val="en-US" w:eastAsia="zh-CN"/>
        </w:rPr>
        <w:t xml:space="preserve">  </w:t>
      </w:r>
      <w:r>
        <w:rPr>
          <w:rFonts w:hint="eastAsia" w:ascii="宋体" w:hAnsi="宋体"/>
          <w:color w:val="auto"/>
          <w:szCs w:val="21"/>
          <w:highlight w:val="none"/>
        </w:rPr>
        <w:t xml:space="preserve"> 月 </w:t>
      </w:r>
      <w:r>
        <w:rPr>
          <w:rFonts w:hint="eastAsia" w:ascii="宋体" w:hAnsi="宋体"/>
          <w:color w:val="auto"/>
          <w:szCs w:val="21"/>
          <w:highlight w:val="none"/>
          <w:lang w:val="en-US" w:eastAsia="zh-CN"/>
        </w:rPr>
        <w:t xml:space="preserve">  </w:t>
      </w:r>
      <w:r>
        <w:rPr>
          <w:rFonts w:hint="eastAsia" w:ascii="宋体" w:hAnsi="宋体"/>
          <w:color w:val="auto"/>
          <w:szCs w:val="21"/>
          <w:highlight w:val="none"/>
        </w:rPr>
        <w:t>日</w:t>
      </w:r>
    </w:p>
    <w:p w14:paraId="4018C814">
      <w:pPr>
        <w:spacing w:line="480" w:lineRule="auto"/>
        <w:rPr>
          <w:rFonts w:ascii="宋体" w:hAnsi="宋体"/>
          <w:color w:val="auto"/>
          <w:szCs w:val="21"/>
          <w:highlight w:val="none"/>
        </w:rPr>
      </w:pPr>
      <w:r>
        <w:rPr>
          <w:rFonts w:hint="eastAsia" w:ascii="宋体" w:hAnsi="宋体"/>
          <w:color w:val="auto"/>
          <w:szCs w:val="21"/>
          <w:highlight w:val="none"/>
        </w:rPr>
        <w:t>单位名称：</w:t>
      </w:r>
    </w:p>
    <w:p w14:paraId="415549B2">
      <w:pPr>
        <w:spacing w:line="480" w:lineRule="auto"/>
        <w:rPr>
          <w:rFonts w:ascii="宋体" w:hAnsi="宋体"/>
          <w:color w:val="auto"/>
          <w:szCs w:val="21"/>
          <w:highlight w:val="none"/>
        </w:rPr>
      </w:pPr>
      <w:r>
        <w:rPr>
          <w:rFonts w:hint="eastAsia" w:ascii="宋体" w:hAnsi="宋体"/>
          <w:color w:val="auto"/>
          <w:szCs w:val="21"/>
          <w:highlight w:val="none"/>
        </w:rPr>
        <w:t>单位地址：</w:t>
      </w:r>
    </w:p>
    <w:p w14:paraId="5BD7027A">
      <w:pPr>
        <w:spacing w:line="480" w:lineRule="auto"/>
        <w:rPr>
          <w:rFonts w:ascii="宋体" w:hAnsi="宋体"/>
          <w:color w:val="auto"/>
          <w:szCs w:val="21"/>
          <w:highlight w:val="none"/>
        </w:rPr>
      </w:pPr>
      <w:r>
        <w:rPr>
          <w:rFonts w:hint="eastAsia" w:ascii="宋体" w:hAnsi="宋体"/>
          <w:color w:val="auto"/>
          <w:szCs w:val="21"/>
          <w:highlight w:val="none"/>
        </w:rPr>
        <w:t>联系人：</w:t>
      </w:r>
    </w:p>
    <w:p w14:paraId="3CB65941">
      <w:pPr>
        <w:spacing w:line="480" w:lineRule="auto"/>
        <w:rPr>
          <w:rFonts w:ascii="宋体" w:hAnsi="宋体"/>
          <w:color w:val="auto"/>
          <w:szCs w:val="21"/>
          <w:highlight w:val="none"/>
        </w:rPr>
      </w:pPr>
      <w:r>
        <w:rPr>
          <w:rFonts w:hint="eastAsia" w:ascii="宋体" w:hAnsi="宋体"/>
          <w:color w:val="auto"/>
          <w:szCs w:val="21"/>
          <w:highlight w:val="none"/>
        </w:rPr>
        <w:t>单位电话： 联系人手机：</w:t>
      </w:r>
    </w:p>
    <w:p w14:paraId="5A2C8940">
      <w:pPr>
        <w:rPr>
          <w:rFonts w:ascii="宋体" w:hAnsi="宋体"/>
          <w:color w:val="auto"/>
          <w:szCs w:val="21"/>
          <w:highlight w:val="none"/>
        </w:rPr>
      </w:pPr>
    </w:p>
    <w:p w14:paraId="32295108">
      <w:pPr>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br w:type="page"/>
      </w:r>
    </w:p>
    <w:p w14:paraId="58D39F6A">
      <w:pPr>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t>附：我方投标保证金汇款凭证</w:t>
      </w:r>
    </w:p>
    <w:tbl>
      <w:tblPr>
        <w:tblStyle w:val="30"/>
        <w:tblW w:w="860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00"/>
      </w:tblGrid>
      <w:tr w14:paraId="33B269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89" w:hRule="atLeast"/>
        </w:trPr>
        <w:tc>
          <w:tcPr>
            <w:tcW w:w="8600" w:type="dxa"/>
            <w:vAlign w:val="center"/>
          </w:tcPr>
          <w:p w14:paraId="604175A6">
            <w:pPr>
              <w:tabs>
                <w:tab w:val="left" w:pos="3885"/>
              </w:tabs>
              <w:jc w:val="center"/>
              <w:rPr>
                <w:rFonts w:ascii="宋体" w:hAnsi="宋体"/>
                <w:color w:val="auto"/>
                <w:szCs w:val="21"/>
                <w:highlight w:val="none"/>
              </w:rPr>
            </w:pPr>
            <w:r>
              <w:rPr>
                <w:rFonts w:hint="eastAsia" w:ascii="宋体" w:hAnsi="宋体"/>
                <w:color w:val="auto"/>
                <w:szCs w:val="21"/>
                <w:highlight w:val="none"/>
              </w:rPr>
              <w:t>（粘贴汇款单或转账</w:t>
            </w:r>
            <w:r>
              <w:rPr>
                <w:rFonts w:ascii="宋体" w:hAnsi="宋体"/>
                <w:color w:val="auto"/>
                <w:szCs w:val="21"/>
                <w:highlight w:val="none"/>
              </w:rPr>
              <w:t>凭证</w:t>
            </w:r>
            <w:r>
              <w:rPr>
                <w:rFonts w:hint="eastAsia" w:ascii="宋体" w:hAnsi="宋体"/>
                <w:color w:val="auto"/>
                <w:szCs w:val="21"/>
                <w:highlight w:val="none"/>
              </w:rPr>
              <w:t>复印件，并在骑缝上加盖投标人公章，或是直接把转账</w:t>
            </w:r>
            <w:r>
              <w:rPr>
                <w:rFonts w:ascii="宋体" w:hAnsi="宋体"/>
                <w:color w:val="auto"/>
                <w:szCs w:val="21"/>
                <w:highlight w:val="none"/>
              </w:rPr>
              <w:t>凭证</w:t>
            </w:r>
            <w:r>
              <w:rPr>
                <w:rFonts w:hint="eastAsia" w:ascii="宋体" w:hAnsi="宋体"/>
                <w:color w:val="auto"/>
                <w:szCs w:val="21"/>
                <w:highlight w:val="none"/>
              </w:rPr>
              <w:t>复印到此张纸上）</w:t>
            </w:r>
          </w:p>
        </w:tc>
      </w:tr>
    </w:tbl>
    <w:p w14:paraId="12B66AA8">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注：此表既要装订在投标文件中，又要按投标人须知的规定与开标一览表、投标保证金汇款底单复印件及授权委托书一同密封装入唱标信封，唱标信封单独提交。</w:t>
      </w:r>
    </w:p>
    <w:p w14:paraId="4B8C1874">
      <w:pPr>
        <w:rPr>
          <w:rFonts w:hint="eastAsia"/>
          <w:color w:val="auto"/>
          <w:highlight w:val="none"/>
          <w:lang w:val="en-US" w:eastAsia="zh-CN"/>
        </w:rPr>
      </w:pPr>
    </w:p>
    <w:p w14:paraId="49AF8BCC">
      <w:pPr>
        <w:widowControl w:val="0"/>
        <w:overflowPunct w:val="0"/>
        <w:spacing w:line="240" w:lineRule="auto"/>
        <w:rPr>
          <w:rFonts w:hint="eastAsia" w:ascii="宋体" w:hAnsi="宋体"/>
          <w:color w:val="auto"/>
          <w:sz w:val="21"/>
          <w:szCs w:val="21"/>
          <w:highlight w:val="none"/>
          <w:lang w:val="en-US" w:eastAsia="zh-CN"/>
        </w:rPr>
      </w:pPr>
      <w:r>
        <w:rPr>
          <w:rFonts w:hint="eastAsia" w:ascii="宋体" w:hAnsi="宋体"/>
          <w:color w:val="auto"/>
          <w:sz w:val="21"/>
          <w:szCs w:val="21"/>
          <w:highlight w:val="none"/>
          <w:lang w:val="en-US" w:eastAsia="zh-CN"/>
        </w:rPr>
        <w:br w:type="page"/>
      </w:r>
    </w:p>
    <w:bookmarkEnd w:id="480"/>
    <w:p w14:paraId="35925B8F">
      <w:pPr>
        <w:pStyle w:val="6"/>
        <w:widowControl w:val="0"/>
        <w:overflowPunct w:val="0"/>
        <w:spacing w:line="240" w:lineRule="auto"/>
        <w:rPr>
          <w:rFonts w:ascii="宋体" w:hAnsi="宋体"/>
          <w:color w:val="auto"/>
          <w:sz w:val="21"/>
          <w:szCs w:val="21"/>
          <w:highlight w:val="none"/>
        </w:rPr>
      </w:pPr>
      <w:bookmarkStart w:id="502" w:name="_Toc28040"/>
      <w:r>
        <w:rPr>
          <w:rFonts w:hint="eastAsia" w:ascii="宋体" w:hAnsi="宋体"/>
          <w:color w:val="auto"/>
          <w:sz w:val="21"/>
          <w:szCs w:val="21"/>
          <w:highlight w:val="none"/>
        </w:rPr>
        <w:t>附件1</w:t>
      </w:r>
      <w:r>
        <w:rPr>
          <w:rFonts w:hint="eastAsia" w:ascii="宋体" w:hAnsi="宋体"/>
          <w:color w:val="auto"/>
          <w:sz w:val="21"/>
          <w:szCs w:val="21"/>
          <w:highlight w:val="none"/>
          <w:lang w:val="en-US" w:eastAsia="zh-CN"/>
        </w:rPr>
        <w:t xml:space="preserve">4  </w:t>
      </w:r>
      <w:r>
        <w:rPr>
          <w:rFonts w:hint="eastAsia" w:ascii="宋体" w:hAnsi="宋体"/>
          <w:color w:val="auto"/>
          <w:sz w:val="21"/>
          <w:szCs w:val="21"/>
          <w:highlight w:val="none"/>
        </w:rPr>
        <w:t>商务需求条款偏离表格式</w:t>
      </w:r>
      <w:bookmarkEnd w:id="502"/>
    </w:p>
    <w:p w14:paraId="6B9E03FE">
      <w:pPr>
        <w:jc w:val="center"/>
        <w:rPr>
          <w:rFonts w:ascii="黑体" w:eastAsia="黑体"/>
          <w:color w:val="auto"/>
          <w:sz w:val="28"/>
          <w:szCs w:val="28"/>
          <w:highlight w:val="none"/>
        </w:rPr>
      </w:pPr>
    </w:p>
    <w:p w14:paraId="7D27AE48">
      <w:pPr>
        <w:jc w:val="center"/>
        <w:rPr>
          <w:rFonts w:ascii="黑体" w:eastAsia="黑体"/>
          <w:color w:val="auto"/>
          <w:sz w:val="28"/>
          <w:szCs w:val="28"/>
          <w:highlight w:val="none"/>
        </w:rPr>
      </w:pPr>
      <w:r>
        <w:rPr>
          <w:rFonts w:hint="eastAsia" w:ascii="黑体" w:eastAsia="黑体"/>
          <w:color w:val="auto"/>
          <w:sz w:val="28"/>
          <w:szCs w:val="28"/>
          <w:highlight w:val="none"/>
        </w:rPr>
        <w:t>商务需求条款偏离表</w:t>
      </w:r>
    </w:p>
    <w:tbl>
      <w:tblPr>
        <w:tblStyle w:val="30"/>
        <w:tblW w:w="84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8"/>
        <w:gridCol w:w="1620"/>
        <w:gridCol w:w="1360"/>
        <w:gridCol w:w="1587"/>
        <w:gridCol w:w="1133"/>
        <w:gridCol w:w="1730"/>
      </w:tblGrid>
      <w:tr w14:paraId="227C4B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2" w:hRule="atLeast"/>
        </w:trPr>
        <w:tc>
          <w:tcPr>
            <w:tcW w:w="1008" w:type="dxa"/>
            <w:vAlign w:val="center"/>
          </w:tcPr>
          <w:p w14:paraId="513E0CC8">
            <w:pPr>
              <w:jc w:val="center"/>
              <w:rPr>
                <w:rFonts w:ascii="宋体" w:hAnsi="宋体"/>
                <w:color w:val="auto"/>
                <w:szCs w:val="21"/>
                <w:highlight w:val="none"/>
              </w:rPr>
            </w:pPr>
            <w:r>
              <w:rPr>
                <w:rFonts w:hint="eastAsia" w:ascii="宋体" w:hAnsi="宋体"/>
                <w:color w:val="auto"/>
                <w:szCs w:val="21"/>
                <w:highlight w:val="none"/>
              </w:rPr>
              <w:t>序号</w:t>
            </w:r>
          </w:p>
        </w:tc>
        <w:tc>
          <w:tcPr>
            <w:tcW w:w="1620" w:type="dxa"/>
            <w:vAlign w:val="center"/>
          </w:tcPr>
          <w:p w14:paraId="697D0DE5">
            <w:pPr>
              <w:jc w:val="center"/>
              <w:rPr>
                <w:rFonts w:ascii="宋体" w:hAnsi="宋体"/>
                <w:color w:val="auto"/>
                <w:szCs w:val="21"/>
                <w:highlight w:val="none"/>
              </w:rPr>
            </w:pPr>
            <w:r>
              <w:rPr>
                <w:rFonts w:hint="eastAsia" w:ascii="宋体" w:hAnsi="宋体"/>
                <w:color w:val="auto"/>
                <w:szCs w:val="21"/>
                <w:highlight w:val="none"/>
              </w:rPr>
              <w:t>服务项目名称</w:t>
            </w:r>
          </w:p>
        </w:tc>
        <w:tc>
          <w:tcPr>
            <w:tcW w:w="1360" w:type="dxa"/>
            <w:vAlign w:val="center"/>
          </w:tcPr>
          <w:p w14:paraId="4898C966">
            <w:pPr>
              <w:jc w:val="center"/>
              <w:rPr>
                <w:rFonts w:ascii="宋体" w:hAnsi="宋体"/>
                <w:color w:val="auto"/>
                <w:szCs w:val="21"/>
                <w:highlight w:val="none"/>
              </w:rPr>
            </w:pPr>
            <w:r>
              <w:rPr>
                <w:rFonts w:hint="eastAsia" w:ascii="宋体" w:hAnsi="宋体"/>
                <w:color w:val="auto"/>
                <w:szCs w:val="21"/>
                <w:highlight w:val="none"/>
              </w:rPr>
              <w:t>采购要求</w:t>
            </w:r>
          </w:p>
        </w:tc>
        <w:tc>
          <w:tcPr>
            <w:tcW w:w="1587" w:type="dxa"/>
            <w:vAlign w:val="center"/>
          </w:tcPr>
          <w:p w14:paraId="7C552F60">
            <w:pPr>
              <w:jc w:val="center"/>
              <w:rPr>
                <w:rFonts w:ascii="宋体" w:hAnsi="宋体"/>
                <w:color w:val="auto"/>
                <w:szCs w:val="21"/>
                <w:highlight w:val="none"/>
              </w:rPr>
            </w:pPr>
            <w:r>
              <w:rPr>
                <w:rFonts w:hint="eastAsia" w:ascii="宋体" w:hAnsi="宋体"/>
                <w:color w:val="auto"/>
                <w:szCs w:val="21"/>
                <w:highlight w:val="none"/>
              </w:rPr>
              <w:t>投标实际响应</w:t>
            </w:r>
          </w:p>
        </w:tc>
        <w:tc>
          <w:tcPr>
            <w:tcW w:w="1133" w:type="dxa"/>
            <w:vAlign w:val="center"/>
          </w:tcPr>
          <w:p w14:paraId="4646E8AB">
            <w:pPr>
              <w:jc w:val="center"/>
              <w:rPr>
                <w:rFonts w:ascii="宋体" w:hAnsi="宋体"/>
                <w:color w:val="auto"/>
                <w:szCs w:val="21"/>
                <w:highlight w:val="none"/>
              </w:rPr>
            </w:pPr>
            <w:r>
              <w:rPr>
                <w:rFonts w:hint="eastAsia" w:ascii="宋体" w:hAnsi="宋体"/>
                <w:color w:val="auto"/>
                <w:szCs w:val="21"/>
                <w:highlight w:val="none"/>
              </w:rPr>
              <w:t>是否偏离</w:t>
            </w:r>
          </w:p>
        </w:tc>
        <w:tc>
          <w:tcPr>
            <w:tcW w:w="1730" w:type="dxa"/>
            <w:vAlign w:val="center"/>
          </w:tcPr>
          <w:p w14:paraId="68BC920F">
            <w:pPr>
              <w:jc w:val="center"/>
              <w:rPr>
                <w:rFonts w:ascii="宋体" w:hAnsi="宋体"/>
                <w:color w:val="auto"/>
                <w:szCs w:val="21"/>
                <w:highlight w:val="none"/>
              </w:rPr>
            </w:pPr>
            <w:r>
              <w:rPr>
                <w:rFonts w:hint="eastAsia" w:ascii="宋体" w:hAnsi="宋体"/>
                <w:color w:val="auto"/>
                <w:szCs w:val="21"/>
                <w:highlight w:val="none"/>
              </w:rPr>
              <w:t>说明</w:t>
            </w:r>
          </w:p>
        </w:tc>
      </w:tr>
      <w:tr w14:paraId="08DF25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41D57116">
            <w:pPr>
              <w:jc w:val="center"/>
              <w:rPr>
                <w:rFonts w:ascii="宋体" w:hAnsi="宋体"/>
                <w:color w:val="auto"/>
                <w:szCs w:val="21"/>
                <w:highlight w:val="none"/>
              </w:rPr>
            </w:pPr>
          </w:p>
        </w:tc>
        <w:tc>
          <w:tcPr>
            <w:tcW w:w="1620" w:type="dxa"/>
            <w:vAlign w:val="center"/>
          </w:tcPr>
          <w:p w14:paraId="05801D99">
            <w:pPr>
              <w:jc w:val="center"/>
              <w:rPr>
                <w:rFonts w:ascii="宋体" w:hAnsi="宋体"/>
                <w:color w:val="auto"/>
                <w:szCs w:val="21"/>
                <w:highlight w:val="none"/>
              </w:rPr>
            </w:pPr>
          </w:p>
        </w:tc>
        <w:tc>
          <w:tcPr>
            <w:tcW w:w="1360" w:type="dxa"/>
            <w:vAlign w:val="center"/>
          </w:tcPr>
          <w:p w14:paraId="52F35A99">
            <w:pPr>
              <w:jc w:val="center"/>
              <w:rPr>
                <w:rFonts w:ascii="宋体" w:hAnsi="宋体"/>
                <w:color w:val="auto"/>
                <w:szCs w:val="21"/>
                <w:highlight w:val="none"/>
              </w:rPr>
            </w:pPr>
          </w:p>
        </w:tc>
        <w:tc>
          <w:tcPr>
            <w:tcW w:w="1587" w:type="dxa"/>
            <w:vAlign w:val="center"/>
          </w:tcPr>
          <w:p w14:paraId="416F28E3">
            <w:pPr>
              <w:jc w:val="center"/>
              <w:rPr>
                <w:rFonts w:ascii="宋体" w:hAnsi="宋体"/>
                <w:color w:val="auto"/>
                <w:szCs w:val="21"/>
                <w:highlight w:val="none"/>
              </w:rPr>
            </w:pPr>
          </w:p>
        </w:tc>
        <w:tc>
          <w:tcPr>
            <w:tcW w:w="1133" w:type="dxa"/>
            <w:vAlign w:val="center"/>
          </w:tcPr>
          <w:p w14:paraId="46F89E64">
            <w:pPr>
              <w:jc w:val="center"/>
              <w:rPr>
                <w:rFonts w:ascii="宋体" w:hAnsi="宋体"/>
                <w:color w:val="auto"/>
                <w:szCs w:val="21"/>
                <w:highlight w:val="none"/>
              </w:rPr>
            </w:pPr>
          </w:p>
        </w:tc>
        <w:tc>
          <w:tcPr>
            <w:tcW w:w="1730" w:type="dxa"/>
            <w:vAlign w:val="center"/>
          </w:tcPr>
          <w:p w14:paraId="01245AFA">
            <w:pPr>
              <w:jc w:val="center"/>
              <w:rPr>
                <w:rFonts w:ascii="宋体" w:hAnsi="宋体"/>
                <w:color w:val="auto"/>
                <w:szCs w:val="21"/>
                <w:highlight w:val="none"/>
              </w:rPr>
            </w:pPr>
          </w:p>
        </w:tc>
      </w:tr>
      <w:tr w14:paraId="061C6B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7FC509A4">
            <w:pPr>
              <w:jc w:val="center"/>
              <w:rPr>
                <w:rFonts w:ascii="宋体" w:hAnsi="宋体"/>
                <w:color w:val="auto"/>
                <w:szCs w:val="21"/>
                <w:highlight w:val="none"/>
              </w:rPr>
            </w:pPr>
          </w:p>
        </w:tc>
        <w:tc>
          <w:tcPr>
            <w:tcW w:w="1620" w:type="dxa"/>
            <w:vAlign w:val="center"/>
          </w:tcPr>
          <w:p w14:paraId="292D7A81">
            <w:pPr>
              <w:jc w:val="center"/>
              <w:rPr>
                <w:rFonts w:ascii="宋体" w:hAnsi="宋体"/>
                <w:color w:val="auto"/>
                <w:szCs w:val="21"/>
                <w:highlight w:val="none"/>
              </w:rPr>
            </w:pPr>
          </w:p>
        </w:tc>
        <w:tc>
          <w:tcPr>
            <w:tcW w:w="1360" w:type="dxa"/>
            <w:vAlign w:val="center"/>
          </w:tcPr>
          <w:p w14:paraId="0E7BBAF1">
            <w:pPr>
              <w:jc w:val="center"/>
              <w:rPr>
                <w:rFonts w:ascii="宋体" w:hAnsi="宋体"/>
                <w:color w:val="auto"/>
                <w:szCs w:val="21"/>
                <w:highlight w:val="none"/>
              </w:rPr>
            </w:pPr>
          </w:p>
        </w:tc>
        <w:tc>
          <w:tcPr>
            <w:tcW w:w="1587" w:type="dxa"/>
            <w:vAlign w:val="center"/>
          </w:tcPr>
          <w:p w14:paraId="5CEAA2F7">
            <w:pPr>
              <w:jc w:val="center"/>
              <w:rPr>
                <w:rFonts w:ascii="宋体" w:hAnsi="宋体"/>
                <w:color w:val="auto"/>
                <w:szCs w:val="21"/>
                <w:highlight w:val="none"/>
              </w:rPr>
            </w:pPr>
          </w:p>
        </w:tc>
        <w:tc>
          <w:tcPr>
            <w:tcW w:w="1133" w:type="dxa"/>
            <w:vAlign w:val="center"/>
          </w:tcPr>
          <w:p w14:paraId="3A63879B">
            <w:pPr>
              <w:jc w:val="center"/>
              <w:rPr>
                <w:rFonts w:ascii="宋体" w:hAnsi="宋体"/>
                <w:color w:val="auto"/>
                <w:szCs w:val="21"/>
                <w:highlight w:val="none"/>
              </w:rPr>
            </w:pPr>
          </w:p>
        </w:tc>
        <w:tc>
          <w:tcPr>
            <w:tcW w:w="1730" w:type="dxa"/>
            <w:vAlign w:val="center"/>
          </w:tcPr>
          <w:p w14:paraId="1BA008CA">
            <w:pPr>
              <w:jc w:val="center"/>
              <w:rPr>
                <w:rFonts w:ascii="宋体" w:hAnsi="宋体"/>
                <w:color w:val="auto"/>
                <w:szCs w:val="21"/>
                <w:highlight w:val="none"/>
              </w:rPr>
            </w:pPr>
          </w:p>
        </w:tc>
      </w:tr>
      <w:tr w14:paraId="3F1231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602CE610">
            <w:pPr>
              <w:jc w:val="center"/>
              <w:rPr>
                <w:rFonts w:ascii="宋体" w:hAnsi="宋体"/>
                <w:color w:val="auto"/>
                <w:szCs w:val="21"/>
                <w:highlight w:val="none"/>
              </w:rPr>
            </w:pPr>
          </w:p>
        </w:tc>
        <w:tc>
          <w:tcPr>
            <w:tcW w:w="1620" w:type="dxa"/>
            <w:vAlign w:val="center"/>
          </w:tcPr>
          <w:p w14:paraId="7A24FE8A">
            <w:pPr>
              <w:jc w:val="center"/>
              <w:rPr>
                <w:rFonts w:ascii="宋体" w:hAnsi="宋体"/>
                <w:color w:val="auto"/>
                <w:szCs w:val="21"/>
                <w:highlight w:val="none"/>
              </w:rPr>
            </w:pPr>
          </w:p>
        </w:tc>
        <w:tc>
          <w:tcPr>
            <w:tcW w:w="1360" w:type="dxa"/>
            <w:vAlign w:val="center"/>
          </w:tcPr>
          <w:p w14:paraId="51B19459">
            <w:pPr>
              <w:jc w:val="center"/>
              <w:rPr>
                <w:rFonts w:ascii="宋体" w:hAnsi="宋体"/>
                <w:color w:val="auto"/>
                <w:szCs w:val="21"/>
                <w:highlight w:val="none"/>
              </w:rPr>
            </w:pPr>
          </w:p>
        </w:tc>
        <w:tc>
          <w:tcPr>
            <w:tcW w:w="1587" w:type="dxa"/>
            <w:vAlign w:val="center"/>
          </w:tcPr>
          <w:p w14:paraId="32A3D277">
            <w:pPr>
              <w:jc w:val="center"/>
              <w:rPr>
                <w:rFonts w:ascii="宋体" w:hAnsi="宋体"/>
                <w:color w:val="auto"/>
                <w:szCs w:val="21"/>
                <w:highlight w:val="none"/>
              </w:rPr>
            </w:pPr>
          </w:p>
        </w:tc>
        <w:tc>
          <w:tcPr>
            <w:tcW w:w="1133" w:type="dxa"/>
            <w:vAlign w:val="center"/>
          </w:tcPr>
          <w:p w14:paraId="06ADD8E7">
            <w:pPr>
              <w:jc w:val="center"/>
              <w:rPr>
                <w:rFonts w:ascii="宋体" w:hAnsi="宋体"/>
                <w:color w:val="auto"/>
                <w:szCs w:val="21"/>
                <w:highlight w:val="none"/>
              </w:rPr>
            </w:pPr>
          </w:p>
        </w:tc>
        <w:tc>
          <w:tcPr>
            <w:tcW w:w="1730" w:type="dxa"/>
            <w:vAlign w:val="center"/>
          </w:tcPr>
          <w:p w14:paraId="1C153F84">
            <w:pPr>
              <w:jc w:val="center"/>
              <w:rPr>
                <w:rFonts w:ascii="宋体" w:hAnsi="宋体"/>
                <w:color w:val="auto"/>
                <w:szCs w:val="21"/>
                <w:highlight w:val="none"/>
              </w:rPr>
            </w:pPr>
          </w:p>
        </w:tc>
      </w:tr>
      <w:tr w14:paraId="3590AF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5637F6A1">
            <w:pPr>
              <w:jc w:val="center"/>
              <w:rPr>
                <w:rFonts w:ascii="宋体" w:hAnsi="宋体"/>
                <w:color w:val="auto"/>
                <w:szCs w:val="21"/>
                <w:highlight w:val="none"/>
              </w:rPr>
            </w:pPr>
          </w:p>
        </w:tc>
        <w:tc>
          <w:tcPr>
            <w:tcW w:w="1620" w:type="dxa"/>
            <w:vAlign w:val="center"/>
          </w:tcPr>
          <w:p w14:paraId="284BD167">
            <w:pPr>
              <w:jc w:val="center"/>
              <w:rPr>
                <w:rFonts w:ascii="宋体" w:hAnsi="宋体"/>
                <w:color w:val="auto"/>
                <w:szCs w:val="21"/>
                <w:highlight w:val="none"/>
              </w:rPr>
            </w:pPr>
          </w:p>
        </w:tc>
        <w:tc>
          <w:tcPr>
            <w:tcW w:w="1360" w:type="dxa"/>
            <w:vAlign w:val="center"/>
          </w:tcPr>
          <w:p w14:paraId="01E7F10C">
            <w:pPr>
              <w:jc w:val="center"/>
              <w:rPr>
                <w:rFonts w:ascii="宋体" w:hAnsi="宋体"/>
                <w:color w:val="auto"/>
                <w:szCs w:val="21"/>
                <w:highlight w:val="none"/>
              </w:rPr>
            </w:pPr>
          </w:p>
        </w:tc>
        <w:tc>
          <w:tcPr>
            <w:tcW w:w="1587" w:type="dxa"/>
            <w:vAlign w:val="center"/>
          </w:tcPr>
          <w:p w14:paraId="0067C48E">
            <w:pPr>
              <w:jc w:val="center"/>
              <w:rPr>
                <w:rFonts w:ascii="宋体" w:hAnsi="宋体"/>
                <w:color w:val="auto"/>
                <w:szCs w:val="21"/>
                <w:highlight w:val="none"/>
              </w:rPr>
            </w:pPr>
          </w:p>
        </w:tc>
        <w:tc>
          <w:tcPr>
            <w:tcW w:w="1133" w:type="dxa"/>
            <w:vAlign w:val="center"/>
          </w:tcPr>
          <w:p w14:paraId="01D90B06">
            <w:pPr>
              <w:jc w:val="center"/>
              <w:rPr>
                <w:rFonts w:ascii="宋体" w:hAnsi="宋体"/>
                <w:color w:val="auto"/>
                <w:szCs w:val="21"/>
                <w:highlight w:val="none"/>
              </w:rPr>
            </w:pPr>
          </w:p>
        </w:tc>
        <w:tc>
          <w:tcPr>
            <w:tcW w:w="1730" w:type="dxa"/>
            <w:vAlign w:val="center"/>
          </w:tcPr>
          <w:p w14:paraId="06B13341">
            <w:pPr>
              <w:jc w:val="center"/>
              <w:rPr>
                <w:rFonts w:ascii="宋体" w:hAnsi="宋体"/>
                <w:color w:val="auto"/>
                <w:szCs w:val="21"/>
                <w:highlight w:val="none"/>
              </w:rPr>
            </w:pPr>
          </w:p>
        </w:tc>
      </w:tr>
      <w:tr w14:paraId="2653E3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098A688D">
            <w:pPr>
              <w:jc w:val="center"/>
              <w:rPr>
                <w:rFonts w:ascii="宋体" w:hAnsi="宋体"/>
                <w:color w:val="auto"/>
                <w:szCs w:val="21"/>
                <w:highlight w:val="none"/>
              </w:rPr>
            </w:pPr>
          </w:p>
        </w:tc>
        <w:tc>
          <w:tcPr>
            <w:tcW w:w="1620" w:type="dxa"/>
            <w:vAlign w:val="center"/>
          </w:tcPr>
          <w:p w14:paraId="0C76A271">
            <w:pPr>
              <w:jc w:val="center"/>
              <w:rPr>
                <w:rFonts w:ascii="宋体" w:hAnsi="宋体"/>
                <w:color w:val="auto"/>
                <w:szCs w:val="21"/>
                <w:highlight w:val="none"/>
              </w:rPr>
            </w:pPr>
          </w:p>
        </w:tc>
        <w:tc>
          <w:tcPr>
            <w:tcW w:w="1360" w:type="dxa"/>
            <w:vAlign w:val="center"/>
          </w:tcPr>
          <w:p w14:paraId="4F5CA6D8">
            <w:pPr>
              <w:jc w:val="center"/>
              <w:rPr>
                <w:rFonts w:ascii="宋体" w:hAnsi="宋体"/>
                <w:color w:val="auto"/>
                <w:szCs w:val="21"/>
                <w:highlight w:val="none"/>
              </w:rPr>
            </w:pPr>
          </w:p>
        </w:tc>
        <w:tc>
          <w:tcPr>
            <w:tcW w:w="1587" w:type="dxa"/>
            <w:vAlign w:val="center"/>
          </w:tcPr>
          <w:p w14:paraId="35C02EE5">
            <w:pPr>
              <w:jc w:val="center"/>
              <w:rPr>
                <w:rFonts w:ascii="宋体" w:hAnsi="宋体"/>
                <w:color w:val="auto"/>
                <w:szCs w:val="21"/>
                <w:highlight w:val="none"/>
              </w:rPr>
            </w:pPr>
          </w:p>
        </w:tc>
        <w:tc>
          <w:tcPr>
            <w:tcW w:w="1133" w:type="dxa"/>
            <w:vAlign w:val="center"/>
          </w:tcPr>
          <w:p w14:paraId="280E77AC">
            <w:pPr>
              <w:jc w:val="center"/>
              <w:rPr>
                <w:rFonts w:ascii="宋体" w:hAnsi="宋体"/>
                <w:color w:val="auto"/>
                <w:szCs w:val="21"/>
                <w:highlight w:val="none"/>
              </w:rPr>
            </w:pPr>
          </w:p>
        </w:tc>
        <w:tc>
          <w:tcPr>
            <w:tcW w:w="1730" w:type="dxa"/>
            <w:vAlign w:val="center"/>
          </w:tcPr>
          <w:p w14:paraId="5174E8A2">
            <w:pPr>
              <w:jc w:val="center"/>
              <w:rPr>
                <w:rFonts w:ascii="宋体" w:hAnsi="宋体"/>
                <w:color w:val="auto"/>
                <w:szCs w:val="21"/>
                <w:highlight w:val="none"/>
              </w:rPr>
            </w:pPr>
          </w:p>
        </w:tc>
      </w:tr>
      <w:tr w14:paraId="078748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6F8CD1D7">
            <w:pPr>
              <w:jc w:val="center"/>
              <w:rPr>
                <w:rFonts w:ascii="宋体" w:hAnsi="宋体"/>
                <w:color w:val="auto"/>
                <w:szCs w:val="21"/>
                <w:highlight w:val="none"/>
              </w:rPr>
            </w:pPr>
          </w:p>
        </w:tc>
        <w:tc>
          <w:tcPr>
            <w:tcW w:w="1620" w:type="dxa"/>
            <w:vAlign w:val="center"/>
          </w:tcPr>
          <w:p w14:paraId="2630E8D7">
            <w:pPr>
              <w:jc w:val="center"/>
              <w:rPr>
                <w:rFonts w:ascii="宋体" w:hAnsi="宋体"/>
                <w:color w:val="auto"/>
                <w:szCs w:val="21"/>
                <w:highlight w:val="none"/>
              </w:rPr>
            </w:pPr>
          </w:p>
        </w:tc>
        <w:tc>
          <w:tcPr>
            <w:tcW w:w="1360" w:type="dxa"/>
            <w:vAlign w:val="center"/>
          </w:tcPr>
          <w:p w14:paraId="26B89CAD">
            <w:pPr>
              <w:jc w:val="center"/>
              <w:rPr>
                <w:rFonts w:ascii="宋体" w:hAnsi="宋体"/>
                <w:color w:val="auto"/>
                <w:szCs w:val="21"/>
                <w:highlight w:val="none"/>
              </w:rPr>
            </w:pPr>
          </w:p>
        </w:tc>
        <w:tc>
          <w:tcPr>
            <w:tcW w:w="1587" w:type="dxa"/>
            <w:vAlign w:val="center"/>
          </w:tcPr>
          <w:p w14:paraId="36CF0F02">
            <w:pPr>
              <w:jc w:val="center"/>
              <w:rPr>
                <w:rFonts w:ascii="宋体" w:hAnsi="宋体"/>
                <w:color w:val="auto"/>
                <w:szCs w:val="21"/>
                <w:highlight w:val="none"/>
              </w:rPr>
            </w:pPr>
          </w:p>
        </w:tc>
        <w:tc>
          <w:tcPr>
            <w:tcW w:w="1133" w:type="dxa"/>
            <w:vAlign w:val="center"/>
          </w:tcPr>
          <w:p w14:paraId="5E78DB91">
            <w:pPr>
              <w:jc w:val="center"/>
              <w:rPr>
                <w:rFonts w:ascii="宋体" w:hAnsi="宋体"/>
                <w:color w:val="auto"/>
                <w:szCs w:val="21"/>
                <w:highlight w:val="none"/>
              </w:rPr>
            </w:pPr>
          </w:p>
        </w:tc>
        <w:tc>
          <w:tcPr>
            <w:tcW w:w="1730" w:type="dxa"/>
            <w:vAlign w:val="center"/>
          </w:tcPr>
          <w:p w14:paraId="21EEE916">
            <w:pPr>
              <w:jc w:val="center"/>
              <w:rPr>
                <w:rFonts w:ascii="宋体" w:hAnsi="宋体"/>
                <w:color w:val="auto"/>
                <w:szCs w:val="21"/>
                <w:highlight w:val="none"/>
              </w:rPr>
            </w:pPr>
          </w:p>
        </w:tc>
      </w:tr>
      <w:tr w14:paraId="08DF35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106678AC">
            <w:pPr>
              <w:jc w:val="center"/>
              <w:rPr>
                <w:rFonts w:ascii="宋体" w:hAnsi="宋体"/>
                <w:color w:val="auto"/>
                <w:szCs w:val="21"/>
                <w:highlight w:val="none"/>
              </w:rPr>
            </w:pPr>
          </w:p>
        </w:tc>
        <w:tc>
          <w:tcPr>
            <w:tcW w:w="1620" w:type="dxa"/>
            <w:vAlign w:val="center"/>
          </w:tcPr>
          <w:p w14:paraId="4184D297">
            <w:pPr>
              <w:jc w:val="center"/>
              <w:rPr>
                <w:rFonts w:ascii="宋体" w:hAnsi="宋体"/>
                <w:color w:val="auto"/>
                <w:szCs w:val="21"/>
                <w:highlight w:val="none"/>
              </w:rPr>
            </w:pPr>
          </w:p>
        </w:tc>
        <w:tc>
          <w:tcPr>
            <w:tcW w:w="1360" w:type="dxa"/>
            <w:vAlign w:val="center"/>
          </w:tcPr>
          <w:p w14:paraId="69951718">
            <w:pPr>
              <w:jc w:val="center"/>
              <w:rPr>
                <w:rFonts w:ascii="宋体" w:hAnsi="宋体"/>
                <w:color w:val="auto"/>
                <w:szCs w:val="21"/>
                <w:highlight w:val="none"/>
              </w:rPr>
            </w:pPr>
          </w:p>
        </w:tc>
        <w:tc>
          <w:tcPr>
            <w:tcW w:w="1587" w:type="dxa"/>
            <w:vAlign w:val="center"/>
          </w:tcPr>
          <w:p w14:paraId="4262FB16">
            <w:pPr>
              <w:jc w:val="center"/>
              <w:rPr>
                <w:rFonts w:ascii="宋体" w:hAnsi="宋体"/>
                <w:color w:val="auto"/>
                <w:szCs w:val="21"/>
                <w:highlight w:val="none"/>
              </w:rPr>
            </w:pPr>
          </w:p>
        </w:tc>
        <w:tc>
          <w:tcPr>
            <w:tcW w:w="1133" w:type="dxa"/>
            <w:vAlign w:val="center"/>
          </w:tcPr>
          <w:p w14:paraId="2BD5D333">
            <w:pPr>
              <w:jc w:val="center"/>
              <w:rPr>
                <w:rFonts w:ascii="宋体" w:hAnsi="宋体"/>
                <w:color w:val="auto"/>
                <w:szCs w:val="21"/>
                <w:highlight w:val="none"/>
              </w:rPr>
            </w:pPr>
          </w:p>
        </w:tc>
        <w:tc>
          <w:tcPr>
            <w:tcW w:w="1730" w:type="dxa"/>
            <w:vAlign w:val="center"/>
          </w:tcPr>
          <w:p w14:paraId="0E611EC6">
            <w:pPr>
              <w:jc w:val="center"/>
              <w:rPr>
                <w:rFonts w:ascii="宋体" w:hAnsi="宋体"/>
                <w:color w:val="auto"/>
                <w:szCs w:val="21"/>
                <w:highlight w:val="none"/>
              </w:rPr>
            </w:pPr>
          </w:p>
        </w:tc>
      </w:tr>
      <w:tr w14:paraId="2C4C94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213ED13A">
            <w:pPr>
              <w:jc w:val="center"/>
              <w:rPr>
                <w:rFonts w:ascii="宋体" w:hAnsi="宋体"/>
                <w:color w:val="auto"/>
                <w:szCs w:val="21"/>
                <w:highlight w:val="none"/>
              </w:rPr>
            </w:pPr>
          </w:p>
        </w:tc>
        <w:tc>
          <w:tcPr>
            <w:tcW w:w="1620" w:type="dxa"/>
            <w:vAlign w:val="center"/>
          </w:tcPr>
          <w:p w14:paraId="730734D5">
            <w:pPr>
              <w:jc w:val="center"/>
              <w:rPr>
                <w:rFonts w:ascii="宋体" w:hAnsi="宋体"/>
                <w:color w:val="auto"/>
                <w:szCs w:val="21"/>
                <w:highlight w:val="none"/>
              </w:rPr>
            </w:pPr>
          </w:p>
        </w:tc>
        <w:tc>
          <w:tcPr>
            <w:tcW w:w="1360" w:type="dxa"/>
            <w:vAlign w:val="center"/>
          </w:tcPr>
          <w:p w14:paraId="5F29C4EB">
            <w:pPr>
              <w:jc w:val="center"/>
              <w:rPr>
                <w:rFonts w:ascii="宋体" w:hAnsi="宋体"/>
                <w:color w:val="auto"/>
                <w:szCs w:val="21"/>
                <w:highlight w:val="none"/>
              </w:rPr>
            </w:pPr>
          </w:p>
        </w:tc>
        <w:tc>
          <w:tcPr>
            <w:tcW w:w="1587" w:type="dxa"/>
            <w:vAlign w:val="center"/>
          </w:tcPr>
          <w:p w14:paraId="60E690B2">
            <w:pPr>
              <w:jc w:val="center"/>
              <w:rPr>
                <w:rFonts w:ascii="宋体" w:hAnsi="宋体"/>
                <w:color w:val="auto"/>
                <w:szCs w:val="21"/>
                <w:highlight w:val="none"/>
              </w:rPr>
            </w:pPr>
          </w:p>
        </w:tc>
        <w:tc>
          <w:tcPr>
            <w:tcW w:w="1133" w:type="dxa"/>
            <w:vAlign w:val="center"/>
          </w:tcPr>
          <w:p w14:paraId="11EFE5DD">
            <w:pPr>
              <w:jc w:val="center"/>
              <w:rPr>
                <w:rFonts w:ascii="宋体" w:hAnsi="宋体"/>
                <w:color w:val="auto"/>
                <w:szCs w:val="21"/>
                <w:highlight w:val="none"/>
              </w:rPr>
            </w:pPr>
          </w:p>
        </w:tc>
        <w:tc>
          <w:tcPr>
            <w:tcW w:w="1730" w:type="dxa"/>
            <w:vAlign w:val="center"/>
          </w:tcPr>
          <w:p w14:paraId="3C290454">
            <w:pPr>
              <w:jc w:val="center"/>
              <w:rPr>
                <w:rFonts w:ascii="宋体" w:hAnsi="宋体"/>
                <w:color w:val="auto"/>
                <w:szCs w:val="21"/>
                <w:highlight w:val="none"/>
              </w:rPr>
            </w:pPr>
          </w:p>
        </w:tc>
      </w:tr>
      <w:tr w14:paraId="0A7BD2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648DAECA">
            <w:pPr>
              <w:jc w:val="center"/>
              <w:rPr>
                <w:rFonts w:ascii="宋体" w:hAnsi="宋体"/>
                <w:color w:val="auto"/>
                <w:szCs w:val="21"/>
                <w:highlight w:val="none"/>
              </w:rPr>
            </w:pPr>
          </w:p>
        </w:tc>
        <w:tc>
          <w:tcPr>
            <w:tcW w:w="1620" w:type="dxa"/>
            <w:vAlign w:val="center"/>
          </w:tcPr>
          <w:p w14:paraId="68D27D00">
            <w:pPr>
              <w:jc w:val="center"/>
              <w:rPr>
                <w:rFonts w:ascii="宋体" w:hAnsi="宋体"/>
                <w:color w:val="auto"/>
                <w:szCs w:val="21"/>
                <w:highlight w:val="none"/>
              </w:rPr>
            </w:pPr>
          </w:p>
        </w:tc>
        <w:tc>
          <w:tcPr>
            <w:tcW w:w="1360" w:type="dxa"/>
            <w:vAlign w:val="center"/>
          </w:tcPr>
          <w:p w14:paraId="3E5793FD">
            <w:pPr>
              <w:jc w:val="center"/>
              <w:rPr>
                <w:rFonts w:ascii="宋体" w:hAnsi="宋体"/>
                <w:color w:val="auto"/>
                <w:szCs w:val="21"/>
                <w:highlight w:val="none"/>
              </w:rPr>
            </w:pPr>
          </w:p>
        </w:tc>
        <w:tc>
          <w:tcPr>
            <w:tcW w:w="1587" w:type="dxa"/>
            <w:vAlign w:val="center"/>
          </w:tcPr>
          <w:p w14:paraId="78929A5E">
            <w:pPr>
              <w:jc w:val="center"/>
              <w:rPr>
                <w:rFonts w:ascii="宋体" w:hAnsi="宋体"/>
                <w:color w:val="auto"/>
                <w:szCs w:val="21"/>
                <w:highlight w:val="none"/>
              </w:rPr>
            </w:pPr>
          </w:p>
        </w:tc>
        <w:tc>
          <w:tcPr>
            <w:tcW w:w="1133" w:type="dxa"/>
            <w:vAlign w:val="center"/>
          </w:tcPr>
          <w:p w14:paraId="7E7F7F85">
            <w:pPr>
              <w:jc w:val="center"/>
              <w:rPr>
                <w:rFonts w:ascii="宋体" w:hAnsi="宋体"/>
                <w:color w:val="auto"/>
                <w:szCs w:val="21"/>
                <w:highlight w:val="none"/>
              </w:rPr>
            </w:pPr>
          </w:p>
        </w:tc>
        <w:tc>
          <w:tcPr>
            <w:tcW w:w="1730" w:type="dxa"/>
            <w:vAlign w:val="center"/>
          </w:tcPr>
          <w:p w14:paraId="0F07B266">
            <w:pPr>
              <w:jc w:val="center"/>
              <w:rPr>
                <w:rFonts w:ascii="宋体" w:hAnsi="宋体"/>
                <w:color w:val="auto"/>
                <w:szCs w:val="21"/>
                <w:highlight w:val="none"/>
              </w:rPr>
            </w:pPr>
          </w:p>
        </w:tc>
      </w:tr>
      <w:tr w14:paraId="4D824D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42544B17">
            <w:pPr>
              <w:jc w:val="center"/>
              <w:rPr>
                <w:rFonts w:ascii="宋体" w:hAnsi="宋体"/>
                <w:color w:val="auto"/>
                <w:szCs w:val="21"/>
                <w:highlight w:val="none"/>
              </w:rPr>
            </w:pPr>
          </w:p>
        </w:tc>
        <w:tc>
          <w:tcPr>
            <w:tcW w:w="1620" w:type="dxa"/>
            <w:vAlign w:val="center"/>
          </w:tcPr>
          <w:p w14:paraId="7121E6AC">
            <w:pPr>
              <w:jc w:val="center"/>
              <w:rPr>
                <w:rFonts w:ascii="宋体" w:hAnsi="宋体"/>
                <w:color w:val="auto"/>
                <w:szCs w:val="21"/>
                <w:highlight w:val="none"/>
              </w:rPr>
            </w:pPr>
          </w:p>
        </w:tc>
        <w:tc>
          <w:tcPr>
            <w:tcW w:w="1360" w:type="dxa"/>
            <w:vAlign w:val="center"/>
          </w:tcPr>
          <w:p w14:paraId="4D17CE76">
            <w:pPr>
              <w:jc w:val="center"/>
              <w:rPr>
                <w:rFonts w:ascii="宋体" w:hAnsi="宋体"/>
                <w:color w:val="auto"/>
                <w:szCs w:val="21"/>
                <w:highlight w:val="none"/>
              </w:rPr>
            </w:pPr>
          </w:p>
        </w:tc>
        <w:tc>
          <w:tcPr>
            <w:tcW w:w="1587" w:type="dxa"/>
            <w:vAlign w:val="center"/>
          </w:tcPr>
          <w:p w14:paraId="65749094">
            <w:pPr>
              <w:jc w:val="center"/>
              <w:rPr>
                <w:rFonts w:ascii="宋体" w:hAnsi="宋体"/>
                <w:color w:val="auto"/>
                <w:szCs w:val="21"/>
                <w:highlight w:val="none"/>
              </w:rPr>
            </w:pPr>
          </w:p>
        </w:tc>
        <w:tc>
          <w:tcPr>
            <w:tcW w:w="1133" w:type="dxa"/>
            <w:vAlign w:val="center"/>
          </w:tcPr>
          <w:p w14:paraId="17946D8B">
            <w:pPr>
              <w:jc w:val="center"/>
              <w:rPr>
                <w:rFonts w:ascii="宋体" w:hAnsi="宋体"/>
                <w:color w:val="auto"/>
                <w:szCs w:val="21"/>
                <w:highlight w:val="none"/>
              </w:rPr>
            </w:pPr>
          </w:p>
        </w:tc>
        <w:tc>
          <w:tcPr>
            <w:tcW w:w="1730" w:type="dxa"/>
            <w:vAlign w:val="center"/>
          </w:tcPr>
          <w:p w14:paraId="6889F1DB">
            <w:pPr>
              <w:jc w:val="center"/>
              <w:rPr>
                <w:rFonts w:ascii="宋体" w:hAnsi="宋体"/>
                <w:color w:val="auto"/>
                <w:szCs w:val="21"/>
                <w:highlight w:val="none"/>
              </w:rPr>
            </w:pPr>
          </w:p>
        </w:tc>
      </w:tr>
    </w:tbl>
    <w:p w14:paraId="4D8FC9E4">
      <w:pPr>
        <w:rPr>
          <w:rFonts w:ascii="宋体" w:hAnsi="宋体"/>
          <w:color w:val="auto"/>
          <w:szCs w:val="21"/>
          <w:highlight w:val="none"/>
        </w:rPr>
      </w:pPr>
    </w:p>
    <w:p w14:paraId="78A7E137">
      <w:pPr>
        <w:rPr>
          <w:rFonts w:ascii="宋体" w:hAnsi="宋体"/>
          <w:color w:val="auto"/>
          <w:szCs w:val="21"/>
          <w:highlight w:val="none"/>
        </w:rPr>
      </w:pPr>
      <w:r>
        <w:rPr>
          <w:rFonts w:hint="eastAsia" w:ascii="宋体" w:hAnsi="宋体"/>
          <w:color w:val="auto"/>
          <w:szCs w:val="21"/>
          <w:highlight w:val="none"/>
        </w:rPr>
        <w:t>投标人代表签字：</w:t>
      </w:r>
    </w:p>
    <w:p w14:paraId="05E650FA">
      <w:pPr>
        <w:rPr>
          <w:rFonts w:ascii="宋体" w:hAnsi="宋体"/>
          <w:color w:val="auto"/>
          <w:szCs w:val="21"/>
          <w:highlight w:val="none"/>
        </w:rPr>
      </w:pPr>
      <w:r>
        <w:rPr>
          <w:rFonts w:hint="eastAsia" w:ascii="宋体" w:hAnsi="宋体"/>
          <w:color w:val="auto"/>
          <w:szCs w:val="21"/>
          <w:highlight w:val="none"/>
        </w:rPr>
        <w:t>投标人盖章：</w:t>
      </w:r>
    </w:p>
    <w:p w14:paraId="1B2535E1">
      <w:pPr>
        <w:rPr>
          <w:rFonts w:ascii="宋体" w:hAnsi="宋体"/>
          <w:color w:val="auto"/>
          <w:szCs w:val="21"/>
          <w:highlight w:val="none"/>
        </w:rPr>
      </w:pPr>
    </w:p>
    <w:p w14:paraId="0E903317">
      <w:pPr>
        <w:ind w:left="718" w:hanging="718" w:hangingChars="342"/>
        <w:rPr>
          <w:rFonts w:ascii="宋体" w:hAnsi="宋体"/>
          <w:color w:val="auto"/>
          <w:szCs w:val="21"/>
          <w:highlight w:val="none"/>
        </w:rPr>
      </w:pPr>
      <w:r>
        <w:rPr>
          <w:rFonts w:hint="eastAsia" w:ascii="宋体" w:hAnsi="宋体"/>
          <w:color w:val="auto"/>
          <w:szCs w:val="21"/>
          <w:highlight w:val="none"/>
        </w:rPr>
        <w:t>注：</w:t>
      </w:r>
    </w:p>
    <w:p w14:paraId="1761D4E4">
      <w:pPr>
        <w:rPr>
          <w:rFonts w:ascii="宋体" w:hAnsi="宋体"/>
          <w:color w:val="auto"/>
          <w:szCs w:val="21"/>
          <w:highlight w:val="none"/>
        </w:rPr>
      </w:pPr>
      <w:r>
        <w:rPr>
          <w:rFonts w:hint="eastAsia" w:ascii="宋体" w:hAnsi="宋体"/>
          <w:color w:val="auto"/>
          <w:szCs w:val="21"/>
          <w:highlight w:val="none"/>
        </w:rPr>
        <w:t>1、投标人应对照采购文件商务需求书中商务要求，说明已对采购文件的商务内容做出了实质性的响应。</w:t>
      </w:r>
    </w:p>
    <w:p w14:paraId="6C3224EF">
      <w:pPr>
        <w:rPr>
          <w:rFonts w:ascii="宋体" w:hAnsi="宋体"/>
          <w:color w:val="auto"/>
          <w:szCs w:val="21"/>
          <w:highlight w:val="none"/>
        </w:rPr>
      </w:pPr>
      <w:r>
        <w:rPr>
          <w:rFonts w:hint="eastAsia" w:ascii="宋体" w:hAnsi="宋体"/>
          <w:color w:val="auto"/>
          <w:szCs w:val="21"/>
          <w:highlight w:val="none"/>
        </w:rPr>
        <w:t>2、</w:t>
      </w:r>
      <w:r>
        <w:rPr>
          <w:rFonts w:hint="eastAsia" w:hAnsi="宋体" w:cs="宋体"/>
          <w:color w:val="auto"/>
          <w:szCs w:val="21"/>
          <w:highlight w:val="none"/>
        </w:rPr>
        <w:t>不论出于何种原因此表未填写</w:t>
      </w:r>
      <w:r>
        <w:rPr>
          <w:rFonts w:hint="eastAsia" w:ascii="宋体" w:hAnsi="宋体"/>
          <w:color w:val="auto"/>
          <w:szCs w:val="21"/>
          <w:highlight w:val="none"/>
        </w:rPr>
        <w:t>完整</w:t>
      </w:r>
      <w:r>
        <w:rPr>
          <w:rFonts w:hint="eastAsia" w:hAnsi="宋体" w:cs="宋体"/>
          <w:color w:val="auto"/>
          <w:szCs w:val="21"/>
          <w:highlight w:val="none"/>
        </w:rPr>
        <w:t>，投标人都被认为已清楚了解采购文件“</w:t>
      </w:r>
      <w:r>
        <w:rPr>
          <w:rFonts w:hint="eastAsia" w:ascii="宋体" w:hAnsi="宋体"/>
          <w:color w:val="auto"/>
          <w:szCs w:val="21"/>
          <w:highlight w:val="none"/>
        </w:rPr>
        <w:t>商务</w:t>
      </w:r>
      <w:r>
        <w:rPr>
          <w:rFonts w:hint="eastAsia" w:hAnsi="宋体" w:cs="宋体"/>
          <w:color w:val="auto"/>
          <w:szCs w:val="21"/>
          <w:highlight w:val="none"/>
        </w:rPr>
        <w:t>需求书”的内容并对采购人所需的服务要求作全面响应，投标人必须承担完成“</w:t>
      </w:r>
      <w:r>
        <w:rPr>
          <w:rFonts w:hint="eastAsia" w:ascii="宋体" w:hAnsi="宋体"/>
          <w:color w:val="auto"/>
          <w:szCs w:val="21"/>
          <w:highlight w:val="none"/>
        </w:rPr>
        <w:t>商务</w:t>
      </w:r>
      <w:r>
        <w:rPr>
          <w:rFonts w:hint="eastAsia" w:hAnsi="宋体" w:cs="宋体"/>
          <w:color w:val="auto"/>
          <w:szCs w:val="21"/>
          <w:highlight w:val="none"/>
        </w:rPr>
        <w:t>需求书”所描述内容的义务</w:t>
      </w:r>
      <w:r>
        <w:rPr>
          <w:rFonts w:hint="eastAsia" w:ascii="宋体" w:hAnsi="宋体"/>
          <w:color w:val="auto"/>
          <w:szCs w:val="21"/>
          <w:highlight w:val="none"/>
        </w:rPr>
        <w:t>，因此对投标人投标产生负面影响的，投标人自行承担后果。</w:t>
      </w:r>
    </w:p>
    <w:p w14:paraId="65737945">
      <w:pPr>
        <w:rPr>
          <w:rFonts w:ascii="宋体" w:hAnsi="宋体"/>
          <w:color w:val="auto"/>
          <w:szCs w:val="21"/>
          <w:highlight w:val="none"/>
        </w:rPr>
      </w:pPr>
      <w:r>
        <w:rPr>
          <w:rFonts w:hint="eastAsia" w:ascii="宋体" w:hAnsi="宋体"/>
          <w:color w:val="auto"/>
          <w:szCs w:val="21"/>
          <w:highlight w:val="none"/>
        </w:rPr>
        <w:t>3、</w:t>
      </w:r>
      <w:r>
        <w:rPr>
          <w:rFonts w:hint="eastAsia" w:hAnsi="宋体" w:cs="宋体"/>
          <w:color w:val="auto"/>
          <w:szCs w:val="21"/>
          <w:highlight w:val="none"/>
        </w:rPr>
        <w:t>如有偏离，应在“偏离情况”栏内注明“正”、“负”或“无”，并在“说明”栏内予以说明。</w:t>
      </w:r>
    </w:p>
    <w:p w14:paraId="5CCB99EC">
      <w:pPr>
        <w:rPr>
          <w:rFonts w:ascii="宋体" w:hAnsi="宋体"/>
          <w:color w:val="auto"/>
          <w:szCs w:val="21"/>
          <w:highlight w:val="none"/>
        </w:rPr>
      </w:pPr>
      <w:r>
        <w:rPr>
          <w:rFonts w:hint="eastAsia" w:ascii="宋体" w:hAnsi="宋体"/>
          <w:color w:val="auto"/>
          <w:szCs w:val="21"/>
          <w:highlight w:val="none"/>
        </w:rPr>
        <w:t>4、</w:t>
      </w:r>
      <w:r>
        <w:rPr>
          <w:rFonts w:hint="eastAsia" w:hAnsi="宋体" w:cs="宋体"/>
          <w:color w:val="auto"/>
          <w:szCs w:val="21"/>
          <w:highlight w:val="none"/>
        </w:rPr>
        <w:t>如投标人差异内容较多可另附页说明。</w:t>
      </w:r>
    </w:p>
    <w:p w14:paraId="4CDDF066">
      <w:pPr>
        <w:rPr>
          <w:rFonts w:ascii="宋体" w:hAnsi="宋体"/>
          <w:color w:val="auto"/>
          <w:szCs w:val="21"/>
          <w:highlight w:val="none"/>
        </w:rPr>
      </w:pPr>
      <w:r>
        <w:rPr>
          <w:rFonts w:hint="eastAsia" w:ascii="宋体" w:hAnsi="宋体"/>
          <w:color w:val="auto"/>
          <w:szCs w:val="21"/>
          <w:highlight w:val="none"/>
        </w:rPr>
        <w:t>5、</w:t>
      </w:r>
      <w:r>
        <w:rPr>
          <w:rFonts w:hint="eastAsia" w:hAnsi="宋体" w:cs="宋体"/>
          <w:color w:val="auto"/>
          <w:szCs w:val="21"/>
          <w:highlight w:val="none"/>
        </w:rPr>
        <w:t>如投标人对用户需求书商务要求的条款全部响应的，也可以在表格下面用文字总括性的说明。</w:t>
      </w:r>
    </w:p>
    <w:p w14:paraId="7B9E8A2D">
      <w:pPr>
        <w:rPr>
          <w:rFonts w:ascii="宋体" w:hAnsi="宋体"/>
          <w:color w:val="auto"/>
          <w:szCs w:val="21"/>
          <w:highlight w:val="none"/>
        </w:rPr>
      </w:pPr>
      <w:r>
        <w:rPr>
          <w:rFonts w:hint="eastAsia" w:ascii="宋体" w:hAnsi="宋体"/>
          <w:color w:val="auto"/>
          <w:szCs w:val="21"/>
          <w:highlight w:val="none"/>
        </w:rPr>
        <w:br w:type="page"/>
      </w:r>
    </w:p>
    <w:p w14:paraId="37A5C88B">
      <w:pPr>
        <w:rPr>
          <w:color w:val="auto"/>
          <w:highlight w:val="none"/>
        </w:rPr>
      </w:pPr>
    </w:p>
    <w:p w14:paraId="5A816611">
      <w:pPr>
        <w:pStyle w:val="4"/>
        <w:spacing w:before="0" w:after="0" w:line="360" w:lineRule="auto"/>
        <w:jc w:val="center"/>
        <w:rPr>
          <w:color w:val="auto"/>
          <w:sz w:val="72"/>
          <w:szCs w:val="72"/>
          <w:highlight w:val="none"/>
        </w:rPr>
      </w:pPr>
      <w:bookmarkStart w:id="503" w:name="_Toc26809"/>
      <w:r>
        <w:rPr>
          <w:rFonts w:hint="eastAsia"/>
          <w:color w:val="auto"/>
          <w:sz w:val="72"/>
          <w:szCs w:val="72"/>
          <w:highlight w:val="none"/>
        </w:rPr>
        <w:t>技术文件</w:t>
      </w:r>
      <w:bookmarkEnd w:id="503"/>
    </w:p>
    <w:p w14:paraId="1EA04475">
      <w:pPr>
        <w:jc w:val="center"/>
        <w:rPr>
          <w:rFonts w:ascii="黑体" w:eastAsia="黑体"/>
          <w:color w:val="auto"/>
          <w:sz w:val="72"/>
          <w:szCs w:val="72"/>
          <w:highlight w:val="none"/>
        </w:rPr>
      </w:pPr>
      <w:r>
        <w:rPr>
          <w:rFonts w:hint="eastAsia" w:ascii="黑体" w:eastAsia="黑体"/>
          <w:color w:val="auto"/>
          <w:sz w:val="72"/>
          <w:szCs w:val="72"/>
          <w:highlight w:val="none"/>
        </w:rPr>
        <w:t>（单独装订成册）</w:t>
      </w:r>
    </w:p>
    <w:p w14:paraId="7E3AFAAE">
      <w:pPr>
        <w:rPr>
          <w:color w:val="auto"/>
          <w:highlight w:val="none"/>
        </w:rPr>
      </w:pPr>
    </w:p>
    <w:p w14:paraId="79F91471">
      <w:pPr>
        <w:pStyle w:val="10"/>
        <w:rPr>
          <w:color w:val="auto"/>
          <w:highlight w:val="none"/>
        </w:rPr>
      </w:pPr>
    </w:p>
    <w:p w14:paraId="231DE107">
      <w:pPr>
        <w:pStyle w:val="27"/>
        <w:ind w:firstLine="240"/>
        <w:rPr>
          <w:color w:val="auto"/>
          <w:highlight w:val="none"/>
        </w:rPr>
      </w:pPr>
    </w:p>
    <w:p w14:paraId="438ABE1D">
      <w:pPr>
        <w:rPr>
          <w:rFonts w:ascii="宋体" w:hAnsi="宋体" w:cs="宋体"/>
          <w:b/>
          <w:bCs/>
          <w:color w:val="auto"/>
          <w:spacing w:val="-6"/>
          <w:sz w:val="32"/>
          <w:szCs w:val="32"/>
          <w:highlight w:val="none"/>
        </w:rPr>
      </w:pPr>
      <w:r>
        <w:rPr>
          <w:rFonts w:hint="eastAsia" w:ascii="宋体" w:hAnsi="宋体" w:cs="宋体"/>
          <w:b/>
          <w:bCs/>
          <w:color w:val="auto"/>
          <w:spacing w:val="53"/>
          <w:kern w:val="0"/>
          <w:sz w:val="32"/>
          <w:szCs w:val="32"/>
          <w:highlight w:val="none"/>
          <w:fitText w:val="1600" w:id="292250509"/>
        </w:rPr>
        <w:t>项目名</w:t>
      </w:r>
      <w:r>
        <w:rPr>
          <w:rFonts w:hint="eastAsia" w:ascii="宋体" w:hAnsi="宋体" w:cs="宋体"/>
          <w:b/>
          <w:bCs/>
          <w:color w:val="auto"/>
          <w:spacing w:val="1"/>
          <w:kern w:val="0"/>
          <w:sz w:val="32"/>
          <w:szCs w:val="32"/>
          <w:highlight w:val="none"/>
          <w:fitText w:val="1600" w:id="292250509"/>
        </w:rPr>
        <w:t>称</w:t>
      </w:r>
      <w:r>
        <w:rPr>
          <w:rFonts w:hint="eastAsia" w:ascii="宋体" w:hAnsi="宋体" w:cs="宋体"/>
          <w:b/>
          <w:bCs/>
          <w:color w:val="auto"/>
          <w:spacing w:val="-6"/>
          <w:sz w:val="32"/>
          <w:szCs w:val="32"/>
          <w:highlight w:val="none"/>
        </w:rPr>
        <w:t>：</w:t>
      </w:r>
    </w:p>
    <w:p w14:paraId="09E2148C">
      <w:pPr>
        <w:rPr>
          <w:rFonts w:ascii="宋体" w:hAnsi="宋体" w:cs="宋体"/>
          <w:b/>
          <w:bCs/>
          <w:color w:val="auto"/>
          <w:sz w:val="32"/>
          <w:szCs w:val="32"/>
          <w:highlight w:val="none"/>
        </w:rPr>
      </w:pPr>
      <w:r>
        <w:rPr>
          <w:rFonts w:hint="eastAsia" w:ascii="宋体" w:hAnsi="宋体" w:cs="宋体"/>
          <w:b/>
          <w:bCs/>
          <w:color w:val="auto"/>
          <w:spacing w:val="53"/>
          <w:kern w:val="0"/>
          <w:sz w:val="32"/>
          <w:szCs w:val="32"/>
          <w:highlight w:val="none"/>
          <w:fitText w:val="1600" w:id="1231831253"/>
        </w:rPr>
        <w:t>项目编</w:t>
      </w:r>
      <w:r>
        <w:rPr>
          <w:rFonts w:hint="eastAsia" w:ascii="宋体" w:hAnsi="宋体" w:cs="宋体"/>
          <w:b/>
          <w:bCs/>
          <w:color w:val="auto"/>
          <w:spacing w:val="1"/>
          <w:kern w:val="0"/>
          <w:sz w:val="32"/>
          <w:szCs w:val="32"/>
          <w:highlight w:val="none"/>
          <w:fitText w:val="1600" w:id="1231831253"/>
        </w:rPr>
        <w:t>号</w:t>
      </w:r>
      <w:r>
        <w:rPr>
          <w:rFonts w:hint="eastAsia" w:ascii="宋体" w:hAnsi="宋体" w:cs="宋体"/>
          <w:b/>
          <w:bCs/>
          <w:color w:val="auto"/>
          <w:sz w:val="32"/>
          <w:szCs w:val="32"/>
          <w:highlight w:val="none"/>
        </w:rPr>
        <w:t>：</w:t>
      </w:r>
    </w:p>
    <w:p w14:paraId="47D2882C">
      <w:pPr>
        <w:pStyle w:val="10"/>
        <w:ind w:left="0"/>
        <w:rPr>
          <w:b/>
          <w:color w:val="auto"/>
          <w:spacing w:val="1280"/>
          <w:sz w:val="32"/>
          <w:szCs w:val="32"/>
          <w:highlight w:val="none"/>
        </w:rPr>
      </w:pPr>
      <w:r>
        <w:rPr>
          <w:b/>
          <w:color w:val="auto"/>
          <w:spacing w:val="106"/>
          <w:sz w:val="32"/>
          <w:szCs w:val="32"/>
          <w:highlight w:val="none"/>
          <w:lang w:val="en-US" w:bidi="ar-SA"/>
        </w:rPr>
        <w:t>包组号（如有）：</w:t>
      </w:r>
    </w:p>
    <w:p w14:paraId="18CC4F56">
      <w:pPr>
        <w:rPr>
          <w:rFonts w:ascii="宋体" w:hAnsi="宋体" w:cs="宋体"/>
          <w:b/>
          <w:color w:val="auto"/>
          <w:sz w:val="32"/>
          <w:szCs w:val="32"/>
          <w:highlight w:val="none"/>
        </w:rPr>
      </w:pPr>
      <w:r>
        <w:rPr>
          <w:rFonts w:hint="eastAsia" w:ascii="宋体" w:hAnsi="宋体" w:cs="宋体"/>
          <w:b/>
          <w:color w:val="auto"/>
          <w:spacing w:val="0"/>
          <w:kern w:val="0"/>
          <w:sz w:val="32"/>
          <w:szCs w:val="32"/>
          <w:highlight w:val="none"/>
          <w:fitText w:val="1600" w:id="1764384445"/>
        </w:rPr>
        <w:t>投标人名称</w:t>
      </w:r>
      <w:r>
        <w:rPr>
          <w:rFonts w:hint="eastAsia" w:ascii="宋体" w:hAnsi="宋体" w:cs="宋体"/>
          <w:b/>
          <w:color w:val="auto"/>
          <w:sz w:val="32"/>
          <w:szCs w:val="32"/>
          <w:highlight w:val="none"/>
        </w:rPr>
        <w:t>：</w:t>
      </w:r>
    </w:p>
    <w:p w14:paraId="014CE462">
      <w:pPr>
        <w:rPr>
          <w:rFonts w:ascii="宋体" w:hAnsi="宋体" w:cs="宋体"/>
          <w:b/>
          <w:color w:val="auto"/>
          <w:sz w:val="32"/>
          <w:szCs w:val="32"/>
          <w:highlight w:val="none"/>
        </w:rPr>
      </w:pPr>
      <w:r>
        <w:rPr>
          <w:rFonts w:hint="eastAsia" w:ascii="宋体" w:hAnsi="宋体" w:cs="宋体"/>
          <w:b/>
          <w:color w:val="auto"/>
          <w:spacing w:val="32"/>
          <w:kern w:val="0"/>
          <w:sz w:val="32"/>
          <w:szCs w:val="32"/>
          <w:highlight w:val="none"/>
          <w:fitText w:val="1600" w:id="2061173831"/>
        </w:rPr>
        <w:t xml:space="preserve">日    </w:t>
      </w:r>
      <w:r>
        <w:rPr>
          <w:rFonts w:hint="eastAsia" w:ascii="宋体" w:hAnsi="宋体" w:cs="宋体"/>
          <w:b/>
          <w:color w:val="auto"/>
          <w:spacing w:val="0"/>
          <w:kern w:val="0"/>
          <w:sz w:val="32"/>
          <w:szCs w:val="32"/>
          <w:highlight w:val="none"/>
          <w:fitText w:val="1600" w:id="2061173831"/>
        </w:rPr>
        <w:t>期</w:t>
      </w:r>
      <w:r>
        <w:rPr>
          <w:rFonts w:hint="eastAsia" w:ascii="宋体" w:hAnsi="宋体" w:cs="宋体"/>
          <w:b/>
          <w:color w:val="auto"/>
          <w:sz w:val="32"/>
          <w:szCs w:val="32"/>
          <w:highlight w:val="none"/>
        </w:rPr>
        <w:t>：</w:t>
      </w:r>
    </w:p>
    <w:p w14:paraId="361703D0">
      <w:pPr>
        <w:rPr>
          <w:rFonts w:ascii="宋体" w:hAnsi="宋体"/>
          <w:color w:val="auto"/>
          <w:szCs w:val="21"/>
          <w:highlight w:val="none"/>
        </w:rPr>
      </w:pPr>
      <w:r>
        <w:rPr>
          <w:rFonts w:hint="eastAsia" w:ascii="宋体" w:hAnsi="宋体"/>
          <w:color w:val="auto"/>
          <w:szCs w:val="21"/>
          <w:highlight w:val="none"/>
        </w:rPr>
        <w:br w:type="page"/>
      </w:r>
    </w:p>
    <w:p w14:paraId="7E08358F">
      <w:pPr>
        <w:pStyle w:val="6"/>
        <w:widowControl w:val="0"/>
        <w:overflowPunct w:val="0"/>
        <w:spacing w:line="240" w:lineRule="auto"/>
        <w:rPr>
          <w:rFonts w:ascii="宋体" w:hAnsi="宋体"/>
          <w:color w:val="auto"/>
          <w:sz w:val="21"/>
          <w:szCs w:val="21"/>
          <w:highlight w:val="none"/>
        </w:rPr>
      </w:pPr>
      <w:bookmarkStart w:id="504" w:name="_Toc14309"/>
      <w:r>
        <w:rPr>
          <w:rFonts w:hint="eastAsia" w:ascii="宋体" w:hAnsi="宋体"/>
          <w:color w:val="auto"/>
          <w:sz w:val="21"/>
          <w:szCs w:val="21"/>
          <w:highlight w:val="none"/>
        </w:rPr>
        <w:t>附件1</w:t>
      </w:r>
      <w:r>
        <w:rPr>
          <w:rFonts w:hint="eastAsia" w:ascii="宋体" w:hAnsi="宋体"/>
          <w:color w:val="auto"/>
          <w:sz w:val="21"/>
          <w:szCs w:val="21"/>
          <w:highlight w:val="none"/>
          <w:lang w:val="en-US" w:eastAsia="zh-CN"/>
        </w:rPr>
        <w:t xml:space="preserve">5 </w:t>
      </w:r>
      <w:r>
        <w:rPr>
          <w:rFonts w:hint="eastAsia" w:ascii="宋体" w:hAnsi="宋体"/>
          <w:color w:val="auto"/>
          <w:sz w:val="21"/>
          <w:szCs w:val="21"/>
          <w:highlight w:val="none"/>
        </w:rPr>
        <w:t xml:space="preserve"> 技术规格偏离表格式</w:t>
      </w:r>
      <w:bookmarkEnd w:id="504"/>
    </w:p>
    <w:p w14:paraId="39400A6D">
      <w:pPr>
        <w:jc w:val="center"/>
        <w:rPr>
          <w:rFonts w:ascii="黑体" w:eastAsia="黑体"/>
          <w:color w:val="auto"/>
          <w:sz w:val="28"/>
          <w:szCs w:val="28"/>
          <w:highlight w:val="none"/>
        </w:rPr>
      </w:pPr>
    </w:p>
    <w:p w14:paraId="03F5E2E1">
      <w:pPr>
        <w:jc w:val="center"/>
        <w:rPr>
          <w:rFonts w:ascii="黑体" w:eastAsia="黑体"/>
          <w:color w:val="auto"/>
          <w:sz w:val="28"/>
          <w:szCs w:val="28"/>
          <w:highlight w:val="none"/>
        </w:rPr>
      </w:pPr>
      <w:r>
        <w:rPr>
          <w:rFonts w:hint="eastAsia" w:ascii="黑体" w:eastAsia="黑体"/>
          <w:color w:val="auto"/>
          <w:sz w:val="28"/>
          <w:szCs w:val="28"/>
          <w:highlight w:val="none"/>
        </w:rPr>
        <w:t>技术规格偏离表</w:t>
      </w:r>
    </w:p>
    <w:tbl>
      <w:tblPr>
        <w:tblStyle w:val="30"/>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8"/>
        <w:gridCol w:w="1902"/>
        <w:gridCol w:w="1370"/>
        <w:gridCol w:w="1629"/>
        <w:gridCol w:w="1239"/>
        <w:gridCol w:w="1544"/>
      </w:tblGrid>
      <w:tr w14:paraId="3FD76B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6" w:hRule="atLeast"/>
        </w:trPr>
        <w:tc>
          <w:tcPr>
            <w:tcW w:w="838" w:type="dxa"/>
            <w:vAlign w:val="center"/>
          </w:tcPr>
          <w:p w14:paraId="2A6DA95D">
            <w:pPr>
              <w:jc w:val="center"/>
              <w:rPr>
                <w:rFonts w:ascii="宋体" w:hAnsi="宋体"/>
                <w:color w:val="auto"/>
                <w:szCs w:val="21"/>
                <w:highlight w:val="none"/>
              </w:rPr>
            </w:pPr>
            <w:r>
              <w:rPr>
                <w:rFonts w:hint="eastAsia" w:ascii="宋体" w:hAnsi="宋体"/>
                <w:color w:val="auto"/>
                <w:szCs w:val="21"/>
                <w:highlight w:val="none"/>
              </w:rPr>
              <w:t>序号</w:t>
            </w:r>
          </w:p>
        </w:tc>
        <w:tc>
          <w:tcPr>
            <w:tcW w:w="1902" w:type="dxa"/>
            <w:vAlign w:val="center"/>
          </w:tcPr>
          <w:p w14:paraId="09AB2B11">
            <w:pPr>
              <w:jc w:val="center"/>
              <w:rPr>
                <w:rFonts w:ascii="宋体" w:hAnsi="宋体"/>
                <w:color w:val="auto"/>
                <w:szCs w:val="21"/>
                <w:highlight w:val="none"/>
              </w:rPr>
            </w:pPr>
            <w:r>
              <w:rPr>
                <w:rFonts w:hint="eastAsia" w:ascii="宋体" w:hAnsi="宋体"/>
                <w:color w:val="auto"/>
                <w:szCs w:val="21"/>
                <w:highlight w:val="none"/>
              </w:rPr>
              <w:t>服务项目名称</w:t>
            </w:r>
          </w:p>
        </w:tc>
        <w:tc>
          <w:tcPr>
            <w:tcW w:w="1370" w:type="dxa"/>
            <w:vAlign w:val="center"/>
          </w:tcPr>
          <w:p w14:paraId="42CA1BD1">
            <w:pPr>
              <w:jc w:val="center"/>
              <w:rPr>
                <w:rFonts w:ascii="宋体" w:hAnsi="宋体"/>
                <w:color w:val="auto"/>
                <w:szCs w:val="21"/>
                <w:highlight w:val="none"/>
              </w:rPr>
            </w:pPr>
            <w:r>
              <w:rPr>
                <w:rFonts w:hint="eastAsia" w:ascii="宋体" w:hAnsi="宋体"/>
                <w:color w:val="auto"/>
                <w:szCs w:val="21"/>
                <w:highlight w:val="none"/>
              </w:rPr>
              <w:t>采购要求</w:t>
            </w:r>
          </w:p>
        </w:tc>
        <w:tc>
          <w:tcPr>
            <w:tcW w:w="1629" w:type="dxa"/>
            <w:vAlign w:val="center"/>
          </w:tcPr>
          <w:p w14:paraId="1A142183">
            <w:pPr>
              <w:jc w:val="center"/>
              <w:rPr>
                <w:rFonts w:ascii="宋体" w:hAnsi="宋体"/>
                <w:color w:val="auto"/>
                <w:szCs w:val="21"/>
                <w:highlight w:val="none"/>
              </w:rPr>
            </w:pPr>
            <w:r>
              <w:rPr>
                <w:rFonts w:hint="eastAsia" w:ascii="宋体" w:hAnsi="宋体"/>
                <w:color w:val="auto"/>
                <w:szCs w:val="21"/>
                <w:highlight w:val="none"/>
              </w:rPr>
              <w:t>投标实际响应</w:t>
            </w:r>
          </w:p>
        </w:tc>
        <w:tc>
          <w:tcPr>
            <w:tcW w:w="1239" w:type="dxa"/>
            <w:vAlign w:val="center"/>
          </w:tcPr>
          <w:p w14:paraId="50F919E9">
            <w:pPr>
              <w:jc w:val="center"/>
              <w:rPr>
                <w:rFonts w:ascii="宋体" w:hAnsi="宋体"/>
                <w:color w:val="auto"/>
                <w:szCs w:val="21"/>
                <w:highlight w:val="none"/>
              </w:rPr>
            </w:pPr>
            <w:r>
              <w:rPr>
                <w:rFonts w:hint="eastAsia" w:ascii="宋体" w:hAnsi="宋体"/>
                <w:color w:val="auto"/>
                <w:szCs w:val="21"/>
                <w:highlight w:val="none"/>
              </w:rPr>
              <w:t>是否偏离</w:t>
            </w:r>
          </w:p>
        </w:tc>
        <w:tc>
          <w:tcPr>
            <w:tcW w:w="1544" w:type="dxa"/>
            <w:vAlign w:val="center"/>
          </w:tcPr>
          <w:p w14:paraId="296E6C7F">
            <w:pPr>
              <w:jc w:val="center"/>
              <w:rPr>
                <w:rFonts w:ascii="宋体" w:hAnsi="宋体"/>
                <w:color w:val="auto"/>
                <w:szCs w:val="21"/>
                <w:highlight w:val="none"/>
              </w:rPr>
            </w:pPr>
            <w:r>
              <w:rPr>
                <w:rFonts w:hint="eastAsia" w:ascii="宋体" w:hAnsi="宋体"/>
                <w:color w:val="auto"/>
                <w:szCs w:val="21"/>
                <w:highlight w:val="none"/>
              </w:rPr>
              <w:t>说明</w:t>
            </w:r>
          </w:p>
        </w:tc>
      </w:tr>
      <w:tr w14:paraId="1D97F0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523BA749">
            <w:pPr>
              <w:jc w:val="center"/>
              <w:rPr>
                <w:rFonts w:ascii="宋体" w:hAnsi="宋体"/>
                <w:color w:val="auto"/>
                <w:szCs w:val="21"/>
                <w:highlight w:val="none"/>
              </w:rPr>
            </w:pPr>
          </w:p>
        </w:tc>
        <w:tc>
          <w:tcPr>
            <w:tcW w:w="1902" w:type="dxa"/>
            <w:vAlign w:val="center"/>
          </w:tcPr>
          <w:p w14:paraId="5788B2A4">
            <w:pPr>
              <w:jc w:val="center"/>
              <w:rPr>
                <w:rFonts w:ascii="宋体" w:hAnsi="宋体"/>
                <w:color w:val="auto"/>
                <w:szCs w:val="21"/>
                <w:highlight w:val="none"/>
              </w:rPr>
            </w:pPr>
          </w:p>
        </w:tc>
        <w:tc>
          <w:tcPr>
            <w:tcW w:w="1370" w:type="dxa"/>
            <w:vAlign w:val="center"/>
          </w:tcPr>
          <w:p w14:paraId="7E1240C4">
            <w:pPr>
              <w:jc w:val="center"/>
              <w:rPr>
                <w:rFonts w:ascii="宋体" w:hAnsi="宋体"/>
                <w:color w:val="auto"/>
                <w:szCs w:val="21"/>
                <w:highlight w:val="none"/>
              </w:rPr>
            </w:pPr>
          </w:p>
        </w:tc>
        <w:tc>
          <w:tcPr>
            <w:tcW w:w="1629" w:type="dxa"/>
            <w:vAlign w:val="center"/>
          </w:tcPr>
          <w:p w14:paraId="092D1596">
            <w:pPr>
              <w:jc w:val="center"/>
              <w:rPr>
                <w:rFonts w:ascii="宋体" w:hAnsi="宋体"/>
                <w:color w:val="auto"/>
                <w:szCs w:val="21"/>
                <w:highlight w:val="none"/>
              </w:rPr>
            </w:pPr>
          </w:p>
        </w:tc>
        <w:tc>
          <w:tcPr>
            <w:tcW w:w="1239" w:type="dxa"/>
            <w:vAlign w:val="center"/>
          </w:tcPr>
          <w:p w14:paraId="16C615B2">
            <w:pPr>
              <w:jc w:val="center"/>
              <w:rPr>
                <w:rFonts w:ascii="宋体" w:hAnsi="宋体"/>
                <w:color w:val="auto"/>
                <w:szCs w:val="21"/>
                <w:highlight w:val="none"/>
              </w:rPr>
            </w:pPr>
          </w:p>
        </w:tc>
        <w:tc>
          <w:tcPr>
            <w:tcW w:w="1544" w:type="dxa"/>
            <w:vAlign w:val="center"/>
          </w:tcPr>
          <w:p w14:paraId="6C2011A5">
            <w:pPr>
              <w:jc w:val="center"/>
              <w:rPr>
                <w:rFonts w:ascii="宋体" w:hAnsi="宋体"/>
                <w:color w:val="auto"/>
                <w:szCs w:val="21"/>
                <w:highlight w:val="none"/>
              </w:rPr>
            </w:pPr>
          </w:p>
        </w:tc>
      </w:tr>
      <w:tr w14:paraId="3060B4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49BB5E08">
            <w:pPr>
              <w:jc w:val="center"/>
              <w:rPr>
                <w:rFonts w:ascii="宋体" w:hAnsi="宋体"/>
                <w:color w:val="auto"/>
                <w:szCs w:val="21"/>
                <w:highlight w:val="none"/>
              </w:rPr>
            </w:pPr>
          </w:p>
        </w:tc>
        <w:tc>
          <w:tcPr>
            <w:tcW w:w="1902" w:type="dxa"/>
            <w:vAlign w:val="center"/>
          </w:tcPr>
          <w:p w14:paraId="1907F643">
            <w:pPr>
              <w:jc w:val="center"/>
              <w:rPr>
                <w:rFonts w:ascii="宋体" w:hAnsi="宋体"/>
                <w:color w:val="auto"/>
                <w:szCs w:val="21"/>
                <w:highlight w:val="none"/>
              </w:rPr>
            </w:pPr>
          </w:p>
        </w:tc>
        <w:tc>
          <w:tcPr>
            <w:tcW w:w="1370" w:type="dxa"/>
            <w:vAlign w:val="center"/>
          </w:tcPr>
          <w:p w14:paraId="43C84F83">
            <w:pPr>
              <w:jc w:val="center"/>
              <w:rPr>
                <w:rFonts w:ascii="宋体" w:hAnsi="宋体"/>
                <w:color w:val="auto"/>
                <w:szCs w:val="21"/>
                <w:highlight w:val="none"/>
              </w:rPr>
            </w:pPr>
          </w:p>
        </w:tc>
        <w:tc>
          <w:tcPr>
            <w:tcW w:w="1629" w:type="dxa"/>
            <w:vAlign w:val="center"/>
          </w:tcPr>
          <w:p w14:paraId="03B6A145">
            <w:pPr>
              <w:jc w:val="center"/>
              <w:rPr>
                <w:rFonts w:ascii="宋体" w:hAnsi="宋体"/>
                <w:color w:val="auto"/>
                <w:szCs w:val="21"/>
                <w:highlight w:val="none"/>
              </w:rPr>
            </w:pPr>
          </w:p>
        </w:tc>
        <w:tc>
          <w:tcPr>
            <w:tcW w:w="1239" w:type="dxa"/>
            <w:vAlign w:val="center"/>
          </w:tcPr>
          <w:p w14:paraId="4C05FBAF">
            <w:pPr>
              <w:jc w:val="center"/>
              <w:rPr>
                <w:rFonts w:ascii="宋体" w:hAnsi="宋体"/>
                <w:color w:val="auto"/>
                <w:szCs w:val="21"/>
                <w:highlight w:val="none"/>
              </w:rPr>
            </w:pPr>
          </w:p>
        </w:tc>
        <w:tc>
          <w:tcPr>
            <w:tcW w:w="1544" w:type="dxa"/>
            <w:vAlign w:val="center"/>
          </w:tcPr>
          <w:p w14:paraId="29E8DE9E">
            <w:pPr>
              <w:jc w:val="center"/>
              <w:rPr>
                <w:rFonts w:ascii="宋体" w:hAnsi="宋体"/>
                <w:color w:val="auto"/>
                <w:szCs w:val="21"/>
                <w:highlight w:val="none"/>
              </w:rPr>
            </w:pPr>
          </w:p>
        </w:tc>
      </w:tr>
      <w:tr w14:paraId="6CE9BB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6CC458E3">
            <w:pPr>
              <w:jc w:val="center"/>
              <w:rPr>
                <w:rFonts w:ascii="宋体" w:hAnsi="宋体"/>
                <w:color w:val="auto"/>
                <w:szCs w:val="21"/>
                <w:highlight w:val="none"/>
              </w:rPr>
            </w:pPr>
          </w:p>
        </w:tc>
        <w:tc>
          <w:tcPr>
            <w:tcW w:w="1902" w:type="dxa"/>
            <w:vAlign w:val="center"/>
          </w:tcPr>
          <w:p w14:paraId="1D4E3329">
            <w:pPr>
              <w:jc w:val="center"/>
              <w:rPr>
                <w:rFonts w:ascii="宋体" w:hAnsi="宋体"/>
                <w:color w:val="auto"/>
                <w:szCs w:val="21"/>
                <w:highlight w:val="none"/>
              </w:rPr>
            </w:pPr>
          </w:p>
        </w:tc>
        <w:tc>
          <w:tcPr>
            <w:tcW w:w="1370" w:type="dxa"/>
            <w:vAlign w:val="center"/>
          </w:tcPr>
          <w:p w14:paraId="6E388021">
            <w:pPr>
              <w:jc w:val="center"/>
              <w:rPr>
                <w:rFonts w:ascii="宋体" w:hAnsi="宋体"/>
                <w:color w:val="auto"/>
                <w:szCs w:val="21"/>
                <w:highlight w:val="none"/>
              </w:rPr>
            </w:pPr>
          </w:p>
        </w:tc>
        <w:tc>
          <w:tcPr>
            <w:tcW w:w="1629" w:type="dxa"/>
            <w:vAlign w:val="center"/>
          </w:tcPr>
          <w:p w14:paraId="0B76D110">
            <w:pPr>
              <w:jc w:val="center"/>
              <w:rPr>
                <w:rFonts w:ascii="宋体" w:hAnsi="宋体"/>
                <w:color w:val="auto"/>
                <w:szCs w:val="21"/>
                <w:highlight w:val="none"/>
              </w:rPr>
            </w:pPr>
          </w:p>
        </w:tc>
        <w:tc>
          <w:tcPr>
            <w:tcW w:w="1239" w:type="dxa"/>
            <w:vAlign w:val="center"/>
          </w:tcPr>
          <w:p w14:paraId="27E51CE1">
            <w:pPr>
              <w:jc w:val="center"/>
              <w:rPr>
                <w:rFonts w:ascii="宋体" w:hAnsi="宋体"/>
                <w:color w:val="auto"/>
                <w:szCs w:val="21"/>
                <w:highlight w:val="none"/>
              </w:rPr>
            </w:pPr>
          </w:p>
        </w:tc>
        <w:tc>
          <w:tcPr>
            <w:tcW w:w="1544" w:type="dxa"/>
            <w:vAlign w:val="center"/>
          </w:tcPr>
          <w:p w14:paraId="71AF1EC6">
            <w:pPr>
              <w:jc w:val="center"/>
              <w:rPr>
                <w:rFonts w:ascii="宋体" w:hAnsi="宋体"/>
                <w:color w:val="auto"/>
                <w:szCs w:val="21"/>
                <w:highlight w:val="none"/>
              </w:rPr>
            </w:pPr>
          </w:p>
        </w:tc>
      </w:tr>
      <w:tr w14:paraId="6B616F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462EACC8">
            <w:pPr>
              <w:jc w:val="center"/>
              <w:rPr>
                <w:rFonts w:ascii="宋体" w:hAnsi="宋体"/>
                <w:color w:val="auto"/>
                <w:szCs w:val="21"/>
                <w:highlight w:val="none"/>
              </w:rPr>
            </w:pPr>
          </w:p>
        </w:tc>
        <w:tc>
          <w:tcPr>
            <w:tcW w:w="1902" w:type="dxa"/>
            <w:vAlign w:val="center"/>
          </w:tcPr>
          <w:p w14:paraId="3A5064E6">
            <w:pPr>
              <w:jc w:val="center"/>
              <w:rPr>
                <w:rFonts w:ascii="宋体" w:hAnsi="宋体"/>
                <w:color w:val="auto"/>
                <w:szCs w:val="21"/>
                <w:highlight w:val="none"/>
              </w:rPr>
            </w:pPr>
          </w:p>
        </w:tc>
        <w:tc>
          <w:tcPr>
            <w:tcW w:w="1370" w:type="dxa"/>
            <w:vAlign w:val="center"/>
          </w:tcPr>
          <w:p w14:paraId="051D7A3D">
            <w:pPr>
              <w:jc w:val="center"/>
              <w:rPr>
                <w:rFonts w:ascii="宋体" w:hAnsi="宋体"/>
                <w:color w:val="auto"/>
                <w:szCs w:val="21"/>
                <w:highlight w:val="none"/>
              </w:rPr>
            </w:pPr>
          </w:p>
        </w:tc>
        <w:tc>
          <w:tcPr>
            <w:tcW w:w="1629" w:type="dxa"/>
            <w:vAlign w:val="center"/>
          </w:tcPr>
          <w:p w14:paraId="029D9E64">
            <w:pPr>
              <w:jc w:val="center"/>
              <w:rPr>
                <w:rFonts w:ascii="宋体" w:hAnsi="宋体"/>
                <w:color w:val="auto"/>
                <w:szCs w:val="21"/>
                <w:highlight w:val="none"/>
              </w:rPr>
            </w:pPr>
          </w:p>
        </w:tc>
        <w:tc>
          <w:tcPr>
            <w:tcW w:w="1239" w:type="dxa"/>
            <w:vAlign w:val="center"/>
          </w:tcPr>
          <w:p w14:paraId="05B49C07">
            <w:pPr>
              <w:jc w:val="center"/>
              <w:rPr>
                <w:rFonts w:ascii="宋体" w:hAnsi="宋体"/>
                <w:color w:val="auto"/>
                <w:szCs w:val="21"/>
                <w:highlight w:val="none"/>
              </w:rPr>
            </w:pPr>
          </w:p>
        </w:tc>
        <w:tc>
          <w:tcPr>
            <w:tcW w:w="1544" w:type="dxa"/>
            <w:vAlign w:val="center"/>
          </w:tcPr>
          <w:p w14:paraId="326C8B0D">
            <w:pPr>
              <w:jc w:val="center"/>
              <w:rPr>
                <w:rFonts w:ascii="宋体" w:hAnsi="宋体"/>
                <w:color w:val="auto"/>
                <w:szCs w:val="21"/>
                <w:highlight w:val="none"/>
              </w:rPr>
            </w:pPr>
          </w:p>
        </w:tc>
      </w:tr>
      <w:tr w14:paraId="71E8D8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35B58F28">
            <w:pPr>
              <w:jc w:val="center"/>
              <w:rPr>
                <w:rFonts w:ascii="宋体" w:hAnsi="宋体"/>
                <w:color w:val="auto"/>
                <w:szCs w:val="21"/>
                <w:highlight w:val="none"/>
              </w:rPr>
            </w:pPr>
          </w:p>
        </w:tc>
        <w:tc>
          <w:tcPr>
            <w:tcW w:w="1902" w:type="dxa"/>
            <w:vAlign w:val="center"/>
          </w:tcPr>
          <w:p w14:paraId="1EC01FED">
            <w:pPr>
              <w:jc w:val="center"/>
              <w:rPr>
                <w:rFonts w:ascii="宋体" w:hAnsi="宋体"/>
                <w:color w:val="auto"/>
                <w:szCs w:val="21"/>
                <w:highlight w:val="none"/>
              </w:rPr>
            </w:pPr>
          </w:p>
        </w:tc>
        <w:tc>
          <w:tcPr>
            <w:tcW w:w="1370" w:type="dxa"/>
            <w:vAlign w:val="center"/>
          </w:tcPr>
          <w:p w14:paraId="7063D213">
            <w:pPr>
              <w:jc w:val="center"/>
              <w:rPr>
                <w:rFonts w:ascii="宋体" w:hAnsi="宋体"/>
                <w:color w:val="auto"/>
                <w:szCs w:val="21"/>
                <w:highlight w:val="none"/>
              </w:rPr>
            </w:pPr>
          </w:p>
        </w:tc>
        <w:tc>
          <w:tcPr>
            <w:tcW w:w="1629" w:type="dxa"/>
            <w:vAlign w:val="center"/>
          </w:tcPr>
          <w:p w14:paraId="6E721DFA">
            <w:pPr>
              <w:jc w:val="center"/>
              <w:rPr>
                <w:rFonts w:ascii="宋体" w:hAnsi="宋体"/>
                <w:color w:val="auto"/>
                <w:szCs w:val="21"/>
                <w:highlight w:val="none"/>
              </w:rPr>
            </w:pPr>
          </w:p>
        </w:tc>
        <w:tc>
          <w:tcPr>
            <w:tcW w:w="1239" w:type="dxa"/>
            <w:vAlign w:val="center"/>
          </w:tcPr>
          <w:p w14:paraId="45DE19DF">
            <w:pPr>
              <w:jc w:val="center"/>
              <w:rPr>
                <w:rFonts w:ascii="宋体" w:hAnsi="宋体"/>
                <w:color w:val="auto"/>
                <w:szCs w:val="21"/>
                <w:highlight w:val="none"/>
              </w:rPr>
            </w:pPr>
          </w:p>
        </w:tc>
        <w:tc>
          <w:tcPr>
            <w:tcW w:w="1544" w:type="dxa"/>
            <w:vAlign w:val="center"/>
          </w:tcPr>
          <w:p w14:paraId="3C8CD640">
            <w:pPr>
              <w:jc w:val="center"/>
              <w:rPr>
                <w:rFonts w:ascii="宋体" w:hAnsi="宋体"/>
                <w:color w:val="auto"/>
                <w:szCs w:val="21"/>
                <w:highlight w:val="none"/>
              </w:rPr>
            </w:pPr>
          </w:p>
        </w:tc>
      </w:tr>
      <w:tr w14:paraId="6D722B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591D7BCB">
            <w:pPr>
              <w:jc w:val="center"/>
              <w:rPr>
                <w:rFonts w:ascii="宋体" w:hAnsi="宋体"/>
                <w:color w:val="auto"/>
                <w:szCs w:val="21"/>
                <w:highlight w:val="none"/>
              </w:rPr>
            </w:pPr>
          </w:p>
        </w:tc>
        <w:tc>
          <w:tcPr>
            <w:tcW w:w="1902" w:type="dxa"/>
            <w:vAlign w:val="center"/>
          </w:tcPr>
          <w:p w14:paraId="5294A6A9">
            <w:pPr>
              <w:jc w:val="center"/>
              <w:rPr>
                <w:rFonts w:ascii="宋体" w:hAnsi="宋体"/>
                <w:color w:val="auto"/>
                <w:szCs w:val="21"/>
                <w:highlight w:val="none"/>
              </w:rPr>
            </w:pPr>
          </w:p>
        </w:tc>
        <w:tc>
          <w:tcPr>
            <w:tcW w:w="1370" w:type="dxa"/>
            <w:vAlign w:val="center"/>
          </w:tcPr>
          <w:p w14:paraId="5815BAB5">
            <w:pPr>
              <w:jc w:val="center"/>
              <w:rPr>
                <w:rFonts w:ascii="宋体" w:hAnsi="宋体"/>
                <w:color w:val="auto"/>
                <w:szCs w:val="21"/>
                <w:highlight w:val="none"/>
              </w:rPr>
            </w:pPr>
          </w:p>
        </w:tc>
        <w:tc>
          <w:tcPr>
            <w:tcW w:w="1629" w:type="dxa"/>
            <w:vAlign w:val="center"/>
          </w:tcPr>
          <w:p w14:paraId="5360C8DD">
            <w:pPr>
              <w:jc w:val="center"/>
              <w:rPr>
                <w:rFonts w:ascii="宋体" w:hAnsi="宋体"/>
                <w:color w:val="auto"/>
                <w:szCs w:val="21"/>
                <w:highlight w:val="none"/>
              </w:rPr>
            </w:pPr>
          </w:p>
        </w:tc>
        <w:tc>
          <w:tcPr>
            <w:tcW w:w="1239" w:type="dxa"/>
            <w:vAlign w:val="center"/>
          </w:tcPr>
          <w:p w14:paraId="348CCF11">
            <w:pPr>
              <w:jc w:val="center"/>
              <w:rPr>
                <w:rFonts w:ascii="宋体" w:hAnsi="宋体"/>
                <w:color w:val="auto"/>
                <w:szCs w:val="21"/>
                <w:highlight w:val="none"/>
              </w:rPr>
            </w:pPr>
          </w:p>
        </w:tc>
        <w:tc>
          <w:tcPr>
            <w:tcW w:w="1544" w:type="dxa"/>
            <w:vAlign w:val="center"/>
          </w:tcPr>
          <w:p w14:paraId="66BFF581">
            <w:pPr>
              <w:jc w:val="center"/>
              <w:rPr>
                <w:rFonts w:ascii="宋体" w:hAnsi="宋体"/>
                <w:color w:val="auto"/>
                <w:szCs w:val="21"/>
                <w:highlight w:val="none"/>
              </w:rPr>
            </w:pPr>
          </w:p>
        </w:tc>
      </w:tr>
      <w:tr w14:paraId="40BF04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14C307CA">
            <w:pPr>
              <w:jc w:val="center"/>
              <w:rPr>
                <w:rFonts w:ascii="宋体" w:hAnsi="宋体"/>
                <w:color w:val="auto"/>
                <w:szCs w:val="21"/>
                <w:highlight w:val="none"/>
              </w:rPr>
            </w:pPr>
          </w:p>
        </w:tc>
        <w:tc>
          <w:tcPr>
            <w:tcW w:w="1902" w:type="dxa"/>
            <w:vAlign w:val="center"/>
          </w:tcPr>
          <w:p w14:paraId="4A6870CD">
            <w:pPr>
              <w:jc w:val="center"/>
              <w:rPr>
                <w:rFonts w:ascii="宋体" w:hAnsi="宋体"/>
                <w:color w:val="auto"/>
                <w:szCs w:val="21"/>
                <w:highlight w:val="none"/>
              </w:rPr>
            </w:pPr>
          </w:p>
        </w:tc>
        <w:tc>
          <w:tcPr>
            <w:tcW w:w="1370" w:type="dxa"/>
            <w:vAlign w:val="center"/>
          </w:tcPr>
          <w:p w14:paraId="53DEA2AD">
            <w:pPr>
              <w:jc w:val="center"/>
              <w:rPr>
                <w:rFonts w:ascii="宋体" w:hAnsi="宋体"/>
                <w:color w:val="auto"/>
                <w:szCs w:val="21"/>
                <w:highlight w:val="none"/>
              </w:rPr>
            </w:pPr>
          </w:p>
        </w:tc>
        <w:tc>
          <w:tcPr>
            <w:tcW w:w="1629" w:type="dxa"/>
            <w:vAlign w:val="center"/>
          </w:tcPr>
          <w:p w14:paraId="568578AB">
            <w:pPr>
              <w:jc w:val="center"/>
              <w:rPr>
                <w:rFonts w:ascii="宋体" w:hAnsi="宋体"/>
                <w:color w:val="auto"/>
                <w:szCs w:val="21"/>
                <w:highlight w:val="none"/>
              </w:rPr>
            </w:pPr>
          </w:p>
        </w:tc>
        <w:tc>
          <w:tcPr>
            <w:tcW w:w="1239" w:type="dxa"/>
            <w:vAlign w:val="center"/>
          </w:tcPr>
          <w:p w14:paraId="746A0094">
            <w:pPr>
              <w:jc w:val="center"/>
              <w:rPr>
                <w:rFonts w:ascii="宋体" w:hAnsi="宋体"/>
                <w:color w:val="auto"/>
                <w:szCs w:val="21"/>
                <w:highlight w:val="none"/>
              </w:rPr>
            </w:pPr>
          </w:p>
        </w:tc>
        <w:tc>
          <w:tcPr>
            <w:tcW w:w="1544" w:type="dxa"/>
            <w:vAlign w:val="center"/>
          </w:tcPr>
          <w:p w14:paraId="61956DAE">
            <w:pPr>
              <w:jc w:val="center"/>
              <w:rPr>
                <w:rFonts w:ascii="宋体" w:hAnsi="宋体"/>
                <w:color w:val="auto"/>
                <w:szCs w:val="21"/>
                <w:highlight w:val="none"/>
              </w:rPr>
            </w:pPr>
          </w:p>
        </w:tc>
      </w:tr>
      <w:tr w14:paraId="047A1B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1FBDC0DD">
            <w:pPr>
              <w:jc w:val="center"/>
              <w:rPr>
                <w:rFonts w:ascii="宋体" w:hAnsi="宋体"/>
                <w:color w:val="auto"/>
                <w:szCs w:val="21"/>
                <w:highlight w:val="none"/>
              </w:rPr>
            </w:pPr>
          </w:p>
        </w:tc>
        <w:tc>
          <w:tcPr>
            <w:tcW w:w="1902" w:type="dxa"/>
            <w:vAlign w:val="center"/>
          </w:tcPr>
          <w:p w14:paraId="60A85A87">
            <w:pPr>
              <w:jc w:val="center"/>
              <w:rPr>
                <w:rFonts w:ascii="宋体" w:hAnsi="宋体"/>
                <w:color w:val="auto"/>
                <w:szCs w:val="21"/>
                <w:highlight w:val="none"/>
              </w:rPr>
            </w:pPr>
          </w:p>
        </w:tc>
        <w:tc>
          <w:tcPr>
            <w:tcW w:w="1370" w:type="dxa"/>
            <w:vAlign w:val="center"/>
          </w:tcPr>
          <w:p w14:paraId="608A9640">
            <w:pPr>
              <w:jc w:val="center"/>
              <w:rPr>
                <w:rFonts w:ascii="宋体" w:hAnsi="宋体"/>
                <w:color w:val="auto"/>
                <w:szCs w:val="21"/>
                <w:highlight w:val="none"/>
              </w:rPr>
            </w:pPr>
          </w:p>
        </w:tc>
        <w:tc>
          <w:tcPr>
            <w:tcW w:w="1629" w:type="dxa"/>
            <w:vAlign w:val="center"/>
          </w:tcPr>
          <w:p w14:paraId="47DD43C2">
            <w:pPr>
              <w:jc w:val="center"/>
              <w:rPr>
                <w:rFonts w:ascii="宋体" w:hAnsi="宋体"/>
                <w:color w:val="auto"/>
                <w:szCs w:val="21"/>
                <w:highlight w:val="none"/>
              </w:rPr>
            </w:pPr>
          </w:p>
        </w:tc>
        <w:tc>
          <w:tcPr>
            <w:tcW w:w="1239" w:type="dxa"/>
            <w:vAlign w:val="center"/>
          </w:tcPr>
          <w:p w14:paraId="32C1E610">
            <w:pPr>
              <w:jc w:val="center"/>
              <w:rPr>
                <w:rFonts w:ascii="宋体" w:hAnsi="宋体"/>
                <w:color w:val="auto"/>
                <w:szCs w:val="21"/>
                <w:highlight w:val="none"/>
              </w:rPr>
            </w:pPr>
          </w:p>
        </w:tc>
        <w:tc>
          <w:tcPr>
            <w:tcW w:w="1544" w:type="dxa"/>
            <w:vAlign w:val="center"/>
          </w:tcPr>
          <w:p w14:paraId="6DE8EB44">
            <w:pPr>
              <w:jc w:val="center"/>
              <w:rPr>
                <w:rFonts w:ascii="宋体" w:hAnsi="宋体"/>
                <w:color w:val="auto"/>
                <w:szCs w:val="21"/>
                <w:highlight w:val="none"/>
              </w:rPr>
            </w:pPr>
          </w:p>
        </w:tc>
      </w:tr>
      <w:tr w14:paraId="211573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7E038BC1">
            <w:pPr>
              <w:jc w:val="center"/>
              <w:rPr>
                <w:rFonts w:ascii="宋体" w:hAnsi="宋体"/>
                <w:color w:val="auto"/>
                <w:szCs w:val="21"/>
                <w:highlight w:val="none"/>
              </w:rPr>
            </w:pPr>
          </w:p>
        </w:tc>
        <w:tc>
          <w:tcPr>
            <w:tcW w:w="1902" w:type="dxa"/>
            <w:vAlign w:val="center"/>
          </w:tcPr>
          <w:p w14:paraId="62FB7EC2">
            <w:pPr>
              <w:jc w:val="center"/>
              <w:rPr>
                <w:rFonts w:ascii="宋体" w:hAnsi="宋体"/>
                <w:color w:val="auto"/>
                <w:szCs w:val="21"/>
                <w:highlight w:val="none"/>
              </w:rPr>
            </w:pPr>
          </w:p>
        </w:tc>
        <w:tc>
          <w:tcPr>
            <w:tcW w:w="1370" w:type="dxa"/>
            <w:vAlign w:val="center"/>
          </w:tcPr>
          <w:p w14:paraId="7410A058">
            <w:pPr>
              <w:jc w:val="center"/>
              <w:rPr>
                <w:rFonts w:ascii="宋体" w:hAnsi="宋体"/>
                <w:color w:val="auto"/>
                <w:szCs w:val="21"/>
                <w:highlight w:val="none"/>
              </w:rPr>
            </w:pPr>
          </w:p>
        </w:tc>
        <w:tc>
          <w:tcPr>
            <w:tcW w:w="1629" w:type="dxa"/>
            <w:vAlign w:val="center"/>
          </w:tcPr>
          <w:p w14:paraId="51029773">
            <w:pPr>
              <w:jc w:val="center"/>
              <w:rPr>
                <w:rFonts w:ascii="宋体" w:hAnsi="宋体"/>
                <w:color w:val="auto"/>
                <w:szCs w:val="21"/>
                <w:highlight w:val="none"/>
              </w:rPr>
            </w:pPr>
          </w:p>
        </w:tc>
        <w:tc>
          <w:tcPr>
            <w:tcW w:w="1239" w:type="dxa"/>
            <w:vAlign w:val="center"/>
          </w:tcPr>
          <w:p w14:paraId="4FC550CC">
            <w:pPr>
              <w:jc w:val="center"/>
              <w:rPr>
                <w:rFonts w:ascii="宋体" w:hAnsi="宋体"/>
                <w:color w:val="auto"/>
                <w:szCs w:val="21"/>
                <w:highlight w:val="none"/>
              </w:rPr>
            </w:pPr>
          </w:p>
        </w:tc>
        <w:tc>
          <w:tcPr>
            <w:tcW w:w="1544" w:type="dxa"/>
            <w:vAlign w:val="center"/>
          </w:tcPr>
          <w:p w14:paraId="48F2DACC">
            <w:pPr>
              <w:jc w:val="center"/>
              <w:rPr>
                <w:rFonts w:ascii="宋体" w:hAnsi="宋体"/>
                <w:color w:val="auto"/>
                <w:szCs w:val="21"/>
                <w:highlight w:val="none"/>
              </w:rPr>
            </w:pPr>
          </w:p>
        </w:tc>
      </w:tr>
      <w:tr w14:paraId="04A3EE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5B490DBC">
            <w:pPr>
              <w:jc w:val="center"/>
              <w:rPr>
                <w:rFonts w:ascii="宋体" w:hAnsi="宋体"/>
                <w:color w:val="auto"/>
                <w:szCs w:val="21"/>
                <w:highlight w:val="none"/>
              </w:rPr>
            </w:pPr>
          </w:p>
        </w:tc>
        <w:tc>
          <w:tcPr>
            <w:tcW w:w="1902" w:type="dxa"/>
            <w:vAlign w:val="center"/>
          </w:tcPr>
          <w:p w14:paraId="6A60D9D6">
            <w:pPr>
              <w:jc w:val="center"/>
              <w:rPr>
                <w:rFonts w:ascii="宋体" w:hAnsi="宋体"/>
                <w:color w:val="auto"/>
                <w:szCs w:val="21"/>
                <w:highlight w:val="none"/>
              </w:rPr>
            </w:pPr>
          </w:p>
        </w:tc>
        <w:tc>
          <w:tcPr>
            <w:tcW w:w="1370" w:type="dxa"/>
            <w:vAlign w:val="center"/>
          </w:tcPr>
          <w:p w14:paraId="399447A1">
            <w:pPr>
              <w:jc w:val="center"/>
              <w:rPr>
                <w:rFonts w:ascii="宋体" w:hAnsi="宋体"/>
                <w:color w:val="auto"/>
                <w:szCs w:val="21"/>
                <w:highlight w:val="none"/>
              </w:rPr>
            </w:pPr>
          </w:p>
        </w:tc>
        <w:tc>
          <w:tcPr>
            <w:tcW w:w="1629" w:type="dxa"/>
            <w:vAlign w:val="center"/>
          </w:tcPr>
          <w:p w14:paraId="572A499C">
            <w:pPr>
              <w:jc w:val="center"/>
              <w:rPr>
                <w:rFonts w:ascii="宋体" w:hAnsi="宋体"/>
                <w:color w:val="auto"/>
                <w:szCs w:val="21"/>
                <w:highlight w:val="none"/>
              </w:rPr>
            </w:pPr>
          </w:p>
        </w:tc>
        <w:tc>
          <w:tcPr>
            <w:tcW w:w="1239" w:type="dxa"/>
            <w:vAlign w:val="center"/>
          </w:tcPr>
          <w:p w14:paraId="3C77DC73">
            <w:pPr>
              <w:jc w:val="center"/>
              <w:rPr>
                <w:rFonts w:ascii="宋体" w:hAnsi="宋体"/>
                <w:color w:val="auto"/>
                <w:szCs w:val="21"/>
                <w:highlight w:val="none"/>
              </w:rPr>
            </w:pPr>
          </w:p>
        </w:tc>
        <w:tc>
          <w:tcPr>
            <w:tcW w:w="1544" w:type="dxa"/>
            <w:vAlign w:val="center"/>
          </w:tcPr>
          <w:p w14:paraId="22D908BE">
            <w:pPr>
              <w:jc w:val="center"/>
              <w:rPr>
                <w:rFonts w:ascii="宋体" w:hAnsi="宋体"/>
                <w:color w:val="auto"/>
                <w:szCs w:val="21"/>
                <w:highlight w:val="none"/>
              </w:rPr>
            </w:pPr>
          </w:p>
        </w:tc>
      </w:tr>
    </w:tbl>
    <w:p w14:paraId="0199838C">
      <w:pPr>
        <w:rPr>
          <w:rFonts w:ascii="宋体" w:hAnsi="宋体"/>
          <w:color w:val="auto"/>
          <w:szCs w:val="21"/>
          <w:highlight w:val="none"/>
        </w:rPr>
      </w:pPr>
    </w:p>
    <w:p w14:paraId="2581A7EA">
      <w:pPr>
        <w:rPr>
          <w:rFonts w:ascii="宋体" w:hAnsi="宋体"/>
          <w:color w:val="auto"/>
          <w:szCs w:val="21"/>
          <w:highlight w:val="none"/>
        </w:rPr>
      </w:pPr>
      <w:r>
        <w:rPr>
          <w:rFonts w:hint="eastAsia" w:ascii="宋体" w:hAnsi="宋体"/>
          <w:color w:val="auto"/>
          <w:szCs w:val="21"/>
          <w:highlight w:val="none"/>
        </w:rPr>
        <w:t>投标人代表签字：</w:t>
      </w:r>
    </w:p>
    <w:p w14:paraId="3059BD8D">
      <w:pPr>
        <w:rPr>
          <w:rFonts w:ascii="宋体" w:hAnsi="宋体"/>
          <w:color w:val="auto"/>
          <w:szCs w:val="21"/>
          <w:highlight w:val="none"/>
        </w:rPr>
      </w:pPr>
      <w:r>
        <w:rPr>
          <w:rFonts w:hint="eastAsia" w:ascii="宋体" w:hAnsi="宋体"/>
          <w:color w:val="auto"/>
          <w:szCs w:val="21"/>
          <w:highlight w:val="none"/>
        </w:rPr>
        <w:t>投标人盖章：</w:t>
      </w:r>
    </w:p>
    <w:p w14:paraId="28E5A84E">
      <w:pPr>
        <w:ind w:firstLine="178" w:firstLineChars="85"/>
        <w:rPr>
          <w:rFonts w:ascii="宋体" w:hAnsi="宋体"/>
          <w:color w:val="auto"/>
          <w:szCs w:val="21"/>
          <w:highlight w:val="none"/>
        </w:rPr>
      </w:pPr>
    </w:p>
    <w:p w14:paraId="02CA6D03">
      <w:pPr>
        <w:rPr>
          <w:rFonts w:ascii="宋体" w:hAnsi="宋体"/>
          <w:color w:val="auto"/>
          <w:szCs w:val="21"/>
          <w:highlight w:val="none"/>
        </w:rPr>
      </w:pPr>
      <w:r>
        <w:rPr>
          <w:rFonts w:hint="eastAsia" w:ascii="宋体" w:hAnsi="宋体"/>
          <w:color w:val="auto"/>
          <w:szCs w:val="21"/>
          <w:highlight w:val="none"/>
        </w:rPr>
        <w:t>注：</w:t>
      </w:r>
    </w:p>
    <w:p w14:paraId="718E1028">
      <w:pPr>
        <w:rPr>
          <w:rFonts w:ascii="宋体" w:hAnsi="宋体"/>
          <w:color w:val="auto"/>
          <w:szCs w:val="21"/>
          <w:highlight w:val="none"/>
        </w:rPr>
      </w:pPr>
      <w:r>
        <w:rPr>
          <w:rFonts w:hint="eastAsia" w:ascii="宋体" w:hAnsi="宋体"/>
          <w:color w:val="auto"/>
          <w:szCs w:val="21"/>
          <w:highlight w:val="none"/>
        </w:rPr>
        <w:t>1、投标人</w:t>
      </w:r>
      <w:r>
        <w:rPr>
          <w:rFonts w:hint="eastAsia" w:ascii="宋体" w:hAnsi="宋体"/>
          <w:color w:val="auto"/>
          <w:szCs w:val="21"/>
          <w:highlight w:val="none"/>
        </w:rPr>
        <w:t>应对照采购文件技术需求书中技术规格，说明所提供服务已对采购文件的技术规格做出了实质性的响应，并申明与技术规格条文的偏差和例外。特别对有具体参数要求的指标，投标人必须提供所投设备的具体参数值。</w:t>
      </w:r>
    </w:p>
    <w:p w14:paraId="6518C813">
      <w:pPr>
        <w:rPr>
          <w:rFonts w:ascii="宋体" w:hAnsi="宋体"/>
          <w:color w:val="auto"/>
          <w:szCs w:val="21"/>
          <w:highlight w:val="none"/>
        </w:rPr>
      </w:pPr>
      <w:r>
        <w:rPr>
          <w:rFonts w:hint="eastAsia" w:ascii="宋体" w:hAnsi="宋体"/>
          <w:color w:val="auto"/>
          <w:szCs w:val="21"/>
          <w:highlight w:val="none"/>
        </w:rPr>
        <w:t>2、</w:t>
      </w:r>
      <w:r>
        <w:rPr>
          <w:rFonts w:hint="eastAsia" w:hAnsi="宋体" w:cs="宋体"/>
          <w:color w:val="auto"/>
          <w:szCs w:val="21"/>
          <w:highlight w:val="none"/>
        </w:rPr>
        <w:t>不论出于何种原因此表未填写</w:t>
      </w:r>
      <w:r>
        <w:rPr>
          <w:rFonts w:hint="eastAsia" w:ascii="宋体" w:hAnsi="宋体"/>
          <w:color w:val="auto"/>
          <w:szCs w:val="21"/>
          <w:highlight w:val="none"/>
        </w:rPr>
        <w:t>完整</w:t>
      </w:r>
      <w:r>
        <w:rPr>
          <w:rFonts w:hint="eastAsia" w:hAnsi="宋体" w:cs="宋体"/>
          <w:color w:val="auto"/>
          <w:szCs w:val="21"/>
          <w:highlight w:val="none"/>
        </w:rPr>
        <w:t>，投标人都被认为已清楚了解采购文件“技术需求书”的内容并对采购人所需的服务要求作全面响应，投标人必须承担完成“技术需求书”所描述内容的义务</w:t>
      </w:r>
      <w:r>
        <w:rPr>
          <w:rFonts w:hint="eastAsia" w:ascii="宋体" w:hAnsi="宋体"/>
          <w:color w:val="auto"/>
          <w:szCs w:val="21"/>
          <w:highlight w:val="none"/>
        </w:rPr>
        <w:t>，因此对投标人投标产生负面影响的，投标人自行承担后果。</w:t>
      </w:r>
    </w:p>
    <w:p w14:paraId="70283FAF">
      <w:pPr>
        <w:rPr>
          <w:rFonts w:ascii="宋体" w:hAnsi="宋体"/>
          <w:color w:val="auto"/>
          <w:szCs w:val="21"/>
          <w:highlight w:val="none"/>
        </w:rPr>
      </w:pPr>
      <w:r>
        <w:rPr>
          <w:rFonts w:hint="eastAsia" w:ascii="宋体" w:hAnsi="宋体"/>
          <w:color w:val="auto"/>
          <w:szCs w:val="21"/>
          <w:highlight w:val="none"/>
        </w:rPr>
        <w:t>3、</w:t>
      </w:r>
      <w:r>
        <w:rPr>
          <w:rFonts w:hint="eastAsia" w:hAnsi="宋体" w:cs="宋体"/>
          <w:color w:val="auto"/>
          <w:szCs w:val="21"/>
          <w:highlight w:val="none"/>
        </w:rPr>
        <w:t>如有偏离，应在“偏离情况”栏内注明“正”、“负”或“无”，并在“说明”栏内予以说明。</w:t>
      </w:r>
    </w:p>
    <w:p w14:paraId="38C40C64">
      <w:pPr>
        <w:rPr>
          <w:rFonts w:ascii="宋体" w:hAnsi="宋体"/>
          <w:color w:val="auto"/>
          <w:szCs w:val="21"/>
          <w:highlight w:val="none"/>
        </w:rPr>
      </w:pPr>
      <w:r>
        <w:rPr>
          <w:rFonts w:hint="eastAsia" w:ascii="宋体" w:hAnsi="宋体"/>
          <w:color w:val="auto"/>
          <w:szCs w:val="21"/>
          <w:highlight w:val="none"/>
        </w:rPr>
        <w:t>4、</w:t>
      </w:r>
      <w:r>
        <w:rPr>
          <w:rFonts w:hint="eastAsia" w:hAnsi="宋体" w:cs="宋体"/>
          <w:color w:val="auto"/>
          <w:szCs w:val="21"/>
          <w:highlight w:val="none"/>
        </w:rPr>
        <w:t>如投标人差异内容较多可另附页说明。</w:t>
      </w:r>
    </w:p>
    <w:p w14:paraId="7910F23F">
      <w:pPr>
        <w:rPr>
          <w:rFonts w:ascii="宋体" w:hAnsi="宋体"/>
          <w:color w:val="auto"/>
          <w:szCs w:val="21"/>
          <w:highlight w:val="none"/>
        </w:rPr>
      </w:pPr>
      <w:r>
        <w:rPr>
          <w:rFonts w:hint="eastAsia" w:ascii="宋体" w:hAnsi="宋体"/>
          <w:color w:val="auto"/>
          <w:szCs w:val="21"/>
          <w:highlight w:val="none"/>
        </w:rPr>
        <w:t>5、</w:t>
      </w:r>
      <w:r>
        <w:rPr>
          <w:rFonts w:hint="eastAsia" w:hAnsi="宋体" w:cs="宋体"/>
          <w:color w:val="auto"/>
          <w:szCs w:val="21"/>
          <w:highlight w:val="none"/>
        </w:rPr>
        <w:t>如投标人对用户需求书商务要求的条款全部响应的，也可以在表格下面用文字总括性的说明。</w:t>
      </w:r>
    </w:p>
    <w:p w14:paraId="164C6632">
      <w:pPr>
        <w:adjustRightInd/>
        <w:snapToGrid/>
        <w:spacing w:line="276" w:lineRule="auto"/>
        <w:rPr>
          <w:color w:val="auto"/>
          <w:highlight w:val="none"/>
        </w:rPr>
      </w:pPr>
    </w:p>
    <w:p w14:paraId="194EBCE2">
      <w:pPr>
        <w:adjustRightInd/>
        <w:snapToGrid/>
        <w:spacing w:line="276" w:lineRule="auto"/>
        <w:rPr>
          <w:color w:val="auto"/>
          <w:highlight w:val="none"/>
        </w:rPr>
      </w:pPr>
    </w:p>
    <w:p w14:paraId="17C72616">
      <w:pPr>
        <w:pStyle w:val="6"/>
        <w:widowControl w:val="0"/>
        <w:overflowPunct w:val="0"/>
        <w:spacing w:line="240" w:lineRule="auto"/>
        <w:rPr>
          <w:rFonts w:hint="eastAsia" w:ascii="宋体" w:hAnsi="宋体"/>
          <w:color w:val="auto"/>
          <w:sz w:val="21"/>
          <w:szCs w:val="21"/>
          <w:highlight w:val="none"/>
          <w:lang w:val="en-US" w:eastAsia="zh-CN"/>
        </w:rPr>
      </w:pPr>
      <w:bookmarkStart w:id="505" w:name="_Toc17691"/>
      <w:r>
        <w:rPr>
          <w:rFonts w:hint="eastAsia" w:ascii="宋体" w:hAnsi="宋体"/>
          <w:color w:val="auto"/>
          <w:szCs w:val="21"/>
          <w:highlight w:val="none"/>
        </w:rPr>
        <w:br w:type="page"/>
      </w:r>
      <w:bookmarkStart w:id="506" w:name="_Toc22104"/>
      <w:r>
        <w:rPr>
          <w:rFonts w:hint="eastAsia" w:ascii="宋体" w:hAnsi="宋体"/>
          <w:color w:val="auto"/>
          <w:sz w:val="21"/>
          <w:szCs w:val="21"/>
          <w:highlight w:val="none"/>
        </w:rPr>
        <w:t>附件1</w:t>
      </w:r>
      <w:r>
        <w:rPr>
          <w:rFonts w:hint="eastAsia" w:ascii="宋体" w:hAnsi="宋体"/>
          <w:color w:val="auto"/>
          <w:sz w:val="21"/>
          <w:szCs w:val="21"/>
          <w:highlight w:val="none"/>
          <w:lang w:val="en-US" w:eastAsia="zh-CN"/>
        </w:rPr>
        <w:t xml:space="preserve">6  </w:t>
      </w:r>
      <w:r>
        <w:rPr>
          <w:rFonts w:hint="eastAsia" w:ascii="宋体" w:hAnsi="宋体"/>
          <w:color w:val="auto"/>
          <w:sz w:val="22"/>
          <w:szCs w:val="22"/>
          <w:highlight w:val="none"/>
        </w:rPr>
        <w:t>★</w:t>
      </w:r>
      <w:r>
        <w:rPr>
          <w:rFonts w:hint="eastAsia" w:ascii="宋体" w:hAnsi="宋体"/>
          <w:color w:val="auto"/>
          <w:sz w:val="21"/>
          <w:szCs w:val="21"/>
          <w:highlight w:val="none"/>
          <w:lang w:val="en-US" w:eastAsia="zh-CN"/>
        </w:rPr>
        <w:t>号条款响应表</w:t>
      </w:r>
      <w:bookmarkEnd w:id="506"/>
    </w:p>
    <w:p w14:paraId="2B9C97E5">
      <w:pPr>
        <w:spacing w:line="360" w:lineRule="auto"/>
        <w:jc w:val="center"/>
        <w:rPr>
          <w:rFonts w:hint="eastAsia" w:ascii="宋体" w:hAnsi="宋体" w:cs="宋体"/>
          <w:color w:val="auto"/>
          <w:sz w:val="22"/>
          <w:szCs w:val="22"/>
          <w:highlight w:val="none"/>
        </w:rPr>
      </w:pPr>
      <w:r>
        <w:rPr>
          <w:rFonts w:hint="eastAsia" w:ascii="宋体" w:hAnsi="宋体"/>
          <w:b/>
          <w:bCs/>
          <w:color w:val="auto"/>
          <w:sz w:val="28"/>
          <w:szCs w:val="28"/>
          <w:highlight w:val="none"/>
        </w:rPr>
        <w:t>★</w:t>
      </w:r>
      <w:r>
        <w:rPr>
          <w:rFonts w:hint="eastAsia" w:ascii="宋体" w:hAnsi="宋体"/>
          <w:b/>
          <w:bCs/>
          <w:color w:val="auto"/>
          <w:sz w:val="28"/>
          <w:szCs w:val="28"/>
          <w:highlight w:val="none"/>
          <w:lang w:val="en-US" w:eastAsia="zh-CN"/>
        </w:rPr>
        <w:t>号条款响应表</w:t>
      </w:r>
    </w:p>
    <w:p w14:paraId="04A6412C">
      <w:pPr>
        <w:spacing w:line="360" w:lineRule="auto"/>
        <w:rPr>
          <w:rFonts w:hint="eastAsia" w:ascii="宋体" w:hAnsi="宋体" w:eastAsia="宋体" w:cs="宋体"/>
          <w:color w:val="auto"/>
          <w:sz w:val="22"/>
          <w:szCs w:val="22"/>
          <w:highlight w:val="none"/>
          <w:lang w:eastAsia="zh-CN"/>
        </w:rPr>
      </w:pPr>
      <w:r>
        <w:rPr>
          <w:rFonts w:hint="eastAsia" w:ascii="宋体" w:hAnsi="宋体" w:cs="宋体"/>
          <w:color w:val="auto"/>
          <w:sz w:val="22"/>
          <w:szCs w:val="22"/>
          <w:highlight w:val="none"/>
        </w:rPr>
        <w:t>项目名称：</w:t>
      </w:r>
    </w:p>
    <w:p w14:paraId="15AB1B56">
      <w:pPr>
        <w:spacing w:line="360" w:lineRule="auto"/>
        <w:rPr>
          <w:rFonts w:hint="eastAsia" w:ascii="宋体" w:hAnsi="宋体" w:eastAsia="宋体" w:cs="宋体"/>
          <w:color w:val="auto"/>
          <w:szCs w:val="21"/>
          <w:highlight w:val="none"/>
          <w:u w:val="single"/>
          <w:lang w:eastAsia="zh-CN"/>
        </w:rPr>
      </w:pPr>
      <w:r>
        <w:rPr>
          <w:rFonts w:hint="eastAsia" w:ascii="宋体" w:hAnsi="宋体" w:cs="宋体"/>
          <w:color w:val="auto"/>
          <w:sz w:val="22"/>
          <w:szCs w:val="22"/>
          <w:highlight w:val="none"/>
          <w:lang w:val="en-US" w:eastAsia="zh-CN"/>
        </w:rPr>
        <w:t>采购</w:t>
      </w:r>
      <w:r>
        <w:rPr>
          <w:rFonts w:hint="eastAsia" w:ascii="宋体" w:hAnsi="宋体" w:cs="宋体"/>
          <w:color w:val="auto"/>
          <w:sz w:val="22"/>
          <w:szCs w:val="22"/>
          <w:highlight w:val="none"/>
        </w:rPr>
        <w:t>编号：</w:t>
      </w:r>
    </w:p>
    <w:tbl>
      <w:tblPr>
        <w:tblStyle w:val="3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6"/>
        <w:gridCol w:w="1430"/>
        <w:gridCol w:w="3043"/>
        <w:gridCol w:w="3413"/>
      </w:tblGrid>
      <w:tr w14:paraId="207BCB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trPr>
        <w:tc>
          <w:tcPr>
            <w:tcW w:w="373" w:type="pct"/>
            <w:vMerge w:val="restart"/>
            <w:noWrap w:val="0"/>
            <w:vAlign w:val="center"/>
          </w:tcPr>
          <w:p w14:paraId="07916D8D">
            <w:pPr>
              <w:spacing w:line="240" w:lineRule="auto"/>
              <w:jc w:val="center"/>
              <w:rPr>
                <w:rFonts w:ascii="宋体" w:hAnsi="宋体" w:cs="宋体"/>
                <w:b/>
                <w:bCs/>
                <w:color w:val="auto"/>
                <w:szCs w:val="21"/>
                <w:highlight w:val="none"/>
              </w:rPr>
            </w:pPr>
            <w:r>
              <w:rPr>
                <w:rFonts w:hint="eastAsia" w:ascii="宋体" w:hAnsi="宋体" w:cs="宋体"/>
                <w:b/>
                <w:bCs/>
                <w:color w:val="auto"/>
                <w:szCs w:val="21"/>
                <w:highlight w:val="none"/>
              </w:rPr>
              <w:t>序号</w:t>
            </w:r>
          </w:p>
        </w:tc>
        <w:tc>
          <w:tcPr>
            <w:tcW w:w="2624" w:type="pct"/>
            <w:gridSpan w:val="2"/>
            <w:noWrap w:val="0"/>
            <w:vAlign w:val="center"/>
          </w:tcPr>
          <w:p w14:paraId="20BAFAC5">
            <w:pPr>
              <w:spacing w:line="240" w:lineRule="auto"/>
              <w:jc w:val="center"/>
              <w:rPr>
                <w:rFonts w:ascii="宋体" w:hAnsi="宋体" w:cs="宋体"/>
                <w:b/>
                <w:bCs/>
                <w:color w:val="auto"/>
                <w:szCs w:val="21"/>
                <w:highlight w:val="none"/>
              </w:rPr>
            </w:pPr>
            <w:r>
              <w:rPr>
                <w:rFonts w:hint="eastAsia" w:ascii="宋体" w:hAnsi="宋体" w:cs="宋体"/>
                <w:b/>
                <w:bCs/>
                <w:color w:val="auto"/>
                <w:szCs w:val="21"/>
                <w:highlight w:val="none"/>
                <w:lang w:val="en-US" w:eastAsia="zh-CN"/>
              </w:rPr>
              <w:t>采购</w:t>
            </w:r>
            <w:r>
              <w:rPr>
                <w:rFonts w:hint="eastAsia" w:ascii="宋体" w:hAnsi="宋体" w:cs="宋体"/>
                <w:b/>
                <w:bCs/>
                <w:color w:val="auto"/>
                <w:szCs w:val="21"/>
                <w:highlight w:val="none"/>
              </w:rPr>
              <w:t>文件要求</w:t>
            </w:r>
          </w:p>
        </w:tc>
        <w:tc>
          <w:tcPr>
            <w:tcW w:w="2002" w:type="pct"/>
            <w:vMerge w:val="restart"/>
            <w:noWrap w:val="0"/>
            <w:vAlign w:val="center"/>
          </w:tcPr>
          <w:p w14:paraId="2A30FD50">
            <w:pPr>
              <w:spacing w:line="240" w:lineRule="auto"/>
              <w:jc w:val="center"/>
              <w:rPr>
                <w:rFonts w:ascii="宋体" w:hAnsi="宋体" w:cs="宋体"/>
                <w:b/>
                <w:bCs/>
                <w:color w:val="auto"/>
                <w:szCs w:val="21"/>
                <w:highlight w:val="none"/>
              </w:rPr>
            </w:pPr>
            <w:r>
              <w:rPr>
                <w:rFonts w:hint="eastAsia" w:ascii="宋体" w:hAnsi="宋体" w:cs="宋体"/>
                <w:b/>
                <w:bCs/>
                <w:color w:val="auto"/>
                <w:szCs w:val="21"/>
                <w:highlight w:val="none"/>
              </w:rPr>
              <w:t>响应情况</w:t>
            </w:r>
          </w:p>
        </w:tc>
      </w:tr>
      <w:tr w14:paraId="66BB88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trPr>
        <w:tc>
          <w:tcPr>
            <w:tcW w:w="373" w:type="pct"/>
            <w:vMerge w:val="continue"/>
            <w:noWrap w:val="0"/>
            <w:vAlign w:val="center"/>
          </w:tcPr>
          <w:p w14:paraId="2C149928">
            <w:pPr>
              <w:spacing w:line="240" w:lineRule="auto"/>
              <w:jc w:val="center"/>
              <w:rPr>
                <w:rFonts w:ascii="宋体" w:hAnsi="宋体" w:cs="宋体"/>
                <w:color w:val="auto"/>
                <w:szCs w:val="21"/>
                <w:highlight w:val="none"/>
              </w:rPr>
            </w:pPr>
          </w:p>
        </w:tc>
        <w:tc>
          <w:tcPr>
            <w:tcW w:w="839" w:type="pct"/>
            <w:noWrap w:val="0"/>
            <w:vAlign w:val="center"/>
          </w:tcPr>
          <w:p w14:paraId="670ED140">
            <w:pPr>
              <w:spacing w:line="240" w:lineRule="auto"/>
              <w:jc w:val="center"/>
              <w:rPr>
                <w:rFonts w:ascii="宋体" w:hAnsi="宋体" w:cs="宋体"/>
                <w:b/>
                <w:bCs/>
                <w:color w:val="auto"/>
                <w:szCs w:val="21"/>
                <w:highlight w:val="none"/>
              </w:rPr>
            </w:pPr>
            <w:r>
              <w:rPr>
                <w:rFonts w:hint="eastAsia" w:ascii="宋体" w:hAnsi="宋体" w:cs="宋体"/>
                <w:b/>
                <w:bCs/>
                <w:color w:val="auto"/>
                <w:szCs w:val="21"/>
                <w:highlight w:val="none"/>
              </w:rPr>
              <w:t>条款号</w:t>
            </w:r>
          </w:p>
        </w:tc>
        <w:tc>
          <w:tcPr>
            <w:tcW w:w="1785" w:type="pct"/>
            <w:noWrap w:val="0"/>
            <w:vAlign w:val="center"/>
          </w:tcPr>
          <w:p w14:paraId="33B766CD">
            <w:pPr>
              <w:spacing w:line="240" w:lineRule="auto"/>
              <w:jc w:val="center"/>
              <w:rPr>
                <w:rFonts w:ascii="宋体" w:hAnsi="宋体" w:cs="宋体"/>
                <w:b/>
                <w:bCs/>
                <w:color w:val="auto"/>
                <w:szCs w:val="21"/>
                <w:highlight w:val="none"/>
              </w:rPr>
            </w:pPr>
            <w:r>
              <w:rPr>
                <w:rFonts w:hint="eastAsia" w:ascii="宋体" w:hAnsi="宋体" w:cs="宋体"/>
                <w:b/>
                <w:bCs/>
                <w:color w:val="auto"/>
                <w:szCs w:val="21"/>
                <w:highlight w:val="none"/>
                <w:lang w:val="en-US" w:eastAsia="zh-CN"/>
              </w:rPr>
              <w:t>采购</w:t>
            </w:r>
            <w:r>
              <w:rPr>
                <w:rFonts w:hint="eastAsia" w:ascii="宋体" w:hAnsi="宋体" w:cs="宋体"/>
                <w:b/>
                <w:bCs/>
                <w:color w:val="auto"/>
                <w:szCs w:val="21"/>
                <w:highlight w:val="none"/>
              </w:rPr>
              <w:t>文件要求</w:t>
            </w:r>
          </w:p>
        </w:tc>
        <w:tc>
          <w:tcPr>
            <w:tcW w:w="2002" w:type="pct"/>
            <w:vMerge w:val="continue"/>
            <w:noWrap w:val="0"/>
            <w:vAlign w:val="center"/>
          </w:tcPr>
          <w:p w14:paraId="1BBCE5CA">
            <w:pPr>
              <w:spacing w:line="240" w:lineRule="auto"/>
              <w:jc w:val="center"/>
              <w:rPr>
                <w:rFonts w:ascii="宋体" w:hAnsi="宋体" w:cs="宋体"/>
                <w:color w:val="auto"/>
                <w:szCs w:val="21"/>
                <w:highlight w:val="none"/>
              </w:rPr>
            </w:pPr>
          </w:p>
        </w:tc>
      </w:tr>
      <w:tr w14:paraId="74842D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 w:hRule="atLeast"/>
        </w:trPr>
        <w:tc>
          <w:tcPr>
            <w:tcW w:w="373" w:type="pct"/>
            <w:noWrap w:val="0"/>
            <w:vAlign w:val="center"/>
          </w:tcPr>
          <w:p w14:paraId="3737474A">
            <w:pPr>
              <w:spacing w:line="240" w:lineRule="auto"/>
              <w:jc w:val="center"/>
              <w:rPr>
                <w:rFonts w:ascii="宋体" w:hAnsi="宋体" w:cs="宋体"/>
                <w:color w:val="auto"/>
                <w:szCs w:val="21"/>
                <w:highlight w:val="none"/>
              </w:rPr>
            </w:pPr>
            <w:r>
              <w:rPr>
                <w:rFonts w:hint="eastAsia" w:ascii="宋体" w:hAnsi="宋体" w:cs="宋体"/>
                <w:color w:val="auto"/>
                <w:szCs w:val="21"/>
                <w:highlight w:val="none"/>
              </w:rPr>
              <w:t>1</w:t>
            </w:r>
          </w:p>
        </w:tc>
        <w:tc>
          <w:tcPr>
            <w:tcW w:w="839" w:type="pct"/>
            <w:noWrap w:val="0"/>
            <w:vAlign w:val="center"/>
          </w:tcPr>
          <w:p w14:paraId="7D4817B7">
            <w:pPr>
              <w:spacing w:line="240" w:lineRule="auto"/>
              <w:jc w:val="center"/>
              <w:rPr>
                <w:rFonts w:hint="eastAsia" w:ascii="宋体" w:hAnsi="宋体" w:cs="宋体"/>
                <w:color w:val="auto"/>
                <w:szCs w:val="21"/>
                <w:highlight w:val="none"/>
              </w:rPr>
            </w:pPr>
            <w:r>
              <w:rPr>
                <w:rFonts w:hint="eastAsia" w:ascii="宋体" w:hAnsi="宋体" w:cs="宋体"/>
                <w:color w:val="auto"/>
                <w:szCs w:val="21"/>
                <w:highlight w:val="none"/>
              </w:rPr>
              <w:t>第二章 技术需求书</w:t>
            </w:r>
          </w:p>
          <w:p w14:paraId="725CA60C">
            <w:pPr>
              <w:spacing w:line="240" w:lineRule="auto"/>
              <w:jc w:val="center"/>
              <w:rPr>
                <w:rFonts w:ascii="宋体" w:hAnsi="宋体" w:cs="宋体"/>
                <w:color w:val="auto"/>
                <w:szCs w:val="21"/>
                <w:highlight w:val="none"/>
              </w:rPr>
            </w:pPr>
            <w:r>
              <w:rPr>
                <w:rFonts w:hint="eastAsia" w:ascii="宋体" w:hAnsi="宋体" w:cs="宋体"/>
                <w:color w:val="auto"/>
                <w:szCs w:val="21"/>
                <w:highlight w:val="none"/>
              </w:rPr>
              <w:t>（一）运力需求</w:t>
            </w:r>
          </w:p>
        </w:tc>
        <w:tc>
          <w:tcPr>
            <w:tcW w:w="1785" w:type="pct"/>
            <w:noWrap w:val="0"/>
            <w:vAlign w:val="center"/>
          </w:tcPr>
          <w:p w14:paraId="2BFCE4F5">
            <w:pPr>
              <w:spacing w:line="240" w:lineRule="auto"/>
              <w:jc w:val="both"/>
              <w:rPr>
                <w:rFonts w:ascii="宋体" w:hAnsi="宋体" w:cs="宋体"/>
                <w:color w:val="auto"/>
                <w:szCs w:val="21"/>
                <w:highlight w:val="none"/>
              </w:rPr>
            </w:pPr>
            <w:r>
              <w:rPr>
                <w:rFonts w:hint="eastAsia" w:ascii="宋体" w:hAnsi="宋体" w:cs="宋体"/>
                <w:color w:val="auto"/>
                <w:szCs w:val="21"/>
                <w:highlight w:val="none"/>
              </w:rPr>
              <w:t>结合年度派单情况，综合淡旺季需求考虑，预计日用车约20-40车次（仅供参考，最终以实际用车情况为准），要求响应人为本项目配备车辆包括：不少于1台5.2米厢车，不少于1台7.6米厢车，不少于2台9.6米厢车和不少于1台12.5米挂网，最终以实际用车需求为准。</w:t>
            </w:r>
          </w:p>
        </w:tc>
        <w:tc>
          <w:tcPr>
            <w:tcW w:w="2002" w:type="pct"/>
            <w:noWrap w:val="0"/>
            <w:vAlign w:val="center"/>
          </w:tcPr>
          <w:p w14:paraId="7CC6C4AE">
            <w:pPr>
              <w:spacing w:line="240" w:lineRule="auto"/>
              <w:jc w:val="center"/>
              <w:rPr>
                <w:rFonts w:ascii="宋体" w:hAnsi="宋体" w:cs="宋体"/>
                <w:color w:val="auto"/>
                <w:szCs w:val="21"/>
                <w:highlight w:val="none"/>
              </w:rPr>
            </w:pPr>
          </w:p>
        </w:tc>
      </w:tr>
      <w:tr w14:paraId="635EAE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trPr>
        <w:tc>
          <w:tcPr>
            <w:tcW w:w="373" w:type="pct"/>
            <w:noWrap w:val="0"/>
            <w:vAlign w:val="center"/>
          </w:tcPr>
          <w:p w14:paraId="225635B0">
            <w:pPr>
              <w:spacing w:line="240" w:lineRule="auto"/>
              <w:jc w:val="center"/>
              <w:rPr>
                <w:rFonts w:ascii="宋体" w:hAnsi="宋体" w:cs="宋体"/>
                <w:color w:val="auto"/>
                <w:szCs w:val="21"/>
                <w:highlight w:val="none"/>
              </w:rPr>
            </w:pPr>
            <w:r>
              <w:rPr>
                <w:rFonts w:hint="eastAsia" w:ascii="宋体" w:hAnsi="宋体" w:cs="宋体"/>
                <w:color w:val="auto"/>
                <w:szCs w:val="21"/>
                <w:highlight w:val="none"/>
              </w:rPr>
              <w:t>2</w:t>
            </w:r>
          </w:p>
        </w:tc>
        <w:tc>
          <w:tcPr>
            <w:tcW w:w="839" w:type="pct"/>
            <w:noWrap w:val="0"/>
            <w:vAlign w:val="center"/>
          </w:tcPr>
          <w:p w14:paraId="151E6CE3">
            <w:pPr>
              <w:spacing w:line="240" w:lineRule="auto"/>
              <w:jc w:val="center"/>
              <w:rPr>
                <w:rFonts w:hint="eastAsia" w:ascii="宋体" w:hAnsi="宋体" w:cs="宋体"/>
                <w:color w:val="auto"/>
                <w:szCs w:val="21"/>
                <w:highlight w:val="none"/>
              </w:rPr>
            </w:pPr>
            <w:r>
              <w:rPr>
                <w:rFonts w:hint="eastAsia" w:ascii="宋体" w:hAnsi="宋体" w:cs="宋体"/>
                <w:color w:val="auto"/>
                <w:szCs w:val="21"/>
                <w:highlight w:val="none"/>
              </w:rPr>
              <w:t>第二章 技术需求书</w:t>
            </w:r>
          </w:p>
          <w:p w14:paraId="6995C7E4">
            <w:pPr>
              <w:spacing w:line="240" w:lineRule="auto"/>
              <w:jc w:val="center"/>
              <w:rPr>
                <w:rFonts w:ascii="宋体" w:hAnsi="宋体" w:cs="宋体"/>
                <w:color w:val="auto"/>
                <w:szCs w:val="21"/>
                <w:highlight w:val="none"/>
              </w:rPr>
            </w:pPr>
            <w:r>
              <w:rPr>
                <w:rFonts w:hint="eastAsia" w:ascii="宋体" w:hAnsi="宋体" w:cs="宋体"/>
                <w:color w:val="auto"/>
                <w:szCs w:val="21"/>
                <w:highlight w:val="none"/>
              </w:rPr>
              <w:t>五、其他要求</w:t>
            </w:r>
          </w:p>
        </w:tc>
        <w:tc>
          <w:tcPr>
            <w:tcW w:w="1785" w:type="pct"/>
            <w:noWrap w:val="0"/>
            <w:vAlign w:val="center"/>
          </w:tcPr>
          <w:p w14:paraId="7D91284B">
            <w:pPr>
              <w:spacing w:line="240" w:lineRule="auto"/>
              <w:jc w:val="both"/>
              <w:rPr>
                <w:rFonts w:ascii="宋体" w:hAnsi="宋体" w:cs="宋体"/>
                <w:color w:val="auto"/>
                <w:szCs w:val="21"/>
                <w:highlight w:val="none"/>
              </w:rPr>
            </w:pPr>
            <w:r>
              <w:rPr>
                <w:rFonts w:hint="eastAsia" w:ascii="宋体" w:hAnsi="宋体" w:cs="宋体"/>
                <w:color w:val="auto"/>
                <w:sz w:val="21"/>
                <w:szCs w:val="21"/>
                <w:highlight w:val="none"/>
                <w:lang w:eastAsia="zh-CN"/>
              </w:rPr>
              <w:t>投标人</w:t>
            </w:r>
            <w:r>
              <w:rPr>
                <w:rFonts w:hint="eastAsia" w:ascii="宋体" w:hAnsi="宋体" w:eastAsia="宋体" w:cs="宋体"/>
                <w:color w:val="auto"/>
                <w:sz w:val="21"/>
                <w:szCs w:val="21"/>
                <w:highlight w:val="none"/>
              </w:rPr>
              <w:t>需要为危险废物装卸提供必要设备支持，包含</w:t>
            </w:r>
            <w:r>
              <w:rPr>
                <w:rFonts w:hint="eastAsia" w:ascii="宋体" w:hAnsi="宋体" w:eastAsia="宋体" w:cs="宋体"/>
                <w:b/>
                <w:bCs/>
                <w:color w:val="auto"/>
                <w:sz w:val="21"/>
                <w:szCs w:val="21"/>
                <w:highlight w:val="none"/>
              </w:rPr>
              <w:t>升降尾板、手动（电动）叉车、电子叉车秤、抽液设备及管道</w:t>
            </w:r>
            <w:r>
              <w:rPr>
                <w:rFonts w:hint="eastAsia" w:ascii="宋体" w:hAnsi="宋体" w:eastAsia="宋体" w:cs="宋体"/>
                <w:color w:val="auto"/>
                <w:sz w:val="21"/>
                <w:szCs w:val="21"/>
                <w:highlight w:val="none"/>
              </w:rPr>
              <w:t>。</w:t>
            </w:r>
          </w:p>
        </w:tc>
        <w:tc>
          <w:tcPr>
            <w:tcW w:w="2002" w:type="pct"/>
            <w:noWrap w:val="0"/>
            <w:vAlign w:val="center"/>
          </w:tcPr>
          <w:p w14:paraId="4C856B7E">
            <w:pPr>
              <w:spacing w:line="240" w:lineRule="auto"/>
              <w:jc w:val="center"/>
              <w:rPr>
                <w:rFonts w:ascii="宋体" w:hAnsi="宋体" w:cs="宋体"/>
                <w:color w:val="auto"/>
                <w:szCs w:val="21"/>
                <w:highlight w:val="none"/>
              </w:rPr>
            </w:pPr>
          </w:p>
        </w:tc>
      </w:tr>
      <w:tr w14:paraId="6B2F62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trPr>
        <w:tc>
          <w:tcPr>
            <w:tcW w:w="373" w:type="pct"/>
            <w:noWrap w:val="0"/>
            <w:vAlign w:val="center"/>
          </w:tcPr>
          <w:p w14:paraId="7366BE68">
            <w:pPr>
              <w:spacing w:line="240" w:lineRule="auto"/>
              <w:jc w:val="center"/>
              <w:rPr>
                <w:rFonts w:ascii="宋体" w:hAnsi="宋体" w:cs="宋体"/>
                <w:color w:val="auto"/>
                <w:szCs w:val="21"/>
                <w:highlight w:val="none"/>
              </w:rPr>
            </w:pPr>
            <w:r>
              <w:rPr>
                <w:rFonts w:hint="eastAsia" w:ascii="宋体" w:hAnsi="宋体" w:cs="宋体"/>
                <w:color w:val="auto"/>
                <w:szCs w:val="21"/>
                <w:highlight w:val="none"/>
              </w:rPr>
              <w:t>3</w:t>
            </w:r>
          </w:p>
        </w:tc>
        <w:tc>
          <w:tcPr>
            <w:tcW w:w="839" w:type="pct"/>
            <w:noWrap w:val="0"/>
            <w:vAlign w:val="center"/>
          </w:tcPr>
          <w:p w14:paraId="7D30D529">
            <w:pPr>
              <w:spacing w:line="240" w:lineRule="auto"/>
              <w:jc w:val="center"/>
              <w:rPr>
                <w:rFonts w:hint="eastAsia" w:ascii="宋体" w:hAnsi="宋体" w:cs="宋体"/>
                <w:color w:val="auto"/>
                <w:szCs w:val="21"/>
                <w:highlight w:val="none"/>
              </w:rPr>
            </w:pPr>
            <w:r>
              <w:rPr>
                <w:rFonts w:hint="eastAsia" w:ascii="宋体" w:hAnsi="宋体" w:cs="宋体"/>
                <w:color w:val="auto"/>
                <w:szCs w:val="21"/>
                <w:highlight w:val="none"/>
              </w:rPr>
              <w:t>第二章 技术需求书</w:t>
            </w:r>
          </w:p>
          <w:p w14:paraId="42064ECB">
            <w:pPr>
              <w:spacing w:line="240" w:lineRule="auto"/>
              <w:jc w:val="center"/>
              <w:rPr>
                <w:rFonts w:ascii="宋体" w:hAnsi="宋体" w:cs="宋体"/>
                <w:color w:val="auto"/>
                <w:szCs w:val="21"/>
                <w:highlight w:val="none"/>
              </w:rPr>
            </w:pPr>
            <w:r>
              <w:rPr>
                <w:rFonts w:hint="eastAsia" w:ascii="宋体" w:hAnsi="宋体" w:cs="宋体"/>
                <w:color w:val="auto"/>
                <w:szCs w:val="21"/>
                <w:highlight w:val="none"/>
              </w:rPr>
              <w:t>（一）响应要求</w:t>
            </w:r>
          </w:p>
        </w:tc>
        <w:tc>
          <w:tcPr>
            <w:tcW w:w="1785" w:type="pct"/>
            <w:noWrap w:val="0"/>
            <w:vAlign w:val="center"/>
          </w:tcPr>
          <w:p w14:paraId="76AFF549">
            <w:pPr>
              <w:spacing w:line="240" w:lineRule="auto"/>
              <w:jc w:val="left"/>
              <w:rPr>
                <w:rFonts w:ascii="宋体" w:hAnsi="宋体" w:cs="宋体"/>
                <w:color w:val="auto"/>
                <w:szCs w:val="21"/>
                <w:highlight w:val="none"/>
              </w:rPr>
            </w:pPr>
            <w:r>
              <w:rPr>
                <w:rFonts w:hint="eastAsia" w:ascii="宋体" w:hAnsi="宋体" w:cs="宋体"/>
                <w:color w:val="auto"/>
                <w:szCs w:val="21"/>
                <w:highlight w:val="none"/>
              </w:rPr>
              <w:t>限行区域：合同服务期内，成交人必须具有惠州市石化区通行证。成交人须在投标时提供惠州市石化区的通行证（加盖公章），如非自有车辆需提供合作合同（加盖公章）。</w:t>
            </w:r>
          </w:p>
        </w:tc>
        <w:tc>
          <w:tcPr>
            <w:tcW w:w="2002" w:type="pct"/>
            <w:noWrap w:val="0"/>
            <w:vAlign w:val="center"/>
          </w:tcPr>
          <w:p w14:paraId="603A88BF">
            <w:pPr>
              <w:spacing w:line="240" w:lineRule="auto"/>
              <w:jc w:val="center"/>
              <w:rPr>
                <w:rFonts w:ascii="宋体" w:hAnsi="宋体" w:cs="宋体"/>
                <w:color w:val="auto"/>
                <w:szCs w:val="21"/>
                <w:highlight w:val="none"/>
              </w:rPr>
            </w:pPr>
          </w:p>
        </w:tc>
      </w:tr>
    </w:tbl>
    <w:p w14:paraId="1A44D203">
      <w:pPr>
        <w:keepNext w:val="0"/>
        <w:keepLines w:val="0"/>
        <w:pageBreakBefore w:val="0"/>
        <w:widowControl w:val="0"/>
        <w:kinsoku/>
        <w:wordWrap/>
        <w:overflowPunct/>
        <w:topLinePunct w:val="0"/>
        <w:autoSpaceDE/>
        <w:autoSpaceDN/>
        <w:bidi w:val="0"/>
        <w:adjustRightInd/>
        <w:snapToGrid/>
        <w:spacing w:line="460" w:lineRule="exact"/>
        <w:ind w:left="0" w:firstLine="440" w:firstLineChars="200"/>
        <w:textAlignment w:val="auto"/>
        <w:rPr>
          <w:rFonts w:ascii="宋体" w:hAnsi="宋体" w:cs="宋体"/>
          <w:color w:val="auto"/>
          <w:sz w:val="22"/>
          <w:szCs w:val="22"/>
          <w:highlight w:val="none"/>
        </w:rPr>
      </w:pPr>
    </w:p>
    <w:p w14:paraId="2FD98198">
      <w:pPr>
        <w:keepNext w:val="0"/>
        <w:keepLines w:val="0"/>
        <w:pageBreakBefore w:val="0"/>
        <w:widowControl w:val="0"/>
        <w:kinsoku/>
        <w:wordWrap/>
        <w:overflowPunct/>
        <w:topLinePunct w:val="0"/>
        <w:autoSpaceDE/>
        <w:autoSpaceDN/>
        <w:bidi w:val="0"/>
        <w:adjustRightInd/>
        <w:snapToGrid/>
        <w:spacing w:line="460" w:lineRule="exact"/>
        <w:ind w:left="0" w:firstLine="440" w:firstLineChars="200"/>
        <w:textAlignment w:val="auto"/>
        <w:rPr>
          <w:rFonts w:ascii="宋体" w:hAnsi="宋体" w:cs="宋体"/>
          <w:color w:val="auto"/>
          <w:sz w:val="22"/>
          <w:szCs w:val="22"/>
          <w:highlight w:val="none"/>
        </w:rPr>
      </w:pPr>
      <w:r>
        <w:rPr>
          <w:rFonts w:hint="eastAsia" w:ascii="宋体" w:hAnsi="宋体" w:cs="宋体"/>
          <w:color w:val="auto"/>
          <w:sz w:val="22"/>
          <w:szCs w:val="22"/>
          <w:highlight w:val="none"/>
          <w:lang w:val="en-US" w:eastAsia="zh-CN"/>
        </w:rPr>
        <w:t>备注</w:t>
      </w:r>
      <w:r>
        <w:rPr>
          <w:rFonts w:hint="eastAsia" w:ascii="宋体" w:hAnsi="宋体" w:cs="宋体"/>
          <w:color w:val="auto"/>
          <w:sz w:val="22"/>
          <w:szCs w:val="22"/>
          <w:highlight w:val="none"/>
        </w:rPr>
        <w:t>：</w:t>
      </w:r>
    </w:p>
    <w:p w14:paraId="7FABEAED">
      <w:pPr>
        <w:keepNext w:val="0"/>
        <w:keepLines w:val="0"/>
        <w:pageBreakBefore w:val="0"/>
        <w:widowControl w:val="0"/>
        <w:kinsoku/>
        <w:wordWrap/>
        <w:overflowPunct/>
        <w:topLinePunct w:val="0"/>
        <w:autoSpaceDE/>
        <w:autoSpaceDN/>
        <w:bidi w:val="0"/>
        <w:adjustRightInd/>
        <w:snapToGrid/>
        <w:spacing w:line="460" w:lineRule="exact"/>
        <w:ind w:left="0" w:firstLine="440" w:firstLineChars="200"/>
        <w:textAlignment w:val="auto"/>
        <w:rPr>
          <w:rFonts w:ascii="宋体" w:hAnsi="宋体" w:cs="宋体"/>
          <w:color w:val="auto"/>
          <w:sz w:val="22"/>
          <w:szCs w:val="22"/>
          <w:highlight w:val="none"/>
        </w:rPr>
      </w:pPr>
      <w:r>
        <w:rPr>
          <w:rFonts w:hint="eastAsia" w:ascii="宋体" w:hAnsi="宋体" w:cs="宋体"/>
          <w:color w:val="auto"/>
          <w:sz w:val="22"/>
          <w:szCs w:val="22"/>
          <w:highlight w:val="none"/>
        </w:rPr>
        <w:t>（1）</w:t>
      </w:r>
      <w:r>
        <w:rPr>
          <w:rFonts w:hint="eastAsia" w:ascii="宋体" w:hAnsi="宋体" w:cs="宋体"/>
          <w:b/>
          <w:bCs/>
          <w:color w:val="auto"/>
          <w:sz w:val="22"/>
          <w:szCs w:val="22"/>
          <w:highlight w:val="none"/>
          <w:u w:val="single"/>
        </w:rPr>
        <w:t>凡标有“★”的地方均被视为实质性内容或重要的技术指标要求或性能要求。投标人要特别加以注意，必须对此回答并完全满足这些要求，若需要提供相关证明材料的，应当提供，否则若有一项带“★”的指标未响应或不满足，将按无效投标处理。</w:t>
      </w:r>
    </w:p>
    <w:p w14:paraId="7C6CB8E3">
      <w:pPr>
        <w:keepNext w:val="0"/>
        <w:keepLines w:val="0"/>
        <w:pageBreakBefore w:val="0"/>
        <w:widowControl w:val="0"/>
        <w:kinsoku/>
        <w:wordWrap/>
        <w:overflowPunct/>
        <w:topLinePunct w:val="0"/>
        <w:autoSpaceDE/>
        <w:autoSpaceDN/>
        <w:bidi w:val="0"/>
        <w:adjustRightInd/>
        <w:snapToGrid/>
        <w:spacing w:line="460" w:lineRule="exact"/>
        <w:ind w:left="0" w:firstLine="440" w:firstLineChars="200"/>
        <w:textAlignment w:val="auto"/>
        <w:rPr>
          <w:rFonts w:ascii="宋体" w:hAnsi="宋体" w:cs="宋体"/>
          <w:color w:val="auto"/>
          <w:szCs w:val="21"/>
          <w:highlight w:val="none"/>
        </w:rPr>
      </w:pPr>
      <w:r>
        <w:rPr>
          <w:rFonts w:hint="eastAsia" w:ascii="宋体" w:hAnsi="宋体" w:cs="宋体"/>
          <w:color w:val="auto"/>
          <w:sz w:val="22"/>
          <w:szCs w:val="22"/>
          <w:highlight w:val="none"/>
        </w:rPr>
        <w:t>（2）“投标文件对应内容”填写“★”内容的响应内容，“</w:t>
      </w:r>
      <w:r>
        <w:rPr>
          <w:rFonts w:hint="eastAsia" w:ascii="宋体" w:hAnsi="宋体" w:cs="宋体"/>
          <w:color w:val="auto"/>
          <w:szCs w:val="21"/>
          <w:highlight w:val="none"/>
        </w:rPr>
        <w:t>响应情况”填写“完全响应”。</w:t>
      </w:r>
    </w:p>
    <w:p w14:paraId="37EED4F5">
      <w:pPr>
        <w:spacing w:line="360" w:lineRule="auto"/>
        <w:ind w:firstLine="4840" w:firstLineChars="2200"/>
        <w:rPr>
          <w:rFonts w:ascii="宋体" w:hAnsi="宋体" w:cs="宋体"/>
          <w:color w:val="auto"/>
          <w:sz w:val="22"/>
          <w:szCs w:val="22"/>
          <w:highlight w:val="none"/>
        </w:rPr>
      </w:pPr>
    </w:p>
    <w:p w14:paraId="11A3CCB7">
      <w:pPr>
        <w:spacing w:line="360" w:lineRule="auto"/>
        <w:ind w:firstLine="4840" w:firstLineChars="2200"/>
        <w:rPr>
          <w:rFonts w:ascii="宋体" w:hAnsi="宋体" w:cs="宋体"/>
          <w:color w:val="auto"/>
          <w:sz w:val="22"/>
          <w:szCs w:val="22"/>
          <w:highlight w:val="none"/>
          <w:u w:val="single"/>
        </w:rPr>
      </w:pPr>
      <w:r>
        <w:rPr>
          <w:rFonts w:hint="eastAsia" w:ascii="宋体" w:hAnsi="宋体" w:cs="宋体"/>
          <w:color w:val="auto"/>
          <w:sz w:val="22"/>
          <w:szCs w:val="22"/>
          <w:highlight w:val="none"/>
        </w:rPr>
        <w:t>投标人名称（加盖公章）：</w:t>
      </w:r>
    </w:p>
    <w:p w14:paraId="555B32DC">
      <w:pPr>
        <w:pStyle w:val="44"/>
        <w:spacing w:line="480" w:lineRule="auto"/>
        <w:ind w:left="3969" w:leftChars="1890" w:firstLine="891" w:firstLineChars="405"/>
        <w:rPr>
          <w:rFonts w:ascii="宋体" w:eastAsia="宋体" w:cs="宋体"/>
          <w:color w:val="auto"/>
          <w:sz w:val="22"/>
          <w:szCs w:val="22"/>
          <w:highlight w:val="none"/>
          <w:u w:val="single"/>
        </w:rPr>
      </w:pPr>
      <w:r>
        <w:rPr>
          <w:rFonts w:hint="eastAsia" w:ascii="宋体" w:eastAsia="宋体" w:cs="宋体"/>
          <w:color w:val="auto"/>
          <w:sz w:val="22"/>
          <w:szCs w:val="22"/>
          <w:highlight w:val="none"/>
        </w:rPr>
        <w:t>日期：</w:t>
      </w:r>
      <w:r>
        <w:rPr>
          <w:rFonts w:hint="eastAsia" w:ascii="宋体" w:eastAsia="宋体" w:cs="宋体"/>
          <w:color w:val="auto"/>
          <w:sz w:val="22"/>
          <w:szCs w:val="22"/>
          <w:highlight w:val="none"/>
          <w:u w:val="single"/>
        </w:rPr>
        <w:t xml:space="preserve">     年    月   日</w:t>
      </w:r>
    </w:p>
    <w:p w14:paraId="11AF25C4">
      <w:pPr>
        <w:rPr>
          <w:rFonts w:hint="eastAsia" w:ascii="宋体" w:hAnsi="宋体"/>
          <w:color w:val="auto"/>
          <w:sz w:val="21"/>
          <w:szCs w:val="21"/>
          <w:highlight w:val="none"/>
          <w:lang w:val="en-US" w:eastAsia="zh-CN"/>
        </w:rPr>
      </w:pPr>
    </w:p>
    <w:p w14:paraId="4A1241D9">
      <w:pPr>
        <w:rPr>
          <w:rFonts w:hint="default" w:ascii="宋体" w:hAnsi="宋体"/>
          <w:color w:val="auto"/>
          <w:sz w:val="21"/>
          <w:szCs w:val="21"/>
          <w:highlight w:val="none"/>
          <w:lang w:val="en-US" w:eastAsia="zh-CN"/>
        </w:rPr>
      </w:pPr>
    </w:p>
    <w:p w14:paraId="1C48221F">
      <w:pPr>
        <w:rPr>
          <w:rFonts w:hint="eastAsia" w:ascii="宋体" w:hAnsi="宋体"/>
          <w:color w:val="auto"/>
          <w:szCs w:val="21"/>
          <w:highlight w:val="none"/>
        </w:rPr>
      </w:pPr>
      <w:r>
        <w:rPr>
          <w:rFonts w:hint="eastAsia" w:ascii="宋体" w:hAnsi="宋体"/>
          <w:color w:val="auto"/>
          <w:szCs w:val="21"/>
          <w:highlight w:val="none"/>
        </w:rPr>
        <w:br w:type="page"/>
      </w:r>
    </w:p>
    <w:bookmarkEnd w:id="505"/>
    <w:p w14:paraId="50678F63">
      <w:pPr>
        <w:pStyle w:val="6"/>
        <w:widowControl w:val="0"/>
        <w:overflowPunct w:val="0"/>
        <w:spacing w:line="240" w:lineRule="auto"/>
        <w:rPr>
          <w:rFonts w:hint="default" w:ascii="宋体" w:hAnsi="宋体" w:eastAsia="宋体"/>
          <w:color w:val="auto"/>
          <w:sz w:val="21"/>
          <w:szCs w:val="21"/>
          <w:highlight w:val="none"/>
          <w:lang w:val="en-US" w:eastAsia="zh-CN"/>
        </w:rPr>
      </w:pPr>
      <w:bookmarkStart w:id="507" w:name="_Toc11404"/>
      <w:r>
        <w:rPr>
          <w:rFonts w:hint="eastAsia" w:ascii="宋体" w:hAnsi="宋体"/>
          <w:color w:val="auto"/>
          <w:sz w:val="21"/>
          <w:szCs w:val="21"/>
          <w:highlight w:val="none"/>
        </w:rPr>
        <w:t>附件1</w:t>
      </w:r>
      <w:r>
        <w:rPr>
          <w:rFonts w:hint="eastAsia" w:ascii="宋体" w:hAnsi="宋体"/>
          <w:color w:val="auto"/>
          <w:sz w:val="21"/>
          <w:szCs w:val="21"/>
          <w:highlight w:val="none"/>
          <w:lang w:val="en-US" w:eastAsia="zh-CN"/>
        </w:rPr>
        <w:t>7  服务方案</w:t>
      </w:r>
      <w:bookmarkEnd w:id="507"/>
    </w:p>
    <w:p w14:paraId="6AE2F856">
      <w:pPr>
        <w:jc w:val="center"/>
        <w:rPr>
          <w:rFonts w:ascii="黑体" w:eastAsia="黑体"/>
          <w:color w:val="auto"/>
          <w:sz w:val="32"/>
          <w:szCs w:val="32"/>
          <w:highlight w:val="none"/>
        </w:rPr>
      </w:pPr>
    </w:p>
    <w:p w14:paraId="4D091C9B">
      <w:pPr>
        <w:jc w:val="center"/>
        <w:rPr>
          <w:rFonts w:hint="default" w:ascii="黑体" w:eastAsia="黑体"/>
          <w:color w:val="auto"/>
          <w:sz w:val="32"/>
          <w:szCs w:val="32"/>
          <w:highlight w:val="none"/>
          <w:lang w:val="en-US" w:eastAsia="zh-CN"/>
        </w:rPr>
      </w:pPr>
      <w:r>
        <w:rPr>
          <w:rFonts w:hint="eastAsia" w:ascii="黑体" w:eastAsia="黑体"/>
          <w:color w:val="auto"/>
          <w:sz w:val="32"/>
          <w:szCs w:val="32"/>
          <w:highlight w:val="none"/>
          <w:lang w:val="en-US" w:eastAsia="zh-CN"/>
        </w:rPr>
        <w:t>服务方案（自行编写）</w:t>
      </w:r>
    </w:p>
    <w:p w14:paraId="153C93A3">
      <w:pPr>
        <w:ind w:left="0" w:leftChars="0" w:firstLine="296" w:firstLineChars="141"/>
        <w:rPr>
          <w:rFonts w:hint="eastAsia" w:ascii="宋体" w:hAnsi="宋体"/>
          <w:color w:val="auto"/>
          <w:szCs w:val="21"/>
          <w:highlight w:val="none"/>
        </w:rPr>
      </w:pPr>
      <w:r>
        <w:rPr>
          <w:rFonts w:hint="eastAsia" w:ascii="宋体" w:hAnsi="宋体"/>
          <w:color w:val="auto"/>
          <w:szCs w:val="21"/>
          <w:highlight w:val="none"/>
        </w:rPr>
        <w:t>本项目服务方案，内容应包括但不限于：异常情况处理、车辆故障处理、沟通技巧、打包装卸服务规范等</w:t>
      </w:r>
    </w:p>
    <w:p w14:paraId="1D832F31">
      <w:pPr>
        <w:ind w:left="718" w:leftChars="200" w:hanging="298" w:hangingChars="142"/>
        <w:rPr>
          <w:rFonts w:ascii="宋体" w:hAnsi="宋体"/>
          <w:color w:val="auto"/>
          <w:szCs w:val="21"/>
          <w:highlight w:val="none"/>
        </w:rPr>
      </w:pPr>
      <w:r>
        <w:rPr>
          <w:rFonts w:hint="eastAsia" w:ascii="宋体" w:hAnsi="宋体"/>
          <w:color w:val="auto"/>
          <w:szCs w:val="21"/>
          <w:highlight w:val="none"/>
        </w:rPr>
        <w:t>1、投标人为本项目制定的具体项目实施方案与项目实施流程</w:t>
      </w:r>
    </w:p>
    <w:p w14:paraId="63B388D8">
      <w:pPr>
        <w:ind w:left="718" w:leftChars="200" w:hanging="298" w:hangingChars="142"/>
        <w:rPr>
          <w:rFonts w:ascii="宋体" w:hAnsi="宋体"/>
          <w:color w:val="auto"/>
          <w:szCs w:val="21"/>
          <w:highlight w:val="none"/>
        </w:rPr>
      </w:pPr>
      <w:r>
        <w:rPr>
          <w:rFonts w:hint="eastAsia" w:ascii="宋体" w:hAnsi="宋体"/>
          <w:color w:val="auto"/>
          <w:szCs w:val="21"/>
          <w:highlight w:val="none"/>
          <w:lang w:val="en-US" w:eastAsia="zh-CN"/>
        </w:rPr>
        <w:t>2</w:t>
      </w:r>
      <w:r>
        <w:rPr>
          <w:rFonts w:hint="eastAsia" w:ascii="宋体" w:hAnsi="宋体"/>
          <w:color w:val="auto"/>
          <w:szCs w:val="21"/>
          <w:highlight w:val="none"/>
        </w:rPr>
        <w:t>、服务方案</w:t>
      </w:r>
    </w:p>
    <w:p w14:paraId="0B5510F1">
      <w:pPr>
        <w:ind w:left="718" w:leftChars="200" w:hanging="298" w:hangingChars="142"/>
        <w:rPr>
          <w:rFonts w:ascii="宋体" w:hAnsi="宋体"/>
          <w:color w:val="auto"/>
          <w:szCs w:val="21"/>
          <w:highlight w:val="none"/>
        </w:rPr>
      </w:pPr>
      <w:r>
        <w:rPr>
          <w:rFonts w:hint="eastAsia" w:ascii="宋体" w:hAnsi="宋体"/>
          <w:color w:val="auto"/>
          <w:szCs w:val="21"/>
          <w:highlight w:val="none"/>
          <w:lang w:val="en-US" w:eastAsia="zh-CN"/>
        </w:rPr>
        <w:t>3</w:t>
      </w:r>
      <w:r>
        <w:rPr>
          <w:rFonts w:hint="eastAsia" w:ascii="宋体" w:hAnsi="宋体"/>
          <w:color w:val="auto"/>
          <w:szCs w:val="21"/>
          <w:highlight w:val="none"/>
        </w:rPr>
        <w:t>、..........</w:t>
      </w:r>
    </w:p>
    <w:p w14:paraId="681F2C24">
      <w:pPr>
        <w:ind w:left="718" w:leftChars="200" w:hanging="298" w:hangingChars="142"/>
        <w:rPr>
          <w:rFonts w:ascii="宋体" w:hAnsi="宋体" w:cs="Times New Roman"/>
          <w:color w:val="auto"/>
          <w:szCs w:val="21"/>
          <w:highlight w:val="none"/>
        </w:rPr>
      </w:pPr>
      <w:r>
        <w:rPr>
          <w:rFonts w:hint="eastAsia" w:ascii="宋体" w:hAnsi="宋体"/>
          <w:color w:val="auto"/>
          <w:szCs w:val="21"/>
          <w:highlight w:val="none"/>
        </w:rPr>
        <w:t>自行编写。</w:t>
      </w:r>
    </w:p>
    <w:p w14:paraId="6795CCE1">
      <w:pPr>
        <w:ind w:left="718" w:leftChars="200" w:hanging="298" w:hangingChars="142"/>
        <w:rPr>
          <w:rFonts w:ascii="宋体" w:hAnsi="宋体"/>
          <w:color w:val="auto"/>
          <w:szCs w:val="21"/>
          <w:highlight w:val="none"/>
        </w:rPr>
      </w:pPr>
    </w:p>
    <w:p w14:paraId="56633C64">
      <w:pPr>
        <w:ind w:left="718" w:leftChars="200" w:hanging="298" w:hangingChars="142"/>
        <w:rPr>
          <w:rFonts w:ascii="宋体" w:hAnsi="宋体"/>
          <w:color w:val="auto"/>
          <w:szCs w:val="21"/>
          <w:highlight w:val="none"/>
        </w:rPr>
      </w:pPr>
    </w:p>
    <w:p w14:paraId="388A9479">
      <w:pPr>
        <w:pStyle w:val="6"/>
        <w:widowControl w:val="0"/>
        <w:overflowPunct w:val="0"/>
        <w:spacing w:line="240" w:lineRule="auto"/>
        <w:rPr>
          <w:rFonts w:hint="eastAsia" w:ascii="宋体" w:hAnsi="宋体"/>
          <w:color w:val="auto"/>
          <w:sz w:val="21"/>
          <w:szCs w:val="21"/>
          <w:highlight w:val="none"/>
        </w:rPr>
      </w:pPr>
      <w:r>
        <w:rPr>
          <w:rFonts w:hint="eastAsia" w:ascii="宋体" w:hAnsi="宋体"/>
          <w:color w:val="auto"/>
          <w:szCs w:val="21"/>
          <w:highlight w:val="none"/>
        </w:rPr>
        <w:br w:type="page"/>
      </w:r>
      <w:bookmarkStart w:id="508" w:name="_Toc21755"/>
      <w:r>
        <w:rPr>
          <w:rFonts w:hint="eastAsia" w:ascii="宋体" w:hAnsi="宋体"/>
          <w:color w:val="auto"/>
          <w:sz w:val="21"/>
          <w:szCs w:val="21"/>
          <w:highlight w:val="none"/>
        </w:rPr>
        <w:t>附件1</w:t>
      </w:r>
      <w:r>
        <w:rPr>
          <w:rFonts w:hint="eastAsia" w:ascii="宋体" w:hAnsi="宋体"/>
          <w:color w:val="auto"/>
          <w:sz w:val="21"/>
          <w:szCs w:val="21"/>
          <w:highlight w:val="none"/>
          <w:lang w:val="en-US" w:eastAsia="zh-CN"/>
        </w:rPr>
        <w:t xml:space="preserve">8  </w:t>
      </w:r>
      <w:r>
        <w:rPr>
          <w:rFonts w:hint="eastAsia" w:ascii="宋体" w:hAnsi="宋体"/>
          <w:color w:val="auto"/>
          <w:sz w:val="21"/>
          <w:szCs w:val="21"/>
          <w:highlight w:val="none"/>
        </w:rPr>
        <w:t>重点难点分析及方案</w:t>
      </w:r>
      <w:bookmarkEnd w:id="508"/>
    </w:p>
    <w:p w14:paraId="1FB34C20">
      <w:pPr>
        <w:rPr>
          <w:rFonts w:hint="eastAsia" w:ascii="宋体" w:hAnsi="宋体"/>
          <w:color w:val="auto"/>
          <w:sz w:val="21"/>
          <w:szCs w:val="21"/>
          <w:highlight w:val="none"/>
        </w:rPr>
      </w:pPr>
    </w:p>
    <w:p w14:paraId="7B5E8F36">
      <w:pPr>
        <w:ind w:left="718" w:leftChars="200" w:hanging="298" w:hangingChars="142"/>
        <w:rPr>
          <w:rFonts w:hint="default" w:ascii="宋体" w:hAnsi="宋体" w:eastAsia="宋体"/>
          <w:color w:val="auto"/>
          <w:szCs w:val="21"/>
          <w:highlight w:val="none"/>
          <w:lang w:val="en-US" w:eastAsia="zh-CN"/>
        </w:rPr>
      </w:pPr>
      <w:r>
        <w:rPr>
          <w:rFonts w:hint="eastAsia" w:ascii="宋体" w:hAnsi="宋体"/>
          <w:color w:val="auto"/>
          <w:szCs w:val="21"/>
          <w:highlight w:val="none"/>
        </w:rPr>
        <w:t>1、投标人为本项目</w:t>
      </w:r>
      <w:r>
        <w:rPr>
          <w:rFonts w:hint="eastAsia" w:ascii="宋体" w:hAnsi="宋体"/>
          <w:color w:val="auto"/>
          <w:szCs w:val="21"/>
          <w:highlight w:val="none"/>
          <w:lang w:val="en-US" w:eastAsia="zh-CN"/>
        </w:rPr>
        <w:t>做好重点难点分析及方案</w:t>
      </w:r>
    </w:p>
    <w:p w14:paraId="4FFBCEB3">
      <w:pPr>
        <w:ind w:left="718" w:leftChars="200" w:hanging="298" w:hangingChars="142"/>
        <w:rPr>
          <w:rFonts w:hint="eastAsia" w:ascii="宋体" w:hAnsi="宋体"/>
          <w:color w:val="auto"/>
          <w:szCs w:val="21"/>
          <w:highlight w:val="none"/>
        </w:rPr>
      </w:pPr>
      <w:r>
        <w:rPr>
          <w:rFonts w:hint="eastAsia" w:ascii="宋体" w:hAnsi="宋体"/>
          <w:color w:val="auto"/>
          <w:szCs w:val="21"/>
          <w:highlight w:val="none"/>
          <w:lang w:val="en-US" w:eastAsia="zh-CN"/>
        </w:rPr>
        <w:t>2</w:t>
      </w:r>
      <w:r>
        <w:rPr>
          <w:rFonts w:hint="eastAsia" w:ascii="宋体" w:hAnsi="宋体"/>
          <w:color w:val="auto"/>
          <w:szCs w:val="21"/>
          <w:highlight w:val="none"/>
        </w:rPr>
        <w:t>、..........</w:t>
      </w:r>
    </w:p>
    <w:p w14:paraId="6CC15B24">
      <w:pPr>
        <w:ind w:left="718" w:leftChars="200" w:hanging="298" w:hangingChars="142"/>
        <w:rPr>
          <w:rFonts w:ascii="宋体" w:hAnsi="宋体"/>
          <w:color w:val="auto"/>
          <w:szCs w:val="21"/>
          <w:highlight w:val="none"/>
        </w:rPr>
      </w:pPr>
      <w:r>
        <w:rPr>
          <w:rFonts w:hint="eastAsia" w:ascii="宋体" w:hAnsi="宋体"/>
          <w:color w:val="auto"/>
          <w:szCs w:val="21"/>
          <w:highlight w:val="none"/>
          <w:lang w:val="en-US" w:eastAsia="zh-CN"/>
        </w:rPr>
        <w:t>3</w:t>
      </w:r>
      <w:r>
        <w:rPr>
          <w:rFonts w:hint="eastAsia" w:ascii="宋体" w:hAnsi="宋体"/>
          <w:color w:val="auto"/>
          <w:szCs w:val="21"/>
          <w:highlight w:val="none"/>
        </w:rPr>
        <w:t>、..........</w:t>
      </w:r>
    </w:p>
    <w:p w14:paraId="139EF1CB">
      <w:pPr>
        <w:ind w:left="718" w:leftChars="200" w:hanging="298" w:hangingChars="142"/>
        <w:rPr>
          <w:rFonts w:ascii="宋体" w:hAnsi="宋体" w:cs="Times New Roman"/>
          <w:color w:val="auto"/>
          <w:szCs w:val="21"/>
          <w:highlight w:val="none"/>
        </w:rPr>
      </w:pPr>
      <w:r>
        <w:rPr>
          <w:rFonts w:hint="eastAsia" w:ascii="宋体" w:hAnsi="宋体"/>
          <w:color w:val="auto"/>
          <w:szCs w:val="21"/>
          <w:highlight w:val="none"/>
        </w:rPr>
        <w:t>自行编写。</w:t>
      </w:r>
    </w:p>
    <w:p w14:paraId="57D63108">
      <w:pPr>
        <w:pStyle w:val="2"/>
        <w:ind w:firstLine="0" w:firstLineChars="0"/>
        <w:rPr>
          <w:rFonts w:hint="default"/>
          <w:color w:val="auto"/>
          <w:highlight w:val="none"/>
          <w:lang w:val="en-US" w:eastAsia="zh-CN"/>
        </w:rPr>
      </w:pPr>
    </w:p>
    <w:p w14:paraId="455C1408">
      <w:pPr>
        <w:spacing w:before="180" w:beforeLines="50" w:after="180" w:afterLines="50" w:line="360" w:lineRule="exact"/>
        <w:ind w:firstLineChars="0"/>
        <w:jc w:val="both"/>
        <w:outlineLvl w:val="9"/>
        <w:rPr>
          <w:rFonts w:hint="eastAsia" w:ascii="宋体" w:hAnsi="宋体"/>
          <w:color w:val="auto"/>
          <w:szCs w:val="21"/>
          <w:highlight w:val="none"/>
        </w:rPr>
      </w:pPr>
      <w:r>
        <w:rPr>
          <w:rFonts w:hint="eastAsia" w:ascii="宋体" w:hAnsi="宋体"/>
          <w:color w:val="auto"/>
          <w:szCs w:val="21"/>
          <w:highlight w:val="none"/>
        </w:rPr>
        <w:br w:type="page"/>
      </w:r>
    </w:p>
    <w:p w14:paraId="224D683B">
      <w:pPr>
        <w:pStyle w:val="6"/>
        <w:widowControl w:val="0"/>
        <w:overflowPunct w:val="0"/>
        <w:spacing w:line="240" w:lineRule="auto"/>
        <w:rPr>
          <w:rFonts w:hint="default" w:ascii="宋体" w:hAnsi="宋体" w:eastAsia="宋体"/>
          <w:color w:val="auto"/>
          <w:sz w:val="21"/>
          <w:szCs w:val="21"/>
          <w:highlight w:val="none"/>
          <w:lang w:val="en-US" w:eastAsia="zh-CN"/>
        </w:rPr>
      </w:pPr>
      <w:bookmarkStart w:id="509" w:name="_Toc23418"/>
      <w:r>
        <w:rPr>
          <w:rFonts w:hint="eastAsia" w:ascii="宋体" w:hAnsi="宋体"/>
          <w:color w:val="auto"/>
          <w:sz w:val="21"/>
          <w:szCs w:val="21"/>
          <w:highlight w:val="none"/>
        </w:rPr>
        <w:t>附件1</w:t>
      </w:r>
      <w:r>
        <w:rPr>
          <w:rFonts w:hint="eastAsia" w:ascii="宋体" w:hAnsi="宋体"/>
          <w:color w:val="auto"/>
          <w:sz w:val="21"/>
          <w:szCs w:val="21"/>
          <w:highlight w:val="none"/>
          <w:lang w:val="en-US" w:eastAsia="zh-CN"/>
        </w:rPr>
        <w:t>9  响应时间承诺函</w:t>
      </w:r>
      <w:bookmarkEnd w:id="509"/>
    </w:p>
    <w:p w14:paraId="5D74900A">
      <w:pPr>
        <w:spacing w:before="180" w:beforeLines="50" w:after="180" w:afterLines="50" w:line="360" w:lineRule="exact"/>
        <w:ind w:firstLineChars="0"/>
        <w:jc w:val="center"/>
        <w:outlineLvl w:val="9"/>
        <w:rPr>
          <w:rFonts w:hint="eastAsia" w:ascii="宋体" w:hAnsi="宋体"/>
          <w:color w:val="auto"/>
          <w:sz w:val="21"/>
          <w:szCs w:val="21"/>
          <w:highlight w:val="none"/>
          <w:lang w:val="en-US" w:eastAsia="zh-CN"/>
        </w:rPr>
      </w:pPr>
      <w:r>
        <w:rPr>
          <w:rFonts w:hint="eastAsia" w:ascii="宋体" w:hAnsi="宋体"/>
          <w:b/>
          <w:bCs/>
          <w:color w:val="auto"/>
          <w:sz w:val="21"/>
          <w:szCs w:val="21"/>
          <w:highlight w:val="none"/>
          <w:lang w:val="en-US" w:eastAsia="zh-CN"/>
        </w:rPr>
        <w:t>响应时间承诺函</w:t>
      </w:r>
    </w:p>
    <w:p w14:paraId="779BD856">
      <w:pPr>
        <w:pStyle w:val="2"/>
        <w:ind w:firstLine="0" w:firstLineChars="0"/>
        <w:rPr>
          <w:rFonts w:hint="eastAsia"/>
          <w:color w:val="auto"/>
          <w:highlight w:val="none"/>
        </w:rPr>
      </w:pPr>
    </w:p>
    <w:p w14:paraId="28E654B8">
      <w:pPr>
        <w:rPr>
          <w:rFonts w:hint="eastAsia" w:ascii="宋体" w:hAnsi="宋体"/>
          <w:color w:val="auto"/>
          <w:szCs w:val="21"/>
          <w:highlight w:val="none"/>
          <w:lang w:val="en-US" w:eastAsia="zh-CN"/>
        </w:rPr>
      </w:pPr>
      <w:r>
        <w:rPr>
          <w:rFonts w:hint="eastAsia" w:ascii="宋体" w:hAnsi="宋体"/>
          <w:color w:val="auto"/>
          <w:szCs w:val="21"/>
          <w:highlight w:val="none"/>
          <w:lang w:val="en-US" w:eastAsia="zh-CN"/>
        </w:rPr>
        <w:t>东莞市新东欣环保投资有限公司：</w:t>
      </w:r>
    </w:p>
    <w:p w14:paraId="44BD0CEC">
      <w:pPr>
        <w:ind w:left="0" w:leftChars="0" w:firstLine="504" w:firstLineChars="240"/>
        <w:rPr>
          <w:rFonts w:hint="eastAsia" w:ascii="宋体" w:hAnsi="宋体"/>
          <w:color w:val="auto"/>
          <w:szCs w:val="21"/>
          <w:highlight w:val="none"/>
          <w:lang w:val="en-US" w:eastAsia="zh-CN"/>
        </w:rPr>
      </w:pPr>
      <w:r>
        <w:rPr>
          <w:rFonts w:hint="eastAsia" w:ascii="宋体" w:hAnsi="宋体"/>
          <w:color w:val="auto"/>
          <w:szCs w:val="21"/>
          <w:highlight w:val="none"/>
          <w:lang w:val="en-US" w:eastAsia="zh-CN"/>
        </w:rPr>
        <w:t>我司参加贵司组织的</w:t>
      </w:r>
      <w:r>
        <w:rPr>
          <w:rFonts w:hint="eastAsia" w:ascii="宋体" w:hAnsi="宋体"/>
          <w:color w:val="auto"/>
          <w:szCs w:val="21"/>
          <w:highlight w:val="none"/>
        </w:rPr>
        <w:t>东莞市新东欣环保投资有限公司莞惠区域危废运输服务项目</w:t>
      </w:r>
      <w:r>
        <w:rPr>
          <w:rFonts w:hint="eastAsia" w:ascii="宋体" w:hAnsi="宋体"/>
          <w:color w:val="auto"/>
          <w:szCs w:val="21"/>
          <w:highlight w:val="none"/>
          <w:lang w:val="en-US" w:eastAsia="zh-CN"/>
        </w:rPr>
        <w:t>投标工作，对于服务响应时间，作出承诺如下：</w:t>
      </w:r>
    </w:p>
    <w:p w14:paraId="47AE75DA">
      <w:pPr>
        <w:ind w:left="0" w:leftChars="0" w:firstLine="296" w:firstLineChars="141"/>
        <w:rPr>
          <w:rFonts w:hint="eastAsia" w:ascii="宋体" w:hAnsi="宋体"/>
          <w:color w:val="auto"/>
          <w:szCs w:val="21"/>
          <w:highlight w:val="none"/>
          <w:lang w:val="en-US" w:eastAsia="zh-CN"/>
        </w:rPr>
      </w:pPr>
      <w:r>
        <w:rPr>
          <w:rFonts w:hint="eastAsia" w:ascii="宋体" w:hAnsi="宋体"/>
          <w:color w:val="auto"/>
          <w:szCs w:val="21"/>
          <w:highlight w:val="none"/>
          <w:lang w:val="en-US" w:eastAsia="zh-CN"/>
        </w:rPr>
        <w:t>1.我方完全响应采购文件的要求和条件，承诺自接到贵司收运指令并确认响应承运后，在   小时内完成人员和车辆派单安排。</w:t>
      </w:r>
    </w:p>
    <w:p w14:paraId="1C56BA20">
      <w:pPr>
        <w:ind w:left="0" w:leftChars="0" w:firstLine="296" w:firstLineChars="141"/>
        <w:rPr>
          <w:rFonts w:hint="eastAsia" w:ascii="宋体" w:hAnsi="宋体"/>
          <w:color w:val="auto"/>
          <w:szCs w:val="21"/>
          <w:highlight w:val="none"/>
        </w:rPr>
      </w:pPr>
      <w:r>
        <w:rPr>
          <w:rFonts w:hint="eastAsia" w:ascii="宋体" w:hAnsi="宋体"/>
          <w:color w:val="auto"/>
          <w:szCs w:val="21"/>
          <w:highlight w:val="none"/>
          <w:lang w:val="en-US" w:eastAsia="zh-CN"/>
        </w:rPr>
        <w:t>2.我方同意如合同期内，我司</w:t>
      </w:r>
      <w:r>
        <w:rPr>
          <w:rFonts w:hint="eastAsia" w:ascii="宋体" w:hAnsi="宋体"/>
          <w:color w:val="auto"/>
          <w:szCs w:val="21"/>
          <w:highlight w:val="none"/>
        </w:rPr>
        <w:t>未能按承诺时间内派车，</w:t>
      </w:r>
      <w:r>
        <w:rPr>
          <w:rFonts w:hint="eastAsia" w:ascii="宋体" w:hAnsi="宋体"/>
          <w:color w:val="auto"/>
          <w:szCs w:val="21"/>
          <w:highlight w:val="none"/>
          <w:lang w:val="en-US" w:eastAsia="zh-CN"/>
        </w:rPr>
        <w:t>贵司</w:t>
      </w:r>
      <w:r>
        <w:rPr>
          <w:rFonts w:hint="eastAsia" w:ascii="宋体" w:hAnsi="宋体"/>
          <w:color w:val="auto"/>
          <w:szCs w:val="21"/>
          <w:highlight w:val="none"/>
        </w:rPr>
        <w:t>有权处于500元/次的处罚，如一个月内出现5次未能按承诺时间内派车且派车时间超过3小时的，采购人有权购人有权无责解除合同并保留追责权利。</w:t>
      </w:r>
    </w:p>
    <w:p w14:paraId="107A1361">
      <w:pPr>
        <w:ind w:left="0" w:leftChars="0" w:firstLine="296" w:firstLineChars="141"/>
        <w:rPr>
          <w:rFonts w:hint="eastAsia" w:ascii="宋体" w:hAnsi="宋体"/>
          <w:color w:val="auto"/>
          <w:szCs w:val="21"/>
          <w:highlight w:val="none"/>
          <w:lang w:val="en-US" w:eastAsia="zh-CN"/>
        </w:rPr>
      </w:pPr>
      <w:r>
        <w:rPr>
          <w:rFonts w:hint="eastAsia" w:ascii="宋体" w:hAnsi="宋体"/>
          <w:color w:val="auto"/>
          <w:szCs w:val="21"/>
          <w:highlight w:val="none"/>
          <w:lang w:val="en-US" w:eastAsia="zh-CN"/>
        </w:rPr>
        <w:t>特此承诺</w:t>
      </w:r>
    </w:p>
    <w:p w14:paraId="2C0C2655">
      <w:pPr>
        <w:pStyle w:val="2"/>
        <w:ind w:firstLine="0" w:firstLineChars="0"/>
        <w:rPr>
          <w:rFonts w:hint="eastAsia"/>
          <w:color w:val="auto"/>
          <w:highlight w:val="none"/>
          <w:lang w:val="en-US" w:eastAsia="zh-CN"/>
        </w:rPr>
      </w:pPr>
    </w:p>
    <w:p w14:paraId="708990BA">
      <w:pPr>
        <w:pStyle w:val="2"/>
        <w:ind w:firstLine="0" w:firstLineChars="0"/>
        <w:rPr>
          <w:rFonts w:hint="eastAsia"/>
          <w:color w:val="auto"/>
          <w:highlight w:val="none"/>
          <w:lang w:val="en-US" w:eastAsia="zh-CN"/>
        </w:rPr>
      </w:pPr>
      <w:r>
        <w:rPr>
          <w:rFonts w:hint="eastAsia"/>
          <w:color w:val="auto"/>
          <w:highlight w:val="none"/>
          <w:lang w:val="en-US" w:eastAsia="zh-CN"/>
        </w:rPr>
        <w:t>报价人：</w:t>
      </w:r>
    </w:p>
    <w:p w14:paraId="4D08849C">
      <w:pPr>
        <w:pStyle w:val="2"/>
        <w:ind w:firstLine="0" w:firstLineChars="0"/>
        <w:rPr>
          <w:rFonts w:hint="eastAsia" w:ascii="宋体" w:hAnsi="宋体"/>
          <w:color w:val="auto"/>
          <w:sz w:val="21"/>
          <w:szCs w:val="21"/>
          <w:highlight w:val="none"/>
        </w:rPr>
      </w:pPr>
      <w:r>
        <w:rPr>
          <w:rFonts w:hint="eastAsia"/>
          <w:color w:val="auto"/>
          <w:highlight w:val="none"/>
          <w:lang w:val="en-US" w:eastAsia="zh-CN"/>
        </w:rPr>
        <w:t>时间：  年  月  日</w:t>
      </w:r>
      <w:r>
        <w:rPr>
          <w:rFonts w:hint="eastAsia" w:ascii="宋体" w:hAnsi="宋体"/>
          <w:color w:val="auto"/>
          <w:szCs w:val="21"/>
          <w:highlight w:val="none"/>
        </w:rPr>
        <w:br w:type="page"/>
      </w:r>
      <w:bookmarkStart w:id="510" w:name="_Toc1477"/>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 xml:space="preserve">20  </w:t>
      </w:r>
      <w:r>
        <w:rPr>
          <w:rFonts w:hint="eastAsia" w:ascii="宋体" w:hAnsi="宋体"/>
          <w:color w:val="auto"/>
          <w:sz w:val="21"/>
          <w:szCs w:val="21"/>
          <w:highlight w:val="none"/>
        </w:rPr>
        <w:t>自有跟踪或视频监控平台</w:t>
      </w:r>
      <w:bookmarkEnd w:id="510"/>
    </w:p>
    <w:p w14:paraId="1169CC12">
      <w:pPr>
        <w:rPr>
          <w:rFonts w:hint="eastAsia" w:ascii="宋体" w:hAnsi="宋体"/>
          <w:color w:val="auto"/>
          <w:sz w:val="21"/>
          <w:szCs w:val="21"/>
          <w:highlight w:val="none"/>
        </w:rPr>
      </w:pPr>
    </w:p>
    <w:p w14:paraId="2959873E">
      <w:pPr>
        <w:ind w:left="0" w:leftChars="0" w:firstLine="296" w:firstLineChars="141"/>
        <w:rPr>
          <w:rFonts w:hint="default" w:ascii="宋体" w:hAnsi="宋体"/>
          <w:color w:val="auto"/>
          <w:szCs w:val="21"/>
          <w:highlight w:val="none"/>
          <w:lang w:val="en-US" w:eastAsia="zh-CN"/>
        </w:rPr>
      </w:pPr>
      <w:r>
        <w:rPr>
          <w:rFonts w:hint="default" w:ascii="宋体" w:hAnsi="宋体"/>
          <w:color w:val="auto"/>
          <w:szCs w:val="21"/>
          <w:highlight w:val="none"/>
          <w:lang w:val="en-US" w:eastAsia="zh-CN"/>
        </w:rPr>
        <w:t>投标人除广东省固废平台外，还另行自有或享有使用权的独立软件或平台，要求软件或平台具备包括但不限于实时车辆位置跟踪和视频监控等功能。每有1个满足上述功能的软件或平台可得1分，本项满分3分。</w:t>
      </w:r>
    </w:p>
    <w:p w14:paraId="6D1FD46F">
      <w:pPr>
        <w:ind w:left="0" w:leftChars="0" w:firstLine="296" w:firstLineChars="141"/>
        <w:rPr>
          <w:rFonts w:hint="default" w:ascii="宋体" w:hAnsi="宋体"/>
          <w:color w:val="auto"/>
          <w:szCs w:val="21"/>
          <w:highlight w:val="none"/>
          <w:lang w:val="en-US" w:eastAsia="zh-CN"/>
        </w:rPr>
      </w:pPr>
    </w:p>
    <w:p w14:paraId="003D32E4">
      <w:pPr>
        <w:ind w:left="0" w:leftChars="0" w:firstLine="296" w:firstLineChars="141"/>
        <w:rPr>
          <w:rFonts w:hint="default" w:ascii="宋体" w:hAnsi="宋体"/>
          <w:color w:val="auto"/>
          <w:szCs w:val="21"/>
          <w:highlight w:val="none"/>
          <w:lang w:val="en-US" w:eastAsia="zh-CN"/>
        </w:rPr>
      </w:pPr>
      <w:r>
        <w:rPr>
          <w:rFonts w:hint="default" w:ascii="宋体" w:hAnsi="宋体"/>
          <w:color w:val="auto"/>
          <w:szCs w:val="21"/>
          <w:highlight w:val="none"/>
          <w:lang w:val="en-US" w:eastAsia="zh-CN"/>
        </w:rPr>
        <w:t>备注：投标人需提供软件或平台截图，要求展示软件或平台对车辆位置跟踪和视频监控截图</w:t>
      </w:r>
    </w:p>
    <w:p w14:paraId="65A590E1">
      <w:pPr>
        <w:pStyle w:val="2"/>
        <w:ind w:firstLine="0" w:firstLineChars="0"/>
        <w:rPr>
          <w:rFonts w:hint="default"/>
          <w:color w:val="auto"/>
          <w:highlight w:val="none"/>
          <w:lang w:val="en-US" w:eastAsia="zh-CN"/>
        </w:rPr>
      </w:pPr>
    </w:p>
    <w:p w14:paraId="43498D9A">
      <w:pPr>
        <w:spacing w:before="0" w:beforeLines="-2147483648" w:after="0" w:afterLines="-2147483648" w:line="240" w:lineRule="auto"/>
        <w:ind w:firstLineChars="0"/>
        <w:jc w:val="left"/>
        <w:outlineLvl w:val="9"/>
        <w:rPr>
          <w:rFonts w:hint="eastAsia" w:ascii="宋体" w:hAnsi="宋体"/>
          <w:color w:val="auto"/>
          <w:szCs w:val="21"/>
          <w:highlight w:val="none"/>
        </w:rPr>
      </w:pPr>
      <w:r>
        <w:rPr>
          <w:rFonts w:hint="eastAsia" w:ascii="宋体" w:hAnsi="宋体"/>
          <w:color w:val="auto"/>
          <w:szCs w:val="21"/>
          <w:highlight w:val="none"/>
        </w:rPr>
        <w:br w:type="page"/>
      </w:r>
    </w:p>
    <w:p w14:paraId="6592A264">
      <w:pPr>
        <w:pStyle w:val="6"/>
        <w:widowControl w:val="0"/>
        <w:overflowPunct w:val="0"/>
        <w:spacing w:line="240" w:lineRule="auto"/>
        <w:rPr>
          <w:rFonts w:ascii="宋体" w:hAnsi="宋体"/>
          <w:color w:val="auto"/>
          <w:szCs w:val="21"/>
          <w:highlight w:val="none"/>
        </w:rPr>
      </w:pPr>
      <w:bookmarkStart w:id="511" w:name="_Toc22013"/>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 xml:space="preserve">21  </w:t>
      </w:r>
      <w:r>
        <w:rPr>
          <w:rFonts w:hint="eastAsia" w:ascii="宋体" w:hAnsi="宋体"/>
          <w:color w:val="auto"/>
          <w:sz w:val="21"/>
          <w:szCs w:val="21"/>
          <w:highlight w:val="none"/>
        </w:rPr>
        <w:t>拟投入本项目的</w:t>
      </w:r>
      <w:r>
        <w:rPr>
          <w:rFonts w:hint="eastAsia" w:ascii="宋体" w:hAnsi="宋体"/>
          <w:color w:val="auto"/>
          <w:sz w:val="21"/>
          <w:szCs w:val="21"/>
          <w:highlight w:val="none"/>
          <w:lang w:val="en-US" w:eastAsia="zh-CN"/>
        </w:rPr>
        <w:t>运输车辆及服务人员</w:t>
      </w:r>
      <w:r>
        <w:rPr>
          <w:rFonts w:hint="eastAsia" w:ascii="宋体" w:hAnsi="宋体"/>
          <w:color w:val="auto"/>
          <w:sz w:val="21"/>
          <w:szCs w:val="21"/>
          <w:highlight w:val="none"/>
        </w:rPr>
        <w:t>情况</w:t>
      </w:r>
      <w:bookmarkEnd w:id="511"/>
    </w:p>
    <w:p w14:paraId="4909004A">
      <w:pPr>
        <w:keepNext w:val="0"/>
        <w:keepLines w:val="0"/>
        <w:pageBreakBefore w:val="0"/>
        <w:widowControl w:val="0"/>
        <w:kinsoku/>
        <w:wordWrap/>
        <w:overflowPunct/>
        <w:topLinePunct w:val="0"/>
        <w:autoSpaceDE/>
        <w:autoSpaceDN/>
        <w:bidi w:val="0"/>
        <w:adjustRightInd/>
        <w:snapToGrid/>
        <w:spacing w:line="460" w:lineRule="exact"/>
        <w:ind w:firstLine="0" w:firstLineChars="0"/>
        <w:jc w:val="center"/>
        <w:textAlignment w:val="auto"/>
        <w:outlineLvl w:val="9"/>
        <w:rPr>
          <w:rFonts w:ascii="宋体" w:hAnsi="宋体"/>
          <w:b/>
          <w:color w:val="auto"/>
          <w:sz w:val="21"/>
          <w:szCs w:val="21"/>
          <w:highlight w:val="none"/>
        </w:rPr>
      </w:pPr>
      <w:r>
        <w:rPr>
          <w:rFonts w:hint="eastAsia" w:ascii="宋体" w:hAnsi="宋体"/>
          <w:b/>
          <w:color w:val="auto"/>
          <w:sz w:val="21"/>
          <w:szCs w:val="21"/>
          <w:highlight w:val="none"/>
        </w:rPr>
        <w:t>《运输车辆名册》</w:t>
      </w:r>
    </w:p>
    <w:tbl>
      <w:tblPr>
        <w:tblStyle w:val="30"/>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8"/>
        <w:gridCol w:w="2393"/>
        <w:gridCol w:w="2633"/>
        <w:gridCol w:w="2525"/>
      </w:tblGrid>
      <w:tr w14:paraId="365E5F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68" w:type="pct"/>
          </w:tcPr>
          <w:p w14:paraId="4BAF94CC">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序号</w:t>
            </w:r>
          </w:p>
        </w:tc>
        <w:tc>
          <w:tcPr>
            <w:tcW w:w="1404" w:type="pct"/>
          </w:tcPr>
          <w:p w14:paraId="3AAB9059">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车牌号</w:t>
            </w:r>
          </w:p>
        </w:tc>
        <w:tc>
          <w:tcPr>
            <w:tcW w:w="1545" w:type="pct"/>
          </w:tcPr>
          <w:p w14:paraId="2BFB6F6F">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车型</w:t>
            </w:r>
          </w:p>
        </w:tc>
        <w:tc>
          <w:tcPr>
            <w:tcW w:w="1481" w:type="pct"/>
          </w:tcPr>
          <w:p w14:paraId="6D9F1902">
            <w:pPr>
              <w:widowControl w:val="0"/>
              <w:adjustRightInd/>
              <w:snapToGrid/>
              <w:spacing w:line="360" w:lineRule="exact"/>
              <w:ind w:firstLine="660" w:firstLineChars="300"/>
              <w:outlineLvl w:val="9"/>
              <w:rPr>
                <w:rFonts w:ascii="宋体" w:hAnsi="宋体" w:cs="宋体"/>
                <w:color w:val="auto"/>
                <w:sz w:val="22"/>
                <w:highlight w:val="none"/>
              </w:rPr>
            </w:pPr>
            <w:r>
              <w:rPr>
                <w:rFonts w:hint="eastAsia" w:ascii="宋体" w:hAnsi="宋体" w:cs="宋体"/>
                <w:color w:val="auto"/>
                <w:sz w:val="22"/>
                <w:highlight w:val="none"/>
              </w:rPr>
              <w:t>备注</w:t>
            </w:r>
          </w:p>
        </w:tc>
      </w:tr>
      <w:tr w14:paraId="470843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0A16E47">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1</w:t>
            </w:r>
          </w:p>
        </w:tc>
        <w:tc>
          <w:tcPr>
            <w:tcW w:w="1404" w:type="pct"/>
          </w:tcPr>
          <w:p w14:paraId="2450A61C">
            <w:pPr>
              <w:widowControl w:val="0"/>
              <w:adjustRightInd/>
              <w:snapToGrid/>
              <w:spacing w:line="360" w:lineRule="exact"/>
              <w:outlineLvl w:val="9"/>
              <w:rPr>
                <w:rFonts w:ascii="宋体" w:hAnsi="宋体" w:cs="宋体"/>
                <w:color w:val="auto"/>
                <w:sz w:val="22"/>
                <w:highlight w:val="none"/>
              </w:rPr>
            </w:pPr>
          </w:p>
        </w:tc>
        <w:tc>
          <w:tcPr>
            <w:tcW w:w="1545" w:type="pct"/>
          </w:tcPr>
          <w:p w14:paraId="1BD0F6E6">
            <w:pPr>
              <w:widowControl w:val="0"/>
              <w:adjustRightInd/>
              <w:snapToGrid/>
              <w:spacing w:line="360" w:lineRule="exact"/>
              <w:outlineLvl w:val="9"/>
              <w:rPr>
                <w:rFonts w:ascii="宋体" w:hAnsi="宋体" w:cs="宋体"/>
                <w:color w:val="auto"/>
                <w:sz w:val="22"/>
                <w:highlight w:val="none"/>
              </w:rPr>
            </w:pPr>
          </w:p>
        </w:tc>
        <w:tc>
          <w:tcPr>
            <w:tcW w:w="1481" w:type="pct"/>
          </w:tcPr>
          <w:p w14:paraId="4125A057">
            <w:pPr>
              <w:widowControl w:val="0"/>
              <w:adjustRightInd/>
              <w:snapToGrid/>
              <w:spacing w:line="360" w:lineRule="exact"/>
              <w:outlineLvl w:val="9"/>
              <w:rPr>
                <w:rFonts w:ascii="宋体" w:hAnsi="宋体" w:cs="宋体"/>
                <w:color w:val="auto"/>
                <w:sz w:val="22"/>
                <w:highlight w:val="none"/>
              </w:rPr>
            </w:pPr>
          </w:p>
        </w:tc>
      </w:tr>
      <w:tr w14:paraId="2948EB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F2173A5">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2</w:t>
            </w:r>
          </w:p>
        </w:tc>
        <w:tc>
          <w:tcPr>
            <w:tcW w:w="1404" w:type="pct"/>
          </w:tcPr>
          <w:p w14:paraId="00814911">
            <w:pPr>
              <w:widowControl w:val="0"/>
              <w:adjustRightInd/>
              <w:snapToGrid/>
              <w:spacing w:line="360" w:lineRule="exact"/>
              <w:outlineLvl w:val="9"/>
              <w:rPr>
                <w:rFonts w:ascii="宋体" w:hAnsi="宋体" w:cs="宋体"/>
                <w:color w:val="auto"/>
                <w:sz w:val="22"/>
                <w:highlight w:val="none"/>
              </w:rPr>
            </w:pPr>
          </w:p>
        </w:tc>
        <w:tc>
          <w:tcPr>
            <w:tcW w:w="1545" w:type="pct"/>
          </w:tcPr>
          <w:p w14:paraId="1972B417">
            <w:pPr>
              <w:widowControl w:val="0"/>
              <w:adjustRightInd/>
              <w:snapToGrid/>
              <w:spacing w:line="360" w:lineRule="exact"/>
              <w:outlineLvl w:val="9"/>
              <w:rPr>
                <w:rFonts w:ascii="宋体" w:hAnsi="宋体" w:cs="宋体"/>
                <w:color w:val="auto"/>
                <w:sz w:val="22"/>
                <w:highlight w:val="none"/>
              </w:rPr>
            </w:pPr>
          </w:p>
        </w:tc>
        <w:tc>
          <w:tcPr>
            <w:tcW w:w="1481" w:type="pct"/>
          </w:tcPr>
          <w:p w14:paraId="27AB781D">
            <w:pPr>
              <w:widowControl w:val="0"/>
              <w:adjustRightInd/>
              <w:snapToGrid/>
              <w:spacing w:line="360" w:lineRule="exact"/>
              <w:outlineLvl w:val="9"/>
              <w:rPr>
                <w:rFonts w:ascii="宋体" w:hAnsi="宋体" w:cs="宋体"/>
                <w:color w:val="auto"/>
                <w:sz w:val="22"/>
                <w:highlight w:val="none"/>
              </w:rPr>
            </w:pPr>
          </w:p>
        </w:tc>
      </w:tr>
      <w:tr w14:paraId="521EC1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4073E21">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3</w:t>
            </w:r>
          </w:p>
        </w:tc>
        <w:tc>
          <w:tcPr>
            <w:tcW w:w="1404" w:type="pct"/>
          </w:tcPr>
          <w:p w14:paraId="49C7F566">
            <w:pPr>
              <w:widowControl w:val="0"/>
              <w:adjustRightInd/>
              <w:snapToGrid/>
              <w:spacing w:line="360" w:lineRule="exact"/>
              <w:outlineLvl w:val="9"/>
              <w:rPr>
                <w:rFonts w:ascii="宋体" w:hAnsi="宋体" w:cs="宋体"/>
                <w:color w:val="auto"/>
                <w:sz w:val="22"/>
                <w:highlight w:val="none"/>
              </w:rPr>
            </w:pPr>
          </w:p>
        </w:tc>
        <w:tc>
          <w:tcPr>
            <w:tcW w:w="1545" w:type="pct"/>
          </w:tcPr>
          <w:p w14:paraId="1AD63BAD">
            <w:pPr>
              <w:widowControl w:val="0"/>
              <w:adjustRightInd/>
              <w:snapToGrid/>
              <w:spacing w:line="360" w:lineRule="exact"/>
              <w:outlineLvl w:val="9"/>
              <w:rPr>
                <w:rFonts w:ascii="宋体" w:hAnsi="宋体" w:cs="宋体"/>
                <w:color w:val="auto"/>
                <w:sz w:val="22"/>
                <w:highlight w:val="none"/>
              </w:rPr>
            </w:pPr>
          </w:p>
        </w:tc>
        <w:tc>
          <w:tcPr>
            <w:tcW w:w="1481" w:type="pct"/>
          </w:tcPr>
          <w:p w14:paraId="1D8076CC">
            <w:pPr>
              <w:widowControl w:val="0"/>
              <w:adjustRightInd/>
              <w:snapToGrid/>
              <w:spacing w:line="360" w:lineRule="exact"/>
              <w:outlineLvl w:val="9"/>
              <w:rPr>
                <w:rFonts w:ascii="宋体" w:hAnsi="宋体" w:cs="宋体"/>
                <w:color w:val="auto"/>
                <w:sz w:val="22"/>
                <w:highlight w:val="none"/>
              </w:rPr>
            </w:pPr>
          </w:p>
        </w:tc>
      </w:tr>
      <w:tr w14:paraId="05EB90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CA34075">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4</w:t>
            </w:r>
          </w:p>
        </w:tc>
        <w:tc>
          <w:tcPr>
            <w:tcW w:w="1404" w:type="pct"/>
          </w:tcPr>
          <w:p w14:paraId="539349B9">
            <w:pPr>
              <w:widowControl w:val="0"/>
              <w:adjustRightInd/>
              <w:snapToGrid/>
              <w:spacing w:line="360" w:lineRule="exact"/>
              <w:outlineLvl w:val="9"/>
              <w:rPr>
                <w:rFonts w:ascii="宋体" w:hAnsi="宋体" w:cs="宋体"/>
                <w:color w:val="auto"/>
                <w:sz w:val="22"/>
                <w:highlight w:val="none"/>
              </w:rPr>
            </w:pPr>
          </w:p>
        </w:tc>
        <w:tc>
          <w:tcPr>
            <w:tcW w:w="1545" w:type="pct"/>
          </w:tcPr>
          <w:p w14:paraId="05BD245A">
            <w:pPr>
              <w:widowControl w:val="0"/>
              <w:adjustRightInd/>
              <w:snapToGrid/>
              <w:spacing w:line="360" w:lineRule="exact"/>
              <w:outlineLvl w:val="9"/>
              <w:rPr>
                <w:rFonts w:ascii="宋体" w:hAnsi="宋体" w:cs="宋体"/>
                <w:color w:val="auto"/>
                <w:sz w:val="22"/>
                <w:highlight w:val="none"/>
              </w:rPr>
            </w:pPr>
          </w:p>
        </w:tc>
        <w:tc>
          <w:tcPr>
            <w:tcW w:w="1481" w:type="pct"/>
          </w:tcPr>
          <w:p w14:paraId="6F449FF1">
            <w:pPr>
              <w:widowControl w:val="0"/>
              <w:adjustRightInd/>
              <w:snapToGrid/>
              <w:spacing w:line="360" w:lineRule="exact"/>
              <w:outlineLvl w:val="9"/>
              <w:rPr>
                <w:rFonts w:ascii="宋体" w:hAnsi="宋体" w:cs="宋体"/>
                <w:color w:val="auto"/>
                <w:sz w:val="22"/>
                <w:highlight w:val="none"/>
              </w:rPr>
            </w:pPr>
          </w:p>
        </w:tc>
      </w:tr>
      <w:tr w14:paraId="4A4E8E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4FDE12D">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5</w:t>
            </w:r>
          </w:p>
        </w:tc>
        <w:tc>
          <w:tcPr>
            <w:tcW w:w="1404" w:type="pct"/>
          </w:tcPr>
          <w:p w14:paraId="1315ADBB">
            <w:pPr>
              <w:widowControl w:val="0"/>
              <w:adjustRightInd/>
              <w:snapToGrid/>
              <w:spacing w:line="360" w:lineRule="exact"/>
              <w:outlineLvl w:val="9"/>
              <w:rPr>
                <w:rFonts w:ascii="宋体" w:hAnsi="宋体" w:cs="宋体"/>
                <w:color w:val="auto"/>
                <w:sz w:val="22"/>
                <w:highlight w:val="none"/>
              </w:rPr>
            </w:pPr>
          </w:p>
        </w:tc>
        <w:tc>
          <w:tcPr>
            <w:tcW w:w="1545" w:type="pct"/>
          </w:tcPr>
          <w:p w14:paraId="341EC360">
            <w:pPr>
              <w:widowControl w:val="0"/>
              <w:adjustRightInd/>
              <w:snapToGrid/>
              <w:spacing w:line="360" w:lineRule="exact"/>
              <w:outlineLvl w:val="9"/>
              <w:rPr>
                <w:rFonts w:ascii="宋体" w:hAnsi="宋体" w:cs="宋体"/>
                <w:color w:val="auto"/>
                <w:sz w:val="22"/>
                <w:highlight w:val="none"/>
              </w:rPr>
            </w:pPr>
          </w:p>
        </w:tc>
        <w:tc>
          <w:tcPr>
            <w:tcW w:w="1481" w:type="pct"/>
          </w:tcPr>
          <w:p w14:paraId="265C0A61">
            <w:pPr>
              <w:widowControl w:val="0"/>
              <w:adjustRightInd/>
              <w:snapToGrid/>
              <w:spacing w:line="360" w:lineRule="exact"/>
              <w:outlineLvl w:val="9"/>
              <w:rPr>
                <w:rFonts w:ascii="宋体" w:hAnsi="宋体" w:cs="宋体"/>
                <w:color w:val="auto"/>
                <w:sz w:val="22"/>
                <w:highlight w:val="none"/>
              </w:rPr>
            </w:pPr>
          </w:p>
        </w:tc>
      </w:tr>
      <w:tr w14:paraId="46555D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F7B7914">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6</w:t>
            </w:r>
          </w:p>
        </w:tc>
        <w:tc>
          <w:tcPr>
            <w:tcW w:w="1404" w:type="pct"/>
          </w:tcPr>
          <w:p w14:paraId="38FC3FF6">
            <w:pPr>
              <w:widowControl w:val="0"/>
              <w:adjustRightInd/>
              <w:snapToGrid/>
              <w:spacing w:line="360" w:lineRule="exact"/>
              <w:outlineLvl w:val="9"/>
              <w:rPr>
                <w:rFonts w:ascii="宋体" w:hAnsi="宋体" w:cs="宋体"/>
                <w:color w:val="auto"/>
                <w:sz w:val="22"/>
                <w:highlight w:val="none"/>
              </w:rPr>
            </w:pPr>
          </w:p>
        </w:tc>
        <w:tc>
          <w:tcPr>
            <w:tcW w:w="1545" w:type="pct"/>
          </w:tcPr>
          <w:p w14:paraId="67BF553A">
            <w:pPr>
              <w:widowControl w:val="0"/>
              <w:adjustRightInd/>
              <w:snapToGrid/>
              <w:spacing w:line="360" w:lineRule="exact"/>
              <w:outlineLvl w:val="9"/>
              <w:rPr>
                <w:rFonts w:ascii="宋体" w:hAnsi="宋体" w:cs="宋体"/>
                <w:color w:val="auto"/>
                <w:sz w:val="22"/>
                <w:highlight w:val="none"/>
              </w:rPr>
            </w:pPr>
          </w:p>
        </w:tc>
        <w:tc>
          <w:tcPr>
            <w:tcW w:w="1481" w:type="pct"/>
          </w:tcPr>
          <w:p w14:paraId="0B24B82B">
            <w:pPr>
              <w:widowControl w:val="0"/>
              <w:adjustRightInd/>
              <w:snapToGrid/>
              <w:spacing w:line="360" w:lineRule="exact"/>
              <w:outlineLvl w:val="9"/>
              <w:rPr>
                <w:rFonts w:ascii="宋体" w:hAnsi="宋体" w:cs="宋体"/>
                <w:color w:val="auto"/>
                <w:sz w:val="22"/>
                <w:highlight w:val="none"/>
              </w:rPr>
            </w:pPr>
          </w:p>
        </w:tc>
      </w:tr>
      <w:tr w14:paraId="744704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93A6AD4">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7</w:t>
            </w:r>
          </w:p>
        </w:tc>
        <w:tc>
          <w:tcPr>
            <w:tcW w:w="1404" w:type="pct"/>
          </w:tcPr>
          <w:p w14:paraId="387FFB5F">
            <w:pPr>
              <w:widowControl w:val="0"/>
              <w:adjustRightInd/>
              <w:snapToGrid/>
              <w:spacing w:line="360" w:lineRule="exact"/>
              <w:outlineLvl w:val="9"/>
              <w:rPr>
                <w:rFonts w:ascii="宋体" w:hAnsi="宋体" w:cs="宋体"/>
                <w:color w:val="auto"/>
                <w:sz w:val="22"/>
                <w:highlight w:val="none"/>
              </w:rPr>
            </w:pPr>
          </w:p>
        </w:tc>
        <w:tc>
          <w:tcPr>
            <w:tcW w:w="1545" w:type="pct"/>
          </w:tcPr>
          <w:p w14:paraId="36214CED">
            <w:pPr>
              <w:widowControl w:val="0"/>
              <w:adjustRightInd/>
              <w:snapToGrid/>
              <w:spacing w:line="360" w:lineRule="exact"/>
              <w:outlineLvl w:val="9"/>
              <w:rPr>
                <w:rFonts w:ascii="宋体" w:hAnsi="宋体" w:cs="宋体"/>
                <w:color w:val="auto"/>
                <w:sz w:val="22"/>
                <w:highlight w:val="none"/>
              </w:rPr>
            </w:pPr>
          </w:p>
        </w:tc>
        <w:tc>
          <w:tcPr>
            <w:tcW w:w="1481" w:type="pct"/>
          </w:tcPr>
          <w:p w14:paraId="198BC7FA">
            <w:pPr>
              <w:widowControl w:val="0"/>
              <w:adjustRightInd/>
              <w:snapToGrid/>
              <w:spacing w:line="360" w:lineRule="exact"/>
              <w:outlineLvl w:val="9"/>
              <w:rPr>
                <w:rFonts w:ascii="宋体" w:hAnsi="宋体" w:cs="宋体"/>
                <w:color w:val="auto"/>
                <w:sz w:val="22"/>
                <w:highlight w:val="none"/>
              </w:rPr>
            </w:pPr>
          </w:p>
        </w:tc>
      </w:tr>
      <w:tr w14:paraId="3F3DA4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1226269">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8</w:t>
            </w:r>
          </w:p>
        </w:tc>
        <w:tc>
          <w:tcPr>
            <w:tcW w:w="1404" w:type="pct"/>
          </w:tcPr>
          <w:p w14:paraId="56FE079E">
            <w:pPr>
              <w:widowControl w:val="0"/>
              <w:adjustRightInd/>
              <w:snapToGrid/>
              <w:spacing w:line="360" w:lineRule="exact"/>
              <w:outlineLvl w:val="9"/>
              <w:rPr>
                <w:rFonts w:ascii="宋体" w:hAnsi="宋体" w:cs="宋体"/>
                <w:color w:val="auto"/>
                <w:sz w:val="22"/>
                <w:highlight w:val="none"/>
              </w:rPr>
            </w:pPr>
          </w:p>
        </w:tc>
        <w:tc>
          <w:tcPr>
            <w:tcW w:w="1545" w:type="pct"/>
          </w:tcPr>
          <w:p w14:paraId="3659765E">
            <w:pPr>
              <w:widowControl w:val="0"/>
              <w:adjustRightInd/>
              <w:snapToGrid/>
              <w:spacing w:line="360" w:lineRule="exact"/>
              <w:outlineLvl w:val="9"/>
              <w:rPr>
                <w:rFonts w:ascii="宋体" w:hAnsi="宋体" w:cs="宋体"/>
                <w:color w:val="auto"/>
                <w:sz w:val="22"/>
                <w:highlight w:val="none"/>
              </w:rPr>
            </w:pPr>
          </w:p>
        </w:tc>
        <w:tc>
          <w:tcPr>
            <w:tcW w:w="1481" w:type="pct"/>
          </w:tcPr>
          <w:p w14:paraId="15951BFE">
            <w:pPr>
              <w:widowControl w:val="0"/>
              <w:adjustRightInd/>
              <w:snapToGrid/>
              <w:spacing w:line="360" w:lineRule="exact"/>
              <w:outlineLvl w:val="9"/>
              <w:rPr>
                <w:rFonts w:ascii="宋体" w:hAnsi="宋体" w:cs="宋体"/>
                <w:color w:val="auto"/>
                <w:sz w:val="22"/>
                <w:highlight w:val="none"/>
              </w:rPr>
            </w:pPr>
          </w:p>
        </w:tc>
      </w:tr>
      <w:tr w14:paraId="4DA08F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72A0717">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9</w:t>
            </w:r>
          </w:p>
        </w:tc>
        <w:tc>
          <w:tcPr>
            <w:tcW w:w="1404" w:type="pct"/>
          </w:tcPr>
          <w:p w14:paraId="1BB2C7AE">
            <w:pPr>
              <w:widowControl w:val="0"/>
              <w:adjustRightInd/>
              <w:snapToGrid/>
              <w:spacing w:line="360" w:lineRule="exact"/>
              <w:outlineLvl w:val="9"/>
              <w:rPr>
                <w:rFonts w:ascii="宋体" w:hAnsi="宋体" w:cs="宋体"/>
                <w:color w:val="auto"/>
                <w:sz w:val="22"/>
                <w:highlight w:val="none"/>
              </w:rPr>
            </w:pPr>
          </w:p>
        </w:tc>
        <w:tc>
          <w:tcPr>
            <w:tcW w:w="1545" w:type="pct"/>
          </w:tcPr>
          <w:p w14:paraId="3E2EBC1D">
            <w:pPr>
              <w:widowControl w:val="0"/>
              <w:adjustRightInd/>
              <w:snapToGrid/>
              <w:spacing w:line="360" w:lineRule="exact"/>
              <w:outlineLvl w:val="9"/>
              <w:rPr>
                <w:rFonts w:ascii="宋体" w:hAnsi="宋体" w:cs="宋体"/>
                <w:color w:val="auto"/>
                <w:sz w:val="22"/>
                <w:highlight w:val="none"/>
              </w:rPr>
            </w:pPr>
          </w:p>
        </w:tc>
        <w:tc>
          <w:tcPr>
            <w:tcW w:w="1481" w:type="pct"/>
          </w:tcPr>
          <w:p w14:paraId="15B56FF8">
            <w:pPr>
              <w:widowControl w:val="0"/>
              <w:adjustRightInd/>
              <w:snapToGrid/>
              <w:spacing w:line="360" w:lineRule="exact"/>
              <w:outlineLvl w:val="9"/>
              <w:rPr>
                <w:rFonts w:ascii="宋体" w:hAnsi="宋体" w:cs="宋体"/>
                <w:color w:val="auto"/>
                <w:sz w:val="22"/>
                <w:highlight w:val="none"/>
              </w:rPr>
            </w:pPr>
          </w:p>
        </w:tc>
      </w:tr>
      <w:tr w14:paraId="0BF292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9CA7541">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10</w:t>
            </w:r>
          </w:p>
        </w:tc>
        <w:tc>
          <w:tcPr>
            <w:tcW w:w="1404" w:type="pct"/>
          </w:tcPr>
          <w:p w14:paraId="63CA5D2A">
            <w:pPr>
              <w:widowControl w:val="0"/>
              <w:adjustRightInd/>
              <w:snapToGrid/>
              <w:spacing w:line="360" w:lineRule="exact"/>
              <w:outlineLvl w:val="9"/>
              <w:rPr>
                <w:rFonts w:ascii="宋体" w:hAnsi="宋体" w:cs="宋体"/>
                <w:color w:val="auto"/>
                <w:sz w:val="22"/>
                <w:highlight w:val="none"/>
              </w:rPr>
            </w:pPr>
          </w:p>
        </w:tc>
        <w:tc>
          <w:tcPr>
            <w:tcW w:w="1545" w:type="pct"/>
          </w:tcPr>
          <w:p w14:paraId="4852BA5E">
            <w:pPr>
              <w:widowControl w:val="0"/>
              <w:adjustRightInd/>
              <w:snapToGrid/>
              <w:spacing w:line="360" w:lineRule="exact"/>
              <w:outlineLvl w:val="9"/>
              <w:rPr>
                <w:rFonts w:ascii="宋体" w:hAnsi="宋体" w:cs="宋体"/>
                <w:color w:val="auto"/>
                <w:sz w:val="22"/>
                <w:highlight w:val="none"/>
              </w:rPr>
            </w:pPr>
          </w:p>
        </w:tc>
        <w:tc>
          <w:tcPr>
            <w:tcW w:w="1481" w:type="pct"/>
          </w:tcPr>
          <w:p w14:paraId="2A7E0F82">
            <w:pPr>
              <w:widowControl w:val="0"/>
              <w:adjustRightInd/>
              <w:snapToGrid/>
              <w:spacing w:line="360" w:lineRule="exact"/>
              <w:outlineLvl w:val="9"/>
              <w:rPr>
                <w:rFonts w:ascii="宋体" w:hAnsi="宋体" w:cs="宋体"/>
                <w:color w:val="auto"/>
                <w:sz w:val="22"/>
                <w:highlight w:val="none"/>
              </w:rPr>
            </w:pPr>
          </w:p>
        </w:tc>
      </w:tr>
      <w:tr w14:paraId="43841B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A542688">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11</w:t>
            </w:r>
          </w:p>
        </w:tc>
        <w:tc>
          <w:tcPr>
            <w:tcW w:w="1404" w:type="pct"/>
          </w:tcPr>
          <w:p w14:paraId="41A11F09">
            <w:pPr>
              <w:widowControl w:val="0"/>
              <w:adjustRightInd/>
              <w:snapToGrid/>
              <w:spacing w:line="360" w:lineRule="exact"/>
              <w:outlineLvl w:val="9"/>
              <w:rPr>
                <w:rFonts w:ascii="宋体" w:hAnsi="宋体" w:cs="宋体"/>
                <w:color w:val="auto"/>
                <w:sz w:val="22"/>
                <w:highlight w:val="none"/>
              </w:rPr>
            </w:pPr>
          </w:p>
        </w:tc>
        <w:tc>
          <w:tcPr>
            <w:tcW w:w="1545" w:type="pct"/>
          </w:tcPr>
          <w:p w14:paraId="7A79B7C7">
            <w:pPr>
              <w:widowControl w:val="0"/>
              <w:adjustRightInd/>
              <w:snapToGrid/>
              <w:spacing w:line="360" w:lineRule="exact"/>
              <w:outlineLvl w:val="9"/>
              <w:rPr>
                <w:rFonts w:ascii="宋体" w:hAnsi="宋体" w:cs="宋体"/>
                <w:color w:val="auto"/>
                <w:sz w:val="22"/>
                <w:highlight w:val="none"/>
              </w:rPr>
            </w:pPr>
          </w:p>
        </w:tc>
        <w:tc>
          <w:tcPr>
            <w:tcW w:w="1481" w:type="pct"/>
          </w:tcPr>
          <w:p w14:paraId="59060D64">
            <w:pPr>
              <w:widowControl w:val="0"/>
              <w:adjustRightInd/>
              <w:snapToGrid/>
              <w:spacing w:line="360" w:lineRule="exact"/>
              <w:outlineLvl w:val="9"/>
              <w:rPr>
                <w:rFonts w:ascii="宋体" w:hAnsi="宋体" w:cs="宋体"/>
                <w:color w:val="auto"/>
                <w:sz w:val="22"/>
                <w:highlight w:val="none"/>
              </w:rPr>
            </w:pPr>
          </w:p>
        </w:tc>
      </w:tr>
      <w:tr w14:paraId="1F40D4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FE9DDC3">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12</w:t>
            </w:r>
          </w:p>
        </w:tc>
        <w:tc>
          <w:tcPr>
            <w:tcW w:w="1404" w:type="pct"/>
          </w:tcPr>
          <w:p w14:paraId="3F305382">
            <w:pPr>
              <w:widowControl w:val="0"/>
              <w:adjustRightInd/>
              <w:snapToGrid/>
              <w:spacing w:line="360" w:lineRule="exact"/>
              <w:outlineLvl w:val="9"/>
              <w:rPr>
                <w:rFonts w:ascii="宋体" w:hAnsi="宋体" w:cs="宋体"/>
                <w:color w:val="auto"/>
                <w:sz w:val="22"/>
                <w:highlight w:val="none"/>
              </w:rPr>
            </w:pPr>
          </w:p>
        </w:tc>
        <w:tc>
          <w:tcPr>
            <w:tcW w:w="1545" w:type="pct"/>
          </w:tcPr>
          <w:p w14:paraId="3AD7C572">
            <w:pPr>
              <w:widowControl w:val="0"/>
              <w:adjustRightInd/>
              <w:snapToGrid/>
              <w:spacing w:line="360" w:lineRule="exact"/>
              <w:outlineLvl w:val="9"/>
              <w:rPr>
                <w:rFonts w:ascii="宋体" w:hAnsi="宋体" w:cs="宋体"/>
                <w:color w:val="auto"/>
                <w:sz w:val="22"/>
                <w:highlight w:val="none"/>
              </w:rPr>
            </w:pPr>
          </w:p>
        </w:tc>
        <w:tc>
          <w:tcPr>
            <w:tcW w:w="1481" w:type="pct"/>
          </w:tcPr>
          <w:p w14:paraId="5CDAA0F2">
            <w:pPr>
              <w:widowControl w:val="0"/>
              <w:adjustRightInd/>
              <w:snapToGrid/>
              <w:spacing w:line="360" w:lineRule="exact"/>
              <w:outlineLvl w:val="9"/>
              <w:rPr>
                <w:rFonts w:ascii="宋体" w:hAnsi="宋体" w:cs="宋体"/>
                <w:color w:val="auto"/>
                <w:sz w:val="22"/>
                <w:highlight w:val="none"/>
              </w:rPr>
            </w:pPr>
          </w:p>
        </w:tc>
      </w:tr>
      <w:tr w14:paraId="7F717D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622C377">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13</w:t>
            </w:r>
          </w:p>
        </w:tc>
        <w:tc>
          <w:tcPr>
            <w:tcW w:w="1404" w:type="pct"/>
          </w:tcPr>
          <w:p w14:paraId="06832AA9">
            <w:pPr>
              <w:widowControl w:val="0"/>
              <w:adjustRightInd/>
              <w:snapToGrid/>
              <w:spacing w:line="360" w:lineRule="exact"/>
              <w:outlineLvl w:val="9"/>
              <w:rPr>
                <w:rFonts w:ascii="宋体" w:hAnsi="宋体" w:cs="宋体"/>
                <w:color w:val="auto"/>
                <w:sz w:val="22"/>
                <w:highlight w:val="none"/>
              </w:rPr>
            </w:pPr>
          </w:p>
        </w:tc>
        <w:tc>
          <w:tcPr>
            <w:tcW w:w="1545" w:type="pct"/>
          </w:tcPr>
          <w:p w14:paraId="45691C16">
            <w:pPr>
              <w:widowControl w:val="0"/>
              <w:adjustRightInd/>
              <w:snapToGrid/>
              <w:spacing w:line="360" w:lineRule="exact"/>
              <w:outlineLvl w:val="9"/>
              <w:rPr>
                <w:rFonts w:ascii="宋体" w:hAnsi="宋体" w:cs="宋体"/>
                <w:color w:val="auto"/>
                <w:sz w:val="22"/>
                <w:highlight w:val="none"/>
              </w:rPr>
            </w:pPr>
          </w:p>
        </w:tc>
        <w:tc>
          <w:tcPr>
            <w:tcW w:w="1481" w:type="pct"/>
          </w:tcPr>
          <w:p w14:paraId="79C8A77B">
            <w:pPr>
              <w:widowControl w:val="0"/>
              <w:adjustRightInd/>
              <w:snapToGrid/>
              <w:spacing w:line="360" w:lineRule="exact"/>
              <w:outlineLvl w:val="9"/>
              <w:rPr>
                <w:rFonts w:ascii="宋体" w:hAnsi="宋体" w:cs="宋体"/>
                <w:color w:val="auto"/>
                <w:sz w:val="22"/>
                <w:highlight w:val="none"/>
              </w:rPr>
            </w:pPr>
          </w:p>
        </w:tc>
      </w:tr>
      <w:tr w14:paraId="5105B9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DC3A852">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14</w:t>
            </w:r>
          </w:p>
        </w:tc>
        <w:tc>
          <w:tcPr>
            <w:tcW w:w="1404" w:type="pct"/>
          </w:tcPr>
          <w:p w14:paraId="45B8A082">
            <w:pPr>
              <w:widowControl w:val="0"/>
              <w:adjustRightInd/>
              <w:snapToGrid/>
              <w:spacing w:line="360" w:lineRule="exact"/>
              <w:outlineLvl w:val="9"/>
              <w:rPr>
                <w:rFonts w:ascii="宋体" w:hAnsi="宋体" w:cs="宋体"/>
                <w:color w:val="auto"/>
                <w:sz w:val="22"/>
                <w:highlight w:val="none"/>
              </w:rPr>
            </w:pPr>
          </w:p>
        </w:tc>
        <w:tc>
          <w:tcPr>
            <w:tcW w:w="1545" w:type="pct"/>
          </w:tcPr>
          <w:p w14:paraId="6E63C6E9">
            <w:pPr>
              <w:widowControl w:val="0"/>
              <w:adjustRightInd/>
              <w:snapToGrid/>
              <w:spacing w:line="360" w:lineRule="exact"/>
              <w:outlineLvl w:val="9"/>
              <w:rPr>
                <w:rFonts w:ascii="宋体" w:hAnsi="宋体" w:cs="宋体"/>
                <w:color w:val="auto"/>
                <w:sz w:val="22"/>
                <w:highlight w:val="none"/>
              </w:rPr>
            </w:pPr>
          </w:p>
        </w:tc>
        <w:tc>
          <w:tcPr>
            <w:tcW w:w="1481" w:type="pct"/>
          </w:tcPr>
          <w:p w14:paraId="01246C68">
            <w:pPr>
              <w:widowControl w:val="0"/>
              <w:adjustRightInd/>
              <w:snapToGrid/>
              <w:spacing w:line="360" w:lineRule="exact"/>
              <w:outlineLvl w:val="9"/>
              <w:rPr>
                <w:rFonts w:ascii="宋体" w:hAnsi="宋体" w:cs="宋体"/>
                <w:color w:val="auto"/>
                <w:sz w:val="22"/>
                <w:highlight w:val="none"/>
              </w:rPr>
            </w:pPr>
          </w:p>
        </w:tc>
      </w:tr>
      <w:tr w14:paraId="3555EF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120DE77">
            <w:pPr>
              <w:widowControl w:val="0"/>
              <w:adjustRightInd/>
              <w:snapToGrid/>
              <w:spacing w:line="360" w:lineRule="exact"/>
              <w:ind w:firstLine="220" w:firstLineChars="100"/>
              <w:outlineLvl w:val="9"/>
              <w:rPr>
                <w:rFonts w:ascii="宋体" w:hAnsi="宋体" w:cs="宋体"/>
                <w:color w:val="auto"/>
                <w:sz w:val="22"/>
                <w:highlight w:val="none"/>
              </w:rPr>
            </w:pPr>
            <w:r>
              <w:rPr>
                <w:rFonts w:hint="eastAsia" w:ascii="宋体" w:hAnsi="宋体" w:cs="宋体"/>
                <w:color w:val="auto"/>
                <w:sz w:val="22"/>
                <w:highlight w:val="none"/>
              </w:rPr>
              <w:t>15</w:t>
            </w:r>
          </w:p>
        </w:tc>
        <w:tc>
          <w:tcPr>
            <w:tcW w:w="1404" w:type="pct"/>
          </w:tcPr>
          <w:p w14:paraId="2684F8DE">
            <w:pPr>
              <w:widowControl w:val="0"/>
              <w:adjustRightInd/>
              <w:snapToGrid/>
              <w:spacing w:line="360" w:lineRule="exact"/>
              <w:outlineLvl w:val="9"/>
              <w:rPr>
                <w:rFonts w:ascii="宋体" w:hAnsi="宋体" w:cs="宋体"/>
                <w:color w:val="auto"/>
                <w:sz w:val="22"/>
                <w:highlight w:val="none"/>
              </w:rPr>
            </w:pPr>
          </w:p>
        </w:tc>
        <w:tc>
          <w:tcPr>
            <w:tcW w:w="1545" w:type="pct"/>
          </w:tcPr>
          <w:p w14:paraId="022454F3">
            <w:pPr>
              <w:widowControl w:val="0"/>
              <w:adjustRightInd/>
              <w:snapToGrid/>
              <w:spacing w:line="360" w:lineRule="exact"/>
              <w:outlineLvl w:val="9"/>
              <w:rPr>
                <w:rFonts w:ascii="宋体" w:hAnsi="宋体" w:cs="宋体"/>
                <w:color w:val="auto"/>
                <w:sz w:val="22"/>
                <w:highlight w:val="none"/>
              </w:rPr>
            </w:pPr>
          </w:p>
        </w:tc>
        <w:tc>
          <w:tcPr>
            <w:tcW w:w="1481" w:type="pct"/>
          </w:tcPr>
          <w:p w14:paraId="0E9B7397">
            <w:pPr>
              <w:widowControl w:val="0"/>
              <w:adjustRightInd/>
              <w:snapToGrid/>
              <w:spacing w:line="360" w:lineRule="exact"/>
              <w:outlineLvl w:val="9"/>
              <w:rPr>
                <w:rFonts w:ascii="宋体" w:hAnsi="宋体" w:cs="宋体"/>
                <w:color w:val="auto"/>
                <w:sz w:val="22"/>
                <w:highlight w:val="none"/>
              </w:rPr>
            </w:pPr>
          </w:p>
        </w:tc>
      </w:tr>
      <w:tr w14:paraId="34E7D0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A51C0F3">
            <w:pPr>
              <w:widowControl w:val="0"/>
              <w:adjustRightInd/>
              <w:snapToGrid/>
              <w:spacing w:line="360" w:lineRule="exact"/>
              <w:ind w:firstLine="220" w:firstLineChars="100"/>
              <w:outlineLvl w:val="9"/>
              <w:rPr>
                <w:rFonts w:hint="default" w:ascii="宋体" w:hAnsi="宋体" w:eastAsia="宋体" w:cs="宋体"/>
                <w:color w:val="auto"/>
                <w:sz w:val="22"/>
                <w:highlight w:val="none"/>
                <w:lang w:val="en-US" w:eastAsia="zh-CN"/>
              </w:rPr>
            </w:pPr>
            <w:r>
              <w:rPr>
                <w:rFonts w:hint="eastAsia" w:ascii="宋体" w:hAnsi="宋体" w:cs="宋体"/>
                <w:color w:val="auto"/>
                <w:sz w:val="22"/>
                <w:highlight w:val="none"/>
                <w:lang w:val="en-US" w:eastAsia="zh-CN"/>
              </w:rPr>
              <w:t>16</w:t>
            </w:r>
          </w:p>
        </w:tc>
        <w:tc>
          <w:tcPr>
            <w:tcW w:w="1404" w:type="pct"/>
          </w:tcPr>
          <w:p w14:paraId="1151ABCD">
            <w:pPr>
              <w:widowControl w:val="0"/>
              <w:adjustRightInd/>
              <w:snapToGrid/>
              <w:spacing w:line="360" w:lineRule="exact"/>
              <w:outlineLvl w:val="9"/>
              <w:rPr>
                <w:rFonts w:ascii="宋体" w:hAnsi="宋体" w:cs="宋体"/>
                <w:color w:val="auto"/>
                <w:sz w:val="22"/>
                <w:highlight w:val="none"/>
              </w:rPr>
            </w:pPr>
          </w:p>
        </w:tc>
        <w:tc>
          <w:tcPr>
            <w:tcW w:w="1545" w:type="pct"/>
          </w:tcPr>
          <w:p w14:paraId="2E8FF3EF">
            <w:pPr>
              <w:widowControl w:val="0"/>
              <w:adjustRightInd/>
              <w:snapToGrid/>
              <w:spacing w:line="360" w:lineRule="exact"/>
              <w:outlineLvl w:val="9"/>
              <w:rPr>
                <w:rFonts w:ascii="宋体" w:hAnsi="宋体" w:cs="宋体"/>
                <w:color w:val="auto"/>
                <w:sz w:val="22"/>
                <w:highlight w:val="none"/>
              </w:rPr>
            </w:pPr>
          </w:p>
        </w:tc>
        <w:tc>
          <w:tcPr>
            <w:tcW w:w="1481" w:type="pct"/>
          </w:tcPr>
          <w:p w14:paraId="44CB2F8E">
            <w:pPr>
              <w:widowControl w:val="0"/>
              <w:adjustRightInd/>
              <w:snapToGrid/>
              <w:spacing w:line="360" w:lineRule="exact"/>
              <w:outlineLvl w:val="9"/>
              <w:rPr>
                <w:rFonts w:ascii="宋体" w:hAnsi="宋体" w:cs="宋体"/>
                <w:color w:val="auto"/>
                <w:sz w:val="22"/>
                <w:highlight w:val="none"/>
              </w:rPr>
            </w:pPr>
          </w:p>
        </w:tc>
      </w:tr>
      <w:tr w14:paraId="20FCAF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02CAE0E">
            <w:pPr>
              <w:widowControl w:val="0"/>
              <w:adjustRightInd/>
              <w:snapToGrid/>
              <w:spacing w:line="360" w:lineRule="exact"/>
              <w:ind w:firstLine="220" w:firstLineChars="100"/>
              <w:outlineLvl w:val="9"/>
              <w:rPr>
                <w:rFonts w:hint="default" w:ascii="宋体" w:hAnsi="宋体" w:eastAsia="宋体" w:cs="宋体"/>
                <w:color w:val="auto"/>
                <w:sz w:val="22"/>
                <w:highlight w:val="none"/>
                <w:lang w:val="en-US" w:eastAsia="zh-CN"/>
              </w:rPr>
            </w:pPr>
            <w:r>
              <w:rPr>
                <w:rFonts w:hint="eastAsia" w:ascii="宋体" w:hAnsi="宋体" w:cs="宋体"/>
                <w:color w:val="auto"/>
                <w:sz w:val="22"/>
                <w:highlight w:val="none"/>
                <w:lang w:val="en-US" w:eastAsia="zh-CN"/>
              </w:rPr>
              <w:t>17</w:t>
            </w:r>
          </w:p>
        </w:tc>
        <w:tc>
          <w:tcPr>
            <w:tcW w:w="1404" w:type="pct"/>
          </w:tcPr>
          <w:p w14:paraId="5A0C3503">
            <w:pPr>
              <w:widowControl w:val="0"/>
              <w:adjustRightInd/>
              <w:snapToGrid/>
              <w:spacing w:line="360" w:lineRule="exact"/>
              <w:outlineLvl w:val="9"/>
              <w:rPr>
                <w:rFonts w:ascii="宋体" w:hAnsi="宋体" w:cs="宋体"/>
                <w:color w:val="auto"/>
                <w:sz w:val="22"/>
                <w:highlight w:val="none"/>
              </w:rPr>
            </w:pPr>
          </w:p>
        </w:tc>
        <w:tc>
          <w:tcPr>
            <w:tcW w:w="1545" w:type="pct"/>
          </w:tcPr>
          <w:p w14:paraId="62554851">
            <w:pPr>
              <w:widowControl w:val="0"/>
              <w:adjustRightInd/>
              <w:snapToGrid/>
              <w:spacing w:line="360" w:lineRule="exact"/>
              <w:outlineLvl w:val="9"/>
              <w:rPr>
                <w:rFonts w:ascii="宋体" w:hAnsi="宋体" w:cs="宋体"/>
                <w:color w:val="auto"/>
                <w:sz w:val="22"/>
                <w:highlight w:val="none"/>
              </w:rPr>
            </w:pPr>
          </w:p>
        </w:tc>
        <w:tc>
          <w:tcPr>
            <w:tcW w:w="1481" w:type="pct"/>
          </w:tcPr>
          <w:p w14:paraId="246B591A">
            <w:pPr>
              <w:widowControl w:val="0"/>
              <w:adjustRightInd/>
              <w:snapToGrid/>
              <w:spacing w:line="360" w:lineRule="exact"/>
              <w:outlineLvl w:val="9"/>
              <w:rPr>
                <w:rFonts w:ascii="宋体" w:hAnsi="宋体" w:cs="宋体"/>
                <w:color w:val="auto"/>
                <w:sz w:val="22"/>
                <w:highlight w:val="none"/>
              </w:rPr>
            </w:pPr>
          </w:p>
        </w:tc>
      </w:tr>
      <w:tr w14:paraId="585EAF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552E8BA">
            <w:pPr>
              <w:widowControl w:val="0"/>
              <w:adjustRightInd/>
              <w:snapToGrid/>
              <w:spacing w:line="360" w:lineRule="exact"/>
              <w:ind w:firstLine="220" w:firstLineChars="100"/>
              <w:outlineLvl w:val="9"/>
              <w:rPr>
                <w:rFonts w:hint="default" w:ascii="宋体" w:hAnsi="宋体" w:cs="宋体"/>
                <w:color w:val="auto"/>
                <w:sz w:val="22"/>
                <w:highlight w:val="none"/>
                <w:lang w:val="en-US" w:eastAsia="zh-CN"/>
              </w:rPr>
            </w:pPr>
            <w:r>
              <w:rPr>
                <w:rFonts w:hint="eastAsia" w:ascii="宋体" w:hAnsi="宋体" w:cs="宋体"/>
                <w:color w:val="auto"/>
                <w:sz w:val="22"/>
                <w:highlight w:val="none"/>
                <w:lang w:val="en-US" w:eastAsia="zh-CN"/>
              </w:rPr>
              <w:t>18</w:t>
            </w:r>
          </w:p>
        </w:tc>
        <w:tc>
          <w:tcPr>
            <w:tcW w:w="1404" w:type="pct"/>
          </w:tcPr>
          <w:p w14:paraId="51628575">
            <w:pPr>
              <w:widowControl w:val="0"/>
              <w:adjustRightInd/>
              <w:snapToGrid/>
              <w:spacing w:line="360" w:lineRule="exact"/>
              <w:outlineLvl w:val="9"/>
              <w:rPr>
                <w:rFonts w:ascii="宋体" w:hAnsi="宋体" w:cs="宋体"/>
                <w:color w:val="auto"/>
                <w:sz w:val="22"/>
                <w:highlight w:val="none"/>
              </w:rPr>
            </w:pPr>
          </w:p>
        </w:tc>
        <w:tc>
          <w:tcPr>
            <w:tcW w:w="1545" w:type="pct"/>
          </w:tcPr>
          <w:p w14:paraId="4D8CEAC3">
            <w:pPr>
              <w:widowControl w:val="0"/>
              <w:adjustRightInd/>
              <w:snapToGrid/>
              <w:spacing w:line="360" w:lineRule="exact"/>
              <w:outlineLvl w:val="9"/>
              <w:rPr>
                <w:rFonts w:ascii="宋体" w:hAnsi="宋体" w:cs="宋体"/>
                <w:color w:val="auto"/>
                <w:sz w:val="22"/>
                <w:highlight w:val="none"/>
              </w:rPr>
            </w:pPr>
          </w:p>
        </w:tc>
        <w:tc>
          <w:tcPr>
            <w:tcW w:w="1481" w:type="pct"/>
          </w:tcPr>
          <w:p w14:paraId="43A2ABA1">
            <w:pPr>
              <w:widowControl w:val="0"/>
              <w:adjustRightInd/>
              <w:snapToGrid/>
              <w:spacing w:line="360" w:lineRule="exact"/>
              <w:outlineLvl w:val="9"/>
              <w:rPr>
                <w:rFonts w:ascii="宋体" w:hAnsi="宋体" w:cs="宋体"/>
                <w:color w:val="auto"/>
                <w:sz w:val="22"/>
                <w:highlight w:val="none"/>
              </w:rPr>
            </w:pPr>
          </w:p>
        </w:tc>
      </w:tr>
      <w:tr w14:paraId="47D694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9F22AEB">
            <w:pPr>
              <w:widowControl w:val="0"/>
              <w:adjustRightInd/>
              <w:snapToGrid/>
              <w:spacing w:line="360" w:lineRule="exact"/>
              <w:ind w:firstLine="220" w:firstLineChars="100"/>
              <w:outlineLvl w:val="9"/>
              <w:rPr>
                <w:rFonts w:hint="default" w:ascii="宋体" w:hAnsi="宋体" w:cs="宋体"/>
                <w:color w:val="auto"/>
                <w:sz w:val="22"/>
                <w:highlight w:val="none"/>
                <w:lang w:val="en-US" w:eastAsia="zh-CN"/>
              </w:rPr>
            </w:pPr>
            <w:r>
              <w:rPr>
                <w:rFonts w:hint="eastAsia" w:ascii="宋体" w:hAnsi="宋体" w:cs="宋体"/>
                <w:color w:val="auto"/>
                <w:sz w:val="22"/>
                <w:highlight w:val="none"/>
                <w:lang w:val="en-US" w:eastAsia="zh-CN"/>
              </w:rPr>
              <w:t>19</w:t>
            </w:r>
          </w:p>
        </w:tc>
        <w:tc>
          <w:tcPr>
            <w:tcW w:w="1404" w:type="pct"/>
          </w:tcPr>
          <w:p w14:paraId="7F662431">
            <w:pPr>
              <w:widowControl w:val="0"/>
              <w:adjustRightInd/>
              <w:snapToGrid/>
              <w:spacing w:line="360" w:lineRule="exact"/>
              <w:outlineLvl w:val="9"/>
              <w:rPr>
                <w:rFonts w:ascii="宋体" w:hAnsi="宋体" w:cs="宋体"/>
                <w:color w:val="auto"/>
                <w:sz w:val="22"/>
                <w:highlight w:val="none"/>
              </w:rPr>
            </w:pPr>
          </w:p>
        </w:tc>
        <w:tc>
          <w:tcPr>
            <w:tcW w:w="1545" w:type="pct"/>
          </w:tcPr>
          <w:p w14:paraId="27A6C20A">
            <w:pPr>
              <w:widowControl w:val="0"/>
              <w:adjustRightInd/>
              <w:snapToGrid/>
              <w:spacing w:line="360" w:lineRule="exact"/>
              <w:outlineLvl w:val="9"/>
              <w:rPr>
                <w:rFonts w:ascii="宋体" w:hAnsi="宋体" w:cs="宋体"/>
                <w:color w:val="auto"/>
                <w:sz w:val="22"/>
                <w:highlight w:val="none"/>
              </w:rPr>
            </w:pPr>
          </w:p>
        </w:tc>
        <w:tc>
          <w:tcPr>
            <w:tcW w:w="1481" w:type="pct"/>
          </w:tcPr>
          <w:p w14:paraId="70C91244">
            <w:pPr>
              <w:widowControl w:val="0"/>
              <w:adjustRightInd/>
              <w:snapToGrid/>
              <w:spacing w:line="360" w:lineRule="exact"/>
              <w:outlineLvl w:val="9"/>
              <w:rPr>
                <w:rFonts w:ascii="宋体" w:hAnsi="宋体" w:cs="宋体"/>
                <w:color w:val="auto"/>
                <w:sz w:val="22"/>
                <w:highlight w:val="none"/>
              </w:rPr>
            </w:pPr>
          </w:p>
        </w:tc>
      </w:tr>
      <w:tr w14:paraId="595740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1CEAC3A">
            <w:pPr>
              <w:widowControl w:val="0"/>
              <w:adjustRightInd/>
              <w:snapToGrid/>
              <w:spacing w:line="360" w:lineRule="exact"/>
              <w:ind w:firstLine="220" w:firstLineChars="100"/>
              <w:outlineLvl w:val="9"/>
              <w:rPr>
                <w:rFonts w:hint="default" w:ascii="宋体" w:hAnsi="宋体" w:cs="宋体"/>
                <w:color w:val="auto"/>
                <w:sz w:val="22"/>
                <w:highlight w:val="none"/>
                <w:lang w:val="en-US" w:eastAsia="zh-CN"/>
              </w:rPr>
            </w:pPr>
            <w:r>
              <w:rPr>
                <w:rFonts w:hint="eastAsia" w:ascii="宋体" w:hAnsi="宋体" w:cs="宋体"/>
                <w:color w:val="auto"/>
                <w:sz w:val="22"/>
                <w:highlight w:val="none"/>
                <w:lang w:val="en-US" w:eastAsia="zh-CN"/>
              </w:rPr>
              <w:t>20</w:t>
            </w:r>
          </w:p>
        </w:tc>
        <w:tc>
          <w:tcPr>
            <w:tcW w:w="1404" w:type="pct"/>
          </w:tcPr>
          <w:p w14:paraId="427252F8">
            <w:pPr>
              <w:widowControl w:val="0"/>
              <w:adjustRightInd/>
              <w:snapToGrid/>
              <w:spacing w:line="360" w:lineRule="exact"/>
              <w:outlineLvl w:val="9"/>
              <w:rPr>
                <w:rFonts w:ascii="宋体" w:hAnsi="宋体" w:cs="宋体"/>
                <w:color w:val="auto"/>
                <w:sz w:val="22"/>
                <w:highlight w:val="none"/>
              </w:rPr>
            </w:pPr>
          </w:p>
        </w:tc>
        <w:tc>
          <w:tcPr>
            <w:tcW w:w="1545" w:type="pct"/>
          </w:tcPr>
          <w:p w14:paraId="3DBA9D02">
            <w:pPr>
              <w:widowControl w:val="0"/>
              <w:adjustRightInd/>
              <w:snapToGrid/>
              <w:spacing w:line="360" w:lineRule="exact"/>
              <w:outlineLvl w:val="9"/>
              <w:rPr>
                <w:rFonts w:ascii="宋体" w:hAnsi="宋体" w:cs="宋体"/>
                <w:color w:val="auto"/>
                <w:sz w:val="22"/>
                <w:highlight w:val="none"/>
              </w:rPr>
            </w:pPr>
          </w:p>
        </w:tc>
        <w:tc>
          <w:tcPr>
            <w:tcW w:w="1481" w:type="pct"/>
          </w:tcPr>
          <w:p w14:paraId="3486084B">
            <w:pPr>
              <w:widowControl w:val="0"/>
              <w:adjustRightInd/>
              <w:snapToGrid/>
              <w:spacing w:line="360" w:lineRule="exact"/>
              <w:outlineLvl w:val="9"/>
              <w:rPr>
                <w:rFonts w:ascii="宋体" w:hAnsi="宋体" w:cs="宋体"/>
                <w:color w:val="auto"/>
                <w:sz w:val="22"/>
                <w:highlight w:val="none"/>
              </w:rPr>
            </w:pPr>
          </w:p>
        </w:tc>
      </w:tr>
    </w:tbl>
    <w:p w14:paraId="7D83B801">
      <w:pPr>
        <w:keepNext w:val="0"/>
        <w:keepLines w:val="0"/>
        <w:pageBreakBefore w:val="0"/>
        <w:widowControl w:val="0"/>
        <w:kinsoku/>
        <w:wordWrap/>
        <w:overflowPunct/>
        <w:topLinePunct w:val="0"/>
        <w:autoSpaceDE/>
        <w:autoSpaceDN/>
        <w:bidi w:val="0"/>
        <w:adjustRightInd/>
        <w:snapToGrid/>
        <w:spacing w:line="560" w:lineRule="exact"/>
        <w:jc w:val="both"/>
        <w:textAlignment w:val="auto"/>
        <w:outlineLvl w:val="9"/>
        <w:rPr>
          <w:rFonts w:hint="eastAsia" w:ascii="宋体" w:hAnsi="宋体" w:eastAsia="宋体" w:cs="宋体"/>
          <w:color w:val="auto"/>
          <w:highlight w:val="none"/>
        </w:rPr>
      </w:pPr>
      <w:r>
        <w:rPr>
          <w:rFonts w:hint="eastAsia" w:ascii="宋体" w:hAnsi="宋体" w:eastAsia="宋体" w:cs="宋体"/>
          <w:color w:val="auto"/>
          <w:highlight w:val="none"/>
        </w:rPr>
        <w:t>备注：</w:t>
      </w:r>
    </w:p>
    <w:p w14:paraId="7BF5A418">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420" w:firstLineChars="200"/>
        <w:jc w:val="both"/>
        <w:textAlignment w:val="auto"/>
        <w:outlineLvl w:val="9"/>
        <w:rPr>
          <w:rFonts w:hint="eastAsia" w:ascii="宋体" w:hAnsi="宋体" w:eastAsia="宋体" w:cs="宋体"/>
          <w:color w:val="auto"/>
          <w:highlight w:val="none"/>
          <w:lang w:val="en-US" w:eastAsia="zh-CN"/>
        </w:rPr>
      </w:pPr>
      <w:r>
        <w:rPr>
          <w:rFonts w:hint="eastAsia" w:ascii="宋体" w:hAnsi="宋体" w:eastAsia="宋体" w:cs="宋体"/>
          <w:color w:val="auto"/>
          <w:sz w:val="21"/>
          <w:szCs w:val="22"/>
          <w:highlight w:val="none"/>
          <w:lang w:val="en-US" w:eastAsia="zh-CN" w:bidi="ar-SA"/>
        </w:rPr>
        <w:t>1.</w:t>
      </w:r>
      <w:r>
        <w:rPr>
          <w:rFonts w:hint="eastAsia" w:ascii="宋体" w:hAnsi="宋体" w:eastAsia="宋体" w:cs="宋体"/>
          <w:color w:val="auto"/>
          <w:highlight w:val="none"/>
        </w:rPr>
        <w:t>以上为拟投入本项目运输车辆清单，</w:t>
      </w:r>
      <w:r>
        <w:rPr>
          <w:rFonts w:hint="eastAsia" w:ascii="宋体" w:hAnsi="宋体" w:eastAsia="宋体" w:cs="宋体"/>
          <w:color w:val="auto"/>
          <w:highlight w:val="none"/>
          <w:lang w:val="en-US" w:eastAsia="zh-CN"/>
        </w:rPr>
        <w:t>投标人</w:t>
      </w:r>
      <w:r>
        <w:rPr>
          <w:rFonts w:hint="eastAsia" w:ascii="宋体" w:hAnsi="宋体" w:eastAsia="宋体" w:cs="宋体"/>
          <w:color w:val="auto"/>
          <w:highlight w:val="none"/>
        </w:rPr>
        <w:t>可根据情况增加，不得减少。</w:t>
      </w:r>
      <w:r>
        <w:rPr>
          <w:rFonts w:hint="eastAsia" w:ascii="宋体" w:hAnsi="宋体" w:eastAsia="宋体" w:cs="宋体"/>
          <w:color w:val="auto"/>
          <w:highlight w:val="none"/>
          <w:lang w:val="en-US" w:eastAsia="zh-CN"/>
        </w:rPr>
        <w:t>以上</w:t>
      </w:r>
      <w:r>
        <w:rPr>
          <w:rFonts w:hint="eastAsia" w:ascii="宋体" w:hAnsi="宋体" w:eastAsia="宋体" w:cs="宋体"/>
          <w:color w:val="auto"/>
          <w:highlight w:val="none"/>
        </w:rPr>
        <w:t>名单为初步填写，后续如需更换，</w:t>
      </w:r>
      <w:r>
        <w:rPr>
          <w:rFonts w:hint="eastAsia" w:ascii="宋体" w:hAnsi="宋体" w:eastAsia="宋体" w:cs="宋体"/>
          <w:color w:val="auto"/>
          <w:highlight w:val="none"/>
          <w:lang w:val="en-US" w:eastAsia="zh-CN"/>
        </w:rPr>
        <w:t>需</w:t>
      </w:r>
      <w:r>
        <w:rPr>
          <w:rFonts w:hint="eastAsia" w:ascii="宋体" w:hAnsi="宋体" w:eastAsia="宋体" w:cs="宋体"/>
          <w:color w:val="auto"/>
          <w:highlight w:val="none"/>
        </w:rPr>
        <w:t>征得采购人</w:t>
      </w:r>
      <w:r>
        <w:rPr>
          <w:rFonts w:hint="eastAsia" w:ascii="宋体" w:hAnsi="宋体" w:eastAsia="宋体" w:cs="宋体"/>
          <w:color w:val="auto"/>
          <w:highlight w:val="none"/>
          <w:lang w:val="en-US" w:eastAsia="zh-CN"/>
        </w:rPr>
        <w:t>书面</w:t>
      </w:r>
      <w:r>
        <w:rPr>
          <w:rFonts w:hint="eastAsia" w:ascii="宋体" w:hAnsi="宋体" w:eastAsia="宋体" w:cs="宋体"/>
          <w:color w:val="auto"/>
          <w:highlight w:val="none"/>
        </w:rPr>
        <w:t>同意后方可更换。非投标人自有车辆的，需提供投标人与承租人的租赁合同或合作协议，均加盖公章；</w:t>
      </w:r>
      <w:r>
        <w:rPr>
          <w:rFonts w:hint="eastAsia" w:ascii="宋体" w:hAnsi="宋体" w:eastAsia="宋体" w:cs="宋体"/>
          <w:color w:val="auto"/>
          <w:highlight w:val="none"/>
          <w:lang w:val="en-US" w:eastAsia="zh-CN"/>
        </w:rPr>
        <w:t>合同履约过程中，成交人每少一辆</w:t>
      </w:r>
      <w:r>
        <w:rPr>
          <w:rFonts w:hint="eastAsia" w:ascii="宋体" w:hAnsi="宋体" w:cs="宋体"/>
          <w:color w:val="auto"/>
          <w:highlight w:val="none"/>
          <w:lang w:val="en-US" w:eastAsia="zh-CN"/>
        </w:rPr>
        <w:t>处以</w:t>
      </w:r>
      <w:r>
        <w:rPr>
          <w:rFonts w:hint="eastAsia" w:ascii="宋体" w:hAnsi="宋体" w:eastAsia="宋体" w:cs="宋体"/>
          <w:color w:val="auto"/>
          <w:highlight w:val="none"/>
          <w:lang w:val="en-US" w:eastAsia="zh-CN"/>
        </w:rPr>
        <w:t>10000元处罚，超过3辆的采购人有权无责解除合同并没收履约保证金。</w:t>
      </w:r>
    </w:p>
    <w:p w14:paraId="66C30D43">
      <w:pPr>
        <w:keepNext w:val="0"/>
        <w:keepLines w:val="0"/>
        <w:pageBreakBefore w:val="0"/>
        <w:widowControl w:val="0"/>
        <w:kinsoku/>
        <w:wordWrap/>
        <w:overflowPunct/>
        <w:topLinePunct w:val="0"/>
        <w:autoSpaceDE/>
        <w:autoSpaceDN/>
        <w:bidi w:val="0"/>
        <w:adjustRightInd/>
        <w:snapToGrid/>
        <w:spacing w:line="560" w:lineRule="exact"/>
        <w:ind w:firstLine="420" w:firstLineChars="200"/>
        <w:jc w:val="both"/>
        <w:textAlignment w:val="auto"/>
        <w:outlineLvl w:val="9"/>
        <w:rPr>
          <w:rFonts w:hint="eastAsia" w:ascii="宋体" w:hAnsi="宋体" w:eastAsia="宋体" w:cs="宋体"/>
          <w:color w:val="auto"/>
          <w:highlight w:val="none"/>
        </w:rPr>
      </w:pPr>
      <w:r>
        <w:rPr>
          <w:rFonts w:hint="eastAsia" w:ascii="宋体" w:hAnsi="宋体" w:eastAsia="宋体" w:cs="宋体"/>
          <w:color w:val="auto"/>
          <w:highlight w:val="none"/>
          <w:lang w:val="en-US" w:eastAsia="zh-CN"/>
        </w:rPr>
        <w:t>2.</w:t>
      </w:r>
      <w:r>
        <w:rPr>
          <w:rFonts w:hint="eastAsia" w:ascii="宋体" w:hAnsi="宋体" w:eastAsia="宋体" w:cs="宋体"/>
          <w:color w:val="auto"/>
          <w:highlight w:val="none"/>
        </w:rPr>
        <w:t>资料要求：</w:t>
      </w:r>
    </w:p>
    <w:p w14:paraId="113AA6E7">
      <w:pPr>
        <w:keepNext w:val="0"/>
        <w:keepLines w:val="0"/>
        <w:pageBreakBefore w:val="0"/>
        <w:widowControl w:val="0"/>
        <w:kinsoku/>
        <w:wordWrap/>
        <w:overflowPunct/>
        <w:topLinePunct w:val="0"/>
        <w:autoSpaceDE/>
        <w:autoSpaceDN/>
        <w:bidi w:val="0"/>
        <w:adjustRightInd/>
        <w:snapToGrid/>
        <w:spacing w:line="560" w:lineRule="exact"/>
        <w:ind w:firstLine="420" w:firstLineChars="200"/>
        <w:jc w:val="both"/>
        <w:textAlignment w:val="auto"/>
        <w:outlineLvl w:val="9"/>
        <w:rPr>
          <w:rFonts w:hint="eastAsia" w:ascii="宋体" w:hAnsi="宋体" w:eastAsia="宋体" w:cs="宋体"/>
          <w:color w:val="auto"/>
          <w:highlight w:val="none"/>
          <w:lang w:eastAsia="zh-CN"/>
        </w:rPr>
      </w:pPr>
      <w:r>
        <w:rPr>
          <w:rFonts w:hint="eastAsia" w:ascii="宋体" w:hAnsi="宋体" w:eastAsia="宋体" w:cs="宋体"/>
          <w:color w:val="auto"/>
          <w:highlight w:val="none"/>
        </w:rPr>
        <w:t>【投标时提供】</w:t>
      </w:r>
      <w:r>
        <w:rPr>
          <w:rFonts w:hint="eastAsia" w:ascii="宋体" w:hAnsi="宋体" w:eastAsia="宋体" w:cs="宋体"/>
          <w:color w:val="auto"/>
          <w:highlight w:val="none"/>
          <w:lang w:val="en-US" w:eastAsia="zh-CN"/>
        </w:rPr>
        <w:t>上述</w:t>
      </w:r>
      <w:r>
        <w:rPr>
          <w:rFonts w:hint="eastAsia" w:ascii="宋体" w:hAnsi="宋体" w:eastAsia="宋体" w:cs="宋体"/>
          <w:color w:val="auto"/>
          <w:highlight w:val="none"/>
        </w:rPr>
        <w:t>运输车辆的《道路运输证》</w:t>
      </w:r>
      <w:r>
        <w:rPr>
          <w:rFonts w:hint="eastAsia" w:ascii="宋体" w:hAnsi="宋体" w:eastAsia="宋体" w:cs="宋体"/>
          <w:color w:val="auto"/>
          <w:highlight w:val="none"/>
          <w:lang w:val="en-US" w:eastAsia="zh-CN"/>
        </w:rPr>
        <w:t>且经营范围包括“危险货物运输”</w:t>
      </w:r>
      <w:r>
        <w:rPr>
          <w:rFonts w:hint="eastAsia" w:ascii="宋体" w:hAnsi="宋体" w:eastAsia="宋体" w:cs="宋体"/>
          <w:color w:val="auto"/>
          <w:highlight w:val="none"/>
        </w:rPr>
        <w:t>（加盖公章）；非投标人自有车辆的，需提供投标人与承租人的租赁合同或合作协议，均加盖公章</w:t>
      </w:r>
      <w:r>
        <w:rPr>
          <w:rFonts w:hint="eastAsia" w:ascii="宋体" w:hAnsi="宋体" w:eastAsia="宋体" w:cs="宋体"/>
          <w:color w:val="auto"/>
          <w:highlight w:val="none"/>
          <w:lang w:eastAsia="zh-CN"/>
        </w:rPr>
        <w:t>。</w:t>
      </w:r>
    </w:p>
    <w:p w14:paraId="6A99279F">
      <w:pPr>
        <w:keepNext w:val="0"/>
        <w:keepLines w:val="0"/>
        <w:pageBreakBefore w:val="0"/>
        <w:widowControl w:val="0"/>
        <w:kinsoku/>
        <w:wordWrap/>
        <w:overflowPunct/>
        <w:topLinePunct w:val="0"/>
        <w:autoSpaceDE/>
        <w:autoSpaceDN/>
        <w:bidi w:val="0"/>
        <w:adjustRightInd/>
        <w:snapToGrid/>
        <w:spacing w:line="560" w:lineRule="exact"/>
        <w:ind w:firstLine="420" w:firstLineChars="200"/>
        <w:jc w:val="both"/>
        <w:textAlignment w:val="auto"/>
        <w:outlineLvl w:val="9"/>
        <w:rPr>
          <w:rFonts w:hint="eastAsia" w:ascii="宋体" w:hAnsi="宋体" w:eastAsia="宋体" w:cs="宋体"/>
          <w:color w:val="auto"/>
          <w:highlight w:val="none"/>
        </w:rPr>
      </w:pPr>
      <w:r>
        <w:rPr>
          <w:rFonts w:hint="eastAsia" w:ascii="宋体" w:hAnsi="宋体" w:eastAsia="宋体" w:cs="宋体"/>
          <w:color w:val="auto"/>
          <w:highlight w:val="none"/>
        </w:rPr>
        <w:t>【中标后向</w:t>
      </w:r>
      <w:r>
        <w:rPr>
          <w:rFonts w:hint="eastAsia" w:ascii="宋体" w:hAnsi="宋体" w:eastAsia="宋体" w:cs="宋体"/>
          <w:color w:val="auto"/>
          <w:highlight w:val="none"/>
          <w:lang w:val="en-US" w:eastAsia="zh-CN"/>
        </w:rPr>
        <w:t>采购人</w:t>
      </w:r>
      <w:r>
        <w:rPr>
          <w:rFonts w:hint="eastAsia" w:ascii="宋体" w:hAnsi="宋体" w:eastAsia="宋体" w:cs="宋体"/>
          <w:color w:val="auto"/>
          <w:highlight w:val="none"/>
        </w:rPr>
        <w:t>备案】运输车辆的行驶证、道路运输证、强制险保单、商业险保单、危险货物承运人保单、GPS定位系统安装证明、视频监控接入证明等。</w:t>
      </w:r>
    </w:p>
    <w:p w14:paraId="0DED4BD5">
      <w:pPr>
        <w:pStyle w:val="44"/>
        <w:ind w:firstLine="0" w:firstLineChars="0"/>
        <w:rPr>
          <w:rFonts w:hint="eastAsia" w:ascii="宋体" w:eastAsia="宋体" w:cs="宋体"/>
          <w:color w:val="auto"/>
          <w:sz w:val="22"/>
          <w:highlight w:val="none"/>
        </w:rPr>
      </w:pPr>
    </w:p>
    <w:p w14:paraId="796EBE53">
      <w:pPr>
        <w:pStyle w:val="44"/>
        <w:ind w:firstLine="0" w:firstLineChars="0"/>
        <w:rPr>
          <w:rFonts w:ascii="宋体" w:eastAsia="宋体" w:cs="宋体"/>
          <w:color w:val="auto"/>
          <w:sz w:val="22"/>
          <w:highlight w:val="none"/>
        </w:rPr>
      </w:pPr>
      <w:r>
        <w:rPr>
          <w:rFonts w:hint="eastAsia" w:ascii="宋体" w:eastAsia="宋体" w:cs="宋体"/>
          <w:color w:val="auto"/>
          <w:sz w:val="22"/>
          <w:highlight w:val="none"/>
        </w:rPr>
        <w:t>投标人名称（加盖公章）：</w:t>
      </w:r>
    </w:p>
    <w:p w14:paraId="32782EDA">
      <w:pPr>
        <w:pStyle w:val="44"/>
        <w:spacing w:before="180" w:beforeLines="50" w:after="180" w:afterLines="50" w:line="360" w:lineRule="exact"/>
        <w:ind w:firstLine="0" w:firstLineChars="0"/>
        <w:jc w:val="both"/>
        <w:outlineLvl w:val="9"/>
        <w:rPr>
          <w:color w:val="auto"/>
          <w:highlight w:val="none"/>
        </w:rPr>
      </w:pPr>
      <w:r>
        <w:rPr>
          <w:rFonts w:hint="eastAsia" w:ascii="宋体" w:eastAsia="宋体" w:cs="宋体"/>
          <w:color w:val="auto"/>
          <w:sz w:val="22"/>
          <w:highlight w:val="none"/>
        </w:rPr>
        <w:t>日      期：</w:t>
      </w:r>
    </w:p>
    <w:p w14:paraId="7BC0ECDE">
      <w:pPr>
        <w:ind w:firstLineChars="0"/>
        <w:rPr>
          <w:rFonts w:ascii="宋体" w:hAnsi="宋体" w:cs="Times New Roman"/>
          <w:color w:val="auto"/>
          <w:szCs w:val="21"/>
          <w:highlight w:val="none"/>
        </w:rPr>
      </w:pPr>
      <w:r>
        <w:rPr>
          <w:rFonts w:hint="eastAsia" w:ascii="宋体" w:hAnsi="宋体"/>
          <w:color w:val="auto"/>
          <w:szCs w:val="21"/>
          <w:highlight w:val="none"/>
        </w:rPr>
        <w:br w:type="page"/>
      </w:r>
    </w:p>
    <w:p w14:paraId="6B9A391A">
      <w:pPr>
        <w:jc w:val="center"/>
        <w:outlineLvl w:val="9"/>
        <w:rPr>
          <w:rFonts w:hint="eastAsia" w:ascii="宋体" w:hAnsi="宋体"/>
          <w:b/>
          <w:color w:val="auto"/>
          <w:sz w:val="21"/>
          <w:szCs w:val="21"/>
          <w:highlight w:val="none"/>
        </w:rPr>
      </w:pPr>
      <w:r>
        <w:rPr>
          <w:rFonts w:hint="eastAsia" w:ascii="宋体" w:hAnsi="宋体"/>
          <w:b/>
          <w:color w:val="auto"/>
          <w:sz w:val="21"/>
          <w:szCs w:val="21"/>
          <w:highlight w:val="none"/>
        </w:rPr>
        <w:t>《运输人员花名册》</w:t>
      </w:r>
    </w:p>
    <w:tbl>
      <w:tblPr>
        <w:tblStyle w:val="30"/>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8"/>
        <w:gridCol w:w="2393"/>
        <w:gridCol w:w="2634"/>
        <w:gridCol w:w="2525"/>
      </w:tblGrid>
      <w:tr w14:paraId="75ECFF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68" w:type="pct"/>
          </w:tcPr>
          <w:p w14:paraId="3B813BA1">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序号</w:t>
            </w:r>
          </w:p>
        </w:tc>
        <w:tc>
          <w:tcPr>
            <w:tcW w:w="1404" w:type="pct"/>
          </w:tcPr>
          <w:p w14:paraId="3A059717">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人员名单</w:t>
            </w:r>
          </w:p>
        </w:tc>
        <w:tc>
          <w:tcPr>
            <w:tcW w:w="1545" w:type="pct"/>
          </w:tcPr>
          <w:p w14:paraId="38E6FD60">
            <w:pPr>
              <w:widowControl w:val="0"/>
              <w:adjustRightInd/>
              <w:snapToGrid/>
              <w:spacing w:line="360" w:lineRule="exact"/>
              <w:ind w:firstLine="220" w:firstLineChars="100"/>
              <w:jc w:val="center"/>
              <w:outlineLvl w:val="9"/>
              <w:rPr>
                <w:rFonts w:ascii="宋体" w:hAnsi="宋体" w:cs="宋体"/>
                <w:color w:val="auto"/>
                <w:sz w:val="22"/>
                <w:highlight w:val="none"/>
              </w:rPr>
            </w:pPr>
            <w:r>
              <w:rPr>
                <w:rFonts w:hint="eastAsia" w:ascii="宋体" w:hAnsi="宋体" w:cs="宋体"/>
                <w:color w:val="auto"/>
                <w:sz w:val="22"/>
                <w:highlight w:val="none"/>
              </w:rPr>
              <w:t>证照（类别）</w:t>
            </w:r>
          </w:p>
        </w:tc>
        <w:tc>
          <w:tcPr>
            <w:tcW w:w="1481" w:type="pct"/>
          </w:tcPr>
          <w:p w14:paraId="2A50D6D5">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备注</w:t>
            </w:r>
          </w:p>
        </w:tc>
      </w:tr>
      <w:tr w14:paraId="305B5F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30ED989">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1</w:t>
            </w:r>
          </w:p>
        </w:tc>
        <w:tc>
          <w:tcPr>
            <w:tcW w:w="1404" w:type="pct"/>
          </w:tcPr>
          <w:p w14:paraId="140832FF">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046D43B0">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6396D9DE">
            <w:pPr>
              <w:widowControl w:val="0"/>
              <w:adjustRightInd/>
              <w:snapToGrid/>
              <w:spacing w:line="360" w:lineRule="exact"/>
              <w:jc w:val="center"/>
              <w:outlineLvl w:val="9"/>
              <w:rPr>
                <w:rFonts w:ascii="宋体" w:hAnsi="宋体" w:cs="宋体"/>
                <w:color w:val="auto"/>
                <w:sz w:val="22"/>
                <w:highlight w:val="none"/>
              </w:rPr>
            </w:pPr>
          </w:p>
        </w:tc>
      </w:tr>
      <w:tr w14:paraId="5481E7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44C26E4">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2</w:t>
            </w:r>
          </w:p>
        </w:tc>
        <w:tc>
          <w:tcPr>
            <w:tcW w:w="1404" w:type="pct"/>
          </w:tcPr>
          <w:p w14:paraId="0313AFA6">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3A4018DE">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774488D6">
            <w:pPr>
              <w:widowControl w:val="0"/>
              <w:adjustRightInd/>
              <w:snapToGrid/>
              <w:spacing w:line="360" w:lineRule="exact"/>
              <w:jc w:val="center"/>
              <w:outlineLvl w:val="9"/>
              <w:rPr>
                <w:rFonts w:ascii="宋体" w:hAnsi="宋体" w:cs="宋体"/>
                <w:color w:val="auto"/>
                <w:sz w:val="22"/>
                <w:highlight w:val="none"/>
              </w:rPr>
            </w:pPr>
          </w:p>
        </w:tc>
      </w:tr>
      <w:tr w14:paraId="1D75CE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22CAABE">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3</w:t>
            </w:r>
          </w:p>
        </w:tc>
        <w:tc>
          <w:tcPr>
            <w:tcW w:w="1404" w:type="pct"/>
          </w:tcPr>
          <w:p w14:paraId="25756C39">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232CFA2E">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76E68097">
            <w:pPr>
              <w:widowControl w:val="0"/>
              <w:adjustRightInd/>
              <w:snapToGrid/>
              <w:spacing w:line="360" w:lineRule="exact"/>
              <w:jc w:val="center"/>
              <w:outlineLvl w:val="9"/>
              <w:rPr>
                <w:rFonts w:ascii="宋体" w:hAnsi="宋体" w:cs="宋体"/>
                <w:color w:val="auto"/>
                <w:sz w:val="22"/>
                <w:highlight w:val="none"/>
              </w:rPr>
            </w:pPr>
          </w:p>
        </w:tc>
      </w:tr>
      <w:tr w14:paraId="61A1B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B9CD4F4">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4</w:t>
            </w:r>
          </w:p>
        </w:tc>
        <w:tc>
          <w:tcPr>
            <w:tcW w:w="1404" w:type="pct"/>
          </w:tcPr>
          <w:p w14:paraId="4463DE12">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317F598C">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2C25F077">
            <w:pPr>
              <w:widowControl w:val="0"/>
              <w:adjustRightInd/>
              <w:snapToGrid/>
              <w:spacing w:line="360" w:lineRule="exact"/>
              <w:jc w:val="center"/>
              <w:outlineLvl w:val="9"/>
              <w:rPr>
                <w:rFonts w:ascii="宋体" w:hAnsi="宋体" w:cs="宋体"/>
                <w:color w:val="auto"/>
                <w:sz w:val="22"/>
                <w:highlight w:val="none"/>
              </w:rPr>
            </w:pPr>
          </w:p>
        </w:tc>
      </w:tr>
      <w:tr w14:paraId="321AE9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7313180">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5</w:t>
            </w:r>
          </w:p>
        </w:tc>
        <w:tc>
          <w:tcPr>
            <w:tcW w:w="1404" w:type="pct"/>
          </w:tcPr>
          <w:p w14:paraId="67AC1B34">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0F64AC37">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7C770CD9">
            <w:pPr>
              <w:widowControl w:val="0"/>
              <w:adjustRightInd/>
              <w:snapToGrid/>
              <w:spacing w:line="360" w:lineRule="exact"/>
              <w:jc w:val="center"/>
              <w:outlineLvl w:val="9"/>
              <w:rPr>
                <w:rFonts w:ascii="宋体" w:hAnsi="宋体" w:cs="宋体"/>
                <w:color w:val="auto"/>
                <w:sz w:val="22"/>
                <w:highlight w:val="none"/>
              </w:rPr>
            </w:pPr>
          </w:p>
        </w:tc>
      </w:tr>
      <w:tr w14:paraId="1F99E7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DA821C8">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6</w:t>
            </w:r>
          </w:p>
        </w:tc>
        <w:tc>
          <w:tcPr>
            <w:tcW w:w="1404" w:type="pct"/>
          </w:tcPr>
          <w:p w14:paraId="5594BA39">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770914CA">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09883EF2">
            <w:pPr>
              <w:widowControl w:val="0"/>
              <w:adjustRightInd/>
              <w:snapToGrid/>
              <w:spacing w:line="360" w:lineRule="exact"/>
              <w:jc w:val="center"/>
              <w:outlineLvl w:val="9"/>
              <w:rPr>
                <w:rFonts w:ascii="宋体" w:hAnsi="宋体" w:cs="宋体"/>
                <w:color w:val="auto"/>
                <w:sz w:val="22"/>
                <w:highlight w:val="none"/>
              </w:rPr>
            </w:pPr>
          </w:p>
        </w:tc>
      </w:tr>
      <w:tr w14:paraId="646F26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3B34A28">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7</w:t>
            </w:r>
          </w:p>
        </w:tc>
        <w:tc>
          <w:tcPr>
            <w:tcW w:w="1404" w:type="pct"/>
          </w:tcPr>
          <w:p w14:paraId="5B72BC3B">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6CE08341">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0602E16D">
            <w:pPr>
              <w:widowControl w:val="0"/>
              <w:adjustRightInd/>
              <w:snapToGrid/>
              <w:spacing w:line="360" w:lineRule="exact"/>
              <w:jc w:val="center"/>
              <w:outlineLvl w:val="9"/>
              <w:rPr>
                <w:rFonts w:ascii="宋体" w:hAnsi="宋体" w:cs="宋体"/>
                <w:color w:val="auto"/>
                <w:sz w:val="22"/>
                <w:highlight w:val="none"/>
              </w:rPr>
            </w:pPr>
          </w:p>
        </w:tc>
      </w:tr>
      <w:tr w14:paraId="1E8112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EAA8E85">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8</w:t>
            </w:r>
          </w:p>
        </w:tc>
        <w:tc>
          <w:tcPr>
            <w:tcW w:w="1404" w:type="pct"/>
          </w:tcPr>
          <w:p w14:paraId="7895EA1A">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59F956B3">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2C15517A">
            <w:pPr>
              <w:widowControl w:val="0"/>
              <w:adjustRightInd/>
              <w:snapToGrid/>
              <w:spacing w:line="360" w:lineRule="exact"/>
              <w:jc w:val="center"/>
              <w:outlineLvl w:val="9"/>
              <w:rPr>
                <w:rFonts w:ascii="宋体" w:hAnsi="宋体" w:cs="宋体"/>
                <w:color w:val="auto"/>
                <w:sz w:val="22"/>
                <w:highlight w:val="none"/>
              </w:rPr>
            </w:pPr>
          </w:p>
        </w:tc>
      </w:tr>
      <w:tr w14:paraId="1ECAC0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8767FBE">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9</w:t>
            </w:r>
          </w:p>
        </w:tc>
        <w:tc>
          <w:tcPr>
            <w:tcW w:w="1404" w:type="pct"/>
          </w:tcPr>
          <w:p w14:paraId="773EE19B">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22D8EDD7">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32E9871B">
            <w:pPr>
              <w:widowControl w:val="0"/>
              <w:adjustRightInd/>
              <w:snapToGrid/>
              <w:spacing w:line="360" w:lineRule="exact"/>
              <w:jc w:val="center"/>
              <w:outlineLvl w:val="9"/>
              <w:rPr>
                <w:rFonts w:ascii="宋体" w:hAnsi="宋体" w:cs="宋体"/>
                <w:color w:val="auto"/>
                <w:sz w:val="22"/>
                <w:highlight w:val="none"/>
              </w:rPr>
            </w:pPr>
          </w:p>
        </w:tc>
      </w:tr>
      <w:tr w14:paraId="2C0DBC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BA84E6C">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10</w:t>
            </w:r>
          </w:p>
        </w:tc>
        <w:tc>
          <w:tcPr>
            <w:tcW w:w="1404" w:type="pct"/>
          </w:tcPr>
          <w:p w14:paraId="5055348F">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708DE4AE">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4BE6E3CE">
            <w:pPr>
              <w:widowControl w:val="0"/>
              <w:adjustRightInd/>
              <w:snapToGrid/>
              <w:spacing w:line="360" w:lineRule="exact"/>
              <w:jc w:val="center"/>
              <w:outlineLvl w:val="9"/>
              <w:rPr>
                <w:rFonts w:ascii="宋体" w:hAnsi="宋体" w:cs="宋体"/>
                <w:color w:val="auto"/>
                <w:sz w:val="22"/>
                <w:highlight w:val="none"/>
              </w:rPr>
            </w:pPr>
          </w:p>
        </w:tc>
      </w:tr>
      <w:tr w14:paraId="4C0A6F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29A972A">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11</w:t>
            </w:r>
          </w:p>
        </w:tc>
        <w:tc>
          <w:tcPr>
            <w:tcW w:w="1404" w:type="pct"/>
          </w:tcPr>
          <w:p w14:paraId="3C758A4D">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5C0A5BED">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621C411C">
            <w:pPr>
              <w:widowControl w:val="0"/>
              <w:adjustRightInd/>
              <w:snapToGrid/>
              <w:spacing w:line="360" w:lineRule="exact"/>
              <w:jc w:val="center"/>
              <w:outlineLvl w:val="9"/>
              <w:rPr>
                <w:rFonts w:ascii="宋体" w:hAnsi="宋体" w:cs="宋体"/>
                <w:color w:val="auto"/>
                <w:sz w:val="22"/>
                <w:highlight w:val="none"/>
              </w:rPr>
            </w:pPr>
          </w:p>
        </w:tc>
      </w:tr>
      <w:tr w14:paraId="234CAC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20CF1D3">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12</w:t>
            </w:r>
          </w:p>
        </w:tc>
        <w:tc>
          <w:tcPr>
            <w:tcW w:w="1404" w:type="pct"/>
          </w:tcPr>
          <w:p w14:paraId="77A9D10A">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386AB7CA">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0713D725">
            <w:pPr>
              <w:widowControl w:val="0"/>
              <w:adjustRightInd/>
              <w:snapToGrid/>
              <w:spacing w:line="360" w:lineRule="exact"/>
              <w:jc w:val="center"/>
              <w:outlineLvl w:val="9"/>
              <w:rPr>
                <w:rFonts w:ascii="宋体" w:hAnsi="宋体" w:cs="宋体"/>
                <w:color w:val="auto"/>
                <w:sz w:val="22"/>
                <w:highlight w:val="none"/>
              </w:rPr>
            </w:pPr>
          </w:p>
        </w:tc>
      </w:tr>
      <w:tr w14:paraId="450632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EC99D50">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13</w:t>
            </w:r>
          </w:p>
        </w:tc>
        <w:tc>
          <w:tcPr>
            <w:tcW w:w="1404" w:type="pct"/>
          </w:tcPr>
          <w:p w14:paraId="3B645A90">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010C018F">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48ACDC15">
            <w:pPr>
              <w:widowControl w:val="0"/>
              <w:adjustRightInd/>
              <w:snapToGrid/>
              <w:spacing w:line="360" w:lineRule="exact"/>
              <w:jc w:val="center"/>
              <w:outlineLvl w:val="9"/>
              <w:rPr>
                <w:rFonts w:ascii="宋体" w:hAnsi="宋体" w:cs="宋体"/>
                <w:color w:val="auto"/>
                <w:sz w:val="22"/>
                <w:highlight w:val="none"/>
              </w:rPr>
            </w:pPr>
          </w:p>
        </w:tc>
      </w:tr>
      <w:tr w14:paraId="0D666D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38C8EF2">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14</w:t>
            </w:r>
          </w:p>
        </w:tc>
        <w:tc>
          <w:tcPr>
            <w:tcW w:w="1404" w:type="pct"/>
          </w:tcPr>
          <w:p w14:paraId="0D13B116">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29D369D6">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7E054D82">
            <w:pPr>
              <w:widowControl w:val="0"/>
              <w:adjustRightInd/>
              <w:snapToGrid/>
              <w:spacing w:line="360" w:lineRule="exact"/>
              <w:jc w:val="center"/>
              <w:outlineLvl w:val="9"/>
              <w:rPr>
                <w:rFonts w:ascii="宋体" w:hAnsi="宋体" w:cs="宋体"/>
                <w:color w:val="auto"/>
                <w:sz w:val="22"/>
                <w:highlight w:val="none"/>
              </w:rPr>
            </w:pPr>
          </w:p>
        </w:tc>
      </w:tr>
      <w:tr w14:paraId="47BB45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C8B419B">
            <w:pPr>
              <w:widowControl w:val="0"/>
              <w:adjustRightInd/>
              <w:snapToGrid/>
              <w:spacing w:line="360" w:lineRule="exact"/>
              <w:jc w:val="center"/>
              <w:outlineLvl w:val="9"/>
              <w:rPr>
                <w:rFonts w:ascii="宋体" w:hAnsi="宋体" w:cs="宋体"/>
                <w:color w:val="auto"/>
                <w:sz w:val="22"/>
                <w:highlight w:val="none"/>
              </w:rPr>
            </w:pPr>
            <w:r>
              <w:rPr>
                <w:rFonts w:hint="eastAsia" w:ascii="宋体" w:hAnsi="宋体" w:cs="宋体"/>
                <w:color w:val="auto"/>
                <w:sz w:val="22"/>
                <w:highlight w:val="none"/>
              </w:rPr>
              <w:t>15</w:t>
            </w:r>
          </w:p>
        </w:tc>
        <w:tc>
          <w:tcPr>
            <w:tcW w:w="1404" w:type="pct"/>
          </w:tcPr>
          <w:p w14:paraId="5CFC11FC">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4A2D368E">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4897FCEA">
            <w:pPr>
              <w:widowControl w:val="0"/>
              <w:adjustRightInd/>
              <w:snapToGrid/>
              <w:spacing w:line="360" w:lineRule="exact"/>
              <w:jc w:val="center"/>
              <w:outlineLvl w:val="9"/>
              <w:rPr>
                <w:rFonts w:ascii="宋体" w:hAnsi="宋体" w:cs="宋体"/>
                <w:color w:val="auto"/>
                <w:sz w:val="22"/>
                <w:highlight w:val="none"/>
              </w:rPr>
            </w:pPr>
          </w:p>
        </w:tc>
      </w:tr>
      <w:tr w14:paraId="234CFE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DCE31AD">
            <w:pPr>
              <w:widowControl w:val="0"/>
              <w:adjustRightInd/>
              <w:snapToGrid/>
              <w:spacing w:line="360" w:lineRule="exact"/>
              <w:jc w:val="center"/>
              <w:outlineLvl w:val="9"/>
              <w:rPr>
                <w:rFonts w:hint="default" w:ascii="宋体" w:hAnsi="宋体" w:eastAsia="宋体" w:cs="宋体"/>
                <w:color w:val="auto"/>
                <w:sz w:val="22"/>
                <w:highlight w:val="none"/>
                <w:lang w:val="en-US" w:eastAsia="zh-CN"/>
              </w:rPr>
            </w:pPr>
            <w:r>
              <w:rPr>
                <w:rFonts w:hint="eastAsia" w:ascii="宋体" w:hAnsi="宋体" w:cs="宋体"/>
                <w:color w:val="auto"/>
                <w:sz w:val="22"/>
                <w:highlight w:val="none"/>
                <w:lang w:val="en-US" w:eastAsia="zh-CN"/>
              </w:rPr>
              <w:t>16</w:t>
            </w:r>
          </w:p>
        </w:tc>
        <w:tc>
          <w:tcPr>
            <w:tcW w:w="1404" w:type="pct"/>
          </w:tcPr>
          <w:p w14:paraId="12096665">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4F898F90">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10A4F037">
            <w:pPr>
              <w:widowControl w:val="0"/>
              <w:adjustRightInd/>
              <w:snapToGrid/>
              <w:spacing w:line="360" w:lineRule="exact"/>
              <w:jc w:val="center"/>
              <w:outlineLvl w:val="9"/>
              <w:rPr>
                <w:rFonts w:ascii="宋体" w:hAnsi="宋体" w:cs="宋体"/>
                <w:color w:val="auto"/>
                <w:sz w:val="22"/>
                <w:highlight w:val="none"/>
              </w:rPr>
            </w:pPr>
          </w:p>
        </w:tc>
      </w:tr>
      <w:tr w14:paraId="025861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5AB2BA2">
            <w:pPr>
              <w:widowControl w:val="0"/>
              <w:adjustRightInd/>
              <w:snapToGrid/>
              <w:spacing w:line="360" w:lineRule="exact"/>
              <w:jc w:val="center"/>
              <w:outlineLvl w:val="9"/>
              <w:rPr>
                <w:rFonts w:hint="default" w:ascii="宋体" w:hAnsi="宋体" w:eastAsia="宋体" w:cs="宋体"/>
                <w:color w:val="auto"/>
                <w:sz w:val="22"/>
                <w:highlight w:val="none"/>
                <w:lang w:val="en-US" w:eastAsia="zh-CN"/>
              </w:rPr>
            </w:pPr>
            <w:r>
              <w:rPr>
                <w:rFonts w:hint="eastAsia" w:ascii="宋体" w:hAnsi="宋体" w:cs="宋体"/>
                <w:color w:val="auto"/>
                <w:sz w:val="22"/>
                <w:highlight w:val="none"/>
                <w:lang w:val="en-US" w:eastAsia="zh-CN"/>
              </w:rPr>
              <w:t>17</w:t>
            </w:r>
          </w:p>
        </w:tc>
        <w:tc>
          <w:tcPr>
            <w:tcW w:w="1404" w:type="pct"/>
          </w:tcPr>
          <w:p w14:paraId="5D4D5ED4">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2668AFF8">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671F2B2F">
            <w:pPr>
              <w:widowControl w:val="0"/>
              <w:adjustRightInd/>
              <w:snapToGrid/>
              <w:spacing w:line="360" w:lineRule="exact"/>
              <w:jc w:val="center"/>
              <w:outlineLvl w:val="9"/>
              <w:rPr>
                <w:rFonts w:ascii="宋体" w:hAnsi="宋体" w:cs="宋体"/>
                <w:color w:val="auto"/>
                <w:sz w:val="22"/>
                <w:highlight w:val="none"/>
              </w:rPr>
            </w:pPr>
          </w:p>
        </w:tc>
      </w:tr>
      <w:tr w14:paraId="168ECD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96AE073">
            <w:pPr>
              <w:widowControl w:val="0"/>
              <w:adjustRightInd/>
              <w:snapToGrid/>
              <w:spacing w:line="360" w:lineRule="exact"/>
              <w:jc w:val="center"/>
              <w:outlineLvl w:val="9"/>
              <w:rPr>
                <w:rFonts w:hint="default" w:ascii="宋体" w:hAnsi="宋体" w:cs="宋体"/>
                <w:color w:val="auto"/>
                <w:sz w:val="22"/>
                <w:highlight w:val="none"/>
                <w:lang w:val="en-US" w:eastAsia="zh-CN"/>
              </w:rPr>
            </w:pPr>
            <w:r>
              <w:rPr>
                <w:rFonts w:hint="eastAsia" w:ascii="宋体" w:hAnsi="宋体" w:cs="宋体"/>
                <w:color w:val="auto"/>
                <w:sz w:val="22"/>
                <w:highlight w:val="none"/>
                <w:lang w:val="en-US" w:eastAsia="zh-CN"/>
              </w:rPr>
              <w:t>18</w:t>
            </w:r>
          </w:p>
        </w:tc>
        <w:tc>
          <w:tcPr>
            <w:tcW w:w="1404" w:type="pct"/>
          </w:tcPr>
          <w:p w14:paraId="7B1CD8C2">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2D60705D">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7B043D9B">
            <w:pPr>
              <w:widowControl w:val="0"/>
              <w:adjustRightInd/>
              <w:snapToGrid/>
              <w:spacing w:line="360" w:lineRule="exact"/>
              <w:jc w:val="center"/>
              <w:outlineLvl w:val="9"/>
              <w:rPr>
                <w:rFonts w:ascii="宋体" w:hAnsi="宋体" w:cs="宋体"/>
                <w:color w:val="auto"/>
                <w:sz w:val="22"/>
                <w:highlight w:val="none"/>
              </w:rPr>
            </w:pPr>
          </w:p>
        </w:tc>
      </w:tr>
      <w:tr w14:paraId="7F7877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A211DEB">
            <w:pPr>
              <w:widowControl w:val="0"/>
              <w:adjustRightInd/>
              <w:snapToGrid/>
              <w:spacing w:line="360" w:lineRule="exact"/>
              <w:jc w:val="center"/>
              <w:outlineLvl w:val="9"/>
              <w:rPr>
                <w:rFonts w:hint="default" w:ascii="宋体" w:hAnsi="宋体" w:cs="宋体"/>
                <w:color w:val="auto"/>
                <w:sz w:val="22"/>
                <w:highlight w:val="none"/>
                <w:lang w:val="en-US" w:eastAsia="zh-CN"/>
              </w:rPr>
            </w:pPr>
            <w:r>
              <w:rPr>
                <w:rFonts w:hint="eastAsia" w:ascii="宋体" w:hAnsi="宋体" w:cs="宋体"/>
                <w:color w:val="auto"/>
                <w:sz w:val="22"/>
                <w:highlight w:val="none"/>
                <w:lang w:val="en-US" w:eastAsia="zh-CN"/>
              </w:rPr>
              <w:t>19</w:t>
            </w:r>
          </w:p>
        </w:tc>
        <w:tc>
          <w:tcPr>
            <w:tcW w:w="1404" w:type="pct"/>
          </w:tcPr>
          <w:p w14:paraId="76BE1C57">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00A5EAEA">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7786B665">
            <w:pPr>
              <w:widowControl w:val="0"/>
              <w:adjustRightInd/>
              <w:snapToGrid/>
              <w:spacing w:line="360" w:lineRule="exact"/>
              <w:jc w:val="center"/>
              <w:outlineLvl w:val="9"/>
              <w:rPr>
                <w:rFonts w:ascii="宋体" w:hAnsi="宋体" w:cs="宋体"/>
                <w:color w:val="auto"/>
                <w:sz w:val="22"/>
                <w:highlight w:val="none"/>
              </w:rPr>
            </w:pPr>
          </w:p>
        </w:tc>
      </w:tr>
      <w:tr w14:paraId="459436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ACE3622">
            <w:pPr>
              <w:widowControl w:val="0"/>
              <w:adjustRightInd/>
              <w:snapToGrid/>
              <w:spacing w:line="360" w:lineRule="exact"/>
              <w:jc w:val="center"/>
              <w:outlineLvl w:val="9"/>
              <w:rPr>
                <w:rFonts w:hint="default" w:ascii="宋体" w:hAnsi="宋体" w:cs="宋体"/>
                <w:color w:val="auto"/>
                <w:sz w:val="22"/>
                <w:highlight w:val="none"/>
                <w:lang w:val="en-US" w:eastAsia="zh-CN"/>
              </w:rPr>
            </w:pPr>
            <w:r>
              <w:rPr>
                <w:rFonts w:hint="eastAsia" w:ascii="宋体" w:hAnsi="宋体" w:cs="宋体"/>
                <w:color w:val="auto"/>
                <w:sz w:val="22"/>
                <w:highlight w:val="none"/>
                <w:lang w:val="en-US" w:eastAsia="zh-CN"/>
              </w:rPr>
              <w:t>20</w:t>
            </w:r>
          </w:p>
        </w:tc>
        <w:tc>
          <w:tcPr>
            <w:tcW w:w="1404" w:type="pct"/>
          </w:tcPr>
          <w:p w14:paraId="267BC17D">
            <w:pPr>
              <w:widowControl w:val="0"/>
              <w:adjustRightInd/>
              <w:snapToGrid/>
              <w:spacing w:line="360" w:lineRule="exact"/>
              <w:jc w:val="center"/>
              <w:outlineLvl w:val="9"/>
              <w:rPr>
                <w:rFonts w:ascii="宋体" w:hAnsi="宋体" w:cs="宋体"/>
                <w:color w:val="auto"/>
                <w:sz w:val="22"/>
                <w:highlight w:val="none"/>
              </w:rPr>
            </w:pPr>
          </w:p>
        </w:tc>
        <w:tc>
          <w:tcPr>
            <w:tcW w:w="1545" w:type="pct"/>
          </w:tcPr>
          <w:p w14:paraId="02B7F3DD">
            <w:pPr>
              <w:widowControl w:val="0"/>
              <w:adjustRightInd/>
              <w:snapToGrid/>
              <w:spacing w:line="360" w:lineRule="exact"/>
              <w:jc w:val="center"/>
              <w:outlineLvl w:val="9"/>
              <w:rPr>
                <w:rFonts w:ascii="宋体" w:hAnsi="宋体" w:cs="宋体"/>
                <w:color w:val="auto"/>
                <w:sz w:val="22"/>
                <w:highlight w:val="none"/>
              </w:rPr>
            </w:pPr>
          </w:p>
        </w:tc>
        <w:tc>
          <w:tcPr>
            <w:tcW w:w="1481" w:type="pct"/>
          </w:tcPr>
          <w:p w14:paraId="20348530">
            <w:pPr>
              <w:widowControl w:val="0"/>
              <w:adjustRightInd/>
              <w:snapToGrid/>
              <w:spacing w:line="360" w:lineRule="exact"/>
              <w:jc w:val="center"/>
              <w:outlineLvl w:val="9"/>
              <w:rPr>
                <w:rFonts w:ascii="宋体" w:hAnsi="宋体" w:cs="宋体"/>
                <w:color w:val="auto"/>
                <w:sz w:val="22"/>
                <w:highlight w:val="none"/>
              </w:rPr>
            </w:pPr>
          </w:p>
        </w:tc>
      </w:tr>
    </w:tbl>
    <w:p w14:paraId="6A3FECD5">
      <w:pPr>
        <w:keepNext w:val="0"/>
        <w:keepLines w:val="0"/>
        <w:pageBreakBefore w:val="0"/>
        <w:widowControl w:val="0"/>
        <w:kinsoku/>
        <w:wordWrap/>
        <w:overflowPunct/>
        <w:topLinePunct w:val="0"/>
        <w:autoSpaceDE/>
        <w:autoSpaceDN/>
        <w:bidi w:val="0"/>
        <w:adjustRightInd/>
        <w:snapToGrid/>
        <w:spacing w:line="560" w:lineRule="exact"/>
        <w:ind w:firstLine="440" w:firstLineChars="200"/>
        <w:jc w:val="both"/>
        <w:textAlignment w:val="auto"/>
        <w:rPr>
          <w:rFonts w:hint="eastAsia" w:ascii="宋体" w:hAnsi="宋体" w:cs="宋体"/>
          <w:color w:val="auto"/>
          <w:sz w:val="22"/>
          <w:highlight w:val="none"/>
        </w:rPr>
      </w:pPr>
      <w:r>
        <w:rPr>
          <w:rFonts w:hint="eastAsia" w:ascii="宋体" w:hAnsi="宋体" w:cs="宋体"/>
          <w:color w:val="auto"/>
          <w:sz w:val="22"/>
          <w:highlight w:val="none"/>
        </w:rPr>
        <w:t>备注：</w:t>
      </w:r>
    </w:p>
    <w:p w14:paraId="7D96DA42">
      <w:pPr>
        <w:keepNext w:val="0"/>
        <w:keepLines w:val="0"/>
        <w:pageBreakBefore w:val="0"/>
        <w:widowControl w:val="0"/>
        <w:kinsoku/>
        <w:wordWrap/>
        <w:overflowPunct/>
        <w:topLinePunct w:val="0"/>
        <w:autoSpaceDE/>
        <w:autoSpaceDN/>
        <w:bidi w:val="0"/>
        <w:adjustRightInd/>
        <w:snapToGrid/>
        <w:spacing w:line="560" w:lineRule="exact"/>
        <w:ind w:firstLine="440" w:firstLineChars="200"/>
        <w:jc w:val="both"/>
        <w:textAlignment w:val="auto"/>
        <w:rPr>
          <w:rFonts w:hint="eastAsia" w:ascii="宋体" w:hAnsi="宋体" w:cs="宋体"/>
          <w:color w:val="auto"/>
          <w:sz w:val="22"/>
          <w:highlight w:val="none"/>
        </w:rPr>
      </w:pPr>
      <w:r>
        <w:rPr>
          <w:rFonts w:hint="eastAsia" w:ascii="宋体" w:hAnsi="宋体" w:cs="宋体"/>
          <w:color w:val="auto"/>
          <w:sz w:val="22"/>
          <w:highlight w:val="none"/>
        </w:rPr>
        <w:t>1、投标人须</w:t>
      </w:r>
      <w:r>
        <w:rPr>
          <w:rFonts w:hint="eastAsia" w:ascii="宋体" w:hAnsi="宋体" w:cs="宋体"/>
          <w:color w:val="auto"/>
          <w:sz w:val="22"/>
          <w:highlight w:val="none"/>
          <w:lang w:val="en-US" w:eastAsia="zh-CN"/>
        </w:rPr>
        <w:t>根据《运输车辆名册》车辆数量配备驾驶员、押运员，及调度、后勤、管理等人员</w:t>
      </w:r>
      <w:r>
        <w:rPr>
          <w:rFonts w:hint="eastAsia" w:ascii="宋体" w:hAnsi="宋体" w:cs="宋体"/>
          <w:color w:val="auto"/>
          <w:sz w:val="22"/>
          <w:highlight w:val="none"/>
        </w:rPr>
        <w:t>。如驾驶员和押运员非投标人自有员工的，需提供投标人与承租人的租赁合同或合作协议</w:t>
      </w:r>
      <w:r>
        <w:rPr>
          <w:rFonts w:hint="eastAsia" w:ascii="宋体" w:hAnsi="宋体" w:cs="宋体"/>
          <w:color w:val="auto"/>
          <w:sz w:val="22"/>
          <w:highlight w:val="none"/>
          <w:lang w:eastAsia="zh-CN"/>
        </w:rPr>
        <w:t>，</w:t>
      </w:r>
      <w:r>
        <w:rPr>
          <w:rFonts w:hint="eastAsia" w:ascii="宋体" w:hAnsi="宋体" w:cs="宋体"/>
          <w:color w:val="auto"/>
          <w:sz w:val="22"/>
          <w:highlight w:val="none"/>
          <w:lang w:val="en-US" w:eastAsia="zh-CN"/>
        </w:rPr>
        <w:t>加盖公章</w:t>
      </w:r>
      <w:r>
        <w:rPr>
          <w:rFonts w:hint="eastAsia" w:ascii="宋体" w:hAnsi="宋体" w:cs="宋体"/>
          <w:color w:val="auto"/>
          <w:sz w:val="22"/>
          <w:highlight w:val="none"/>
        </w:rPr>
        <w:t>；具体人员名单为初步填写，后续如需更换，</w:t>
      </w:r>
      <w:r>
        <w:rPr>
          <w:rFonts w:hint="eastAsia" w:ascii="宋体" w:hAnsi="宋体" w:cs="宋体"/>
          <w:color w:val="auto"/>
          <w:sz w:val="22"/>
          <w:highlight w:val="none"/>
          <w:lang w:val="en-US" w:eastAsia="zh-CN"/>
        </w:rPr>
        <w:t>需</w:t>
      </w:r>
      <w:r>
        <w:rPr>
          <w:rFonts w:hint="eastAsia" w:ascii="宋体" w:hAnsi="宋体" w:cs="宋体"/>
          <w:color w:val="auto"/>
          <w:sz w:val="22"/>
          <w:highlight w:val="none"/>
        </w:rPr>
        <w:t>征得采购人</w:t>
      </w:r>
      <w:r>
        <w:rPr>
          <w:rFonts w:hint="eastAsia" w:ascii="宋体" w:hAnsi="宋体" w:cs="宋体"/>
          <w:color w:val="auto"/>
          <w:sz w:val="22"/>
          <w:highlight w:val="none"/>
          <w:lang w:val="en-US" w:eastAsia="zh-CN"/>
        </w:rPr>
        <w:t>书面</w:t>
      </w:r>
      <w:r>
        <w:rPr>
          <w:rFonts w:hint="eastAsia" w:ascii="宋体" w:hAnsi="宋体" w:cs="宋体"/>
          <w:color w:val="auto"/>
          <w:sz w:val="22"/>
          <w:highlight w:val="none"/>
        </w:rPr>
        <w:t>同意后方可更换。</w:t>
      </w:r>
    </w:p>
    <w:p w14:paraId="17C32788">
      <w:pPr>
        <w:keepNext w:val="0"/>
        <w:keepLines w:val="0"/>
        <w:pageBreakBefore w:val="0"/>
        <w:widowControl w:val="0"/>
        <w:kinsoku/>
        <w:wordWrap/>
        <w:overflowPunct/>
        <w:topLinePunct w:val="0"/>
        <w:autoSpaceDE/>
        <w:autoSpaceDN/>
        <w:bidi w:val="0"/>
        <w:adjustRightInd/>
        <w:snapToGrid/>
        <w:spacing w:line="560" w:lineRule="exact"/>
        <w:ind w:firstLine="440" w:firstLineChars="200"/>
        <w:jc w:val="both"/>
        <w:textAlignment w:val="auto"/>
        <w:rPr>
          <w:rFonts w:hint="eastAsia" w:ascii="宋体" w:hAnsi="宋体" w:cs="宋体"/>
          <w:color w:val="auto"/>
          <w:sz w:val="22"/>
          <w:highlight w:val="none"/>
        </w:rPr>
      </w:pPr>
      <w:r>
        <w:rPr>
          <w:rFonts w:hint="eastAsia" w:ascii="宋体" w:hAnsi="宋体" w:cs="宋体"/>
          <w:color w:val="auto"/>
          <w:sz w:val="22"/>
          <w:highlight w:val="none"/>
          <w:lang w:val="en-US" w:eastAsia="zh-CN"/>
        </w:rPr>
        <w:t>2</w:t>
      </w:r>
      <w:r>
        <w:rPr>
          <w:rFonts w:hint="eastAsia" w:ascii="宋体" w:hAnsi="宋体" w:cs="宋体"/>
          <w:color w:val="auto"/>
          <w:sz w:val="22"/>
          <w:highlight w:val="none"/>
        </w:rPr>
        <w:t>、资料要求：</w:t>
      </w:r>
    </w:p>
    <w:p w14:paraId="436E17F9">
      <w:pPr>
        <w:keepNext w:val="0"/>
        <w:keepLines w:val="0"/>
        <w:pageBreakBefore w:val="0"/>
        <w:widowControl w:val="0"/>
        <w:kinsoku/>
        <w:wordWrap/>
        <w:overflowPunct/>
        <w:topLinePunct w:val="0"/>
        <w:autoSpaceDE/>
        <w:autoSpaceDN/>
        <w:bidi w:val="0"/>
        <w:adjustRightInd/>
        <w:snapToGrid/>
        <w:spacing w:line="560" w:lineRule="exact"/>
        <w:ind w:firstLine="442" w:firstLineChars="200"/>
        <w:jc w:val="both"/>
        <w:textAlignment w:val="auto"/>
        <w:rPr>
          <w:rFonts w:hint="eastAsia" w:ascii="宋体" w:hAnsi="宋体" w:cs="宋体"/>
          <w:color w:val="auto"/>
          <w:sz w:val="22"/>
          <w:highlight w:val="none"/>
        </w:rPr>
      </w:pPr>
      <w:r>
        <w:rPr>
          <w:rFonts w:hint="eastAsia" w:ascii="宋体" w:hAnsi="宋体" w:cs="宋体"/>
          <w:b/>
          <w:bCs/>
          <w:color w:val="auto"/>
          <w:sz w:val="22"/>
          <w:highlight w:val="none"/>
        </w:rPr>
        <w:t>【投标时提供】</w:t>
      </w:r>
      <w:r>
        <w:rPr>
          <w:rFonts w:hint="eastAsia" w:ascii="宋体" w:hAnsi="宋体" w:cs="宋体"/>
          <w:color w:val="auto"/>
          <w:sz w:val="22"/>
          <w:highlight w:val="none"/>
        </w:rPr>
        <w:t>驾驶员的《道路运输从业人员从业资格证》且从业资格类别包括“道路危险货物运输</w:t>
      </w:r>
      <w:r>
        <w:rPr>
          <w:rFonts w:hint="eastAsia" w:ascii="宋体" w:hAnsi="宋体" w:cs="宋体"/>
          <w:color w:val="auto"/>
          <w:sz w:val="22"/>
          <w:highlight w:val="none"/>
          <w:lang w:val="en-US" w:eastAsia="zh-CN"/>
        </w:rPr>
        <w:t>驾驶员</w:t>
      </w:r>
      <w:r>
        <w:rPr>
          <w:rFonts w:hint="eastAsia" w:ascii="宋体" w:hAnsi="宋体" w:cs="宋体"/>
          <w:color w:val="auto"/>
          <w:sz w:val="22"/>
          <w:highlight w:val="none"/>
        </w:rPr>
        <w:t>”及押运员的《道路运输从业人员从业资格证》且从业资格类别包括“道路危险货物运输押运人员”，加盖公章。</w:t>
      </w:r>
    </w:p>
    <w:p w14:paraId="75BF46D3">
      <w:pPr>
        <w:keepNext w:val="0"/>
        <w:keepLines w:val="0"/>
        <w:pageBreakBefore w:val="0"/>
        <w:widowControl w:val="0"/>
        <w:kinsoku/>
        <w:wordWrap/>
        <w:overflowPunct/>
        <w:topLinePunct w:val="0"/>
        <w:autoSpaceDE/>
        <w:autoSpaceDN/>
        <w:bidi w:val="0"/>
        <w:adjustRightInd/>
        <w:snapToGrid/>
        <w:spacing w:line="560" w:lineRule="exact"/>
        <w:ind w:firstLine="0" w:firstLineChars="0"/>
        <w:textAlignment w:val="auto"/>
        <w:rPr>
          <w:rFonts w:hint="eastAsia"/>
          <w:color w:val="auto"/>
          <w:highlight w:val="none"/>
          <w:lang w:eastAsia="zh-CN"/>
        </w:rPr>
      </w:pPr>
      <w:r>
        <w:rPr>
          <w:rFonts w:hint="eastAsia" w:ascii="宋体" w:hAnsi="宋体" w:cs="宋体"/>
          <w:b/>
          <w:bCs/>
          <w:color w:val="auto"/>
          <w:sz w:val="22"/>
          <w:highlight w:val="none"/>
        </w:rPr>
        <w:t>【中标后</w:t>
      </w:r>
      <w:r>
        <w:rPr>
          <w:rFonts w:hint="eastAsia" w:ascii="宋体" w:hAnsi="宋体" w:cs="宋体"/>
          <w:b/>
          <w:bCs/>
          <w:color w:val="auto"/>
          <w:sz w:val="22"/>
          <w:highlight w:val="none"/>
          <w:lang w:val="en-US" w:eastAsia="zh-CN"/>
        </w:rPr>
        <w:t>向甲方备案</w:t>
      </w:r>
      <w:r>
        <w:rPr>
          <w:rFonts w:hint="eastAsia" w:ascii="宋体" w:hAnsi="宋体" w:cs="宋体"/>
          <w:b/>
          <w:bCs/>
          <w:color w:val="auto"/>
          <w:sz w:val="22"/>
          <w:highlight w:val="none"/>
        </w:rPr>
        <w:t>】</w:t>
      </w:r>
      <w:r>
        <w:rPr>
          <w:rFonts w:hint="eastAsia" w:ascii="宋体" w:hAnsi="宋体" w:cs="宋体"/>
          <w:color w:val="auto"/>
          <w:sz w:val="22"/>
          <w:highlight w:val="none"/>
        </w:rPr>
        <w:t>驾驶员的身份证、</w:t>
      </w:r>
      <w:r>
        <w:rPr>
          <w:rFonts w:hint="eastAsia" w:ascii="宋体" w:hAnsi="宋体" w:cs="宋体"/>
          <w:color w:val="auto"/>
          <w:sz w:val="22"/>
          <w:highlight w:val="none"/>
          <w:lang w:val="en-US" w:eastAsia="zh-CN"/>
        </w:rPr>
        <w:t>驾驶证、</w:t>
      </w:r>
      <w:r>
        <w:rPr>
          <w:rFonts w:hint="eastAsia" w:ascii="宋体" w:hAnsi="宋体" w:cs="宋体"/>
          <w:color w:val="auto"/>
          <w:sz w:val="22"/>
          <w:highlight w:val="none"/>
        </w:rPr>
        <w:t>《道路运输从业人员从业资格证》</w:t>
      </w:r>
      <w:r>
        <w:rPr>
          <w:rFonts w:hint="eastAsia" w:ascii="宋体" w:hAnsi="宋体" w:cs="宋体"/>
          <w:color w:val="auto"/>
          <w:sz w:val="22"/>
          <w:highlight w:val="none"/>
          <w:lang w:val="en-US" w:eastAsia="zh-CN"/>
        </w:rPr>
        <w:t>和保险证明等；押运员的身份证、</w:t>
      </w:r>
      <w:r>
        <w:rPr>
          <w:rFonts w:hint="eastAsia" w:ascii="宋体" w:hAnsi="宋体" w:cs="宋体"/>
          <w:color w:val="auto"/>
          <w:sz w:val="22"/>
          <w:highlight w:val="none"/>
        </w:rPr>
        <w:t>《道路运输从业人员从业资格证》</w:t>
      </w:r>
      <w:r>
        <w:rPr>
          <w:rFonts w:hint="eastAsia" w:ascii="宋体" w:hAnsi="宋体" w:cs="宋体"/>
          <w:color w:val="auto"/>
          <w:sz w:val="22"/>
          <w:highlight w:val="none"/>
          <w:lang w:val="en-US" w:eastAsia="zh-CN"/>
        </w:rPr>
        <w:t>和保险证明等。</w:t>
      </w:r>
    </w:p>
    <w:p w14:paraId="3DC70841">
      <w:pPr>
        <w:keepNext w:val="0"/>
        <w:keepLines w:val="0"/>
        <w:pageBreakBefore w:val="0"/>
        <w:widowControl w:val="0"/>
        <w:kinsoku/>
        <w:wordWrap/>
        <w:overflowPunct/>
        <w:topLinePunct w:val="0"/>
        <w:autoSpaceDE/>
        <w:autoSpaceDN/>
        <w:bidi w:val="0"/>
        <w:adjustRightInd/>
        <w:snapToGrid/>
        <w:spacing w:line="560" w:lineRule="exact"/>
        <w:ind w:firstLine="0" w:firstLineChars="0"/>
        <w:textAlignment w:val="auto"/>
        <w:rPr>
          <w:rFonts w:hint="eastAsia"/>
          <w:color w:val="auto"/>
          <w:highlight w:val="none"/>
          <w:lang w:eastAsia="zh-CN"/>
        </w:rPr>
      </w:pPr>
    </w:p>
    <w:p w14:paraId="68DD050B">
      <w:pPr>
        <w:pStyle w:val="44"/>
        <w:keepNext w:val="0"/>
        <w:keepLines w:val="0"/>
        <w:pageBreakBefore w:val="0"/>
        <w:widowControl w:val="0"/>
        <w:kinsoku/>
        <w:wordWrap/>
        <w:overflowPunct/>
        <w:topLinePunct w:val="0"/>
        <w:autoSpaceDE/>
        <w:autoSpaceDN/>
        <w:bidi w:val="0"/>
        <w:adjustRightInd/>
        <w:snapToGrid/>
        <w:spacing w:line="560" w:lineRule="exact"/>
        <w:ind w:firstLine="0" w:firstLineChars="0"/>
        <w:textAlignment w:val="auto"/>
        <w:rPr>
          <w:rFonts w:ascii="宋体" w:eastAsia="宋体" w:cs="宋体"/>
          <w:color w:val="auto"/>
          <w:sz w:val="22"/>
          <w:highlight w:val="none"/>
        </w:rPr>
      </w:pPr>
      <w:r>
        <w:rPr>
          <w:rFonts w:hint="eastAsia" w:ascii="宋体" w:eastAsia="宋体" w:cs="宋体"/>
          <w:color w:val="auto"/>
          <w:sz w:val="22"/>
          <w:highlight w:val="none"/>
        </w:rPr>
        <w:t>投标人名称（加盖公章）：</w:t>
      </w:r>
    </w:p>
    <w:p w14:paraId="4C733C27">
      <w:pPr>
        <w:pStyle w:val="44"/>
        <w:keepNext w:val="0"/>
        <w:keepLines w:val="0"/>
        <w:pageBreakBefore w:val="0"/>
        <w:widowControl w:val="0"/>
        <w:kinsoku/>
        <w:wordWrap/>
        <w:overflowPunct/>
        <w:topLinePunct w:val="0"/>
        <w:autoSpaceDE/>
        <w:autoSpaceDN/>
        <w:bidi w:val="0"/>
        <w:adjustRightInd/>
        <w:snapToGrid/>
        <w:spacing w:line="560" w:lineRule="exact"/>
        <w:ind w:firstLine="0" w:firstLineChars="0"/>
        <w:jc w:val="both"/>
        <w:textAlignment w:val="auto"/>
        <w:outlineLvl w:val="9"/>
        <w:rPr>
          <w:color w:val="auto"/>
          <w:highlight w:val="none"/>
        </w:rPr>
      </w:pPr>
      <w:r>
        <w:rPr>
          <w:rFonts w:hint="eastAsia" w:ascii="宋体" w:eastAsia="宋体" w:cs="宋体"/>
          <w:color w:val="auto"/>
          <w:sz w:val="22"/>
          <w:highlight w:val="none"/>
        </w:rPr>
        <w:t>日      期：</w:t>
      </w:r>
    </w:p>
    <w:p w14:paraId="4A225F85">
      <w:pPr>
        <w:rPr>
          <w:rFonts w:ascii="宋体" w:hAnsi="宋体"/>
          <w:color w:val="auto"/>
          <w:szCs w:val="21"/>
          <w:highlight w:val="none"/>
        </w:rPr>
      </w:pPr>
    </w:p>
    <w:p w14:paraId="33E01316">
      <w:pPr>
        <w:rPr>
          <w:rFonts w:ascii="宋体" w:hAnsi="宋体"/>
          <w:color w:val="auto"/>
          <w:szCs w:val="21"/>
          <w:highlight w:val="none"/>
        </w:rPr>
      </w:pPr>
    </w:p>
    <w:p w14:paraId="6553A04C">
      <w:pPr>
        <w:rPr>
          <w:rFonts w:ascii="宋体" w:hAnsi="宋体"/>
          <w:color w:val="auto"/>
          <w:szCs w:val="21"/>
          <w:highlight w:val="none"/>
        </w:rPr>
      </w:pPr>
    </w:p>
    <w:p w14:paraId="74B32058">
      <w:pPr>
        <w:rPr>
          <w:rFonts w:ascii="宋体" w:hAnsi="宋体"/>
          <w:color w:val="auto"/>
          <w:szCs w:val="21"/>
          <w:highlight w:val="none"/>
        </w:rPr>
      </w:pPr>
    </w:p>
    <w:p w14:paraId="770560BF">
      <w:pPr>
        <w:rPr>
          <w:color w:val="auto"/>
          <w:szCs w:val="21"/>
          <w:highlight w:val="none"/>
        </w:rPr>
      </w:pPr>
      <w:r>
        <w:rPr>
          <w:color w:val="auto"/>
          <w:szCs w:val="21"/>
          <w:highlight w:val="none"/>
        </w:rPr>
        <w:br w:type="page"/>
      </w:r>
    </w:p>
    <w:p w14:paraId="58FF492A">
      <w:pPr>
        <w:pStyle w:val="6"/>
        <w:bidi w:val="0"/>
        <w:rPr>
          <w:color w:val="auto"/>
          <w:highlight w:val="none"/>
        </w:rPr>
      </w:pPr>
      <w:bookmarkStart w:id="512" w:name="_Toc12308"/>
      <w:bookmarkStart w:id="513" w:name="_Toc28872"/>
      <w:bookmarkStart w:id="514" w:name="_Toc27822"/>
      <w:bookmarkStart w:id="515" w:name="_Toc5495"/>
      <w:bookmarkStart w:id="516" w:name="_Toc3025"/>
      <w:bookmarkStart w:id="517" w:name="_Toc20432"/>
      <w:bookmarkStart w:id="518" w:name="_Toc14847"/>
      <w:bookmarkStart w:id="519" w:name="_Toc7863"/>
      <w:r>
        <w:rPr>
          <w:rFonts w:hint="eastAsia"/>
          <w:color w:val="auto"/>
          <w:highlight w:val="none"/>
        </w:rPr>
        <w:t>附件</w:t>
      </w:r>
      <w:bookmarkEnd w:id="512"/>
      <w:bookmarkEnd w:id="513"/>
      <w:bookmarkEnd w:id="514"/>
      <w:bookmarkEnd w:id="515"/>
      <w:bookmarkEnd w:id="516"/>
      <w:bookmarkEnd w:id="517"/>
      <w:bookmarkEnd w:id="518"/>
      <w:r>
        <w:rPr>
          <w:rFonts w:hint="eastAsia"/>
          <w:color w:val="auto"/>
          <w:highlight w:val="none"/>
          <w:lang w:val="en-US" w:eastAsia="zh-CN"/>
        </w:rPr>
        <w:t xml:space="preserve">22  </w:t>
      </w:r>
      <w:r>
        <w:rPr>
          <w:rFonts w:hint="eastAsia"/>
          <w:color w:val="auto"/>
          <w:highlight w:val="none"/>
        </w:rPr>
        <w:t>应急处理方案</w:t>
      </w:r>
      <w:bookmarkEnd w:id="519"/>
    </w:p>
    <w:p w14:paraId="63D4C7C7">
      <w:pPr>
        <w:jc w:val="center"/>
        <w:rPr>
          <w:rFonts w:ascii="黑体" w:eastAsia="黑体"/>
          <w:color w:val="auto"/>
          <w:sz w:val="32"/>
          <w:szCs w:val="32"/>
          <w:highlight w:val="none"/>
        </w:rPr>
      </w:pPr>
    </w:p>
    <w:p w14:paraId="34195649">
      <w:pPr>
        <w:jc w:val="center"/>
        <w:rPr>
          <w:rFonts w:hint="eastAsia" w:ascii="黑体" w:eastAsia="黑体"/>
          <w:color w:val="auto"/>
          <w:sz w:val="32"/>
          <w:szCs w:val="32"/>
          <w:highlight w:val="none"/>
          <w:lang w:eastAsia="zh-CN"/>
        </w:rPr>
      </w:pPr>
      <w:r>
        <w:rPr>
          <w:rFonts w:hint="eastAsia" w:ascii="黑体" w:eastAsia="黑体"/>
          <w:color w:val="auto"/>
          <w:sz w:val="32"/>
          <w:szCs w:val="32"/>
          <w:highlight w:val="none"/>
        </w:rPr>
        <w:t>应急处理方案</w:t>
      </w:r>
      <w:r>
        <w:rPr>
          <w:rFonts w:hint="eastAsia" w:ascii="黑体" w:eastAsia="黑体"/>
          <w:color w:val="auto"/>
          <w:sz w:val="32"/>
          <w:szCs w:val="32"/>
          <w:highlight w:val="none"/>
          <w:lang w:eastAsia="zh-CN"/>
        </w:rPr>
        <w:t>（</w:t>
      </w:r>
      <w:r>
        <w:rPr>
          <w:rFonts w:hint="eastAsia" w:ascii="黑体" w:eastAsia="黑体"/>
          <w:color w:val="auto"/>
          <w:sz w:val="32"/>
          <w:szCs w:val="32"/>
          <w:highlight w:val="none"/>
          <w:lang w:val="en-US" w:eastAsia="zh-CN"/>
        </w:rPr>
        <w:t>自行编写</w:t>
      </w:r>
      <w:r>
        <w:rPr>
          <w:rFonts w:hint="eastAsia" w:ascii="黑体" w:eastAsia="黑体"/>
          <w:color w:val="auto"/>
          <w:sz w:val="32"/>
          <w:szCs w:val="32"/>
          <w:highlight w:val="none"/>
          <w:lang w:eastAsia="zh-CN"/>
        </w:rPr>
        <w:t>）</w:t>
      </w:r>
    </w:p>
    <w:p w14:paraId="6322F651">
      <w:pPr>
        <w:ind w:left="718" w:leftChars="200" w:hanging="298" w:hangingChars="142"/>
        <w:rPr>
          <w:rFonts w:ascii="宋体" w:hAnsi="宋体"/>
          <w:color w:val="auto"/>
          <w:szCs w:val="21"/>
          <w:highlight w:val="none"/>
        </w:rPr>
      </w:pPr>
      <w:r>
        <w:rPr>
          <w:rFonts w:hint="eastAsia" w:ascii="宋体" w:hAnsi="宋体"/>
          <w:color w:val="auto"/>
          <w:szCs w:val="21"/>
          <w:highlight w:val="none"/>
          <w:lang w:val="en-US" w:eastAsia="zh-CN"/>
        </w:rPr>
        <w:t>1</w:t>
      </w:r>
      <w:r>
        <w:rPr>
          <w:rFonts w:hint="eastAsia" w:ascii="宋体" w:hAnsi="宋体"/>
          <w:color w:val="auto"/>
          <w:szCs w:val="21"/>
          <w:highlight w:val="none"/>
        </w:rPr>
        <w:t>、</w:t>
      </w:r>
      <w:r>
        <w:rPr>
          <w:rFonts w:hint="eastAsia" w:ascii="宋体" w:hAnsi="宋体"/>
          <w:color w:val="auto"/>
          <w:szCs w:val="21"/>
          <w:highlight w:val="none"/>
          <w:lang w:val="en-US" w:eastAsia="zh-CN"/>
        </w:rPr>
        <w:t>根据投标人制定的应急处理方案进行总体评分，内容应包括但不限于废物泄漏、冒烟反应、着火、恶劣天气、交通事故、车辆故障和防疫等</w:t>
      </w:r>
    </w:p>
    <w:p w14:paraId="189BFEAB">
      <w:pPr>
        <w:ind w:left="718" w:leftChars="200" w:hanging="298" w:hangingChars="142"/>
        <w:rPr>
          <w:rFonts w:ascii="宋体" w:hAnsi="宋体"/>
          <w:color w:val="auto"/>
          <w:szCs w:val="21"/>
          <w:highlight w:val="none"/>
        </w:rPr>
      </w:pPr>
      <w:r>
        <w:rPr>
          <w:rFonts w:hint="eastAsia" w:ascii="宋体" w:hAnsi="宋体"/>
          <w:color w:val="auto"/>
          <w:szCs w:val="21"/>
          <w:highlight w:val="none"/>
          <w:lang w:val="en-US" w:eastAsia="zh-CN"/>
        </w:rPr>
        <w:t>2</w:t>
      </w:r>
      <w:r>
        <w:rPr>
          <w:rFonts w:hint="eastAsia" w:ascii="宋体" w:hAnsi="宋体"/>
          <w:color w:val="auto"/>
          <w:szCs w:val="21"/>
          <w:highlight w:val="none"/>
        </w:rPr>
        <w:t>、..........</w:t>
      </w:r>
    </w:p>
    <w:p w14:paraId="06F366E7">
      <w:pPr>
        <w:ind w:left="718" w:leftChars="200" w:hanging="298" w:hangingChars="142"/>
        <w:rPr>
          <w:rFonts w:ascii="宋体" w:hAnsi="宋体" w:cs="Times New Roman"/>
          <w:color w:val="auto"/>
          <w:szCs w:val="21"/>
          <w:highlight w:val="none"/>
        </w:rPr>
      </w:pPr>
      <w:r>
        <w:rPr>
          <w:rFonts w:hint="eastAsia" w:ascii="宋体" w:hAnsi="宋体"/>
          <w:color w:val="auto"/>
          <w:szCs w:val="21"/>
          <w:highlight w:val="none"/>
        </w:rPr>
        <w:t>自行编写。</w:t>
      </w:r>
    </w:p>
    <w:p w14:paraId="697ADEB8">
      <w:pPr>
        <w:rPr>
          <w:color w:val="auto"/>
          <w:highlight w:val="none"/>
        </w:rPr>
      </w:pPr>
      <w:r>
        <w:rPr>
          <w:color w:val="auto"/>
          <w:highlight w:val="none"/>
        </w:rPr>
        <w:br w:type="page"/>
      </w:r>
    </w:p>
    <w:p w14:paraId="3F937E36">
      <w:pPr>
        <w:pStyle w:val="10"/>
        <w:rPr>
          <w:color w:val="auto"/>
          <w:highlight w:val="none"/>
        </w:rPr>
      </w:pPr>
      <w:bookmarkStart w:id="520" w:name="_Toc1968"/>
    </w:p>
    <w:p w14:paraId="473FA161">
      <w:pPr>
        <w:jc w:val="center"/>
        <w:outlineLvl w:val="1"/>
        <w:rPr>
          <w:rFonts w:eastAsia="黑体"/>
          <w:color w:val="auto"/>
          <w:sz w:val="72"/>
          <w:szCs w:val="72"/>
          <w:highlight w:val="none"/>
        </w:rPr>
      </w:pPr>
      <w:bookmarkStart w:id="521" w:name="_Toc25683"/>
      <w:r>
        <w:rPr>
          <w:rFonts w:hint="eastAsia" w:eastAsia="黑体"/>
          <w:color w:val="auto"/>
          <w:sz w:val="72"/>
          <w:szCs w:val="72"/>
          <w:highlight w:val="none"/>
        </w:rPr>
        <w:t>唱标信封</w:t>
      </w:r>
      <w:bookmarkEnd w:id="521"/>
    </w:p>
    <w:p w14:paraId="395C6E9E">
      <w:pPr>
        <w:jc w:val="center"/>
        <w:rPr>
          <w:rFonts w:ascii="黑体" w:eastAsia="黑体"/>
          <w:color w:val="auto"/>
          <w:sz w:val="52"/>
          <w:szCs w:val="52"/>
          <w:highlight w:val="none"/>
        </w:rPr>
      </w:pPr>
      <w:r>
        <w:rPr>
          <w:rFonts w:hint="eastAsia" w:ascii="黑体" w:eastAsia="黑体"/>
          <w:color w:val="auto"/>
          <w:sz w:val="52"/>
          <w:szCs w:val="52"/>
          <w:highlight w:val="none"/>
        </w:rPr>
        <w:t>（单独装订成册，单独封装）</w:t>
      </w:r>
    </w:p>
    <w:p w14:paraId="3CACF0C2">
      <w:pPr>
        <w:rPr>
          <w:color w:val="auto"/>
          <w:highlight w:val="none"/>
        </w:rPr>
      </w:pPr>
    </w:p>
    <w:p w14:paraId="64EA3535">
      <w:pPr>
        <w:pStyle w:val="10"/>
        <w:rPr>
          <w:color w:val="auto"/>
          <w:highlight w:val="none"/>
        </w:rPr>
      </w:pPr>
    </w:p>
    <w:p w14:paraId="42BBA952">
      <w:pPr>
        <w:pStyle w:val="27"/>
        <w:ind w:firstLine="240"/>
        <w:rPr>
          <w:color w:val="auto"/>
          <w:highlight w:val="none"/>
        </w:rPr>
      </w:pPr>
    </w:p>
    <w:p w14:paraId="04483B75">
      <w:pPr>
        <w:pStyle w:val="27"/>
        <w:ind w:firstLine="240"/>
        <w:rPr>
          <w:color w:val="auto"/>
          <w:highlight w:val="none"/>
        </w:rPr>
      </w:pPr>
    </w:p>
    <w:p w14:paraId="525537A3">
      <w:pPr>
        <w:rPr>
          <w:rFonts w:ascii="宋体" w:hAnsi="宋体" w:cs="宋体"/>
          <w:b/>
          <w:color w:val="auto"/>
          <w:spacing w:val="-6"/>
          <w:sz w:val="32"/>
          <w:szCs w:val="32"/>
          <w:highlight w:val="none"/>
        </w:rPr>
      </w:pPr>
      <w:r>
        <w:rPr>
          <w:rFonts w:hint="eastAsia" w:ascii="宋体" w:hAnsi="宋体" w:cs="宋体"/>
          <w:b/>
          <w:color w:val="auto"/>
          <w:spacing w:val="106"/>
          <w:sz w:val="32"/>
          <w:szCs w:val="32"/>
          <w:highlight w:val="none"/>
        </w:rPr>
        <w:t>项目名</w:t>
      </w:r>
      <w:r>
        <w:rPr>
          <w:rFonts w:hint="eastAsia" w:ascii="宋体" w:hAnsi="宋体" w:cs="宋体"/>
          <w:b/>
          <w:color w:val="auto"/>
          <w:spacing w:val="2"/>
          <w:sz w:val="32"/>
          <w:szCs w:val="32"/>
          <w:highlight w:val="none"/>
        </w:rPr>
        <w:t>称</w:t>
      </w:r>
      <w:r>
        <w:rPr>
          <w:rFonts w:hint="eastAsia" w:ascii="宋体" w:hAnsi="宋体" w:cs="宋体"/>
          <w:b/>
          <w:color w:val="auto"/>
          <w:spacing w:val="-6"/>
          <w:sz w:val="32"/>
          <w:szCs w:val="32"/>
          <w:highlight w:val="none"/>
        </w:rPr>
        <w:t>：</w:t>
      </w:r>
    </w:p>
    <w:p w14:paraId="453F98CC">
      <w:pPr>
        <w:rPr>
          <w:rFonts w:ascii="宋体" w:hAnsi="宋体" w:cs="宋体"/>
          <w:b/>
          <w:color w:val="auto"/>
          <w:sz w:val="32"/>
          <w:szCs w:val="32"/>
          <w:highlight w:val="none"/>
        </w:rPr>
      </w:pPr>
      <w:r>
        <w:rPr>
          <w:rFonts w:hint="eastAsia" w:ascii="宋体" w:hAnsi="宋体" w:cs="宋体"/>
          <w:b/>
          <w:color w:val="auto"/>
          <w:spacing w:val="106"/>
          <w:sz w:val="32"/>
          <w:szCs w:val="32"/>
          <w:highlight w:val="none"/>
        </w:rPr>
        <w:t>项目编</w:t>
      </w:r>
      <w:r>
        <w:rPr>
          <w:rFonts w:hint="eastAsia" w:ascii="宋体" w:hAnsi="宋体" w:cs="宋体"/>
          <w:b/>
          <w:color w:val="auto"/>
          <w:spacing w:val="2"/>
          <w:sz w:val="32"/>
          <w:szCs w:val="32"/>
          <w:highlight w:val="none"/>
        </w:rPr>
        <w:t>号</w:t>
      </w:r>
      <w:r>
        <w:rPr>
          <w:rFonts w:hint="eastAsia" w:ascii="宋体" w:hAnsi="宋体" w:cs="宋体"/>
          <w:b/>
          <w:color w:val="auto"/>
          <w:sz w:val="32"/>
          <w:szCs w:val="32"/>
          <w:highlight w:val="none"/>
        </w:rPr>
        <w:t>：</w:t>
      </w:r>
    </w:p>
    <w:p w14:paraId="2B768DBD">
      <w:pPr>
        <w:pStyle w:val="10"/>
        <w:ind w:left="0"/>
        <w:rPr>
          <w:b/>
          <w:color w:val="auto"/>
          <w:spacing w:val="106"/>
          <w:sz w:val="32"/>
          <w:szCs w:val="32"/>
          <w:highlight w:val="none"/>
          <w:lang w:val="en-US" w:bidi="ar-SA"/>
        </w:rPr>
      </w:pPr>
      <w:r>
        <w:rPr>
          <w:rFonts w:hint="eastAsia"/>
          <w:b/>
          <w:color w:val="auto"/>
          <w:spacing w:val="106"/>
          <w:sz w:val="32"/>
          <w:szCs w:val="32"/>
          <w:highlight w:val="none"/>
          <w:lang w:val="en-US" w:bidi="ar-SA"/>
        </w:rPr>
        <w:t>包组号（如有）：</w:t>
      </w:r>
    </w:p>
    <w:p w14:paraId="7B159388">
      <w:pPr>
        <w:rPr>
          <w:rFonts w:ascii="宋体" w:hAnsi="宋体" w:cs="宋体"/>
          <w:b/>
          <w:color w:val="auto"/>
          <w:sz w:val="32"/>
          <w:szCs w:val="32"/>
          <w:highlight w:val="none"/>
        </w:rPr>
      </w:pPr>
      <w:r>
        <w:rPr>
          <w:rFonts w:hint="eastAsia" w:ascii="宋体" w:hAnsi="宋体" w:cs="宋体"/>
          <w:b/>
          <w:color w:val="auto"/>
          <w:sz w:val="32"/>
          <w:szCs w:val="32"/>
          <w:highlight w:val="none"/>
        </w:rPr>
        <w:t>投标人名称：</w:t>
      </w:r>
    </w:p>
    <w:p w14:paraId="5C69F522">
      <w:pPr>
        <w:rPr>
          <w:rFonts w:ascii="宋体" w:hAnsi="宋体" w:cs="宋体"/>
          <w:b/>
          <w:color w:val="auto"/>
          <w:sz w:val="32"/>
          <w:szCs w:val="32"/>
          <w:highlight w:val="none"/>
        </w:rPr>
      </w:pPr>
      <w:r>
        <w:rPr>
          <w:rFonts w:hint="eastAsia" w:ascii="宋体" w:hAnsi="宋体" w:cs="宋体"/>
          <w:b/>
          <w:color w:val="auto"/>
          <w:spacing w:val="64"/>
          <w:sz w:val="32"/>
          <w:szCs w:val="32"/>
          <w:highlight w:val="none"/>
        </w:rPr>
        <w:t xml:space="preserve">日    </w:t>
      </w:r>
      <w:r>
        <w:rPr>
          <w:rFonts w:hint="eastAsia" w:ascii="宋体" w:hAnsi="宋体" w:cs="宋体"/>
          <w:b/>
          <w:color w:val="auto"/>
          <w:sz w:val="32"/>
          <w:szCs w:val="32"/>
          <w:highlight w:val="none"/>
        </w:rPr>
        <w:t>期：</w:t>
      </w:r>
    </w:p>
    <w:p w14:paraId="0BFAC259">
      <w:pPr>
        <w:rPr>
          <w:rFonts w:ascii="宋体" w:hAnsi="宋体"/>
          <w:color w:val="auto"/>
          <w:szCs w:val="21"/>
          <w:highlight w:val="none"/>
        </w:rPr>
      </w:pPr>
      <w:r>
        <w:rPr>
          <w:rFonts w:hint="eastAsia" w:ascii="宋体" w:hAnsi="宋体"/>
          <w:color w:val="auto"/>
          <w:szCs w:val="21"/>
          <w:highlight w:val="none"/>
        </w:rPr>
        <w:br w:type="page"/>
      </w:r>
    </w:p>
    <w:p w14:paraId="4AC436D9">
      <w:pPr>
        <w:outlineLvl w:val="1"/>
        <w:rPr>
          <w:color w:val="auto"/>
          <w:sz w:val="72"/>
          <w:szCs w:val="72"/>
          <w:highlight w:val="none"/>
        </w:rPr>
        <w:sectPr>
          <w:headerReference r:id="rId12" w:type="first"/>
          <w:footerReference r:id="rId14" w:type="first"/>
          <w:headerReference r:id="rId11" w:type="default"/>
          <w:footerReference r:id="rId13" w:type="default"/>
          <w:pgSz w:w="11906" w:h="16838"/>
          <w:pgMar w:top="1440" w:right="1800" w:bottom="1440" w:left="1800" w:header="708" w:footer="708" w:gutter="0"/>
          <w:cols w:space="708" w:num="1"/>
          <w:titlePg/>
          <w:docGrid w:type="lines" w:linePitch="360" w:charSpace="0"/>
        </w:sectPr>
      </w:pPr>
    </w:p>
    <w:bookmarkEnd w:id="520"/>
    <w:p w14:paraId="61103638">
      <w:pPr>
        <w:pStyle w:val="6"/>
        <w:numPr>
          <w:ilvl w:val="255"/>
          <w:numId w:val="0"/>
        </w:numPr>
        <w:tabs>
          <w:tab w:val="left" w:pos="720"/>
          <w:tab w:val="left" w:pos="3840"/>
        </w:tabs>
        <w:ind w:left="283"/>
        <w:jc w:val="both"/>
        <w:rPr>
          <w:rFonts w:ascii="宋体" w:hAnsi="宋体"/>
          <w:color w:val="auto"/>
          <w:sz w:val="21"/>
          <w:szCs w:val="21"/>
          <w:highlight w:val="none"/>
        </w:rPr>
      </w:pPr>
      <w:bookmarkStart w:id="522" w:name="_Toc4180"/>
      <w:r>
        <w:rPr>
          <w:rFonts w:hint="eastAsia" w:ascii="宋体" w:hAnsi="宋体"/>
          <w:color w:val="auto"/>
          <w:sz w:val="21"/>
          <w:szCs w:val="21"/>
          <w:highlight w:val="none"/>
        </w:rPr>
        <w:t>附件2</w:t>
      </w:r>
      <w:r>
        <w:rPr>
          <w:rFonts w:hint="eastAsia" w:ascii="宋体" w:hAnsi="宋体"/>
          <w:color w:val="auto"/>
          <w:sz w:val="21"/>
          <w:szCs w:val="21"/>
          <w:highlight w:val="none"/>
          <w:lang w:val="en-US" w:eastAsia="zh-CN"/>
        </w:rPr>
        <w:t xml:space="preserve">3  </w:t>
      </w:r>
      <w:r>
        <w:rPr>
          <w:rFonts w:hint="eastAsia" w:ascii="宋体" w:hAnsi="宋体"/>
          <w:color w:val="auto"/>
          <w:sz w:val="21"/>
          <w:szCs w:val="21"/>
          <w:highlight w:val="none"/>
        </w:rPr>
        <w:t>唱标信封内装（内容务必与投标文件正本一致）</w:t>
      </w:r>
      <w:bookmarkEnd w:id="522"/>
    </w:p>
    <w:p w14:paraId="46663CE8">
      <w:pPr>
        <w:numPr>
          <w:ilvl w:val="0"/>
          <w:numId w:val="12"/>
        </w:numPr>
        <w:ind w:firstLineChars="200"/>
        <w:rPr>
          <w:rFonts w:hAnsi="宋体"/>
          <w:color w:val="auto"/>
          <w:szCs w:val="21"/>
          <w:highlight w:val="none"/>
        </w:rPr>
      </w:pPr>
      <w:r>
        <w:rPr>
          <w:rFonts w:hint="eastAsia" w:hAnsi="宋体"/>
          <w:color w:val="auto"/>
          <w:szCs w:val="21"/>
          <w:highlight w:val="none"/>
        </w:rPr>
        <w:t>开标一览表加盖公章；</w:t>
      </w:r>
    </w:p>
    <w:p w14:paraId="5973FD81">
      <w:pPr>
        <w:numPr>
          <w:ilvl w:val="0"/>
          <w:numId w:val="12"/>
        </w:numPr>
        <w:ind w:firstLineChars="200"/>
        <w:rPr>
          <w:rFonts w:hAnsi="宋体"/>
          <w:color w:val="auto"/>
          <w:szCs w:val="21"/>
          <w:highlight w:val="none"/>
        </w:rPr>
      </w:pPr>
      <w:r>
        <w:rPr>
          <w:rFonts w:hint="eastAsia" w:hAnsi="宋体"/>
          <w:color w:val="auto"/>
          <w:szCs w:val="21"/>
          <w:highlight w:val="none"/>
        </w:rPr>
        <w:t>法定代表人证明书加盖公章；</w:t>
      </w:r>
    </w:p>
    <w:p w14:paraId="6E19E54A">
      <w:pPr>
        <w:numPr>
          <w:ilvl w:val="0"/>
          <w:numId w:val="12"/>
        </w:numPr>
        <w:ind w:firstLineChars="200"/>
        <w:rPr>
          <w:rFonts w:hAnsi="宋体"/>
          <w:color w:val="auto"/>
          <w:szCs w:val="21"/>
          <w:highlight w:val="none"/>
        </w:rPr>
      </w:pPr>
      <w:r>
        <w:rPr>
          <w:rFonts w:hint="eastAsia" w:hAnsi="宋体"/>
          <w:color w:val="auto"/>
          <w:szCs w:val="21"/>
          <w:highlight w:val="none"/>
        </w:rPr>
        <w:t>法定代表人授权委托书加盖公章（法定代表人投标的除外）；</w:t>
      </w:r>
    </w:p>
    <w:p w14:paraId="77F89922">
      <w:pPr>
        <w:numPr>
          <w:ilvl w:val="0"/>
          <w:numId w:val="12"/>
        </w:numPr>
        <w:ind w:firstLineChars="200"/>
        <w:rPr>
          <w:rFonts w:hAnsi="宋体"/>
          <w:color w:val="auto"/>
          <w:szCs w:val="21"/>
          <w:highlight w:val="none"/>
        </w:rPr>
      </w:pPr>
      <w:r>
        <w:rPr>
          <w:rFonts w:hint="eastAsia" w:hAnsi="宋体"/>
          <w:color w:val="auto"/>
          <w:szCs w:val="21"/>
          <w:highlight w:val="none"/>
        </w:rPr>
        <w:t>投标保证金汇入情况说明（含银行汇款凭证）或投标保函加盖公章；</w:t>
      </w:r>
    </w:p>
    <w:p w14:paraId="69E6888F">
      <w:pPr>
        <w:numPr>
          <w:ilvl w:val="0"/>
          <w:numId w:val="12"/>
        </w:numPr>
        <w:ind w:firstLineChars="200"/>
        <w:rPr>
          <w:rFonts w:hAnsi="宋体"/>
          <w:color w:val="auto"/>
          <w:szCs w:val="21"/>
          <w:highlight w:val="none"/>
        </w:rPr>
      </w:pPr>
      <w:r>
        <w:rPr>
          <w:rFonts w:hint="eastAsia" w:hAnsi="宋体"/>
          <w:color w:val="auto"/>
          <w:szCs w:val="21"/>
          <w:highlight w:val="none"/>
        </w:rPr>
        <w:t>投标文件电子文件（U盘，须含盖章版PDF投标文件和WORD版投标文件各一版，文字采用WORD文档，计算表格采用 EXCEL文档。）</w:t>
      </w:r>
    </w:p>
    <w:p w14:paraId="2C42380F">
      <w:pPr>
        <w:rPr>
          <w:rFonts w:ascii="宋体" w:hAnsi="宋体" w:cs="宋体"/>
          <w:color w:val="auto"/>
          <w:szCs w:val="21"/>
          <w:highlight w:val="none"/>
        </w:rPr>
      </w:pPr>
    </w:p>
    <w:p w14:paraId="0D9B143D">
      <w:pPr>
        <w:pStyle w:val="10"/>
        <w:rPr>
          <w:color w:val="auto"/>
          <w:highlight w:val="none"/>
        </w:rPr>
      </w:pPr>
    </w:p>
    <w:sectPr>
      <w:pgSz w:w="11906" w:h="16838"/>
      <w:pgMar w:top="1440" w:right="1800" w:bottom="1440" w:left="1800" w:header="708" w:footer="708" w:gutter="0"/>
      <w:cols w:space="708" w:num="1"/>
      <w:titlePg/>
      <w:docGrid w:type="lines"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Cambria">
    <w:panose1 w:val="02040503050406030204"/>
    <w:charset w:val="00"/>
    <w:family w:val="roman"/>
    <w:pitch w:val="default"/>
    <w:sig w:usb0="E00006FF" w:usb1="420024FF" w:usb2="02000000" w:usb3="00000000" w:csb0="2000019F" w:csb1="00000000"/>
  </w:font>
  <w:font w:name="方正书宋简体">
    <w:altName w:val="宋体"/>
    <w:panose1 w:val="00000000000000000000"/>
    <w:charset w:val="86"/>
    <w:family w:val="auto"/>
    <w:pitch w:val="default"/>
    <w:sig w:usb0="00000000" w:usb1="00000000" w:usb2="00000000" w:usb3="00000000" w:csb0="00040000"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微软雅黑">
    <w:panose1 w:val="020B0503020204020204"/>
    <w:charset w:val="86"/>
    <w:family w:val="swiss"/>
    <w:pitch w:val="default"/>
    <w:sig w:usb0="80000287" w:usb1="2ACF3C50" w:usb2="00000016" w:usb3="00000000" w:csb0="0004001F" w:csb1="00000000"/>
  </w:font>
  <w:font w:name="等线">
    <w:panose1 w:val="02010600030101010101"/>
    <w:charset w:val="86"/>
    <w:family w:val="auto"/>
    <w:pitch w:val="default"/>
    <w:sig w:usb0="A00002BF" w:usb1="38CF7CFA" w:usb2="00000016" w:usb3="00000000" w:csb0="0004000F" w:csb1="00000000"/>
  </w:font>
  <w:font w:name="Wingdings 2">
    <w:altName w:val="Wingdings"/>
    <w:panose1 w:val="05020102010507070707"/>
    <w:charset w:val="02"/>
    <w:family w:val="roman"/>
    <w:pitch w:val="default"/>
    <w:sig w:usb0="00000000" w:usb1="00000000" w:usb2="00000000" w:usb3="00000000" w:csb0="80000000" w:csb1="00000000"/>
  </w:font>
  <w:font w:name="方正小标宋简体">
    <w:altName w:val="黑体"/>
    <w:panose1 w:val="03000509000000000000"/>
    <w:charset w:val="86"/>
    <w:family w:val="script"/>
    <w:pitch w:val="default"/>
    <w:sig w:usb0="00000000" w:usb1="00000000" w:usb2="00000000" w:usb3="00000000" w:csb0="00040000" w:csb1="00000000"/>
  </w:font>
  <w:font w:name="Kingsoft UE">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EB374B">
    <w:pPr>
      <w:pStyle w:val="17"/>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02F952A">
                          <w:pPr>
                            <w:pStyle w:val="17"/>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t>5</w:t>
                          </w:r>
                          <w:r>
                            <w:rPr>
                              <w:rFonts w:hint="eastAsia"/>
                            </w:rPr>
                            <w:fldChar w:fldCharType="end"/>
                          </w:r>
                          <w:r>
                            <w:rPr>
                              <w:rFonts w:hint="eastAsia"/>
                            </w:rPr>
                            <w:t xml:space="preserve"> 页 共 </w:t>
                          </w:r>
                          <w:r>
                            <w:fldChar w:fldCharType="begin"/>
                          </w:r>
                          <w:r>
                            <w:instrText xml:space="preserve"> NUMPAGES  \* MERGEFORMAT </w:instrText>
                          </w:r>
                          <w:r>
                            <w:fldChar w:fldCharType="separate"/>
                          </w:r>
                          <w:r>
                            <w:t>185</w:t>
                          </w:r>
                          <w:r>
                            <w:fldChar w:fldCharType="end"/>
                          </w:r>
                          <w:r>
                            <w:rPr>
                              <w:rFonts w:hint="eastAsia"/>
                            </w:rP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14:paraId="002F952A">
                    <w:pPr>
                      <w:pStyle w:val="17"/>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t>5</w:t>
                    </w:r>
                    <w:r>
                      <w:rPr>
                        <w:rFonts w:hint="eastAsia"/>
                      </w:rPr>
                      <w:fldChar w:fldCharType="end"/>
                    </w:r>
                    <w:r>
                      <w:rPr>
                        <w:rFonts w:hint="eastAsia"/>
                      </w:rPr>
                      <w:t xml:space="preserve"> 页 共 </w:t>
                    </w:r>
                    <w:r>
                      <w:fldChar w:fldCharType="begin"/>
                    </w:r>
                    <w:r>
                      <w:instrText xml:space="preserve"> NUMPAGES  \* MERGEFORMAT </w:instrText>
                    </w:r>
                    <w:r>
                      <w:fldChar w:fldCharType="separate"/>
                    </w:r>
                    <w:r>
                      <w:t>185</w:t>
                    </w:r>
                    <w:r>
                      <w:fldChar w:fldCharType="end"/>
                    </w:r>
                    <w:r>
                      <w:rPr>
                        <w:rFonts w:hint="eastAsia"/>
                      </w:rPr>
                      <w:t xml:space="preserve"> 页</w:t>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EAF1934">
    <w:pPr>
      <w:pStyle w:val="1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0052E52">
    <w:pPr>
      <w:pStyle w:val="17"/>
    </w:pP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4B7AC78">
                          <w:pPr>
                            <w:pStyle w:val="17"/>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VhjD8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FYYw/KwIAAFUEAAAOAAAAAAAAAAEAIAAAAB8BAABkcnMvZTJvRG9jLnhtbFBLBQYAAAAABgAG&#10;AFkBAAC8BQAAAAA=&#10;">
              <v:fill on="f" focussize="0,0"/>
              <v:stroke on="f" weight="0.5pt"/>
              <v:imagedata o:title=""/>
              <o:lock v:ext="edit" aspectratio="f"/>
              <v:textbox inset="0mm,0mm,0mm,0mm" style="mso-fit-shape-to-text:t;">
                <w:txbxContent>
                  <w:p w14:paraId="74B7AC78">
                    <w:pPr>
                      <w:pStyle w:val="17"/>
                    </w:pP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DAFB97">
    <w:pPr>
      <w:pStyle w:val="17"/>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088390" cy="1828800"/>
              <wp:effectExtent l="0" t="0" r="0" b="0"/>
              <wp:wrapNone/>
              <wp:docPr id="3" name="文本框 1026"/>
              <wp:cNvGraphicFramePr/>
              <a:graphic xmlns:a="http://schemas.openxmlformats.org/drawingml/2006/main">
                <a:graphicData uri="http://schemas.microsoft.com/office/word/2010/wordprocessingShape">
                  <wps:wsp>
                    <wps:cNvSpPr txBox="1"/>
                    <wps:spPr>
                      <a:xfrm>
                        <a:off x="0" y="0"/>
                        <a:ext cx="1088390" cy="1828800"/>
                      </a:xfrm>
                      <a:prstGeom prst="rect">
                        <a:avLst/>
                      </a:prstGeom>
                      <a:noFill/>
                      <a:ln>
                        <a:noFill/>
                      </a:ln>
                    </wps:spPr>
                    <wps:txbx>
                      <w:txbxContent>
                        <w:p w14:paraId="3A4EAEC0">
                          <w:pPr>
                            <w:pStyle w:val="17"/>
                            <w:jc w:val="center"/>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t>10</w:t>
                          </w:r>
                          <w:r>
                            <w:rPr>
                              <w:rFonts w:hint="eastAsia"/>
                            </w:rPr>
                            <w:fldChar w:fldCharType="end"/>
                          </w:r>
                          <w:r>
                            <w:rPr>
                              <w:rFonts w:hint="eastAsia"/>
                            </w:rPr>
                            <w:t xml:space="preserve"> 页 共 </w:t>
                          </w:r>
                          <w:r>
                            <w:fldChar w:fldCharType="begin"/>
                          </w:r>
                          <w:r>
                            <w:instrText xml:space="preserve"> NUMPAGES  \* MERGEFORMAT </w:instrText>
                          </w:r>
                          <w:r>
                            <w:fldChar w:fldCharType="separate"/>
                          </w:r>
                          <w:r>
                            <w:t>185</w:t>
                          </w:r>
                          <w:r>
                            <w:fldChar w:fldCharType="end"/>
                          </w:r>
                          <w:r>
                            <w:rPr>
                              <w:rFonts w:hint="eastAsia"/>
                            </w:rPr>
                            <w:t xml:space="preserve"> 页</w:t>
                          </w:r>
                        </w:p>
                      </w:txbxContent>
                    </wps:txbx>
                    <wps:bodyPr lIns="0" tIns="0" rIns="0" bIns="0" upright="1">
                      <a:spAutoFit/>
                    </wps:bodyPr>
                  </wps:wsp>
                </a:graphicData>
              </a:graphic>
            </wp:anchor>
          </w:drawing>
        </mc:Choice>
        <mc:Fallback>
          <w:pict>
            <v:shape id="文本框 1026" o:spid="_x0000_s1026" o:spt="202" type="#_x0000_t202" style="position:absolute;left:0pt;margin-top:0pt;height:144pt;width:85.7pt;mso-position-horizontal:center;mso-position-horizontal-relative:margin;z-index:251659264;mso-width-relative:page;mso-height-relative:page;" filled="f" stroked="f" coordsize="21600,21600" o:gfxdata="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Axsfqk0wAAAAUBAAAPAAAAAAAAAAEAIAAAACIAAABkcnMvZG93bnJl&#10;di54bWxQSwECFAAUAAAACACHTuJARcufEMkBAACQAwAADgAAAAAAAAABACAAAAAiAQAAZHJzL2Uy&#10;b0RvYy54bWxQSwUGAAAAAAYABgBZAQAAXQUAAAAA&#10;">
              <v:fill on="f" focussize="0,0"/>
              <v:stroke on="f"/>
              <v:imagedata o:title=""/>
              <o:lock v:ext="edit" aspectratio="f"/>
              <v:textbox inset="0mm,0mm,0mm,0mm" style="mso-fit-shape-to-text:t;">
                <w:txbxContent>
                  <w:p w14:paraId="3A4EAEC0">
                    <w:pPr>
                      <w:pStyle w:val="17"/>
                      <w:jc w:val="center"/>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t>10</w:t>
                    </w:r>
                    <w:r>
                      <w:rPr>
                        <w:rFonts w:hint="eastAsia"/>
                      </w:rPr>
                      <w:fldChar w:fldCharType="end"/>
                    </w:r>
                    <w:r>
                      <w:rPr>
                        <w:rFonts w:hint="eastAsia"/>
                      </w:rPr>
                      <w:t xml:space="preserve"> 页 共 </w:t>
                    </w:r>
                    <w:r>
                      <w:fldChar w:fldCharType="begin"/>
                    </w:r>
                    <w:r>
                      <w:instrText xml:space="preserve"> NUMPAGES  \* MERGEFORMAT </w:instrText>
                    </w:r>
                    <w:r>
                      <w:fldChar w:fldCharType="separate"/>
                    </w:r>
                    <w:r>
                      <w:t>185</w:t>
                    </w:r>
                    <w:r>
                      <w:fldChar w:fldCharType="end"/>
                    </w:r>
                    <w:r>
                      <w:rPr>
                        <w:rFonts w:hint="eastAsia"/>
                      </w:rPr>
                      <w:t xml:space="preserve"> 页</w:t>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CA58FC">
    <w:pPr>
      <w:pStyle w:val="17"/>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150620" cy="1828800"/>
              <wp:effectExtent l="0" t="0" r="0" b="0"/>
              <wp:wrapNone/>
              <wp:docPr id="4" name="文本框 1025"/>
              <wp:cNvGraphicFramePr/>
              <a:graphic xmlns:a="http://schemas.openxmlformats.org/drawingml/2006/main">
                <a:graphicData uri="http://schemas.microsoft.com/office/word/2010/wordprocessingShape">
                  <wps:wsp>
                    <wps:cNvSpPr txBox="1"/>
                    <wps:spPr>
                      <a:xfrm>
                        <a:off x="0" y="0"/>
                        <a:ext cx="1150620" cy="1828800"/>
                      </a:xfrm>
                      <a:prstGeom prst="rect">
                        <a:avLst/>
                      </a:prstGeom>
                      <a:noFill/>
                      <a:ln>
                        <a:noFill/>
                      </a:ln>
                    </wps:spPr>
                    <wps:txbx>
                      <w:txbxContent>
                        <w:p w14:paraId="2BD6CDD4">
                          <w:pPr>
                            <w:pStyle w:val="17"/>
                            <w:jc w:val="center"/>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t>2</w:t>
                          </w:r>
                          <w:r>
                            <w:rPr>
                              <w:rFonts w:hint="eastAsia"/>
                            </w:rPr>
                            <w:fldChar w:fldCharType="end"/>
                          </w:r>
                          <w:r>
                            <w:rPr>
                              <w:rFonts w:hint="eastAsia"/>
                            </w:rPr>
                            <w:t xml:space="preserve"> 页 共 </w:t>
                          </w:r>
                          <w:r>
                            <w:fldChar w:fldCharType="begin"/>
                          </w:r>
                          <w:r>
                            <w:instrText xml:space="preserve"> NUMPAGES  \* MERGEFORMAT </w:instrText>
                          </w:r>
                          <w:r>
                            <w:fldChar w:fldCharType="separate"/>
                          </w:r>
                          <w:r>
                            <w:t>185</w:t>
                          </w:r>
                          <w:r>
                            <w:fldChar w:fldCharType="end"/>
                          </w:r>
                          <w:r>
                            <w:rPr>
                              <w:rFonts w:hint="eastAsia"/>
                            </w:rPr>
                            <w:t xml:space="preserve"> 页</w:t>
                          </w:r>
                        </w:p>
                      </w:txbxContent>
                    </wps:txbx>
                    <wps:bodyPr lIns="0" tIns="0" rIns="0" bIns="0" upright="1">
                      <a:spAutoFit/>
                    </wps:bodyPr>
                  </wps:wsp>
                </a:graphicData>
              </a:graphic>
            </wp:anchor>
          </w:drawing>
        </mc:Choice>
        <mc:Fallback>
          <w:pict>
            <v:shape id="文本框 1025" o:spid="_x0000_s1026" o:spt="202" type="#_x0000_t202" style="position:absolute;left:0pt;margin-top:0pt;height:144pt;width:90.6pt;mso-position-horizontal:center;mso-position-horizontal-relative:margin;z-index:251660288;mso-width-relative:page;mso-height-relative:page;" filled="f" stroked="f" coordsize="21600,21600" o:gfxdata="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EYIEizSAAAABQEAAA8AAAAAAAAAAQAgAAAAIgAAAGRycy9kb3ducmV2&#10;LnhtbFBLAQIUABQAAAAIAIdO4kB4R5WwyQEAAJADAAAOAAAAAAAAAAEAIAAAACEBAABkcnMvZTJv&#10;RG9jLnhtbFBLBQYAAAAABgAGAFkBAABcBQAAAAA=&#10;">
              <v:fill on="f" focussize="0,0"/>
              <v:stroke on="f"/>
              <v:imagedata o:title=""/>
              <o:lock v:ext="edit" aspectratio="f"/>
              <v:textbox inset="0mm,0mm,0mm,0mm" style="mso-fit-shape-to-text:t;">
                <w:txbxContent>
                  <w:p w14:paraId="2BD6CDD4">
                    <w:pPr>
                      <w:pStyle w:val="17"/>
                      <w:jc w:val="center"/>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t>2</w:t>
                    </w:r>
                    <w:r>
                      <w:rPr>
                        <w:rFonts w:hint="eastAsia"/>
                      </w:rPr>
                      <w:fldChar w:fldCharType="end"/>
                    </w:r>
                    <w:r>
                      <w:rPr>
                        <w:rFonts w:hint="eastAsia"/>
                      </w:rPr>
                      <w:t xml:space="preserve"> 页 共 </w:t>
                    </w:r>
                    <w:r>
                      <w:fldChar w:fldCharType="begin"/>
                    </w:r>
                    <w:r>
                      <w:instrText xml:space="preserve"> NUMPAGES  \* MERGEFORMAT </w:instrText>
                    </w:r>
                    <w:r>
                      <w:fldChar w:fldCharType="separate"/>
                    </w:r>
                    <w:r>
                      <w:t>185</w:t>
                    </w:r>
                    <w:r>
                      <w:fldChar w:fldCharType="end"/>
                    </w:r>
                    <w:r>
                      <w:rPr>
                        <w:rFonts w:hint="eastAsia"/>
                      </w:rPr>
                      <w:t xml:space="preserve"> 页</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188D40">
    <w:pPr>
      <w:pStyle w:val="1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DEC1E9">
    <w:pPr>
      <w:pStyle w:val="1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167AC4">
    <w:pPr>
      <w:pStyle w:val="18"/>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7594FA">
    <w:pPr>
      <w:pStyle w:val="18"/>
      <w:jc w:val="lef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E5407E8">
    <w:pPr>
      <w:pStyle w:val="1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9555E15"/>
    <w:multiLevelType w:val="singleLevel"/>
    <w:tmpl w:val="C9555E15"/>
    <w:lvl w:ilvl="0" w:tentative="0">
      <w:start w:val="1"/>
      <w:numFmt w:val="decimal"/>
      <w:lvlText w:val="(%1)"/>
      <w:lvlJc w:val="left"/>
      <w:pPr>
        <w:ind w:left="425" w:hanging="425"/>
      </w:pPr>
      <w:rPr>
        <w:rFonts w:hint="default"/>
      </w:rPr>
    </w:lvl>
  </w:abstractNum>
  <w:abstractNum w:abstractNumId="1">
    <w:nsid w:val="CFF174A5"/>
    <w:multiLevelType w:val="singleLevel"/>
    <w:tmpl w:val="CFF174A5"/>
    <w:lvl w:ilvl="0" w:tentative="0">
      <w:start w:val="1"/>
      <w:numFmt w:val="decimal"/>
      <w:suff w:val="nothing"/>
      <w:lvlText w:val="%1、"/>
      <w:lvlJc w:val="left"/>
    </w:lvl>
  </w:abstractNum>
  <w:abstractNum w:abstractNumId="2">
    <w:nsid w:val="E5F531A8"/>
    <w:multiLevelType w:val="singleLevel"/>
    <w:tmpl w:val="E5F531A8"/>
    <w:lvl w:ilvl="0" w:tentative="0">
      <w:start w:val="1"/>
      <w:numFmt w:val="decimal"/>
      <w:suff w:val="nothing"/>
      <w:lvlText w:val="%1、"/>
      <w:lvlJc w:val="left"/>
    </w:lvl>
  </w:abstractNum>
  <w:abstractNum w:abstractNumId="3">
    <w:nsid w:val="00000005"/>
    <w:multiLevelType w:val="multilevel"/>
    <w:tmpl w:val="00000005"/>
    <w:lvl w:ilvl="0" w:tentative="0">
      <w:start w:val="1"/>
      <w:numFmt w:val="decimal"/>
      <w:lvlText w:val="%1."/>
      <w:lvlJc w:val="left"/>
      <w:pPr>
        <w:tabs>
          <w:tab w:val="left" w:pos="0"/>
        </w:tabs>
        <w:ind w:left="0" w:firstLine="420"/>
      </w:pPr>
      <w:rPr>
        <w:rFonts w:hint="default"/>
        <w:color w:val="auto"/>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4">
    <w:nsid w:val="13387DFE"/>
    <w:multiLevelType w:val="multilevel"/>
    <w:tmpl w:val="13387DFE"/>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1.%2."/>
      <w:lvlJc w:val="left"/>
      <w:pPr>
        <w:tabs>
          <w:tab w:val="left" w:pos="567"/>
        </w:tabs>
        <w:ind w:left="567" w:hanging="567"/>
      </w:pPr>
      <w:rPr>
        <w:rFonts w:hint="eastAsia" w:ascii="宋体" w:hAnsi="宋体" w:eastAsia="宋体"/>
        <w:color w:val="auto"/>
      </w:rPr>
    </w:lvl>
    <w:lvl w:ilvl="2" w:tentative="0">
      <w:start w:val="1"/>
      <w:numFmt w:val="decimal"/>
      <w:lvlText w:val="%1.%2.%3."/>
      <w:lvlJc w:val="left"/>
      <w:pPr>
        <w:tabs>
          <w:tab w:val="left" w:pos="794"/>
        </w:tabs>
        <w:ind w:left="794" w:hanging="794"/>
      </w:pPr>
      <w:rPr>
        <w:rFonts w:hint="eastAsia" w:ascii="宋体" w:hAnsi="宋体" w:eastAsia="宋体"/>
      </w:rPr>
    </w:lvl>
    <w:lvl w:ilvl="3" w:tentative="0">
      <w:start w:val="1"/>
      <w:numFmt w:val="decimal"/>
      <w:lvlText w:val="%1.%2.%3.%4."/>
      <w:lvlJc w:val="left"/>
      <w:pPr>
        <w:tabs>
          <w:tab w:val="left" w:pos="454"/>
        </w:tabs>
        <w:ind w:left="1021" w:hanging="1021"/>
      </w:pPr>
      <w:rPr>
        <w:rFonts w:hint="eastAsia" w:ascii="宋体" w:hAnsi="宋体" w:eastAsia="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5">
    <w:nsid w:val="27F49B4B"/>
    <w:multiLevelType w:val="multilevel"/>
    <w:tmpl w:val="27F49B4B"/>
    <w:lvl w:ilvl="0" w:tentative="0">
      <w:start w:val="1"/>
      <w:numFmt w:val="decimal"/>
      <w:lvlText w:val="%1."/>
      <w:lvlJc w:val="left"/>
      <w:pPr>
        <w:ind w:left="425" w:hanging="425"/>
      </w:pPr>
      <w:rPr>
        <w:rFonts w:hint="default"/>
      </w:rPr>
    </w:lvl>
    <w:lvl w:ilvl="1" w:tentative="0">
      <w:start w:val="1"/>
      <w:numFmt w:val="decimal"/>
      <w:lvlText w:val="%1.%2."/>
      <w:lvlJc w:val="left"/>
      <w:pPr>
        <w:ind w:left="567" w:hanging="567"/>
      </w:pPr>
      <w:rPr>
        <w:rFonts w:hint="default"/>
      </w:rPr>
    </w:lvl>
    <w:lvl w:ilvl="2" w:tentative="0">
      <w:start w:val="1"/>
      <w:numFmt w:val="decimal"/>
      <w:lvlText w:val="%1.%2.%3."/>
      <w:lvlJc w:val="left"/>
      <w:pPr>
        <w:ind w:left="566" w:hanging="566"/>
      </w:pPr>
      <w:rPr>
        <w:rFonts w:hint="default"/>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abstractNum w:abstractNumId="6">
    <w:nsid w:val="3F88662E"/>
    <w:multiLevelType w:val="singleLevel"/>
    <w:tmpl w:val="3F88662E"/>
    <w:lvl w:ilvl="0" w:tentative="0">
      <w:start w:val="1"/>
      <w:numFmt w:val="decimal"/>
      <w:suff w:val="space"/>
      <w:lvlText w:val="%1)"/>
      <w:lvlJc w:val="left"/>
    </w:lvl>
  </w:abstractNum>
  <w:abstractNum w:abstractNumId="7">
    <w:nsid w:val="43C09802"/>
    <w:multiLevelType w:val="singleLevel"/>
    <w:tmpl w:val="43C09802"/>
    <w:lvl w:ilvl="0" w:tentative="0">
      <w:start w:val="1"/>
      <w:numFmt w:val="decimal"/>
      <w:suff w:val="nothing"/>
      <w:lvlText w:val="%1、"/>
      <w:lvlJc w:val="left"/>
    </w:lvl>
  </w:abstractNum>
  <w:abstractNum w:abstractNumId="8">
    <w:nsid w:val="45515F79"/>
    <w:multiLevelType w:val="singleLevel"/>
    <w:tmpl w:val="45515F79"/>
    <w:lvl w:ilvl="0" w:tentative="0">
      <w:start w:val="1"/>
      <w:numFmt w:val="decimal"/>
      <w:suff w:val="nothing"/>
      <w:lvlText w:val="%1、"/>
      <w:lvlJc w:val="left"/>
    </w:lvl>
  </w:abstractNum>
  <w:abstractNum w:abstractNumId="9">
    <w:nsid w:val="580745EB"/>
    <w:multiLevelType w:val="multilevel"/>
    <w:tmpl w:val="580745EB"/>
    <w:lvl w:ilvl="0" w:tentative="0">
      <w:start w:val="1"/>
      <w:numFmt w:val="japaneseCounting"/>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0">
    <w:nsid w:val="59C5D728"/>
    <w:multiLevelType w:val="singleLevel"/>
    <w:tmpl w:val="59C5D728"/>
    <w:lvl w:ilvl="0" w:tentative="0">
      <w:start w:val="1"/>
      <w:numFmt w:val="chineseCounting"/>
      <w:suff w:val="nothing"/>
      <w:lvlText w:val="%1、"/>
      <w:lvlJc w:val="left"/>
      <w:pPr>
        <w:ind w:left="0" w:firstLine="420"/>
      </w:pPr>
      <w:rPr>
        <w:rFonts w:hint="eastAsia"/>
      </w:rPr>
    </w:lvl>
  </w:abstractNum>
  <w:abstractNum w:abstractNumId="11">
    <w:nsid w:val="5D1539A1"/>
    <w:multiLevelType w:val="multilevel"/>
    <w:tmpl w:val="5D1539A1"/>
    <w:lvl w:ilvl="0" w:tentative="0">
      <w:start w:val="1"/>
      <w:numFmt w:val="decimal"/>
      <w:lvlText w:val="（%1）"/>
      <w:lvlJc w:val="left"/>
      <w:pPr>
        <w:ind w:left="1287" w:hanging="720"/>
      </w:pPr>
      <w:rPr>
        <w:rFonts w:hint="default"/>
      </w:rPr>
    </w:lvl>
    <w:lvl w:ilvl="1" w:tentative="0">
      <w:start w:val="1"/>
      <w:numFmt w:val="lowerLetter"/>
      <w:lvlText w:val="%2)"/>
      <w:lvlJc w:val="left"/>
      <w:pPr>
        <w:ind w:left="1407" w:hanging="420"/>
      </w:pPr>
    </w:lvl>
    <w:lvl w:ilvl="2" w:tentative="0">
      <w:start w:val="1"/>
      <w:numFmt w:val="lowerRoman"/>
      <w:lvlText w:val="%3."/>
      <w:lvlJc w:val="right"/>
      <w:pPr>
        <w:ind w:left="1827" w:hanging="420"/>
      </w:pPr>
    </w:lvl>
    <w:lvl w:ilvl="3" w:tentative="0">
      <w:start w:val="1"/>
      <w:numFmt w:val="decimal"/>
      <w:lvlText w:val="%4."/>
      <w:lvlJc w:val="left"/>
      <w:pPr>
        <w:ind w:left="2247" w:hanging="420"/>
      </w:pPr>
    </w:lvl>
    <w:lvl w:ilvl="4" w:tentative="0">
      <w:start w:val="1"/>
      <w:numFmt w:val="lowerLetter"/>
      <w:lvlText w:val="%5)"/>
      <w:lvlJc w:val="left"/>
      <w:pPr>
        <w:ind w:left="2667" w:hanging="420"/>
      </w:pPr>
    </w:lvl>
    <w:lvl w:ilvl="5" w:tentative="0">
      <w:start w:val="1"/>
      <w:numFmt w:val="lowerRoman"/>
      <w:lvlText w:val="%6."/>
      <w:lvlJc w:val="right"/>
      <w:pPr>
        <w:ind w:left="3087" w:hanging="420"/>
      </w:pPr>
    </w:lvl>
    <w:lvl w:ilvl="6" w:tentative="0">
      <w:start w:val="1"/>
      <w:numFmt w:val="decimal"/>
      <w:lvlText w:val="%7."/>
      <w:lvlJc w:val="left"/>
      <w:pPr>
        <w:ind w:left="3507" w:hanging="420"/>
      </w:pPr>
    </w:lvl>
    <w:lvl w:ilvl="7" w:tentative="0">
      <w:start w:val="1"/>
      <w:numFmt w:val="lowerLetter"/>
      <w:lvlText w:val="%8)"/>
      <w:lvlJc w:val="left"/>
      <w:pPr>
        <w:ind w:left="3927" w:hanging="420"/>
      </w:pPr>
    </w:lvl>
    <w:lvl w:ilvl="8" w:tentative="0">
      <w:start w:val="1"/>
      <w:numFmt w:val="lowerRoman"/>
      <w:lvlText w:val="%9."/>
      <w:lvlJc w:val="right"/>
      <w:pPr>
        <w:ind w:left="4347" w:hanging="420"/>
      </w:pPr>
    </w:lvl>
  </w:abstractNum>
  <w:num w:numId="1">
    <w:abstractNumId w:val="7"/>
  </w:num>
  <w:num w:numId="2">
    <w:abstractNumId w:val="8"/>
  </w:num>
  <w:num w:numId="3">
    <w:abstractNumId w:val="9"/>
  </w:num>
  <w:num w:numId="4">
    <w:abstractNumId w:val="5"/>
  </w:num>
  <w:num w:numId="5">
    <w:abstractNumId w:val="11"/>
  </w:num>
  <w:num w:numId="6">
    <w:abstractNumId w:val="6"/>
  </w:num>
  <w:num w:numId="7">
    <w:abstractNumId w:val="0"/>
  </w:num>
  <w:num w:numId="8">
    <w:abstractNumId w:val="4"/>
  </w:num>
  <w:num w:numId="9">
    <w:abstractNumId w:val="2"/>
  </w:num>
  <w:num w:numId="10">
    <w:abstractNumId w:val="1"/>
  </w:num>
  <w:num w:numId="11">
    <w:abstractNumId w:val="3"/>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3"/>
  <w:bordersDoNotSurroundHeader w:val="0"/>
  <w:bordersDoNotSurroundFooter w:val="0"/>
  <w:hideSpellingErrors/>
  <w:documentProtection w:enforcement="0"/>
  <w:defaultTabStop w:val="720"/>
  <w:drawingGridHorizontalSpacing w:val="110"/>
  <w:displayHorizontalDrawingGridEvery w:val="1"/>
  <w:displayVerticalDrawingGridEvery w:val="1"/>
  <w:noPunctuationKerning w:val="1"/>
  <w:characterSpacingControl w:val="doNotCompress"/>
  <w:footnotePr>
    <w:footnote w:id="0"/>
    <w:footnote w:id="1"/>
  </w:footnotePr>
  <w:endnotePr>
    <w:endnote w:id="0"/>
    <w:endnote w:id="1"/>
  </w:endnotePr>
  <w:compat>
    <w:balanceSingleByteDoubleByteWidth/>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GI2OWZjMzFhMTkyMDAyODA3ZTFjMTFjMjllMjRlNjUifQ=="/>
  </w:docVars>
  <w:rsids>
    <w:rsidRoot w:val="00172A27"/>
    <w:rsid w:val="00005A66"/>
    <w:rsid w:val="00006462"/>
    <w:rsid w:val="000300E4"/>
    <w:rsid w:val="0003307E"/>
    <w:rsid w:val="000336BA"/>
    <w:rsid w:val="000359A1"/>
    <w:rsid w:val="0005185D"/>
    <w:rsid w:val="0007500F"/>
    <w:rsid w:val="0008282E"/>
    <w:rsid w:val="00084F6D"/>
    <w:rsid w:val="00093A13"/>
    <w:rsid w:val="000A363F"/>
    <w:rsid w:val="000A42A8"/>
    <w:rsid w:val="000A5063"/>
    <w:rsid w:val="000A5DBD"/>
    <w:rsid w:val="000C4524"/>
    <w:rsid w:val="000D44A6"/>
    <w:rsid w:val="000E2CB7"/>
    <w:rsid w:val="000F0E98"/>
    <w:rsid w:val="000F1444"/>
    <w:rsid w:val="001049A5"/>
    <w:rsid w:val="001120E0"/>
    <w:rsid w:val="00121ADA"/>
    <w:rsid w:val="001242F3"/>
    <w:rsid w:val="001332BB"/>
    <w:rsid w:val="00134CAD"/>
    <w:rsid w:val="001368B7"/>
    <w:rsid w:val="0013730B"/>
    <w:rsid w:val="00137853"/>
    <w:rsid w:val="00137E1C"/>
    <w:rsid w:val="00147012"/>
    <w:rsid w:val="00172A27"/>
    <w:rsid w:val="00173126"/>
    <w:rsid w:val="00173905"/>
    <w:rsid w:val="00173E04"/>
    <w:rsid w:val="00175D29"/>
    <w:rsid w:val="001833A1"/>
    <w:rsid w:val="001844F4"/>
    <w:rsid w:val="00185039"/>
    <w:rsid w:val="001852D7"/>
    <w:rsid w:val="001A06D8"/>
    <w:rsid w:val="001A2D42"/>
    <w:rsid w:val="001A2EF7"/>
    <w:rsid w:val="001B1F14"/>
    <w:rsid w:val="001B41CF"/>
    <w:rsid w:val="001B5860"/>
    <w:rsid w:val="001C1135"/>
    <w:rsid w:val="001C15AE"/>
    <w:rsid w:val="001C4661"/>
    <w:rsid w:val="001C5689"/>
    <w:rsid w:val="001C6E4B"/>
    <w:rsid w:val="001F0070"/>
    <w:rsid w:val="001F4B02"/>
    <w:rsid w:val="001F6BC7"/>
    <w:rsid w:val="002065A7"/>
    <w:rsid w:val="0021149E"/>
    <w:rsid w:val="00213021"/>
    <w:rsid w:val="00216BE9"/>
    <w:rsid w:val="00221E7A"/>
    <w:rsid w:val="0022503E"/>
    <w:rsid w:val="00225BB4"/>
    <w:rsid w:val="00226313"/>
    <w:rsid w:val="002373BB"/>
    <w:rsid w:val="00240F5F"/>
    <w:rsid w:val="00247224"/>
    <w:rsid w:val="00247AE0"/>
    <w:rsid w:val="00260AC1"/>
    <w:rsid w:val="0026312D"/>
    <w:rsid w:val="0027078E"/>
    <w:rsid w:val="0028395F"/>
    <w:rsid w:val="00284156"/>
    <w:rsid w:val="00285643"/>
    <w:rsid w:val="002867A1"/>
    <w:rsid w:val="002901F8"/>
    <w:rsid w:val="002920A4"/>
    <w:rsid w:val="002B4087"/>
    <w:rsid w:val="002B5F6C"/>
    <w:rsid w:val="002C6C78"/>
    <w:rsid w:val="002D1594"/>
    <w:rsid w:val="002D3F9C"/>
    <w:rsid w:val="002D503C"/>
    <w:rsid w:val="002D7E27"/>
    <w:rsid w:val="002E17E5"/>
    <w:rsid w:val="002E6B7E"/>
    <w:rsid w:val="002F0FC9"/>
    <w:rsid w:val="0030669E"/>
    <w:rsid w:val="003101A3"/>
    <w:rsid w:val="00320CEA"/>
    <w:rsid w:val="00323B43"/>
    <w:rsid w:val="00326831"/>
    <w:rsid w:val="003274CE"/>
    <w:rsid w:val="003361E9"/>
    <w:rsid w:val="003430F6"/>
    <w:rsid w:val="00353842"/>
    <w:rsid w:val="0035595E"/>
    <w:rsid w:val="00381C26"/>
    <w:rsid w:val="0038564C"/>
    <w:rsid w:val="00387CE4"/>
    <w:rsid w:val="00393B1D"/>
    <w:rsid w:val="003A1D97"/>
    <w:rsid w:val="003C18EB"/>
    <w:rsid w:val="003C1E4E"/>
    <w:rsid w:val="003C32D3"/>
    <w:rsid w:val="003C3B19"/>
    <w:rsid w:val="003C412B"/>
    <w:rsid w:val="003C415C"/>
    <w:rsid w:val="003D36FB"/>
    <w:rsid w:val="003D37D8"/>
    <w:rsid w:val="003E0802"/>
    <w:rsid w:val="003E18E7"/>
    <w:rsid w:val="003E2B8C"/>
    <w:rsid w:val="003F46B4"/>
    <w:rsid w:val="003F4822"/>
    <w:rsid w:val="00401C64"/>
    <w:rsid w:val="00401CC0"/>
    <w:rsid w:val="00410AB5"/>
    <w:rsid w:val="00410F11"/>
    <w:rsid w:val="00411067"/>
    <w:rsid w:val="004203B9"/>
    <w:rsid w:val="004322A2"/>
    <w:rsid w:val="004358AB"/>
    <w:rsid w:val="00451EB4"/>
    <w:rsid w:val="00460B31"/>
    <w:rsid w:val="00462105"/>
    <w:rsid w:val="00475A80"/>
    <w:rsid w:val="00475BB4"/>
    <w:rsid w:val="00490B9E"/>
    <w:rsid w:val="00497577"/>
    <w:rsid w:val="004A05D7"/>
    <w:rsid w:val="004A2B28"/>
    <w:rsid w:val="004A69F1"/>
    <w:rsid w:val="004B3550"/>
    <w:rsid w:val="004B3F06"/>
    <w:rsid w:val="004C7FD6"/>
    <w:rsid w:val="004D08C0"/>
    <w:rsid w:val="004D1669"/>
    <w:rsid w:val="004D1736"/>
    <w:rsid w:val="004D51A2"/>
    <w:rsid w:val="004D5AFB"/>
    <w:rsid w:val="004E04FD"/>
    <w:rsid w:val="004F1BB7"/>
    <w:rsid w:val="0050759C"/>
    <w:rsid w:val="00510827"/>
    <w:rsid w:val="005267F1"/>
    <w:rsid w:val="005269A9"/>
    <w:rsid w:val="00532034"/>
    <w:rsid w:val="00545D9A"/>
    <w:rsid w:val="00546A42"/>
    <w:rsid w:val="0055408D"/>
    <w:rsid w:val="0057492D"/>
    <w:rsid w:val="0058523E"/>
    <w:rsid w:val="00590819"/>
    <w:rsid w:val="00593D68"/>
    <w:rsid w:val="005A208B"/>
    <w:rsid w:val="005A555E"/>
    <w:rsid w:val="005A7612"/>
    <w:rsid w:val="005B58A6"/>
    <w:rsid w:val="005C57E1"/>
    <w:rsid w:val="005C702E"/>
    <w:rsid w:val="005D01B8"/>
    <w:rsid w:val="005D066B"/>
    <w:rsid w:val="005D2D85"/>
    <w:rsid w:val="005D52E7"/>
    <w:rsid w:val="005F021D"/>
    <w:rsid w:val="005F20A4"/>
    <w:rsid w:val="005F4EAE"/>
    <w:rsid w:val="005F573A"/>
    <w:rsid w:val="005F660B"/>
    <w:rsid w:val="005F7EB1"/>
    <w:rsid w:val="00604B81"/>
    <w:rsid w:val="0061246F"/>
    <w:rsid w:val="00613417"/>
    <w:rsid w:val="00613B25"/>
    <w:rsid w:val="0061545F"/>
    <w:rsid w:val="006175DE"/>
    <w:rsid w:val="006215AC"/>
    <w:rsid w:val="00621821"/>
    <w:rsid w:val="00622362"/>
    <w:rsid w:val="00622497"/>
    <w:rsid w:val="006276AD"/>
    <w:rsid w:val="006347A6"/>
    <w:rsid w:val="006378D4"/>
    <w:rsid w:val="00641E8C"/>
    <w:rsid w:val="0064416A"/>
    <w:rsid w:val="006476E3"/>
    <w:rsid w:val="00650DDC"/>
    <w:rsid w:val="00652983"/>
    <w:rsid w:val="0065365D"/>
    <w:rsid w:val="006546D0"/>
    <w:rsid w:val="006576FD"/>
    <w:rsid w:val="00664F6B"/>
    <w:rsid w:val="006731D2"/>
    <w:rsid w:val="00680EB0"/>
    <w:rsid w:val="00682986"/>
    <w:rsid w:val="00691701"/>
    <w:rsid w:val="00691AE0"/>
    <w:rsid w:val="0069491E"/>
    <w:rsid w:val="006B004E"/>
    <w:rsid w:val="006B3E6C"/>
    <w:rsid w:val="006B4832"/>
    <w:rsid w:val="006B7878"/>
    <w:rsid w:val="006C14BD"/>
    <w:rsid w:val="006C28E5"/>
    <w:rsid w:val="006C67A9"/>
    <w:rsid w:val="006D393E"/>
    <w:rsid w:val="006D43C5"/>
    <w:rsid w:val="006D4AD8"/>
    <w:rsid w:val="006E0B58"/>
    <w:rsid w:val="006E0C4B"/>
    <w:rsid w:val="00704F7B"/>
    <w:rsid w:val="007110BA"/>
    <w:rsid w:val="00711465"/>
    <w:rsid w:val="00716E96"/>
    <w:rsid w:val="00723B11"/>
    <w:rsid w:val="007343A7"/>
    <w:rsid w:val="00734BB2"/>
    <w:rsid w:val="00737823"/>
    <w:rsid w:val="0075028E"/>
    <w:rsid w:val="007528A6"/>
    <w:rsid w:val="007608B9"/>
    <w:rsid w:val="007724B4"/>
    <w:rsid w:val="0077462B"/>
    <w:rsid w:val="007902ED"/>
    <w:rsid w:val="007916E7"/>
    <w:rsid w:val="00797C5D"/>
    <w:rsid w:val="00797D2F"/>
    <w:rsid w:val="007A34B9"/>
    <w:rsid w:val="007A3EF1"/>
    <w:rsid w:val="007A4DB3"/>
    <w:rsid w:val="007A6F47"/>
    <w:rsid w:val="007A7779"/>
    <w:rsid w:val="007C4F46"/>
    <w:rsid w:val="007C7297"/>
    <w:rsid w:val="007D1B4F"/>
    <w:rsid w:val="007D2F9E"/>
    <w:rsid w:val="007D3175"/>
    <w:rsid w:val="007D48BF"/>
    <w:rsid w:val="007D5C45"/>
    <w:rsid w:val="007E2543"/>
    <w:rsid w:val="007E4A26"/>
    <w:rsid w:val="007E7A17"/>
    <w:rsid w:val="007F01B0"/>
    <w:rsid w:val="007F259D"/>
    <w:rsid w:val="007F2CD8"/>
    <w:rsid w:val="007F4DC5"/>
    <w:rsid w:val="00806380"/>
    <w:rsid w:val="0081104F"/>
    <w:rsid w:val="0081319A"/>
    <w:rsid w:val="00822299"/>
    <w:rsid w:val="0083486A"/>
    <w:rsid w:val="00837E35"/>
    <w:rsid w:val="00841378"/>
    <w:rsid w:val="00842B87"/>
    <w:rsid w:val="00845BEB"/>
    <w:rsid w:val="008472E6"/>
    <w:rsid w:val="008518B4"/>
    <w:rsid w:val="00853463"/>
    <w:rsid w:val="008548BD"/>
    <w:rsid w:val="0086026F"/>
    <w:rsid w:val="008640F5"/>
    <w:rsid w:val="0087704E"/>
    <w:rsid w:val="008907DA"/>
    <w:rsid w:val="008A0587"/>
    <w:rsid w:val="008A7273"/>
    <w:rsid w:val="008B55B9"/>
    <w:rsid w:val="008B7726"/>
    <w:rsid w:val="008C05BA"/>
    <w:rsid w:val="008D429E"/>
    <w:rsid w:val="008D5A10"/>
    <w:rsid w:val="008E319F"/>
    <w:rsid w:val="008E619C"/>
    <w:rsid w:val="008F6E0E"/>
    <w:rsid w:val="00906F49"/>
    <w:rsid w:val="00907417"/>
    <w:rsid w:val="00914604"/>
    <w:rsid w:val="00916A34"/>
    <w:rsid w:val="0092092D"/>
    <w:rsid w:val="00923533"/>
    <w:rsid w:val="00930A38"/>
    <w:rsid w:val="00934170"/>
    <w:rsid w:val="00942948"/>
    <w:rsid w:val="009474B5"/>
    <w:rsid w:val="00953E98"/>
    <w:rsid w:val="00960F22"/>
    <w:rsid w:val="00972D86"/>
    <w:rsid w:val="009736BF"/>
    <w:rsid w:val="0097392B"/>
    <w:rsid w:val="00976066"/>
    <w:rsid w:val="00980A66"/>
    <w:rsid w:val="009904F7"/>
    <w:rsid w:val="009910F6"/>
    <w:rsid w:val="009A07B1"/>
    <w:rsid w:val="009A6B4A"/>
    <w:rsid w:val="009A7058"/>
    <w:rsid w:val="009C19DE"/>
    <w:rsid w:val="009C23A6"/>
    <w:rsid w:val="009C5206"/>
    <w:rsid w:val="009C6AD9"/>
    <w:rsid w:val="009E398C"/>
    <w:rsid w:val="009E6F05"/>
    <w:rsid w:val="009F644E"/>
    <w:rsid w:val="009F6A05"/>
    <w:rsid w:val="00A01BE2"/>
    <w:rsid w:val="00A10906"/>
    <w:rsid w:val="00A12E66"/>
    <w:rsid w:val="00A13E78"/>
    <w:rsid w:val="00A14EEF"/>
    <w:rsid w:val="00A23304"/>
    <w:rsid w:val="00A275C2"/>
    <w:rsid w:val="00A3295D"/>
    <w:rsid w:val="00A4012F"/>
    <w:rsid w:val="00A4190E"/>
    <w:rsid w:val="00A42E91"/>
    <w:rsid w:val="00A50383"/>
    <w:rsid w:val="00A61230"/>
    <w:rsid w:val="00A668C8"/>
    <w:rsid w:val="00A74ED3"/>
    <w:rsid w:val="00A813C5"/>
    <w:rsid w:val="00A824E6"/>
    <w:rsid w:val="00A832CD"/>
    <w:rsid w:val="00A858DC"/>
    <w:rsid w:val="00A94D14"/>
    <w:rsid w:val="00AA0EAD"/>
    <w:rsid w:val="00AB19CE"/>
    <w:rsid w:val="00AB2133"/>
    <w:rsid w:val="00AB3969"/>
    <w:rsid w:val="00AC0E7A"/>
    <w:rsid w:val="00AC187B"/>
    <w:rsid w:val="00AE310E"/>
    <w:rsid w:val="00AE4FC5"/>
    <w:rsid w:val="00AF1B1B"/>
    <w:rsid w:val="00AF5F1F"/>
    <w:rsid w:val="00B027A4"/>
    <w:rsid w:val="00B04202"/>
    <w:rsid w:val="00B236B3"/>
    <w:rsid w:val="00B26806"/>
    <w:rsid w:val="00B31B24"/>
    <w:rsid w:val="00B4287F"/>
    <w:rsid w:val="00B4315F"/>
    <w:rsid w:val="00B43306"/>
    <w:rsid w:val="00B60DAB"/>
    <w:rsid w:val="00B61CB1"/>
    <w:rsid w:val="00B63189"/>
    <w:rsid w:val="00B67B5C"/>
    <w:rsid w:val="00B7194E"/>
    <w:rsid w:val="00B73575"/>
    <w:rsid w:val="00B7380A"/>
    <w:rsid w:val="00B763B0"/>
    <w:rsid w:val="00B91005"/>
    <w:rsid w:val="00B92951"/>
    <w:rsid w:val="00B93045"/>
    <w:rsid w:val="00B93169"/>
    <w:rsid w:val="00B950B6"/>
    <w:rsid w:val="00BA4130"/>
    <w:rsid w:val="00BB2CAF"/>
    <w:rsid w:val="00BB79B5"/>
    <w:rsid w:val="00BC3E74"/>
    <w:rsid w:val="00BD630F"/>
    <w:rsid w:val="00BD7C1B"/>
    <w:rsid w:val="00BE0825"/>
    <w:rsid w:val="00BE2EE6"/>
    <w:rsid w:val="00BF17FD"/>
    <w:rsid w:val="00BF2820"/>
    <w:rsid w:val="00BF41D4"/>
    <w:rsid w:val="00BF5AFB"/>
    <w:rsid w:val="00C16734"/>
    <w:rsid w:val="00C17B47"/>
    <w:rsid w:val="00C25C77"/>
    <w:rsid w:val="00C303E7"/>
    <w:rsid w:val="00C319C2"/>
    <w:rsid w:val="00C53CE5"/>
    <w:rsid w:val="00C612F8"/>
    <w:rsid w:val="00C62E44"/>
    <w:rsid w:val="00C63BD8"/>
    <w:rsid w:val="00C65954"/>
    <w:rsid w:val="00C7126B"/>
    <w:rsid w:val="00C72C24"/>
    <w:rsid w:val="00C73468"/>
    <w:rsid w:val="00C74986"/>
    <w:rsid w:val="00C80EC4"/>
    <w:rsid w:val="00C8568E"/>
    <w:rsid w:val="00CA32B5"/>
    <w:rsid w:val="00CB57AD"/>
    <w:rsid w:val="00CC009D"/>
    <w:rsid w:val="00CC584A"/>
    <w:rsid w:val="00CC5E4E"/>
    <w:rsid w:val="00CD0EAB"/>
    <w:rsid w:val="00CE2AF3"/>
    <w:rsid w:val="00CE621D"/>
    <w:rsid w:val="00CE66E8"/>
    <w:rsid w:val="00D05388"/>
    <w:rsid w:val="00D114CD"/>
    <w:rsid w:val="00D14476"/>
    <w:rsid w:val="00D232FF"/>
    <w:rsid w:val="00D279AA"/>
    <w:rsid w:val="00D31215"/>
    <w:rsid w:val="00D34544"/>
    <w:rsid w:val="00D34841"/>
    <w:rsid w:val="00D4444E"/>
    <w:rsid w:val="00D44A97"/>
    <w:rsid w:val="00D45C0C"/>
    <w:rsid w:val="00D508A5"/>
    <w:rsid w:val="00D5104B"/>
    <w:rsid w:val="00D555D8"/>
    <w:rsid w:val="00D60778"/>
    <w:rsid w:val="00D63EB2"/>
    <w:rsid w:val="00D64D28"/>
    <w:rsid w:val="00D6604D"/>
    <w:rsid w:val="00D677F1"/>
    <w:rsid w:val="00D74601"/>
    <w:rsid w:val="00D83E46"/>
    <w:rsid w:val="00D847B6"/>
    <w:rsid w:val="00D93958"/>
    <w:rsid w:val="00D951D3"/>
    <w:rsid w:val="00DA1DB9"/>
    <w:rsid w:val="00DA6169"/>
    <w:rsid w:val="00DA7B28"/>
    <w:rsid w:val="00DB5480"/>
    <w:rsid w:val="00DB6317"/>
    <w:rsid w:val="00DC2FC5"/>
    <w:rsid w:val="00DC5AD9"/>
    <w:rsid w:val="00DC691F"/>
    <w:rsid w:val="00DD02DE"/>
    <w:rsid w:val="00DD07B7"/>
    <w:rsid w:val="00DD113C"/>
    <w:rsid w:val="00DD324C"/>
    <w:rsid w:val="00DE0BEB"/>
    <w:rsid w:val="00DE4856"/>
    <w:rsid w:val="00DF485B"/>
    <w:rsid w:val="00E0295D"/>
    <w:rsid w:val="00E042BC"/>
    <w:rsid w:val="00E132FE"/>
    <w:rsid w:val="00E21B77"/>
    <w:rsid w:val="00E23352"/>
    <w:rsid w:val="00E40CAD"/>
    <w:rsid w:val="00E40DC7"/>
    <w:rsid w:val="00E4215F"/>
    <w:rsid w:val="00E61D2E"/>
    <w:rsid w:val="00E62B7F"/>
    <w:rsid w:val="00E7066D"/>
    <w:rsid w:val="00E726BC"/>
    <w:rsid w:val="00E72821"/>
    <w:rsid w:val="00E75C82"/>
    <w:rsid w:val="00E81DDC"/>
    <w:rsid w:val="00E81F67"/>
    <w:rsid w:val="00E83650"/>
    <w:rsid w:val="00E83A31"/>
    <w:rsid w:val="00E93BF5"/>
    <w:rsid w:val="00E97CC0"/>
    <w:rsid w:val="00EA22B8"/>
    <w:rsid w:val="00EA2524"/>
    <w:rsid w:val="00EA33E7"/>
    <w:rsid w:val="00EC092D"/>
    <w:rsid w:val="00EC0DF8"/>
    <w:rsid w:val="00EC7F91"/>
    <w:rsid w:val="00ED378B"/>
    <w:rsid w:val="00EE08F9"/>
    <w:rsid w:val="00EE70B3"/>
    <w:rsid w:val="00EF24AA"/>
    <w:rsid w:val="00EF728A"/>
    <w:rsid w:val="00EF7D0D"/>
    <w:rsid w:val="00F00FF7"/>
    <w:rsid w:val="00F02093"/>
    <w:rsid w:val="00F068E3"/>
    <w:rsid w:val="00F10B5F"/>
    <w:rsid w:val="00F218C1"/>
    <w:rsid w:val="00F321EB"/>
    <w:rsid w:val="00F32B00"/>
    <w:rsid w:val="00F346CF"/>
    <w:rsid w:val="00F3610C"/>
    <w:rsid w:val="00F36839"/>
    <w:rsid w:val="00F52A5F"/>
    <w:rsid w:val="00F55954"/>
    <w:rsid w:val="00F57308"/>
    <w:rsid w:val="00F61962"/>
    <w:rsid w:val="00F62865"/>
    <w:rsid w:val="00F64022"/>
    <w:rsid w:val="00F64660"/>
    <w:rsid w:val="00F74FF3"/>
    <w:rsid w:val="00F97062"/>
    <w:rsid w:val="00F9745D"/>
    <w:rsid w:val="00FA07A9"/>
    <w:rsid w:val="00FA54B2"/>
    <w:rsid w:val="00FC0FCB"/>
    <w:rsid w:val="00FC529F"/>
    <w:rsid w:val="00FC66E1"/>
    <w:rsid w:val="00FC7B53"/>
    <w:rsid w:val="00FD48CC"/>
    <w:rsid w:val="00FE62D1"/>
    <w:rsid w:val="00FE7B94"/>
    <w:rsid w:val="00FF0736"/>
    <w:rsid w:val="00FF2515"/>
    <w:rsid w:val="00FF26BF"/>
    <w:rsid w:val="013C51B0"/>
    <w:rsid w:val="01651C23"/>
    <w:rsid w:val="018023CE"/>
    <w:rsid w:val="01881AD6"/>
    <w:rsid w:val="019127B6"/>
    <w:rsid w:val="01B71A01"/>
    <w:rsid w:val="01DC03CE"/>
    <w:rsid w:val="01E36F4E"/>
    <w:rsid w:val="0208150E"/>
    <w:rsid w:val="02287D63"/>
    <w:rsid w:val="024179E7"/>
    <w:rsid w:val="0246437B"/>
    <w:rsid w:val="025F63E5"/>
    <w:rsid w:val="02985CD5"/>
    <w:rsid w:val="02A741FD"/>
    <w:rsid w:val="02C16E5D"/>
    <w:rsid w:val="02D964CF"/>
    <w:rsid w:val="02DE5ECF"/>
    <w:rsid w:val="03157D2F"/>
    <w:rsid w:val="032E6AB8"/>
    <w:rsid w:val="03707410"/>
    <w:rsid w:val="039170C0"/>
    <w:rsid w:val="039240A3"/>
    <w:rsid w:val="03A0770F"/>
    <w:rsid w:val="03A27726"/>
    <w:rsid w:val="03A448B8"/>
    <w:rsid w:val="03B34A78"/>
    <w:rsid w:val="03C01631"/>
    <w:rsid w:val="03C656A9"/>
    <w:rsid w:val="03F33148"/>
    <w:rsid w:val="04074764"/>
    <w:rsid w:val="042F3419"/>
    <w:rsid w:val="04491596"/>
    <w:rsid w:val="047B4012"/>
    <w:rsid w:val="04822497"/>
    <w:rsid w:val="04974587"/>
    <w:rsid w:val="049A0C65"/>
    <w:rsid w:val="04A07C4B"/>
    <w:rsid w:val="04DF1036"/>
    <w:rsid w:val="04E24985"/>
    <w:rsid w:val="050C01DF"/>
    <w:rsid w:val="05316537"/>
    <w:rsid w:val="053A5A77"/>
    <w:rsid w:val="0599183C"/>
    <w:rsid w:val="05A97DEC"/>
    <w:rsid w:val="05B23978"/>
    <w:rsid w:val="05C81981"/>
    <w:rsid w:val="05FC20B9"/>
    <w:rsid w:val="060043AE"/>
    <w:rsid w:val="060C3203"/>
    <w:rsid w:val="06281344"/>
    <w:rsid w:val="062D4EC8"/>
    <w:rsid w:val="069B4E4A"/>
    <w:rsid w:val="06A26008"/>
    <w:rsid w:val="06BC41F2"/>
    <w:rsid w:val="06F415CC"/>
    <w:rsid w:val="070E26CD"/>
    <w:rsid w:val="07197D08"/>
    <w:rsid w:val="071E5C55"/>
    <w:rsid w:val="075C1FE5"/>
    <w:rsid w:val="077005AB"/>
    <w:rsid w:val="078F4581"/>
    <w:rsid w:val="07A715F3"/>
    <w:rsid w:val="07BF027F"/>
    <w:rsid w:val="07F06C60"/>
    <w:rsid w:val="08031A31"/>
    <w:rsid w:val="080E2872"/>
    <w:rsid w:val="08420CAE"/>
    <w:rsid w:val="089A5AE8"/>
    <w:rsid w:val="08DC331B"/>
    <w:rsid w:val="09061A75"/>
    <w:rsid w:val="09182241"/>
    <w:rsid w:val="09325D4D"/>
    <w:rsid w:val="095F1030"/>
    <w:rsid w:val="09855177"/>
    <w:rsid w:val="09A17D47"/>
    <w:rsid w:val="09EE5125"/>
    <w:rsid w:val="0A3D7585"/>
    <w:rsid w:val="0A462748"/>
    <w:rsid w:val="0A4D0C81"/>
    <w:rsid w:val="0A723E95"/>
    <w:rsid w:val="0A733243"/>
    <w:rsid w:val="0AA534D5"/>
    <w:rsid w:val="0AA650EB"/>
    <w:rsid w:val="0AA7129C"/>
    <w:rsid w:val="0AF47339"/>
    <w:rsid w:val="0B121934"/>
    <w:rsid w:val="0B1F4D52"/>
    <w:rsid w:val="0B22594B"/>
    <w:rsid w:val="0B27506F"/>
    <w:rsid w:val="0B3061AD"/>
    <w:rsid w:val="0B9610F4"/>
    <w:rsid w:val="0BBF77A4"/>
    <w:rsid w:val="0BD16C8D"/>
    <w:rsid w:val="0BDF26F7"/>
    <w:rsid w:val="0C027DB2"/>
    <w:rsid w:val="0C2B4952"/>
    <w:rsid w:val="0C516C55"/>
    <w:rsid w:val="0C5D161C"/>
    <w:rsid w:val="0C7B2220"/>
    <w:rsid w:val="0CB67D83"/>
    <w:rsid w:val="0CCF79BE"/>
    <w:rsid w:val="0CD20599"/>
    <w:rsid w:val="0CE53018"/>
    <w:rsid w:val="0D0B5B12"/>
    <w:rsid w:val="0D133046"/>
    <w:rsid w:val="0D153F28"/>
    <w:rsid w:val="0D305390"/>
    <w:rsid w:val="0D3A0F98"/>
    <w:rsid w:val="0D5D37FD"/>
    <w:rsid w:val="0D6A4502"/>
    <w:rsid w:val="0D7415CA"/>
    <w:rsid w:val="0D890E47"/>
    <w:rsid w:val="0DC64A00"/>
    <w:rsid w:val="0DCF786E"/>
    <w:rsid w:val="0DEB5FFA"/>
    <w:rsid w:val="0DF75C46"/>
    <w:rsid w:val="0DFC60BA"/>
    <w:rsid w:val="0E045D30"/>
    <w:rsid w:val="0E1C06B2"/>
    <w:rsid w:val="0E35000C"/>
    <w:rsid w:val="0E69691B"/>
    <w:rsid w:val="0E7900C2"/>
    <w:rsid w:val="0EBB5484"/>
    <w:rsid w:val="0EBD5AA3"/>
    <w:rsid w:val="0F085784"/>
    <w:rsid w:val="0F5723EF"/>
    <w:rsid w:val="0F7C5FF6"/>
    <w:rsid w:val="0F9F36BB"/>
    <w:rsid w:val="0FC63FBD"/>
    <w:rsid w:val="0FDD003F"/>
    <w:rsid w:val="0FF63282"/>
    <w:rsid w:val="0FF87EA4"/>
    <w:rsid w:val="0FFF7484"/>
    <w:rsid w:val="10007DD4"/>
    <w:rsid w:val="100131FC"/>
    <w:rsid w:val="100B77ED"/>
    <w:rsid w:val="10305890"/>
    <w:rsid w:val="103D5A1A"/>
    <w:rsid w:val="106C564D"/>
    <w:rsid w:val="10767478"/>
    <w:rsid w:val="107B7B8F"/>
    <w:rsid w:val="107C67CE"/>
    <w:rsid w:val="10912D03"/>
    <w:rsid w:val="109D68CB"/>
    <w:rsid w:val="10A949B8"/>
    <w:rsid w:val="10CB4D26"/>
    <w:rsid w:val="11144AFE"/>
    <w:rsid w:val="11200D07"/>
    <w:rsid w:val="114E4E39"/>
    <w:rsid w:val="116A3F32"/>
    <w:rsid w:val="11786AB5"/>
    <w:rsid w:val="118049D4"/>
    <w:rsid w:val="118561F8"/>
    <w:rsid w:val="11914FAF"/>
    <w:rsid w:val="11A8021A"/>
    <w:rsid w:val="11B21219"/>
    <w:rsid w:val="11B4024C"/>
    <w:rsid w:val="11DA73AF"/>
    <w:rsid w:val="11FC1ECD"/>
    <w:rsid w:val="12457C5E"/>
    <w:rsid w:val="124D097B"/>
    <w:rsid w:val="12511265"/>
    <w:rsid w:val="126561B4"/>
    <w:rsid w:val="127A3FFC"/>
    <w:rsid w:val="127D0E25"/>
    <w:rsid w:val="127E0B34"/>
    <w:rsid w:val="1283614B"/>
    <w:rsid w:val="12856FF3"/>
    <w:rsid w:val="129671FB"/>
    <w:rsid w:val="12A576FF"/>
    <w:rsid w:val="12C60D80"/>
    <w:rsid w:val="130523B3"/>
    <w:rsid w:val="13097496"/>
    <w:rsid w:val="13154AD2"/>
    <w:rsid w:val="131F7A3A"/>
    <w:rsid w:val="132645D0"/>
    <w:rsid w:val="134312FF"/>
    <w:rsid w:val="13455ABC"/>
    <w:rsid w:val="1370322B"/>
    <w:rsid w:val="13A27B91"/>
    <w:rsid w:val="13BA0460"/>
    <w:rsid w:val="13BB41AE"/>
    <w:rsid w:val="13C24F9B"/>
    <w:rsid w:val="13C45A18"/>
    <w:rsid w:val="13C9247B"/>
    <w:rsid w:val="13C92A4D"/>
    <w:rsid w:val="13DE55D1"/>
    <w:rsid w:val="13E0285C"/>
    <w:rsid w:val="143B2E0B"/>
    <w:rsid w:val="147C1943"/>
    <w:rsid w:val="148054E9"/>
    <w:rsid w:val="14892735"/>
    <w:rsid w:val="14906D6C"/>
    <w:rsid w:val="14CC769D"/>
    <w:rsid w:val="14D764D5"/>
    <w:rsid w:val="14F43330"/>
    <w:rsid w:val="152509D7"/>
    <w:rsid w:val="15436F05"/>
    <w:rsid w:val="155541C5"/>
    <w:rsid w:val="15691FE3"/>
    <w:rsid w:val="158B5DDD"/>
    <w:rsid w:val="15A41986"/>
    <w:rsid w:val="15B11221"/>
    <w:rsid w:val="15C16EB3"/>
    <w:rsid w:val="15CB76C9"/>
    <w:rsid w:val="15D359D7"/>
    <w:rsid w:val="160E7A2C"/>
    <w:rsid w:val="16111028"/>
    <w:rsid w:val="161F7731"/>
    <w:rsid w:val="163C77BE"/>
    <w:rsid w:val="16573587"/>
    <w:rsid w:val="1679588C"/>
    <w:rsid w:val="168C2855"/>
    <w:rsid w:val="16903443"/>
    <w:rsid w:val="16994962"/>
    <w:rsid w:val="16A233CF"/>
    <w:rsid w:val="16A71041"/>
    <w:rsid w:val="16AA24BF"/>
    <w:rsid w:val="171D3FE1"/>
    <w:rsid w:val="1742794A"/>
    <w:rsid w:val="17680CAB"/>
    <w:rsid w:val="176E4128"/>
    <w:rsid w:val="1783371F"/>
    <w:rsid w:val="178D7563"/>
    <w:rsid w:val="17B61794"/>
    <w:rsid w:val="17C52CBF"/>
    <w:rsid w:val="17C93012"/>
    <w:rsid w:val="17E62B67"/>
    <w:rsid w:val="180F4499"/>
    <w:rsid w:val="182201B4"/>
    <w:rsid w:val="18221ECE"/>
    <w:rsid w:val="18303840"/>
    <w:rsid w:val="18324633"/>
    <w:rsid w:val="183C3D90"/>
    <w:rsid w:val="18504A07"/>
    <w:rsid w:val="185365A4"/>
    <w:rsid w:val="1859036F"/>
    <w:rsid w:val="18681814"/>
    <w:rsid w:val="18A81CCC"/>
    <w:rsid w:val="18B0649B"/>
    <w:rsid w:val="18C8297B"/>
    <w:rsid w:val="18D24A90"/>
    <w:rsid w:val="18D418FC"/>
    <w:rsid w:val="18FC7745"/>
    <w:rsid w:val="19027053"/>
    <w:rsid w:val="191677A6"/>
    <w:rsid w:val="19353F17"/>
    <w:rsid w:val="19DD405E"/>
    <w:rsid w:val="1A460CF5"/>
    <w:rsid w:val="1A7A6BB4"/>
    <w:rsid w:val="1A7F297D"/>
    <w:rsid w:val="1A8D231C"/>
    <w:rsid w:val="1A9B268C"/>
    <w:rsid w:val="1A9D6244"/>
    <w:rsid w:val="1AAF6004"/>
    <w:rsid w:val="1AB16AC1"/>
    <w:rsid w:val="1ABF1CEA"/>
    <w:rsid w:val="1B014DDE"/>
    <w:rsid w:val="1B0320FB"/>
    <w:rsid w:val="1B034A52"/>
    <w:rsid w:val="1B45344E"/>
    <w:rsid w:val="1B591D2B"/>
    <w:rsid w:val="1B5D76FB"/>
    <w:rsid w:val="1B683578"/>
    <w:rsid w:val="1B8C0040"/>
    <w:rsid w:val="1BBA4E52"/>
    <w:rsid w:val="1BD9519A"/>
    <w:rsid w:val="1BDE2F66"/>
    <w:rsid w:val="1C2A22B3"/>
    <w:rsid w:val="1C750ECE"/>
    <w:rsid w:val="1CA56AF4"/>
    <w:rsid w:val="1CE1575A"/>
    <w:rsid w:val="1D196139"/>
    <w:rsid w:val="1D2E2708"/>
    <w:rsid w:val="1D5E02D1"/>
    <w:rsid w:val="1D7B74A7"/>
    <w:rsid w:val="1D7F0ED0"/>
    <w:rsid w:val="1DA31EB7"/>
    <w:rsid w:val="1DA55D97"/>
    <w:rsid w:val="1DBB6100"/>
    <w:rsid w:val="1DBE6816"/>
    <w:rsid w:val="1DC67725"/>
    <w:rsid w:val="1DCB4FF1"/>
    <w:rsid w:val="1DDC11E4"/>
    <w:rsid w:val="1DF5452A"/>
    <w:rsid w:val="1DF7056A"/>
    <w:rsid w:val="1DF738E9"/>
    <w:rsid w:val="1E010AF7"/>
    <w:rsid w:val="1E1C405A"/>
    <w:rsid w:val="1E2E29E0"/>
    <w:rsid w:val="1E301173"/>
    <w:rsid w:val="1E884D18"/>
    <w:rsid w:val="1ED8781E"/>
    <w:rsid w:val="1EDD3235"/>
    <w:rsid w:val="1EE7283A"/>
    <w:rsid w:val="1F1102B0"/>
    <w:rsid w:val="1F2F1047"/>
    <w:rsid w:val="1F43381C"/>
    <w:rsid w:val="1F7D6A3D"/>
    <w:rsid w:val="1FA4148D"/>
    <w:rsid w:val="1FC10FAB"/>
    <w:rsid w:val="1FC65577"/>
    <w:rsid w:val="1FD82385"/>
    <w:rsid w:val="20121621"/>
    <w:rsid w:val="201636E2"/>
    <w:rsid w:val="202E3F6D"/>
    <w:rsid w:val="2032134B"/>
    <w:rsid w:val="20325F7E"/>
    <w:rsid w:val="20386C02"/>
    <w:rsid w:val="204778E7"/>
    <w:rsid w:val="204E554F"/>
    <w:rsid w:val="20546774"/>
    <w:rsid w:val="20590035"/>
    <w:rsid w:val="20851B47"/>
    <w:rsid w:val="209A2C3D"/>
    <w:rsid w:val="209A7911"/>
    <w:rsid w:val="20E5011E"/>
    <w:rsid w:val="20FC7430"/>
    <w:rsid w:val="20FC799E"/>
    <w:rsid w:val="21286DA7"/>
    <w:rsid w:val="2134683B"/>
    <w:rsid w:val="21C82E72"/>
    <w:rsid w:val="21DE0801"/>
    <w:rsid w:val="21DE339D"/>
    <w:rsid w:val="22154DDD"/>
    <w:rsid w:val="221D4DB5"/>
    <w:rsid w:val="22336873"/>
    <w:rsid w:val="22396826"/>
    <w:rsid w:val="225471A3"/>
    <w:rsid w:val="225E34DC"/>
    <w:rsid w:val="227D1295"/>
    <w:rsid w:val="22947F00"/>
    <w:rsid w:val="229B678A"/>
    <w:rsid w:val="22AB3B7D"/>
    <w:rsid w:val="22AF3A08"/>
    <w:rsid w:val="22F92F75"/>
    <w:rsid w:val="239634D6"/>
    <w:rsid w:val="23BB4E7D"/>
    <w:rsid w:val="23C172D6"/>
    <w:rsid w:val="23CB1286"/>
    <w:rsid w:val="23D77537"/>
    <w:rsid w:val="23E6195D"/>
    <w:rsid w:val="23F04F64"/>
    <w:rsid w:val="242654AA"/>
    <w:rsid w:val="24552F64"/>
    <w:rsid w:val="246C5900"/>
    <w:rsid w:val="24814CBE"/>
    <w:rsid w:val="24AC168B"/>
    <w:rsid w:val="24BB6664"/>
    <w:rsid w:val="24EC64CB"/>
    <w:rsid w:val="250B6301"/>
    <w:rsid w:val="250E1318"/>
    <w:rsid w:val="25103738"/>
    <w:rsid w:val="253F46D8"/>
    <w:rsid w:val="254D0389"/>
    <w:rsid w:val="25884C5D"/>
    <w:rsid w:val="258C3BEC"/>
    <w:rsid w:val="25A03144"/>
    <w:rsid w:val="25A87695"/>
    <w:rsid w:val="25B2479F"/>
    <w:rsid w:val="25C15C5D"/>
    <w:rsid w:val="25D329B9"/>
    <w:rsid w:val="25E5427A"/>
    <w:rsid w:val="26094761"/>
    <w:rsid w:val="26276A31"/>
    <w:rsid w:val="26366F9D"/>
    <w:rsid w:val="263B1230"/>
    <w:rsid w:val="2642752B"/>
    <w:rsid w:val="26485508"/>
    <w:rsid w:val="26554808"/>
    <w:rsid w:val="265E685B"/>
    <w:rsid w:val="26607D95"/>
    <w:rsid w:val="26700955"/>
    <w:rsid w:val="26A16AE9"/>
    <w:rsid w:val="26A605D9"/>
    <w:rsid w:val="26AD0500"/>
    <w:rsid w:val="26B121A3"/>
    <w:rsid w:val="26E464C3"/>
    <w:rsid w:val="272E3097"/>
    <w:rsid w:val="272E6F74"/>
    <w:rsid w:val="273B7A3B"/>
    <w:rsid w:val="275B47DA"/>
    <w:rsid w:val="277E6655"/>
    <w:rsid w:val="2780046C"/>
    <w:rsid w:val="27933DEA"/>
    <w:rsid w:val="27B36A67"/>
    <w:rsid w:val="27D9633F"/>
    <w:rsid w:val="280B2E27"/>
    <w:rsid w:val="281E404F"/>
    <w:rsid w:val="28302479"/>
    <w:rsid w:val="2846581F"/>
    <w:rsid w:val="284A5CA4"/>
    <w:rsid w:val="286550ED"/>
    <w:rsid w:val="286602C8"/>
    <w:rsid w:val="28665C95"/>
    <w:rsid w:val="28736F5F"/>
    <w:rsid w:val="28B01D1E"/>
    <w:rsid w:val="28C2628C"/>
    <w:rsid w:val="28CC3373"/>
    <w:rsid w:val="28F47F99"/>
    <w:rsid w:val="28F579BA"/>
    <w:rsid w:val="290B3EB9"/>
    <w:rsid w:val="292728C1"/>
    <w:rsid w:val="294E392A"/>
    <w:rsid w:val="2950768C"/>
    <w:rsid w:val="297A5FC4"/>
    <w:rsid w:val="29B51252"/>
    <w:rsid w:val="29E14657"/>
    <w:rsid w:val="29E474B8"/>
    <w:rsid w:val="29ED574B"/>
    <w:rsid w:val="29FA2D3E"/>
    <w:rsid w:val="29FE5CE6"/>
    <w:rsid w:val="2A743AE8"/>
    <w:rsid w:val="2A8D4F8F"/>
    <w:rsid w:val="2A917B34"/>
    <w:rsid w:val="2A9308A8"/>
    <w:rsid w:val="2A9F5AB8"/>
    <w:rsid w:val="2AB10C99"/>
    <w:rsid w:val="2AD74E8C"/>
    <w:rsid w:val="2AE3766F"/>
    <w:rsid w:val="2AEC612E"/>
    <w:rsid w:val="2B0268A7"/>
    <w:rsid w:val="2B060F9E"/>
    <w:rsid w:val="2B0E56AB"/>
    <w:rsid w:val="2B51141C"/>
    <w:rsid w:val="2B590601"/>
    <w:rsid w:val="2B710DB7"/>
    <w:rsid w:val="2B7408CF"/>
    <w:rsid w:val="2B7E4054"/>
    <w:rsid w:val="2BBA6A76"/>
    <w:rsid w:val="2BCC03D1"/>
    <w:rsid w:val="2BDF1FBA"/>
    <w:rsid w:val="2C0C6D59"/>
    <w:rsid w:val="2C5B0D4B"/>
    <w:rsid w:val="2C8903AA"/>
    <w:rsid w:val="2C987C56"/>
    <w:rsid w:val="2CA156F3"/>
    <w:rsid w:val="2CC11460"/>
    <w:rsid w:val="2CC15BAA"/>
    <w:rsid w:val="2CC72A61"/>
    <w:rsid w:val="2CDC3153"/>
    <w:rsid w:val="2CDF621C"/>
    <w:rsid w:val="2CE136D7"/>
    <w:rsid w:val="2CFE7A11"/>
    <w:rsid w:val="2CFF149A"/>
    <w:rsid w:val="2D201865"/>
    <w:rsid w:val="2D2B6EDE"/>
    <w:rsid w:val="2D4B5CEA"/>
    <w:rsid w:val="2D4C5B4C"/>
    <w:rsid w:val="2D542188"/>
    <w:rsid w:val="2D652658"/>
    <w:rsid w:val="2D964A56"/>
    <w:rsid w:val="2DC16E0A"/>
    <w:rsid w:val="2DC80C49"/>
    <w:rsid w:val="2DCA6355"/>
    <w:rsid w:val="2E030E17"/>
    <w:rsid w:val="2E14481A"/>
    <w:rsid w:val="2E166748"/>
    <w:rsid w:val="2E2054A0"/>
    <w:rsid w:val="2E482374"/>
    <w:rsid w:val="2E491580"/>
    <w:rsid w:val="2E556F01"/>
    <w:rsid w:val="2E8345A7"/>
    <w:rsid w:val="2E8E20B4"/>
    <w:rsid w:val="2EAA7BAE"/>
    <w:rsid w:val="2EC1207D"/>
    <w:rsid w:val="2ED06066"/>
    <w:rsid w:val="2ED1223D"/>
    <w:rsid w:val="2F000139"/>
    <w:rsid w:val="2F1B303D"/>
    <w:rsid w:val="2F3F11F4"/>
    <w:rsid w:val="2F5E0754"/>
    <w:rsid w:val="2F9B0EAA"/>
    <w:rsid w:val="2F9F42DC"/>
    <w:rsid w:val="2FBB4121"/>
    <w:rsid w:val="2FBC2844"/>
    <w:rsid w:val="2FBE3786"/>
    <w:rsid w:val="2FC32F68"/>
    <w:rsid w:val="2FD6418B"/>
    <w:rsid w:val="2FF37AB3"/>
    <w:rsid w:val="30210B8A"/>
    <w:rsid w:val="30224DC7"/>
    <w:rsid w:val="303B4C3F"/>
    <w:rsid w:val="3073310C"/>
    <w:rsid w:val="309D6BE6"/>
    <w:rsid w:val="30AA1790"/>
    <w:rsid w:val="30EE385E"/>
    <w:rsid w:val="30F85AFE"/>
    <w:rsid w:val="31031402"/>
    <w:rsid w:val="31170995"/>
    <w:rsid w:val="31264A30"/>
    <w:rsid w:val="312651F8"/>
    <w:rsid w:val="31280191"/>
    <w:rsid w:val="31564B2B"/>
    <w:rsid w:val="31862EE3"/>
    <w:rsid w:val="31884E67"/>
    <w:rsid w:val="31A0275E"/>
    <w:rsid w:val="31A67308"/>
    <w:rsid w:val="31B91526"/>
    <w:rsid w:val="31BA7402"/>
    <w:rsid w:val="31EF0041"/>
    <w:rsid w:val="320107F5"/>
    <w:rsid w:val="324175CB"/>
    <w:rsid w:val="326A0524"/>
    <w:rsid w:val="327B7EDF"/>
    <w:rsid w:val="32AB70C5"/>
    <w:rsid w:val="32EF2122"/>
    <w:rsid w:val="32F17F41"/>
    <w:rsid w:val="332038B4"/>
    <w:rsid w:val="33247607"/>
    <w:rsid w:val="333014B0"/>
    <w:rsid w:val="335D0AF5"/>
    <w:rsid w:val="336917EF"/>
    <w:rsid w:val="336B2EA4"/>
    <w:rsid w:val="336B3E67"/>
    <w:rsid w:val="3370088C"/>
    <w:rsid w:val="33872039"/>
    <w:rsid w:val="339A687B"/>
    <w:rsid w:val="33DC2F78"/>
    <w:rsid w:val="3428227C"/>
    <w:rsid w:val="343230D5"/>
    <w:rsid w:val="3439428E"/>
    <w:rsid w:val="34571EF7"/>
    <w:rsid w:val="347918A5"/>
    <w:rsid w:val="34802E4C"/>
    <w:rsid w:val="349D37D5"/>
    <w:rsid w:val="34A61BDE"/>
    <w:rsid w:val="34BB7B5F"/>
    <w:rsid w:val="3522586C"/>
    <w:rsid w:val="35572473"/>
    <w:rsid w:val="35602226"/>
    <w:rsid w:val="356B72E7"/>
    <w:rsid w:val="356D2AC8"/>
    <w:rsid w:val="3572424F"/>
    <w:rsid w:val="35734CF3"/>
    <w:rsid w:val="35866014"/>
    <w:rsid w:val="359E5CE0"/>
    <w:rsid w:val="35D275C3"/>
    <w:rsid w:val="35E50FBB"/>
    <w:rsid w:val="35EB111D"/>
    <w:rsid w:val="362B215D"/>
    <w:rsid w:val="366666CA"/>
    <w:rsid w:val="367070F4"/>
    <w:rsid w:val="367801A9"/>
    <w:rsid w:val="36807FCC"/>
    <w:rsid w:val="36AD519D"/>
    <w:rsid w:val="36B57705"/>
    <w:rsid w:val="36B93E53"/>
    <w:rsid w:val="36DC1DD3"/>
    <w:rsid w:val="36F3711D"/>
    <w:rsid w:val="36FC25DD"/>
    <w:rsid w:val="37090CD6"/>
    <w:rsid w:val="37122320"/>
    <w:rsid w:val="3754697A"/>
    <w:rsid w:val="37636A21"/>
    <w:rsid w:val="377C03A4"/>
    <w:rsid w:val="37A103ED"/>
    <w:rsid w:val="37A367C3"/>
    <w:rsid w:val="37BD33EE"/>
    <w:rsid w:val="37E02B23"/>
    <w:rsid w:val="37E345A6"/>
    <w:rsid w:val="37EA5E6E"/>
    <w:rsid w:val="37EC6A58"/>
    <w:rsid w:val="37FB2268"/>
    <w:rsid w:val="37FF016F"/>
    <w:rsid w:val="382A6E2D"/>
    <w:rsid w:val="386E4145"/>
    <w:rsid w:val="387C5ABE"/>
    <w:rsid w:val="38B66D0C"/>
    <w:rsid w:val="38D41643"/>
    <w:rsid w:val="38EB6119"/>
    <w:rsid w:val="39044996"/>
    <w:rsid w:val="392C6D9B"/>
    <w:rsid w:val="393B020C"/>
    <w:rsid w:val="39506E15"/>
    <w:rsid w:val="396678D9"/>
    <w:rsid w:val="39790BE6"/>
    <w:rsid w:val="397A0ADB"/>
    <w:rsid w:val="39844799"/>
    <w:rsid w:val="39954B2B"/>
    <w:rsid w:val="39DA2245"/>
    <w:rsid w:val="39E66E3B"/>
    <w:rsid w:val="39FD4CC2"/>
    <w:rsid w:val="3A51228C"/>
    <w:rsid w:val="3A545E48"/>
    <w:rsid w:val="3A552E60"/>
    <w:rsid w:val="3A5D642F"/>
    <w:rsid w:val="3A744447"/>
    <w:rsid w:val="3A78219D"/>
    <w:rsid w:val="3A995C5C"/>
    <w:rsid w:val="3AB210FC"/>
    <w:rsid w:val="3ADB7381"/>
    <w:rsid w:val="3AF04A37"/>
    <w:rsid w:val="3B043A1D"/>
    <w:rsid w:val="3B1E01C3"/>
    <w:rsid w:val="3B3E5B8A"/>
    <w:rsid w:val="3B793A48"/>
    <w:rsid w:val="3B7E3699"/>
    <w:rsid w:val="3B85393E"/>
    <w:rsid w:val="3BCA4B8A"/>
    <w:rsid w:val="3BCD72F7"/>
    <w:rsid w:val="3BFC2F5F"/>
    <w:rsid w:val="3C37146A"/>
    <w:rsid w:val="3C3D3625"/>
    <w:rsid w:val="3C414142"/>
    <w:rsid w:val="3C5B725E"/>
    <w:rsid w:val="3C84047F"/>
    <w:rsid w:val="3C88055A"/>
    <w:rsid w:val="3C9E57AB"/>
    <w:rsid w:val="3CAF79B9"/>
    <w:rsid w:val="3CB35097"/>
    <w:rsid w:val="3CD951D6"/>
    <w:rsid w:val="3CF737A2"/>
    <w:rsid w:val="3D10295A"/>
    <w:rsid w:val="3D184041"/>
    <w:rsid w:val="3D370C2A"/>
    <w:rsid w:val="3D414FC0"/>
    <w:rsid w:val="3D4F12A7"/>
    <w:rsid w:val="3D7B5F78"/>
    <w:rsid w:val="3D7D049C"/>
    <w:rsid w:val="3DE20EAE"/>
    <w:rsid w:val="3DEF3701"/>
    <w:rsid w:val="3E0572FD"/>
    <w:rsid w:val="3E0720FE"/>
    <w:rsid w:val="3E2819F6"/>
    <w:rsid w:val="3E287A22"/>
    <w:rsid w:val="3E5A7FE7"/>
    <w:rsid w:val="3E7D40EF"/>
    <w:rsid w:val="3E955A6A"/>
    <w:rsid w:val="3E964D81"/>
    <w:rsid w:val="3EF66B2E"/>
    <w:rsid w:val="3F217914"/>
    <w:rsid w:val="3FD10810"/>
    <w:rsid w:val="3FD70BB0"/>
    <w:rsid w:val="3FFB55AC"/>
    <w:rsid w:val="40017152"/>
    <w:rsid w:val="401C5F9D"/>
    <w:rsid w:val="401C690C"/>
    <w:rsid w:val="401D7195"/>
    <w:rsid w:val="405C1C05"/>
    <w:rsid w:val="407A652F"/>
    <w:rsid w:val="40825D97"/>
    <w:rsid w:val="40836C36"/>
    <w:rsid w:val="40870EA3"/>
    <w:rsid w:val="409928E7"/>
    <w:rsid w:val="40997CFE"/>
    <w:rsid w:val="40C34607"/>
    <w:rsid w:val="40CE3DC0"/>
    <w:rsid w:val="40D7455A"/>
    <w:rsid w:val="40E743E5"/>
    <w:rsid w:val="40EB4012"/>
    <w:rsid w:val="41075C9E"/>
    <w:rsid w:val="410A1661"/>
    <w:rsid w:val="412D5EA0"/>
    <w:rsid w:val="415A62F5"/>
    <w:rsid w:val="416D78C7"/>
    <w:rsid w:val="41734CBA"/>
    <w:rsid w:val="417F4E1A"/>
    <w:rsid w:val="418B0C8A"/>
    <w:rsid w:val="41A82190"/>
    <w:rsid w:val="41DE5999"/>
    <w:rsid w:val="41E1181A"/>
    <w:rsid w:val="41E32A20"/>
    <w:rsid w:val="41FA3241"/>
    <w:rsid w:val="420F7A65"/>
    <w:rsid w:val="4216611A"/>
    <w:rsid w:val="42321B6A"/>
    <w:rsid w:val="423E300F"/>
    <w:rsid w:val="425656C8"/>
    <w:rsid w:val="4257273C"/>
    <w:rsid w:val="42687ACE"/>
    <w:rsid w:val="4270145E"/>
    <w:rsid w:val="429E6041"/>
    <w:rsid w:val="42BF4B02"/>
    <w:rsid w:val="42DE6028"/>
    <w:rsid w:val="42FD694D"/>
    <w:rsid w:val="43034DFA"/>
    <w:rsid w:val="432F280D"/>
    <w:rsid w:val="437D6687"/>
    <w:rsid w:val="438351F5"/>
    <w:rsid w:val="438D35EA"/>
    <w:rsid w:val="43BC1E57"/>
    <w:rsid w:val="43D23F8D"/>
    <w:rsid w:val="43D43F1D"/>
    <w:rsid w:val="43FA5777"/>
    <w:rsid w:val="44023422"/>
    <w:rsid w:val="44184A2D"/>
    <w:rsid w:val="441C1611"/>
    <w:rsid w:val="443C440B"/>
    <w:rsid w:val="44514F52"/>
    <w:rsid w:val="44761C8F"/>
    <w:rsid w:val="449722E3"/>
    <w:rsid w:val="449D7B09"/>
    <w:rsid w:val="44AE3FD4"/>
    <w:rsid w:val="44D0586F"/>
    <w:rsid w:val="44FA2D53"/>
    <w:rsid w:val="453C4912"/>
    <w:rsid w:val="45687813"/>
    <w:rsid w:val="4571374F"/>
    <w:rsid w:val="458B1BB0"/>
    <w:rsid w:val="45A41560"/>
    <w:rsid w:val="45AD31D6"/>
    <w:rsid w:val="45B93426"/>
    <w:rsid w:val="45CF1361"/>
    <w:rsid w:val="46194474"/>
    <w:rsid w:val="464C6420"/>
    <w:rsid w:val="46552F9B"/>
    <w:rsid w:val="467A0297"/>
    <w:rsid w:val="468B7125"/>
    <w:rsid w:val="46B506EF"/>
    <w:rsid w:val="46C4691F"/>
    <w:rsid w:val="46CB53EF"/>
    <w:rsid w:val="46EE513F"/>
    <w:rsid w:val="470F5A71"/>
    <w:rsid w:val="473154FF"/>
    <w:rsid w:val="47607747"/>
    <w:rsid w:val="47685427"/>
    <w:rsid w:val="476C4065"/>
    <w:rsid w:val="4779499C"/>
    <w:rsid w:val="477B6530"/>
    <w:rsid w:val="47801172"/>
    <w:rsid w:val="479D1D34"/>
    <w:rsid w:val="47B609C0"/>
    <w:rsid w:val="47EC3B04"/>
    <w:rsid w:val="47EC6277"/>
    <w:rsid w:val="48021483"/>
    <w:rsid w:val="481A219B"/>
    <w:rsid w:val="482D31EA"/>
    <w:rsid w:val="48447D02"/>
    <w:rsid w:val="485970A0"/>
    <w:rsid w:val="486A6E89"/>
    <w:rsid w:val="48823516"/>
    <w:rsid w:val="48877686"/>
    <w:rsid w:val="488B498B"/>
    <w:rsid w:val="48B176C2"/>
    <w:rsid w:val="48B65C71"/>
    <w:rsid w:val="48D550F0"/>
    <w:rsid w:val="48FB1909"/>
    <w:rsid w:val="4901712A"/>
    <w:rsid w:val="491F266E"/>
    <w:rsid w:val="492E6A57"/>
    <w:rsid w:val="495839AA"/>
    <w:rsid w:val="49700A6F"/>
    <w:rsid w:val="49771AFE"/>
    <w:rsid w:val="49802948"/>
    <w:rsid w:val="4986089F"/>
    <w:rsid w:val="498B5309"/>
    <w:rsid w:val="499F0AAB"/>
    <w:rsid w:val="49C154CE"/>
    <w:rsid w:val="49C33FF5"/>
    <w:rsid w:val="49DB11EC"/>
    <w:rsid w:val="49E31DD1"/>
    <w:rsid w:val="4A0030EE"/>
    <w:rsid w:val="4A0568D6"/>
    <w:rsid w:val="4A0C4F3C"/>
    <w:rsid w:val="4A162478"/>
    <w:rsid w:val="4A171EC9"/>
    <w:rsid w:val="4A1A1689"/>
    <w:rsid w:val="4A484D41"/>
    <w:rsid w:val="4A6D15F8"/>
    <w:rsid w:val="4A7617B6"/>
    <w:rsid w:val="4A832DFA"/>
    <w:rsid w:val="4A8C4FB8"/>
    <w:rsid w:val="4A952D7F"/>
    <w:rsid w:val="4A9A25BD"/>
    <w:rsid w:val="4A9E0551"/>
    <w:rsid w:val="4AB542AE"/>
    <w:rsid w:val="4AF72FEA"/>
    <w:rsid w:val="4B1477B3"/>
    <w:rsid w:val="4B1F062C"/>
    <w:rsid w:val="4B243D9D"/>
    <w:rsid w:val="4B281425"/>
    <w:rsid w:val="4B6F66A1"/>
    <w:rsid w:val="4B85213F"/>
    <w:rsid w:val="4B8C2DEB"/>
    <w:rsid w:val="4BFA3C9F"/>
    <w:rsid w:val="4BFA7F6C"/>
    <w:rsid w:val="4C107F48"/>
    <w:rsid w:val="4C3117D0"/>
    <w:rsid w:val="4C3277BC"/>
    <w:rsid w:val="4C5C442D"/>
    <w:rsid w:val="4C6D42A9"/>
    <w:rsid w:val="4C716A38"/>
    <w:rsid w:val="4CC0351C"/>
    <w:rsid w:val="4CC353EB"/>
    <w:rsid w:val="4CE64E14"/>
    <w:rsid w:val="4CE95EE5"/>
    <w:rsid w:val="4CF36F3C"/>
    <w:rsid w:val="4D007BC8"/>
    <w:rsid w:val="4D0602E5"/>
    <w:rsid w:val="4D1470BD"/>
    <w:rsid w:val="4D154882"/>
    <w:rsid w:val="4D1C3C50"/>
    <w:rsid w:val="4D603399"/>
    <w:rsid w:val="4D6A7284"/>
    <w:rsid w:val="4D6E30E1"/>
    <w:rsid w:val="4D867EE1"/>
    <w:rsid w:val="4DBC4C65"/>
    <w:rsid w:val="4DC9105D"/>
    <w:rsid w:val="4DE2009B"/>
    <w:rsid w:val="4DF86974"/>
    <w:rsid w:val="4E0F235E"/>
    <w:rsid w:val="4E157689"/>
    <w:rsid w:val="4E2C6A27"/>
    <w:rsid w:val="4E471216"/>
    <w:rsid w:val="4E533FA5"/>
    <w:rsid w:val="4E550010"/>
    <w:rsid w:val="4E5F14CB"/>
    <w:rsid w:val="4E6808B0"/>
    <w:rsid w:val="4E780BC4"/>
    <w:rsid w:val="4EAC21FE"/>
    <w:rsid w:val="4EBA42F2"/>
    <w:rsid w:val="4EC00DDD"/>
    <w:rsid w:val="4ED908C5"/>
    <w:rsid w:val="4EF265BE"/>
    <w:rsid w:val="4EFB1C45"/>
    <w:rsid w:val="4F0C2A48"/>
    <w:rsid w:val="4F26273B"/>
    <w:rsid w:val="4F2D3A8A"/>
    <w:rsid w:val="4F32478A"/>
    <w:rsid w:val="4F3705F8"/>
    <w:rsid w:val="4F913A9A"/>
    <w:rsid w:val="4F9714A0"/>
    <w:rsid w:val="4FA66CBC"/>
    <w:rsid w:val="4FAA3F91"/>
    <w:rsid w:val="4FAC3540"/>
    <w:rsid w:val="4FCF1583"/>
    <w:rsid w:val="4FD23E66"/>
    <w:rsid w:val="4FD44D1B"/>
    <w:rsid w:val="4FDC066D"/>
    <w:rsid w:val="4FFA7625"/>
    <w:rsid w:val="50453E7E"/>
    <w:rsid w:val="50594CF7"/>
    <w:rsid w:val="507950F0"/>
    <w:rsid w:val="507D2599"/>
    <w:rsid w:val="5096229D"/>
    <w:rsid w:val="509E157D"/>
    <w:rsid w:val="50A6165E"/>
    <w:rsid w:val="50DC4184"/>
    <w:rsid w:val="50FB6146"/>
    <w:rsid w:val="512F4CA0"/>
    <w:rsid w:val="51361FFF"/>
    <w:rsid w:val="513D4C38"/>
    <w:rsid w:val="514C3EA7"/>
    <w:rsid w:val="51774396"/>
    <w:rsid w:val="51AC4D00"/>
    <w:rsid w:val="51FF3C99"/>
    <w:rsid w:val="522A20E4"/>
    <w:rsid w:val="52363D4D"/>
    <w:rsid w:val="524A2AC9"/>
    <w:rsid w:val="52521A20"/>
    <w:rsid w:val="528604EC"/>
    <w:rsid w:val="529E2C3A"/>
    <w:rsid w:val="52AC4ABC"/>
    <w:rsid w:val="52C201B9"/>
    <w:rsid w:val="52E57A12"/>
    <w:rsid w:val="52F20B62"/>
    <w:rsid w:val="531C4FCC"/>
    <w:rsid w:val="53807A9C"/>
    <w:rsid w:val="53827E49"/>
    <w:rsid w:val="538A6BB9"/>
    <w:rsid w:val="539964FD"/>
    <w:rsid w:val="539C1B81"/>
    <w:rsid w:val="539D7755"/>
    <w:rsid w:val="53A447B1"/>
    <w:rsid w:val="53AE750F"/>
    <w:rsid w:val="53D224B3"/>
    <w:rsid w:val="53F81D96"/>
    <w:rsid w:val="541D5DE8"/>
    <w:rsid w:val="541F57C4"/>
    <w:rsid w:val="544B5214"/>
    <w:rsid w:val="546F523C"/>
    <w:rsid w:val="54782FBD"/>
    <w:rsid w:val="5483138F"/>
    <w:rsid w:val="5488523A"/>
    <w:rsid w:val="549A6BFA"/>
    <w:rsid w:val="54C341E7"/>
    <w:rsid w:val="54D933CD"/>
    <w:rsid w:val="551751CF"/>
    <w:rsid w:val="5522558F"/>
    <w:rsid w:val="55244D7F"/>
    <w:rsid w:val="55305397"/>
    <w:rsid w:val="55362287"/>
    <w:rsid w:val="55432F3C"/>
    <w:rsid w:val="55A37FFD"/>
    <w:rsid w:val="55AE22F1"/>
    <w:rsid w:val="55C3227E"/>
    <w:rsid w:val="55CE1AA9"/>
    <w:rsid w:val="55F6381F"/>
    <w:rsid w:val="55FA2961"/>
    <w:rsid w:val="5602250F"/>
    <w:rsid w:val="564220BA"/>
    <w:rsid w:val="565E7F4F"/>
    <w:rsid w:val="565F3DA6"/>
    <w:rsid w:val="56914056"/>
    <w:rsid w:val="56B61E36"/>
    <w:rsid w:val="56C36589"/>
    <w:rsid w:val="570D55B0"/>
    <w:rsid w:val="57293C95"/>
    <w:rsid w:val="572A6381"/>
    <w:rsid w:val="572B41B4"/>
    <w:rsid w:val="57365868"/>
    <w:rsid w:val="573C1959"/>
    <w:rsid w:val="57554571"/>
    <w:rsid w:val="57F65317"/>
    <w:rsid w:val="57FC2169"/>
    <w:rsid w:val="58024015"/>
    <w:rsid w:val="58096275"/>
    <w:rsid w:val="5819544F"/>
    <w:rsid w:val="582D6D32"/>
    <w:rsid w:val="582E6EF7"/>
    <w:rsid w:val="584E30E6"/>
    <w:rsid w:val="58546EFD"/>
    <w:rsid w:val="5881703E"/>
    <w:rsid w:val="58E26731"/>
    <w:rsid w:val="58EB1371"/>
    <w:rsid w:val="59091D98"/>
    <w:rsid w:val="590E4A97"/>
    <w:rsid w:val="591250FF"/>
    <w:rsid w:val="5920012C"/>
    <w:rsid w:val="593700E7"/>
    <w:rsid w:val="595578DE"/>
    <w:rsid w:val="597B384D"/>
    <w:rsid w:val="59996DA8"/>
    <w:rsid w:val="59C30F1B"/>
    <w:rsid w:val="59CE4759"/>
    <w:rsid w:val="59D90B78"/>
    <w:rsid w:val="5A814766"/>
    <w:rsid w:val="5A8C20D0"/>
    <w:rsid w:val="5ABC17C7"/>
    <w:rsid w:val="5ABC29E4"/>
    <w:rsid w:val="5AC7121C"/>
    <w:rsid w:val="5AD90B8D"/>
    <w:rsid w:val="5AE12927"/>
    <w:rsid w:val="5AE35472"/>
    <w:rsid w:val="5AF41CF3"/>
    <w:rsid w:val="5AF87CC9"/>
    <w:rsid w:val="5B07329F"/>
    <w:rsid w:val="5B4E1A44"/>
    <w:rsid w:val="5B873201"/>
    <w:rsid w:val="5B967767"/>
    <w:rsid w:val="5B9D1624"/>
    <w:rsid w:val="5BBF73E2"/>
    <w:rsid w:val="5BEE5378"/>
    <w:rsid w:val="5C0C2FF6"/>
    <w:rsid w:val="5C1241CC"/>
    <w:rsid w:val="5C286807"/>
    <w:rsid w:val="5C34339E"/>
    <w:rsid w:val="5C355656"/>
    <w:rsid w:val="5C370E72"/>
    <w:rsid w:val="5C446BC8"/>
    <w:rsid w:val="5C4B56E1"/>
    <w:rsid w:val="5C7146B1"/>
    <w:rsid w:val="5C7C2768"/>
    <w:rsid w:val="5C9D1EAA"/>
    <w:rsid w:val="5CAD3BC1"/>
    <w:rsid w:val="5CAE62DC"/>
    <w:rsid w:val="5CB23AE6"/>
    <w:rsid w:val="5CED5863"/>
    <w:rsid w:val="5D0D6DF5"/>
    <w:rsid w:val="5D4A5E05"/>
    <w:rsid w:val="5D580A8A"/>
    <w:rsid w:val="5D606747"/>
    <w:rsid w:val="5D760704"/>
    <w:rsid w:val="5D7E6D71"/>
    <w:rsid w:val="5D893B14"/>
    <w:rsid w:val="5DB42C29"/>
    <w:rsid w:val="5E1219F7"/>
    <w:rsid w:val="5E18541D"/>
    <w:rsid w:val="5E291636"/>
    <w:rsid w:val="5E48511F"/>
    <w:rsid w:val="5E655B72"/>
    <w:rsid w:val="5E8B0770"/>
    <w:rsid w:val="5EA06921"/>
    <w:rsid w:val="5EBA259F"/>
    <w:rsid w:val="5EE1082B"/>
    <w:rsid w:val="5EE97BB4"/>
    <w:rsid w:val="5EF55BC9"/>
    <w:rsid w:val="5F085DDA"/>
    <w:rsid w:val="5F2E2D52"/>
    <w:rsid w:val="5F54198B"/>
    <w:rsid w:val="5F6C74C2"/>
    <w:rsid w:val="5F9D1350"/>
    <w:rsid w:val="5FA44AD1"/>
    <w:rsid w:val="5FBE370A"/>
    <w:rsid w:val="5FC61F2E"/>
    <w:rsid w:val="5FC83407"/>
    <w:rsid w:val="5FD56E87"/>
    <w:rsid w:val="5FF0558C"/>
    <w:rsid w:val="60015A45"/>
    <w:rsid w:val="601A27F4"/>
    <w:rsid w:val="60292845"/>
    <w:rsid w:val="60557590"/>
    <w:rsid w:val="606F2632"/>
    <w:rsid w:val="6071543B"/>
    <w:rsid w:val="607921FE"/>
    <w:rsid w:val="607E12CC"/>
    <w:rsid w:val="608F62AE"/>
    <w:rsid w:val="60B9251B"/>
    <w:rsid w:val="60E236C1"/>
    <w:rsid w:val="60E37983"/>
    <w:rsid w:val="61260B6B"/>
    <w:rsid w:val="612B3ABB"/>
    <w:rsid w:val="612E1A5D"/>
    <w:rsid w:val="614E5D7E"/>
    <w:rsid w:val="61816046"/>
    <w:rsid w:val="61BD04E4"/>
    <w:rsid w:val="61C81AB1"/>
    <w:rsid w:val="620B0059"/>
    <w:rsid w:val="62391564"/>
    <w:rsid w:val="624A22BE"/>
    <w:rsid w:val="6263230B"/>
    <w:rsid w:val="626E235A"/>
    <w:rsid w:val="626F60D5"/>
    <w:rsid w:val="62816669"/>
    <w:rsid w:val="6282086D"/>
    <w:rsid w:val="628B6631"/>
    <w:rsid w:val="629007F7"/>
    <w:rsid w:val="62AB4D99"/>
    <w:rsid w:val="62B36CD7"/>
    <w:rsid w:val="62BA0953"/>
    <w:rsid w:val="62D03A7C"/>
    <w:rsid w:val="62F42FAE"/>
    <w:rsid w:val="62F648FE"/>
    <w:rsid w:val="63167A4F"/>
    <w:rsid w:val="631D2BD6"/>
    <w:rsid w:val="635356F3"/>
    <w:rsid w:val="637D5B70"/>
    <w:rsid w:val="63825E77"/>
    <w:rsid w:val="63961934"/>
    <w:rsid w:val="63A10995"/>
    <w:rsid w:val="63C23EFA"/>
    <w:rsid w:val="63D255DA"/>
    <w:rsid w:val="63EB2168"/>
    <w:rsid w:val="63F854C1"/>
    <w:rsid w:val="63FB5857"/>
    <w:rsid w:val="64076B79"/>
    <w:rsid w:val="640B7654"/>
    <w:rsid w:val="64116D46"/>
    <w:rsid w:val="643A070A"/>
    <w:rsid w:val="64410A96"/>
    <w:rsid w:val="644C573D"/>
    <w:rsid w:val="64507EFB"/>
    <w:rsid w:val="65032F85"/>
    <w:rsid w:val="651304A7"/>
    <w:rsid w:val="65136B50"/>
    <w:rsid w:val="6531690D"/>
    <w:rsid w:val="65320485"/>
    <w:rsid w:val="655A12F3"/>
    <w:rsid w:val="657E2A35"/>
    <w:rsid w:val="65A94E9D"/>
    <w:rsid w:val="65B96B3F"/>
    <w:rsid w:val="65BE1071"/>
    <w:rsid w:val="65C60A92"/>
    <w:rsid w:val="65DB19DF"/>
    <w:rsid w:val="660451CE"/>
    <w:rsid w:val="66102603"/>
    <w:rsid w:val="664B3BEB"/>
    <w:rsid w:val="665346B7"/>
    <w:rsid w:val="667C7CCE"/>
    <w:rsid w:val="66A12460"/>
    <w:rsid w:val="66BE2423"/>
    <w:rsid w:val="66DD6702"/>
    <w:rsid w:val="66E856F1"/>
    <w:rsid w:val="66FB0BAD"/>
    <w:rsid w:val="671B1623"/>
    <w:rsid w:val="671E6EBA"/>
    <w:rsid w:val="6731269C"/>
    <w:rsid w:val="675352AA"/>
    <w:rsid w:val="6759400B"/>
    <w:rsid w:val="675E528D"/>
    <w:rsid w:val="676C598C"/>
    <w:rsid w:val="67966EFB"/>
    <w:rsid w:val="679E7FA1"/>
    <w:rsid w:val="67A32389"/>
    <w:rsid w:val="67B768D0"/>
    <w:rsid w:val="67C779FD"/>
    <w:rsid w:val="67C85DAF"/>
    <w:rsid w:val="67E36EEF"/>
    <w:rsid w:val="68281CFE"/>
    <w:rsid w:val="682A2352"/>
    <w:rsid w:val="682A2630"/>
    <w:rsid w:val="682E4A5B"/>
    <w:rsid w:val="682E7AFD"/>
    <w:rsid w:val="68707071"/>
    <w:rsid w:val="687A4379"/>
    <w:rsid w:val="687B015C"/>
    <w:rsid w:val="687E3889"/>
    <w:rsid w:val="6884222C"/>
    <w:rsid w:val="68A957C8"/>
    <w:rsid w:val="68AC7245"/>
    <w:rsid w:val="68AD17BB"/>
    <w:rsid w:val="68D6620B"/>
    <w:rsid w:val="68D94D22"/>
    <w:rsid w:val="68F06F2B"/>
    <w:rsid w:val="69011241"/>
    <w:rsid w:val="692B2E4A"/>
    <w:rsid w:val="696A0B34"/>
    <w:rsid w:val="69821807"/>
    <w:rsid w:val="698D6A17"/>
    <w:rsid w:val="699026E3"/>
    <w:rsid w:val="699E0BED"/>
    <w:rsid w:val="699F0522"/>
    <w:rsid w:val="69D37590"/>
    <w:rsid w:val="69F954C1"/>
    <w:rsid w:val="6A1E1E73"/>
    <w:rsid w:val="6A2031B6"/>
    <w:rsid w:val="6A2D3B5E"/>
    <w:rsid w:val="6A2F57D7"/>
    <w:rsid w:val="6A3924BB"/>
    <w:rsid w:val="6A3C1D40"/>
    <w:rsid w:val="6A6432E1"/>
    <w:rsid w:val="6A760712"/>
    <w:rsid w:val="6AA23DFF"/>
    <w:rsid w:val="6AAA6F38"/>
    <w:rsid w:val="6AC61F6F"/>
    <w:rsid w:val="6AD34E53"/>
    <w:rsid w:val="6AD83EA1"/>
    <w:rsid w:val="6ADE74F0"/>
    <w:rsid w:val="6B1D62E8"/>
    <w:rsid w:val="6B723594"/>
    <w:rsid w:val="6B805156"/>
    <w:rsid w:val="6B945E48"/>
    <w:rsid w:val="6B974A7B"/>
    <w:rsid w:val="6BB506C7"/>
    <w:rsid w:val="6BD50977"/>
    <w:rsid w:val="6BE450D3"/>
    <w:rsid w:val="6BE60C84"/>
    <w:rsid w:val="6C4F0900"/>
    <w:rsid w:val="6C6C32E1"/>
    <w:rsid w:val="6C6E3E15"/>
    <w:rsid w:val="6C8B1F5D"/>
    <w:rsid w:val="6CA85D3A"/>
    <w:rsid w:val="6CAA3931"/>
    <w:rsid w:val="6CE2512E"/>
    <w:rsid w:val="6CEA06D7"/>
    <w:rsid w:val="6CF70607"/>
    <w:rsid w:val="6D325918"/>
    <w:rsid w:val="6D3933CA"/>
    <w:rsid w:val="6D401810"/>
    <w:rsid w:val="6D6261FE"/>
    <w:rsid w:val="6D7B222A"/>
    <w:rsid w:val="6D7B61EC"/>
    <w:rsid w:val="6D8E03AA"/>
    <w:rsid w:val="6DBB089F"/>
    <w:rsid w:val="6DC63038"/>
    <w:rsid w:val="6DDC5608"/>
    <w:rsid w:val="6DE30DE0"/>
    <w:rsid w:val="6DE6130A"/>
    <w:rsid w:val="6E09491E"/>
    <w:rsid w:val="6E0D3655"/>
    <w:rsid w:val="6E1A437E"/>
    <w:rsid w:val="6E3A144E"/>
    <w:rsid w:val="6E5606D3"/>
    <w:rsid w:val="6E5F4465"/>
    <w:rsid w:val="6E8B1663"/>
    <w:rsid w:val="6E8C54DA"/>
    <w:rsid w:val="6EB752BD"/>
    <w:rsid w:val="6EF11E03"/>
    <w:rsid w:val="6EF1241D"/>
    <w:rsid w:val="6EF82916"/>
    <w:rsid w:val="6F0B2DE7"/>
    <w:rsid w:val="6F111C62"/>
    <w:rsid w:val="6F2176E5"/>
    <w:rsid w:val="6F3A2A5F"/>
    <w:rsid w:val="6F4F7F03"/>
    <w:rsid w:val="6F5523A2"/>
    <w:rsid w:val="6F592303"/>
    <w:rsid w:val="6F5F5B74"/>
    <w:rsid w:val="6F682400"/>
    <w:rsid w:val="6F9600A4"/>
    <w:rsid w:val="6F98032D"/>
    <w:rsid w:val="6F9B1C65"/>
    <w:rsid w:val="6FA44937"/>
    <w:rsid w:val="6FAD3FB9"/>
    <w:rsid w:val="6FE82C9C"/>
    <w:rsid w:val="6FFB146E"/>
    <w:rsid w:val="70160742"/>
    <w:rsid w:val="7030610F"/>
    <w:rsid w:val="70612DB4"/>
    <w:rsid w:val="706516C3"/>
    <w:rsid w:val="70660714"/>
    <w:rsid w:val="70896E68"/>
    <w:rsid w:val="708A4844"/>
    <w:rsid w:val="70C94DCA"/>
    <w:rsid w:val="70E05E9D"/>
    <w:rsid w:val="71073061"/>
    <w:rsid w:val="711A201F"/>
    <w:rsid w:val="71215AE9"/>
    <w:rsid w:val="712864E5"/>
    <w:rsid w:val="71396ACC"/>
    <w:rsid w:val="715B60E9"/>
    <w:rsid w:val="716F0EE9"/>
    <w:rsid w:val="7196674D"/>
    <w:rsid w:val="719E245E"/>
    <w:rsid w:val="71BA3FE5"/>
    <w:rsid w:val="71EA1FED"/>
    <w:rsid w:val="72165C6B"/>
    <w:rsid w:val="722021E3"/>
    <w:rsid w:val="72290340"/>
    <w:rsid w:val="722C6DDA"/>
    <w:rsid w:val="72515945"/>
    <w:rsid w:val="729243CB"/>
    <w:rsid w:val="72E661B1"/>
    <w:rsid w:val="72F122F0"/>
    <w:rsid w:val="730313F6"/>
    <w:rsid w:val="730E4732"/>
    <w:rsid w:val="73370D24"/>
    <w:rsid w:val="73397FB3"/>
    <w:rsid w:val="73472C84"/>
    <w:rsid w:val="7359268C"/>
    <w:rsid w:val="735F327A"/>
    <w:rsid w:val="7366631C"/>
    <w:rsid w:val="736C263C"/>
    <w:rsid w:val="73723640"/>
    <w:rsid w:val="737311F5"/>
    <w:rsid w:val="739503EB"/>
    <w:rsid w:val="73A05B28"/>
    <w:rsid w:val="73C07D69"/>
    <w:rsid w:val="73C979D4"/>
    <w:rsid w:val="73DC335B"/>
    <w:rsid w:val="740B60EC"/>
    <w:rsid w:val="745E7D35"/>
    <w:rsid w:val="7465362D"/>
    <w:rsid w:val="7475188D"/>
    <w:rsid w:val="749E16A8"/>
    <w:rsid w:val="74B42AE4"/>
    <w:rsid w:val="74C54993"/>
    <w:rsid w:val="74EB68F6"/>
    <w:rsid w:val="750A429D"/>
    <w:rsid w:val="752739E7"/>
    <w:rsid w:val="75474B47"/>
    <w:rsid w:val="75533AB0"/>
    <w:rsid w:val="75614792"/>
    <w:rsid w:val="75761866"/>
    <w:rsid w:val="75784473"/>
    <w:rsid w:val="75B10995"/>
    <w:rsid w:val="75B161B3"/>
    <w:rsid w:val="75DC6C44"/>
    <w:rsid w:val="75E957D9"/>
    <w:rsid w:val="75F05CC0"/>
    <w:rsid w:val="762F6A19"/>
    <w:rsid w:val="76341B33"/>
    <w:rsid w:val="76736B32"/>
    <w:rsid w:val="76807C04"/>
    <w:rsid w:val="76AF35EE"/>
    <w:rsid w:val="76C27A74"/>
    <w:rsid w:val="76C726A5"/>
    <w:rsid w:val="76E3765E"/>
    <w:rsid w:val="76FC2AFA"/>
    <w:rsid w:val="77527424"/>
    <w:rsid w:val="77653671"/>
    <w:rsid w:val="77707007"/>
    <w:rsid w:val="778546CC"/>
    <w:rsid w:val="778B6B46"/>
    <w:rsid w:val="77A337B9"/>
    <w:rsid w:val="77B551B3"/>
    <w:rsid w:val="77B56730"/>
    <w:rsid w:val="77B92EBE"/>
    <w:rsid w:val="77C04A8B"/>
    <w:rsid w:val="77D85DB3"/>
    <w:rsid w:val="77EB1B74"/>
    <w:rsid w:val="782A3EA3"/>
    <w:rsid w:val="78490703"/>
    <w:rsid w:val="78A50513"/>
    <w:rsid w:val="78C43087"/>
    <w:rsid w:val="78D37FAF"/>
    <w:rsid w:val="78EF7AB5"/>
    <w:rsid w:val="790D6849"/>
    <w:rsid w:val="795767E3"/>
    <w:rsid w:val="79586707"/>
    <w:rsid w:val="796518DD"/>
    <w:rsid w:val="79724BEF"/>
    <w:rsid w:val="797264AC"/>
    <w:rsid w:val="79775469"/>
    <w:rsid w:val="79AA0532"/>
    <w:rsid w:val="79FA22BC"/>
    <w:rsid w:val="79FE1DDD"/>
    <w:rsid w:val="7A075767"/>
    <w:rsid w:val="7A0C15B3"/>
    <w:rsid w:val="7A212062"/>
    <w:rsid w:val="7A2522C9"/>
    <w:rsid w:val="7A282A11"/>
    <w:rsid w:val="7A3A59B8"/>
    <w:rsid w:val="7A5D0F75"/>
    <w:rsid w:val="7A715CD2"/>
    <w:rsid w:val="7A921E9A"/>
    <w:rsid w:val="7A9E53BF"/>
    <w:rsid w:val="7AA914B9"/>
    <w:rsid w:val="7ABF2475"/>
    <w:rsid w:val="7AC21562"/>
    <w:rsid w:val="7AD474A4"/>
    <w:rsid w:val="7AFC38DE"/>
    <w:rsid w:val="7B303E8C"/>
    <w:rsid w:val="7B7D6B6D"/>
    <w:rsid w:val="7B865D50"/>
    <w:rsid w:val="7B8D34C3"/>
    <w:rsid w:val="7B971D84"/>
    <w:rsid w:val="7BAB0CB7"/>
    <w:rsid w:val="7BB4028F"/>
    <w:rsid w:val="7BC1107E"/>
    <w:rsid w:val="7BF32F03"/>
    <w:rsid w:val="7BF50D2C"/>
    <w:rsid w:val="7C066F4E"/>
    <w:rsid w:val="7C1724A5"/>
    <w:rsid w:val="7C297C08"/>
    <w:rsid w:val="7C8561DF"/>
    <w:rsid w:val="7CA54112"/>
    <w:rsid w:val="7CA553D9"/>
    <w:rsid w:val="7CAB27F5"/>
    <w:rsid w:val="7CAF438A"/>
    <w:rsid w:val="7CCE726D"/>
    <w:rsid w:val="7CD71EA3"/>
    <w:rsid w:val="7CE50CE4"/>
    <w:rsid w:val="7CE94EE1"/>
    <w:rsid w:val="7CF877E9"/>
    <w:rsid w:val="7D134762"/>
    <w:rsid w:val="7D244CB3"/>
    <w:rsid w:val="7D2E5ABF"/>
    <w:rsid w:val="7D4A45B8"/>
    <w:rsid w:val="7D535AC7"/>
    <w:rsid w:val="7D964A74"/>
    <w:rsid w:val="7DFB43EA"/>
    <w:rsid w:val="7E007625"/>
    <w:rsid w:val="7E0737C8"/>
    <w:rsid w:val="7E131C51"/>
    <w:rsid w:val="7E176B90"/>
    <w:rsid w:val="7E2142A2"/>
    <w:rsid w:val="7E240411"/>
    <w:rsid w:val="7E48335A"/>
    <w:rsid w:val="7E797DE5"/>
    <w:rsid w:val="7E7B0BF2"/>
    <w:rsid w:val="7E8D75B6"/>
    <w:rsid w:val="7E8E672B"/>
    <w:rsid w:val="7EA27DDF"/>
    <w:rsid w:val="7EC67BB0"/>
    <w:rsid w:val="7ED809AD"/>
    <w:rsid w:val="7EF760EE"/>
    <w:rsid w:val="7F2536B5"/>
    <w:rsid w:val="7F2C3CE7"/>
    <w:rsid w:val="7F5A01CA"/>
    <w:rsid w:val="7F75661B"/>
    <w:rsid w:val="7FB17429"/>
    <w:rsid w:val="7FC237CA"/>
    <w:rsid w:val="7FF1276A"/>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nhideWhenUsed="0" w:uiPriority="39" w:semiHidden="0" w:name="toc 6"/>
    <w:lsdException w:qFormat="1" w:uiPriority="39" w:semiHidden="0" w:name="toc 7"/>
    <w:lsdException w:qFormat="1" w:uiPriority="39" w:semiHidden="0" w:name="toc 8"/>
    <w:lsdException w:qFormat="1" w:uiPriority="39" w:semiHidden="0" w:name="toc 9"/>
    <w:lsdException w:qFormat="1" w:unhideWhenUsed="0" w:uiPriority="0" w:semiHidden="0" w:name="Normal Indent"/>
    <w:lsdException w:qFormat="1"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qFormat="1"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1"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nhideWhenUsed="0" w:uiPriority="0" w:semiHidden="0"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adjustRightInd w:val="0"/>
      <w:snapToGrid w:val="0"/>
      <w:spacing w:line="360" w:lineRule="auto"/>
    </w:pPr>
    <w:rPr>
      <w:rFonts w:ascii="Tahoma" w:hAnsi="Tahoma" w:eastAsia="宋体" w:cstheme="minorBidi"/>
      <w:sz w:val="21"/>
      <w:szCs w:val="22"/>
      <w:lang w:val="en-US" w:eastAsia="zh-CN" w:bidi="ar-SA"/>
    </w:rPr>
  </w:style>
  <w:style w:type="paragraph" w:styleId="3">
    <w:name w:val="heading 1"/>
    <w:basedOn w:val="1"/>
    <w:next w:val="1"/>
    <w:link w:val="73"/>
    <w:qFormat/>
    <w:uiPriority w:val="9"/>
    <w:pPr>
      <w:keepNext/>
      <w:keepLines/>
      <w:spacing w:before="340" w:after="330" w:line="576" w:lineRule="auto"/>
      <w:outlineLvl w:val="0"/>
    </w:pPr>
    <w:rPr>
      <w:b/>
      <w:kern w:val="44"/>
      <w:sz w:val="44"/>
    </w:rPr>
  </w:style>
  <w:style w:type="paragraph" w:styleId="4">
    <w:name w:val="heading 2"/>
    <w:basedOn w:val="1"/>
    <w:next w:val="1"/>
    <w:link w:val="39"/>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5">
    <w:name w:val="heading 3"/>
    <w:basedOn w:val="1"/>
    <w:next w:val="1"/>
    <w:link w:val="40"/>
    <w:unhideWhenUsed/>
    <w:qFormat/>
    <w:uiPriority w:val="9"/>
    <w:pPr>
      <w:keepNext/>
      <w:keepLines/>
      <w:spacing w:before="260" w:after="260" w:line="416" w:lineRule="auto"/>
      <w:outlineLvl w:val="2"/>
    </w:pPr>
    <w:rPr>
      <w:b/>
      <w:bCs/>
      <w:sz w:val="32"/>
      <w:szCs w:val="32"/>
    </w:rPr>
  </w:style>
  <w:style w:type="paragraph" w:styleId="6">
    <w:name w:val="heading 4"/>
    <w:basedOn w:val="1"/>
    <w:next w:val="1"/>
    <w:link w:val="42"/>
    <w:unhideWhenUsed/>
    <w:qFormat/>
    <w:uiPriority w:val="9"/>
    <w:pPr>
      <w:keepNext/>
      <w:keepLines/>
      <w:outlineLvl w:val="3"/>
    </w:pPr>
    <w:rPr>
      <w:rFonts w:asciiTheme="majorHAnsi" w:hAnsiTheme="majorHAnsi" w:cstheme="majorBidi"/>
      <w:b/>
      <w:bCs/>
      <w:sz w:val="24"/>
      <w:szCs w:val="28"/>
    </w:rPr>
  </w:style>
  <w:style w:type="paragraph" w:styleId="7">
    <w:name w:val="heading 5"/>
    <w:basedOn w:val="1"/>
    <w:next w:val="1"/>
    <w:link w:val="72"/>
    <w:autoRedefine/>
    <w:semiHidden/>
    <w:unhideWhenUsed/>
    <w:qFormat/>
    <w:uiPriority w:val="9"/>
    <w:pPr>
      <w:keepNext/>
      <w:keepLines/>
      <w:spacing w:before="280" w:after="290" w:line="372" w:lineRule="auto"/>
      <w:outlineLvl w:val="4"/>
    </w:pPr>
    <w:rPr>
      <w:b/>
      <w:sz w:val="28"/>
    </w:rPr>
  </w:style>
  <w:style w:type="character" w:default="1" w:styleId="32">
    <w:name w:val="Default Paragraph Font"/>
    <w:autoRedefine/>
    <w:semiHidden/>
    <w:unhideWhenUsed/>
    <w:qFormat/>
    <w:uiPriority w:val="1"/>
  </w:style>
  <w:style w:type="table" w:default="1" w:styleId="30">
    <w:name w:val="Normal Table"/>
    <w:semiHidden/>
    <w:unhideWhenUsed/>
    <w:qFormat/>
    <w:uiPriority w:val="99"/>
    <w:tblPr>
      <w:tblCellMar>
        <w:top w:w="0" w:type="dxa"/>
        <w:left w:w="108" w:type="dxa"/>
        <w:bottom w:w="0" w:type="dxa"/>
        <w:right w:w="108" w:type="dxa"/>
      </w:tblCellMar>
    </w:tblPr>
  </w:style>
  <w:style w:type="paragraph" w:styleId="2">
    <w:name w:val="Normal Indent"/>
    <w:basedOn w:val="1"/>
    <w:qFormat/>
    <w:uiPriority w:val="0"/>
    <w:pPr>
      <w:ind w:firstLine="420" w:firstLineChars="200"/>
    </w:pPr>
    <w:rPr>
      <w:rFonts w:ascii="Times New Roman" w:hAnsi="Times New Roman"/>
    </w:rPr>
  </w:style>
  <w:style w:type="paragraph" w:styleId="8">
    <w:name w:val="toc 7"/>
    <w:basedOn w:val="1"/>
    <w:next w:val="1"/>
    <w:autoRedefine/>
    <w:unhideWhenUsed/>
    <w:qFormat/>
    <w:uiPriority w:val="39"/>
    <w:pPr>
      <w:widowControl w:val="0"/>
      <w:adjustRightInd/>
      <w:snapToGrid/>
      <w:spacing w:line="240" w:lineRule="auto"/>
      <w:ind w:left="2520" w:leftChars="1200"/>
      <w:jc w:val="both"/>
    </w:pPr>
    <w:rPr>
      <w:rFonts w:asciiTheme="minorHAnsi" w:hAnsiTheme="minorHAnsi" w:eastAsiaTheme="minorEastAsia"/>
      <w:kern w:val="2"/>
    </w:rPr>
  </w:style>
  <w:style w:type="paragraph" w:styleId="9">
    <w:name w:val="annotation text"/>
    <w:basedOn w:val="1"/>
    <w:link w:val="61"/>
    <w:autoRedefine/>
    <w:unhideWhenUsed/>
    <w:qFormat/>
    <w:uiPriority w:val="99"/>
  </w:style>
  <w:style w:type="paragraph" w:styleId="10">
    <w:name w:val="Body Text"/>
    <w:basedOn w:val="1"/>
    <w:link w:val="64"/>
    <w:autoRedefine/>
    <w:qFormat/>
    <w:uiPriority w:val="1"/>
    <w:pPr>
      <w:spacing w:before="161"/>
      <w:ind w:left="120"/>
    </w:pPr>
    <w:rPr>
      <w:rFonts w:ascii="宋体" w:hAnsi="宋体" w:cs="宋体"/>
      <w:sz w:val="24"/>
      <w:lang w:val="zh-CN" w:bidi="zh-CN"/>
    </w:rPr>
  </w:style>
  <w:style w:type="paragraph" w:styleId="11">
    <w:name w:val="Body Text Indent"/>
    <w:basedOn w:val="1"/>
    <w:next w:val="1"/>
    <w:qFormat/>
    <w:uiPriority w:val="0"/>
    <w:pPr>
      <w:ind w:left="359" w:leftChars="171" w:firstLine="179" w:firstLineChars="85"/>
    </w:pPr>
    <w:rPr>
      <w:rFonts w:ascii="宋体" w:hAnsi="宋体"/>
      <w:b/>
      <w:bCs/>
      <w:szCs w:val="26"/>
    </w:rPr>
  </w:style>
  <w:style w:type="paragraph" w:styleId="12">
    <w:name w:val="toc 5"/>
    <w:basedOn w:val="1"/>
    <w:next w:val="1"/>
    <w:autoRedefine/>
    <w:unhideWhenUsed/>
    <w:qFormat/>
    <w:uiPriority w:val="39"/>
    <w:pPr>
      <w:widowControl w:val="0"/>
      <w:adjustRightInd/>
      <w:snapToGrid/>
      <w:spacing w:line="240" w:lineRule="auto"/>
      <w:ind w:left="1680" w:leftChars="800"/>
      <w:jc w:val="both"/>
    </w:pPr>
    <w:rPr>
      <w:rFonts w:asciiTheme="minorHAnsi" w:hAnsiTheme="minorHAnsi" w:eastAsiaTheme="minorEastAsia"/>
      <w:kern w:val="2"/>
    </w:rPr>
  </w:style>
  <w:style w:type="paragraph" w:styleId="13">
    <w:name w:val="toc 3"/>
    <w:basedOn w:val="1"/>
    <w:next w:val="1"/>
    <w:autoRedefine/>
    <w:unhideWhenUsed/>
    <w:qFormat/>
    <w:uiPriority w:val="39"/>
    <w:pPr>
      <w:tabs>
        <w:tab w:val="right" w:leader="dot" w:pos="8296"/>
      </w:tabs>
      <w:ind w:left="838" w:leftChars="381"/>
    </w:pPr>
    <w:rPr>
      <w:szCs w:val="21"/>
    </w:rPr>
  </w:style>
  <w:style w:type="paragraph" w:styleId="14">
    <w:name w:val="Plain Text"/>
    <w:basedOn w:val="1"/>
    <w:link w:val="53"/>
    <w:autoRedefine/>
    <w:qFormat/>
    <w:uiPriority w:val="0"/>
    <w:pPr>
      <w:widowControl w:val="0"/>
      <w:adjustRightInd/>
      <w:snapToGrid/>
      <w:jc w:val="both"/>
    </w:pPr>
    <w:rPr>
      <w:rFonts w:ascii="宋体" w:hAnsi="Courier New" w:cs="Times New Roman"/>
      <w:b/>
      <w:kern w:val="2"/>
      <w:szCs w:val="20"/>
    </w:rPr>
  </w:style>
  <w:style w:type="paragraph" w:styleId="15">
    <w:name w:val="toc 8"/>
    <w:basedOn w:val="1"/>
    <w:next w:val="1"/>
    <w:autoRedefine/>
    <w:unhideWhenUsed/>
    <w:qFormat/>
    <w:uiPriority w:val="39"/>
    <w:pPr>
      <w:widowControl w:val="0"/>
      <w:adjustRightInd/>
      <w:snapToGrid/>
      <w:spacing w:line="240" w:lineRule="auto"/>
      <w:ind w:left="2940" w:leftChars="1400"/>
      <w:jc w:val="both"/>
    </w:pPr>
    <w:rPr>
      <w:rFonts w:asciiTheme="minorHAnsi" w:hAnsiTheme="minorHAnsi" w:eastAsiaTheme="minorEastAsia"/>
      <w:kern w:val="2"/>
    </w:rPr>
  </w:style>
  <w:style w:type="paragraph" w:styleId="16">
    <w:name w:val="Balloon Text"/>
    <w:basedOn w:val="1"/>
    <w:link w:val="56"/>
    <w:autoRedefine/>
    <w:semiHidden/>
    <w:unhideWhenUsed/>
    <w:qFormat/>
    <w:uiPriority w:val="99"/>
    <w:rPr>
      <w:sz w:val="18"/>
      <w:szCs w:val="18"/>
    </w:rPr>
  </w:style>
  <w:style w:type="paragraph" w:styleId="17">
    <w:name w:val="footer"/>
    <w:basedOn w:val="1"/>
    <w:link w:val="55"/>
    <w:autoRedefine/>
    <w:unhideWhenUsed/>
    <w:qFormat/>
    <w:uiPriority w:val="99"/>
    <w:pPr>
      <w:tabs>
        <w:tab w:val="center" w:pos="4153"/>
        <w:tab w:val="right" w:pos="8306"/>
      </w:tabs>
    </w:pPr>
    <w:rPr>
      <w:sz w:val="18"/>
      <w:szCs w:val="18"/>
    </w:rPr>
  </w:style>
  <w:style w:type="paragraph" w:styleId="18">
    <w:name w:val="header"/>
    <w:basedOn w:val="1"/>
    <w:link w:val="54"/>
    <w:autoRedefine/>
    <w:unhideWhenUsed/>
    <w:qFormat/>
    <w:uiPriority w:val="99"/>
    <w:pPr>
      <w:pBdr>
        <w:bottom w:val="single" w:color="auto" w:sz="6" w:space="1"/>
      </w:pBdr>
      <w:tabs>
        <w:tab w:val="center" w:pos="4153"/>
        <w:tab w:val="right" w:pos="8306"/>
      </w:tabs>
      <w:jc w:val="center"/>
    </w:pPr>
    <w:rPr>
      <w:sz w:val="18"/>
      <w:szCs w:val="18"/>
    </w:rPr>
  </w:style>
  <w:style w:type="paragraph" w:styleId="19">
    <w:name w:val="toc 1"/>
    <w:basedOn w:val="1"/>
    <w:next w:val="1"/>
    <w:autoRedefine/>
    <w:unhideWhenUsed/>
    <w:qFormat/>
    <w:uiPriority w:val="39"/>
  </w:style>
  <w:style w:type="paragraph" w:styleId="20">
    <w:name w:val="toc 4"/>
    <w:basedOn w:val="1"/>
    <w:next w:val="1"/>
    <w:autoRedefine/>
    <w:unhideWhenUsed/>
    <w:qFormat/>
    <w:uiPriority w:val="39"/>
    <w:pPr>
      <w:tabs>
        <w:tab w:val="right" w:leader="dot" w:pos="8296"/>
      </w:tabs>
      <w:spacing w:after="120"/>
      <w:ind w:left="1320" w:leftChars="600"/>
    </w:pPr>
  </w:style>
  <w:style w:type="paragraph" w:styleId="21">
    <w:name w:val="footnote text"/>
    <w:basedOn w:val="1"/>
    <w:autoRedefine/>
    <w:semiHidden/>
    <w:unhideWhenUsed/>
    <w:qFormat/>
    <w:uiPriority w:val="99"/>
    <w:rPr>
      <w:sz w:val="18"/>
    </w:rPr>
  </w:style>
  <w:style w:type="paragraph" w:styleId="22">
    <w:name w:val="toc 6"/>
    <w:basedOn w:val="1"/>
    <w:next w:val="1"/>
    <w:autoRedefine/>
    <w:qFormat/>
    <w:uiPriority w:val="39"/>
    <w:pPr>
      <w:ind w:left="1200"/>
    </w:pPr>
    <w:rPr>
      <w:rFonts w:ascii="Calibri" w:cs="Calibri"/>
      <w:sz w:val="18"/>
      <w:szCs w:val="18"/>
    </w:rPr>
  </w:style>
  <w:style w:type="paragraph" w:styleId="23">
    <w:name w:val="toc 2"/>
    <w:basedOn w:val="1"/>
    <w:next w:val="1"/>
    <w:autoRedefine/>
    <w:unhideWhenUsed/>
    <w:qFormat/>
    <w:uiPriority w:val="39"/>
    <w:pPr>
      <w:tabs>
        <w:tab w:val="right" w:leader="dot" w:pos="8296"/>
      </w:tabs>
      <w:ind w:left="440" w:leftChars="200"/>
      <w:jc w:val="center"/>
    </w:pPr>
    <w:rPr>
      <w:rFonts w:ascii="宋体" w:hAnsi="宋体"/>
      <w:sz w:val="30"/>
      <w:szCs w:val="30"/>
    </w:rPr>
  </w:style>
  <w:style w:type="paragraph" w:styleId="24">
    <w:name w:val="toc 9"/>
    <w:basedOn w:val="1"/>
    <w:next w:val="1"/>
    <w:autoRedefine/>
    <w:unhideWhenUsed/>
    <w:qFormat/>
    <w:uiPriority w:val="39"/>
    <w:pPr>
      <w:widowControl w:val="0"/>
      <w:adjustRightInd/>
      <w:snapToGrid/>
      <w:spacing w:line="240" w:lineRule="auto"/>
      <w:ind w:left="3360" w:leftChars="1600"/>
      <w:jc w:val="both"/>
    </w:pPr>
    <w:rPr>
      <w:rFonts w:asciiTheme="minorHAnsi" w:hAnsiTheme="minorHAnsi" w:eastAsiaTheme="minorEastAsia"/>
      <w:kern w:val="2"/>
    </w:rPr>
  </w:style>
  <w:style w:type="paragraph" w:styleId="25">
    <w:name w:val="Normal (Web)"/>
    <w:basedOn w:val="1"/>
    <w:link w:val="58"/>
    <w:autoRedefine/>
    <w:qFormat/>
    <w:uiPriority w:val="0"/>
    <w:pPr>
      <w:widowControl w:val="0"/>
      <w:adjustRightInd/>
      <w:snapToGrid/>
      <w:jc w:val="both"/>
    </w:pPr>
    <w:rPr>
      <w:rFonts w:asciiTheme="minorHAnsi" w:hAnsiTheme="minorHAnsi"/>
      <w:kern w:val="2"/>
      <w:sz w:val="24"/>
      <w:szCs w:val="24"/>
    </w:rPr>
  </w:style>
  <w:style w:type="paragraph" w:styleId="26">
    <w:name w:val="annotation subject"/>
    <w:basedOn w:val="9"/>
    <w:next w:val="9"/>
    <w:link w:val="62"/>
    <w:autoRedefine/>
    <w:semiHidden/>
    <w:unhideWhenUsed/>
    <w:qFormat/>
    <w:uiPriority w:val="99"/>
    <w:rPr>
      <w:b/>
      <w:bCs/>
    </w:rPr>
  </w:style>
  <w:style w:type="paragraph" w:styleId="27">
    <w:name w:val="Body Text First Indent"/>
    <w:basedOn w:val="10"/>
    <w:next w:val="28"/>
    <w:autoRedefine/>
    <w:qFormat/>
    <w:uiPriority w:val="0"/>
    <w:pPr>
      <w:spacing w:after="120"/>
      <w:ind w:firstLine="420" w:firstLineChars="100"/>
    </w:pPr>
    <w:rPr>
      <w:bCs/>
      <w:szCs w:val="21"/>
    </w:rPr>
  </w:style>
  <w:style w:type="paragraph" w:customStyle="1" w:styleId="28">
    <w:name w:val="样式 正文首行缩进 + 首行缩进:  1 字符"/>
    <w:basedOn w:val="1"/>
    <w:next w:val="1"/>
    <w:autoRedefine/>
    <w:qFormat/>
    <w:uiPriority w:val="0"/>
    <w:pPr>
      <w:ind w:firstLine="200" w:firstLineChars="200"/>
    </w:pPr>
    <w:rPr>
      <w:rFonts w:cs="宋体"/>
      <w:szCs w:val="20"/>
    </w:rPr>
  </w:style>
  <w:style w:type="paragraph" w:styleId="29">
    <w:name w:val="Body Text First Indent 2"/>
    <w:basedOn w:val="11"/>
    <w:autoRedefine/>
    <w:qFormat/>
    <w:uiPriority w:val="0"/>
    <w:pPr>
      <w:spacing w:after="120" w:line="240" w:lineRule="auto"/>
      <w:ind w:left="420" w:leftChars="200" w:firstLine="420"/>
    </w:pPr>
    <w:rPr>
      <w:sz w:val="21"/>
    </w:rPr>
  </w:style>
  <w:style w:type="table" w:styleId="31">
    <w:name w:val="Table Grid"/>
    <w:basedOn w:val="30"/>
    <w:autoRedefine/>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3">
    <w:name w:val="page number"/>
    <w:basedOn w:val="32"/>
    <w:autoRedefine/>
    <w:qFormat/>
    <w:uiPriority w:val="0"/>
  </w:style>
  <w:style w:type="character" w:styleId="34">
    <w:name w:val="Emphasis"/>
    <w:basedOn w:val="32"/>
    <w:autoRedefine/>
    <w:qFormat/>
    <w:uiPriority w:val="20"/>
    <w:rPr>
      <w:i/>
      <w:iCs/>
    </w:rPr>
  </w:style>
  <w:style w:type="character" w:styleId="35">
    <w:name w:val="Hyperlink"/>
    <w:autoRedefine/>
    <w:qFormat/>
    <w:uiPriority w:val="99"/>
    <w:rPr>
      <w:rFonts w:hint="eastAsia" w:ascii="宋体" w:hAnsi="宋体" w:eastAsia="宋体" w:cs="宋体"/>
      <w:b/>
      <w:color w:val="0031C1"/>
      <w:kern w:val="0"/>
      <w:sz w:val="18"/>
      <w:szCs w:val="18"/>
      <w:u w:val="none"/>
      <w:lang w:eastAsia="en-US"/>
    </w:rPr>
  </w:style>
  <w:style w:type="character" w:styleId="36">
    <w:name w:val="annotation reference"/>
    <w:basedOn w:val="32"/>
    <w:autoRedefine/>
    <w:semiHidden/>
    <w:unhideWhenUsed/>
    <w:qFormat/>
    <w:uiPriority w:val="99"/>
    <w:rPr>
      <w:sz w:val="21"/>
      <w:szCs w:val="21"/>
    </w:rPr>
  </w:style>
  <w:style w:type="character" w:styleId="37">
    <w:name w:val="footnote reference"/>
    <w:basedOn w:val="32"/>
    <w:autoRedefine/>
    <w:semiHidden/>
    <w:unhideWhenUsed/>
    <w:qFormat/>
    <w:uiPriority w:val="99"/>
    <w:rPr>
      <w:vertAlign w:val="superscript"/>
    </w:rPr>
  </w:style>
  <w:style w:type="paragraph" w:customStyle="1" w:styleId="38">
    <w:name w:val="首行缩进"/>
    <w:basedOn w:val="1"/>
    <w:autoRedefine/>
    <w:qFormat/>
    <w:uiPriority w:val="0"/>
    <w:pPr>
      <w:adjustRightInd/>
      <w:spacing w:line="300" w:lineRule="auto"/>
      <w:ind w:firstLine="420" w:firstLineChars="200"/>
      <w:jc w:val="both"/>
    </w:pPr>
    <w:rPr>
      <w:rFonts w:ascii="Calibri" w:hAnsi="Calibri" w:eastAsia="方正书宋简体" w:cs="Times New Roman"/>
      <w:sz w:val="20"/>
    </w:rPr>
  </w:style>
  <w:style w:type="character" w:customStyle="1" w:styleId="39">
    <w:name w:val="标题 2 字符"/>
    <w:basedOn w:val="32"/>
    <w:link w:val="4"/>
    <w:autoRedefine/>
    <w:qFormat/>
    <w:uiPriority w:val="9"/>
    <w:rPr>
      <w:rFonts w:asciiTheme="majorHAnsi" w:hAnsiTheme="majorHAnsi" w:eastAsiaTheme="majorEastAsia" w:cstheme="majorBidi"/>
      <w:b/>
      <w:bCs/>
      <w:sz w:val="32"/>
      <w:szCs w:val="32"/>
    </w:rPr>
  </w:style>
  <w:style w:type="character" w:customStyle="1" w:styleId="40">
    <w:name w:val="标题 3 字符"/>
    <w:basedOn w:val="32"/>
    <w:link w:val="5"/>
    <w:autoRedefine/>
    <w:qFormat/>
    <w:uiPriority w:val="9"/>
    <w:rPr>
      <w:rFonts w:ascii="Tahoma" w:hAnsi="Tahoma"/>
      <w:b/>
      <w:bCs/>
      <w:sz w:val="32"/>
      <w:szCs w:val="32"/>
    </w:rPr>
  </w:style>
  <w:style w:type="paragraph" w:styleId="41">
    <w:name w:val="List Paragraph"/>
    <w:basedOn w:val="1"/>
    <w:link w:val="63"/>
    <w:autoRedefine/>
    <w:qFormat/>
    <w:uiPriority w:val="0"/>
    <w:pPr>
      <w:ind w:firstLine="420" w:firstLineChars="200"/>
    </w:pPr>
  </w:style>
  <w:style w:type="character" w:customStyle="1" w:styleId="42">
    <w:name w:val="标题 4 字符"/>
    <w:basedOn w:val="32"/>
    <w:link w:val="6"/>
    <w:autoRedefine/>
    <w:qFormat/>
    <w:uiPriority w:val="9"/>
    <w:rPr>
      <w:rFonts w:eastAsia="宋体" w:asciiTheme="majorHAnsi" w:hAnsiTheme="majorHAnsi" w:cstheme="majorBidi"/>
      <w:b/>
      <w:bCs/>
      <w:sz w:val="24"/>
      <w:szCs w:val="28"/>
    </w:rPr>
  </w:style>
  <w:style w:type="character" w:customStyle="1" w:styleId="43">
    <w:name w:val="正文缩进2格 Char"/>
    <w:link w:val="44"/>
    <w:autoRedefine/>
    <w:qFormat/>
    <w:uiPriority w:val="0"/>
    <w:rPr>
      <w:rFonts w:ascii="仿宋_GB2312" w:hAnsi="宋体" w:eastAsia="仿宋_GB2312"/>
      <w:kern w:val="2"/>
      <w:sz w:val="31"/>
    </w:rPr>
  </w:style>
  <w:style w:type="paragraph" w:customStyle="1" w:styleId="44">
    <w:name w:val="正文缩进2格"/>
    <w:basedOn w:val="1"/>
    <w:link w:val="43"/>
    <w:autoRedefine/>
    <w:qFormat/>
    <w:uiPriority w:val="0"/>
    <w:pPr>
      <w:widowControl w:val="0"/>
      <w:adjustRightInd/>
      <w:snapToGrid/>
      <w:spacing w:line="600" w:lineRule="exact"/>
      <w:ind w:firstLine="639" w:firstLineChars="206"/>
      <w:jc w:val="both"/>
    </w:pPr>
    <w:rPr>
      <w:rFonts w:ascii="仿宋_GB2312" w:hAnsi="宋体" w:eastAsia="仿宋_GB2312"/>
      <w:kern w:val="2"/>
      <w:sz w:val="31"/>
    </w:rPr>
  </w:style>
  <w:style w:type="paragraph" w:customStyle="1" w:styleId="45">
    <w:name w:val="正文缩进4格"/>
    <w:basedOn w:val="44"/>
    <w:qFormat/>
    <w:uiPriority w:val="0"/>
    <w:pPr>
      <w:ind w:left="2" w:firstLine="538" w:firstLineChars="192"/>
    </w:pPr>
    <w:rPr>
      <w:color w:val="0000FF"/>
      <w:sz w:val="28"/>
    </w:rPr>
  </w:style>
  <w:style w:type="character" w:customStyle="1" w:styleId="46">
    <w:name w:val="正文缩进2格 Char Char"/>
    <w:autoRedefine/>
    <w:qFormat/>
    <w:uiPriority w:val="0"/>
    <w:rPr>
      <w:rFonts w:ascii="仿宋_GB2312" w:hAnsi="宋体" w:eastAsia="仿宋_GB2312" w:cs="Times New Roman"/>
      <w:b/>
      <w:kern w:val="2"/>
      <w:sz w:val="31"/>
      <w:szCs w:val="28"/>
      <w:lang w:val="en-US" w:eastAsia="zh-CN" w:bidi="ar-SA"/>
    </w:rPr>
  </w:style>
  <w:style w:type="paragraph" w:customStyle="1" w:styleId="47">
    <w:name w:val="_Style 3"/>
    <w:basedOn w:val="1"/>
    <w:autoRedefine/>
    <w:qFormat/>
    <w:uiPriority w:val="0"/>
    <w:pPr>
      <w:widowControl w:val="0"/>
      <w:adjustRightInd/>
      <w:snapToGrid/>
      <w:ind w:firstLine="420" w:firstLineChars="200"/>
      <w:jc w:val="both"/>
    </w:pPr>
    <w:rPr>
      <w:rFonts w:ascii="Times New Roman" w:hAnsi="Times New Roman" w:cs="Times New Roman"/>
      <w:kern w:val="2"/>
      <w:szCs w:val="24"/>
    </w:rPr>
  </w:style>
  <w:style w:type="character" w:customStyle="1" w:styleId="48">
    <w:name w:val="标题1"/>
    <w:autoRedefine/>
    <w:qFormat/>
    <w:uiPriority w:val="0"/>
    <w:rPr>
      <w:rFonts w:ascii="Times New Roman" w:hAnsi="Times New Roman" w:eastAsia="宋体" w:cs="Times New Roman"/>
      <w:b/>
      <w:kern w:val="0"/>
      <w:sz w:val="24"/>
      <w:szCs w:val="20"/>
      <w:lang w:eastAsia="en-US"/>
    </w:rPr>
  </w:style>
  <w:style w:type="character" w:customStyle="1" w:styleId="49">
    <w:name w:val="标题 3.1 Char"/>
    <w:link w:val="50"/>
    <w:autoRedefine/>
    <w:qFormat/>
    <w:uiPriority w:val="0"/>
    <w:rPr>
      <w:rFonts w:ascii="宋体" w:hAnsi="宋体" w:eastAsia="宋体"/>
      <w:b/>
      <w:color w:val="FF0000"/>
      <w:kern w:val="2"/>
      <w:sz w:val="32"/>
    </w:rPr>
  </w:style>
  <w:style w:type="paragraph" w:customStyle="1" w:styleId="50">
    <w:name w:val="标题 3.1"/>
    <w:basedOn w:val="5"/>
    <w:link w:val="49"/>
    <w:qFormat/>
    <w:uiPriority w:val="0"/>
    <w:pPr>
      <w:widowControl w:val="0"/>
      <w:tabs>
        <w:tab w:val="left" w:pos="1440"/>
        <w:tab w:val="left" w:pos="1620"/>
      </w:tabs>
      <w:adjustRightInd/>
      <w:snapToGrid/>
      <w:spacing w:line="600" w:lineRule="exact"/>
      <w:jc w:val="both"/>
    </w:pPr>
    <w:rPr>
      <w:rFonts w:ascii="宋体" w:hAnsi="宋体"/>
      <w:bCs w:val="0"/>
      <w:color w:val="FF0000"/>
      <w:kern w:val="2"/>
      <w:szCs w:val="22"/>
    </w:rPr>
  </w:style>
  <w:style w:type="character" w:customStyle="1" w:styleId="51">
    <w:name w:val="样式 楷体_GB2312 小四"/>
    <w:autoRedefine/>
    <w:qFormat/>
    <w:uiPriority w:val="0"/>
    <w:rPr>
      <w:rFonts w:ascii="楷体_GB2312" w:hAnsi="楷体_GB2312" w:eastAsia="仿宋_GB2312"/>
      <w:sz w:val="24"/>
    </w:rPr>
  </w:style>
  <w:style w:type="character" w:customStyle="1" w:styleId="52">
    <w:name w:val="纯文本 Char"/>
    <w:autoRedefine/>
    <w:qFormat/>
    <w:uiPriority w:val="0"/>
    <w:rPr>
      <w:rFonts w:ascii="宋体" w:hAnsi="Courier New" w:eastAsia="宋体" w:cs="Times New Roman"/>
      <w:b/>
      <w:kern w:val="2"/>
      <w:sz w:val="21"/>
      <w:szCs w:val="20"/>
    </w:rPr>
  </w:style>
  <w:style w:type="character" w:customStyle="1" w:styleId="53">
    <w:name w:val="纯文本 字符"/>
    <w:basedOn w:val="32"/>
    <w:link w:val="14"/>
    <w:autoRedefine/>
    <w:semiHidden/>
    <w:qFormat/>
    <w:uiPriority w:val="99"/>
    <w:rPr>
      <w:rFonts w:ascii="宋体" w:hAnsi="Courier New" w:eastAsia="宋体" w:cs="Courier New"/>
      <w:sz w:val="21"/>
      <w:szCs w:val="21"/>
    </w:rPr>
  </w:style>
  <w:style w:type="character" w:customStyle="1" w:styleId="54">
    <w:name w:val="页眉 字符"/>
    <w:basedOn w:val="32"/>
    <w:link w:val="18"/>
    <w:autoRedefine/>
    <w:qFormat/>
    <w:uiPriority w:val="99"/>
    <w:rPr>
      <w:rFonts w:ascii="Tahoma" w:hAnsi="Tahoma"/>
      <w:sz w:val="18"/>
      <w:szCs w:val="18"/>
    </w:rPr>
  </w:style>
  <w:style w:type="character" w:customStyle="1" w:styleId="55">
    <w:name w:val="页脚 字符"/>
    <w:basedOn w:val="32"/>
    <w:link w:val="17"/>
    <w:autoRedefine/>
    <w:qFormat/>
    <w:uiPriority w:val="99"/>
    <w:rPr>
      <w:rFonts w:ascii="Tahoma" w:hAnsi="Tahoma"/>
      <w:sz w:val="18"/>
      <w:szCs w:val="18"/>
    </w:rPr>
  </w:style>
  <w:style w:type="character" w:customStyle="1" w:styleId="56">
    <w:name w:val="批注框文本 字符"/>
    <w:basedOn w:val="32"/>
    <w:link w:val="16"/>
    <w:semiHidden/>
    <w:qFormat/>
    <w:uiPriority w:val="99"/>
    <w:rPr>
      <w:rFonts w:ascii="Tahoma" w:hAnsi="Tahoma"/>
      <w:sz w:val="18"/>
      <w:szCs w:val="18"/>
    </w:rPr>
  </w:style>
  <w:style w:type="paragraph" w:customStyle="1" w:styleId="57">
    <w:name w:val="Char Char2 Char"/>
    <w:basedOn w:val="1"/>
    <w:qFormat/>
    <w:uiPriority w:val="0"/>
    <w:pPr>
      <w:widowControl w:val="0"/>
      <w:adjustRightInd/>
      <w:snapToGrid/>
      <w:jc w:val="both"/>
    </w:pPr>
    <w:rPr>
      <w:rFonts w:ascii="宋体" w:hAnsi="宋体" w:cs="Times New Roman"/>
      <w:b/>
      <w:kern w:val="2"/>
      <w:sz w:val="28"/>
      <w:szCs w:val="28"/>
    </w:rPr>
  </w:style>
  <w:style w:type="character" w:customStyle="1" w:styleId="58">
    <w:name w:val="普通(网站) 字符"/>
    <w:link w:val="25"/>
    <w:autoRedefine/>
    <w:qFormat/>
    <w:uiPriority w:val="0"/>
    <w:rPr>
      <w:rFonts w:eastAsia="宋体"/>
      <w:kern w:val="2"/>
      <w:sz w:val="24"/>
      <w:szCs w:val="24"/>
    </w:rPr>
  </w:style>
  <w:style w:type="paragraph" w:customStyle="1" w:styleId="59">
    <w:name w:val="列出段落1"/>
    <w:basedOn w:val="1"/>
    <w:qFormat/>
    <w:uiPriority w:val="99"/>
    <w:pPr>
      <w:widowControl w:val="0"/>
      <w:adjustRightInd/>
      <w:snapToGrid/>
      <w:ind w:firstLine="420" w:firstLineChars="200"/>
      <w:jc w:val="both"/>
    </w:pPr>
    <w:rPr>
      <w:rFonts w:ascii="Times New Roman" w:hAnsi="Times New Roman" w:cs="Times New Roman"/>
      <w:kern w:val="2"/>
      <w:sz w:val="24"/>
      <w:szCs w:val="24"/>
    </w:rPr>
  </w:style>
  <w:style w:type="character" w:customStyle="1" w:styleId="60">
    <w:name w:val="p141"/>
    <w:qFormat/>
    <w:uiPriority w:val="0"/>
    <w:rPr>
      <w:sz w:val="21"/>
      <w:szCs w:val="21"/>
    </w:rPr>
  </w:style>
  <w:style w:type="character" w:customStyle="1" w:styleId="61">
    <w:name w:val="批注文字 字符"/>
    <w:basedOn w:val="32"/>
    <w:link w:val="9"/>
    <w:autoRedefine/>
    <w:qFormat/>
    <w:uiPriority w:val="99"/>
    <w:rPr>
      <w:rFonts w:ascii="Tahoma" w:hAnsi="Tahoma" w:eastAsia="微软雅黑" w:cstheme="minorBidi"/>
      <w:sz w:val="22"/>
      <w:szCs w:val="22"/>
    </w:rPr>
  </w:style>
  <w:style w:type="character" w:customStyle="1" w:styleId="62">
    <w:name w:val="批注主题 字符"/>
    <w:basedOn w:val="61"/>
    <w:link w:val="26"/>
    <w:autoRedefine/>
    <w:semiHidden/>
    <w:qFormat/>
    <w:uiPriority w:val="99"/>
    <w:rPr>
      <w:rFonts w:ascii="Tahoma" w:hAnsi="Tahoma" w:eastAsia="微软雅黑" w:cstheme="minorBidi"/>
      <w:b/>
      <w:bCs/>
      <w:sz w:val="22"/>
      <w:szCs w:val="22"/>
    </w:rPr>
  </w:style>
  <w:style w:type="character" w:customStyle="1" w:styleId="63">
    <w:name w:val="列表段落 字符"/>
    <w:link w:val="41"/>
    <w:autoRedefine/>
    <w:qFormat/>
    <w:uiPriority w:val="0"/>
    <w:rPr>
      <w:rFonts w:ascii="Tahoma" w:hAnsi="Tahoma" w:eastAsia="微软雅黑" w:cstheme="minorBidi"/>
      <w:sz w:val="22"/>
      <w:szCs w:val="22"/>
    </w:rPr>
  </w:style>
  <w:style w:type="character" w:customStyle="1" w:styleId="64">
    <w:name w:val="正文文本 字符"/>
    <w:basedOn w:val="32"/>
    <w:link w:val="10"/>
    <w:autoRedefine/>
    <w:qFormat/>
    <w:uiPriority w:val="1"/>
    <w:rPr>
      <w:rFonts w:ascii="宋体" w:hAnsi="宋体" w:cs="宋体"/>
      <w:sz w:val="24"/>
      <w:szCs w:val="22"/>
      <w:lang w:val="zh-CN" w:bidi="zh-CN"/>
    </w:rPr>
  </w:style>
  <w:style w:type="paragraph" w:customStyle="1" w:styleId="65">
    <w:name w:val="Default"/>
    <w:autoRedefine/>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66">
    <w:name w:val="_Style 1"/>
    <w:basedOn w:val="1"/>
    <w:autoRedefine/>
    <w:qFormat/>
    <w:uiPriority w:val="0"/>
    <w:pPr>
      <w:ind w:firstLine="420" w:firstLineChars="200"/>
    </w:pPr>
  </w:style>
  <w:style w:type="paragraph" w:customStyle="1" w:styleId="67">
    <w:name w:val="列出段落2"/>
    <w:basedOn w:val="1"/>
    <w:autoRedefine/>
    <w:qFormat/>
    <w:uiPriority w:val="0"/>
    <w:pPr>
      <w:ind w:firstLine="420" w:firstLineChars="200"/>
    </w:pPr>
  </w:style>
  <w:style w:type="paragraph" w:customStyle="1" w:styleId="68">
    <w:name w:val="p0"/>
    <w:basedOn w:val="1"/>
    <w:autoRedefine/>
    <w:qFormat/>
    <w:uiPriority w:val="0"/>
    <w:rPr>
      <w:szCs w:val="21"/>
    </w:rPr>
  </w:style>
  <w:style w:type="paragraph" w:customStyle="1" w:styleId="69">
    <w:name w:val="正文文本缩进 21"/>
    <w:basedOn w:val="1"/>
    <w:autoRedefine/>
    <w:qFormat/>
    <w:uiPriority w:val="0"/>
    <w:pPr>
      <w:spacing w:line="480" w:lineRule="auto"/>
      <w:ind w:firstLine="540"/>
    </w:pPr>
    <w:rPr>
      <w:rFonts w:ascii="Calibri" w:hAnsi="Calibri"/>
      <w:sz w:val="20"/>
      <w:szCs w:val="20"/>
    </w:rPr>
  </w:style>
  <w:style w:type="paragraph" w:customStyle="1" w:styleId="70">
    <w:name w:val="_Style 2"/>
    <w:basedOn w:val="1"/>
    <w:autoRedefine/>
    <w:qFormat/>
    <w:uiPriority w:val="0"/>
    <w:pPr>
      <w:ind w:firstLine="420" w:firstLineChars="200"/>
    </w:pPr>
  </w:style>
  <w:style w:type="paragraph" w:customStyle="1" w:styleId="71">
    <w:name w:val="msolistparagraph"/>
    <w:basedOn w:val="1"/>
    <w:autoRedefine/>
    <w:qFormat/>
    <w:uiPriority w:val="0"/>
    <w:pPr>
      <w:ind w:firstLine="420" w:firstLineChars="200"/>
    </w:pPr>
    <w:rPr>
      <w:rFonts w:hint="eastAsia" w:hAnsi="宋体"/>
    </w:rPr>
  </w:style>
  <w:style w:type="character" w:customStyle="1" w:styleId="72">
    <w:name w:val="标题 5 字符"/>
    <w:link w:val="7"/>
    <w:autoRedefine/>
    <w:qFormat/>
    <w:uiPriority w:val="0"/>
    <w:rPr>
      <w:b/>
      <w:sz w:val="28"/>
    </w:rPr>
  </w:style>
  <w:style w:type="character" w:customStyle="1" w:styleId="73">
    <w:name w:val="标题 1 字符"/>
    <w:link w:val="3"/>
    <w:autoRedefine/>
    <w:qFormat/>
    <w:uiPriority w:val="9"/>
    <w:rPr>
      <w:b/>
      <w:kern w:val="44"/>
      <w:sz w:val="44"/>
    </w:rPr>
  </w:style>
  <w:style w:type="paragraph" w:customStyle="1" w:styleId="74">
    <w:name w:val="修订1"/>
    <w:autoRedefine/>
    <w:hidden/>
    <w:semiHidden/>
    <w:qFormat/>
    <w:uiPriority w:val="99"/>
    <w:rPr>
      <w:rFonts w:ascii="Tahoma" w:hAnsi="Tahoma" w:eastAsia="宋体" w:cstheme="minorBidi"/>
      <w:sz w:val="21"/>
      <w:szCs w:val="22"/>
      <w:lang w:val="en-US" w:eastAsia="zh-CN" w:bidi="ar-SA"/>
    </w:rPr>
  </w:style>
  <w:style w:type="paragraph" w:customStyle="1" w:styleId="75">
    <w:name w:val="表格文字"/>
    <w:basedOn w:val="1"/>
    <w:autoRedefine/>
    <w:qFormat/>
    <w:uiPriority w:val="0"/>
    <w:pPr>
      <w:adjustRightInd/>
      <w:spacing w:before="25" w:after="25"/>
    </w:pPr>
    <w:rPr>
      <w:rFonts w:ascii="Times New Roman"/>
      <w:bCs/>
      <w:spacing w:val="10"/>
      <w:szCs w:val="20"/>
    </w:rPr>
  </w:style>
  <w:style w:type="paragraph" w:customStyle="1" w:styleId="76">
    <w:name w:val="纯文本1"/>
    <w:basedOn w:val="77"/>
    <w:qFormat/>
    <w:uiPriority w:val="0"/>
    <w:rPr>
      <w:rFonts w:ascii="宋体" w:hAnsi="Courier New"/>
      <w:szCs w:val="20"/>
    </w:rPr>
  </w:style>
  <w:style w:type="paragraph" w:customStyle="1" w:styleId="77">
    <w:name w:val="正文 New"/>
    <w:autoRedefine/>
    <w:qFormat/>
    <w:uiPriority w:val="99"/>
    <w:pPr>
      <w:widowControl w:val="0"/>
      <w:spacing w:line="360" w:lineRule="auto"/>
      <w:jc w:val="both"/>
    </w:pPr>
    <w:rPr>
      <w:rFonts w:ascii="Times New Roman" w:hAnsi="Times New Roman" w:eastAsia="宋体" w:cs="黑体"/>
      <w:kern w:val="2"/>
      <w:sz w:val="21"/>
      <w:szCs w:val="22"/>
      <w:lang w:val="en-US" w:eastAsia="zh-CN" w:bidi="ar-SA"/>
    </w:rPr>
  </w:style>
  <w:style w:type="paragraph" w:customStyle="1" w:styleId="78">
    <w:name w:val="正文2"/>
    <w:autoRedefine/>
    <w:qFormat/>
    <w:uiPriority w:val="0"/>
    <w:pPr>
      <w:jc w:val="both"/>
    </w:pPr>
    <w:rPr>
      <w:rFonts w:ascii="Times New Roman" w:hAnsi="Times New Roman" w:eastAsia="宋体" w:cs="Times New Roman"/>
      <w:kern w:val="2"/>
      <w:sz w:val="21"/>
      <w:szCs w:val="21"/>
      <w:lang w:val="en-US" w:eastAsia="zh-CN" w:bidi="ar-SA"/>
    </w:rPr>
  </w:style>
  <w:style w:type="table" w:customStyle="1" w:styleId="79">
    <w:name w:val="Table Normal"/>
    <w:autoRedefine/>
    <w:semiHidden/>
    <w:unhideWhenUsed/>
    <w:qFormat/>
    <w:uiPriority w:val="2"/>
    <w:tblPr>
      <w:tblCellMar>
        <w:top w:w="0" w:type="dxa"/>
        <w:left w:w="0" w:type="dxa"/>
        <w:bottom w:w="0" w:type="dxa"/>
        <w:right w:w="0" w:type="dxa"/>
      </w:tblCellMar>
    </w:tblPr>
  </w:style>
  <w:style w:type="paragraph" w:customStyle="1" w:styleId="80">
    <w:name w:val="Table Paragraph"/>
    <w:basedOn w:val="1"/>
    <w:autoRedefine/>
    <w:qFormat/>
    <w:uiPriority w:val="1"/>
  </w:style>
  <w:style w:type="paragraph" w:customStyle="1" w:styleId="81">
    <w:name w:val="正文文本缩进1"/>
    <w:basedOn w:val="77"/>
    <w:autoRedefine/>
    <w:qFormat/>
    <w:uiPriority w:val="0"/>
    <w:pPr>
      <w:spacing w:after="120"/>
      <w:ind w:left="420" w:leftChars="200"/>
    </w:pPr>
  </w:style>
  <w:style w:type="paragraph" w:customStyle="1" w:styleId="82">
    <w:name w:val="正文 New New"/>
    <w:autoRedefine/>
    <w:qFormat/>
    <w:uiPriority w:val="0"/>
    <w:pPr>
      <w:widowControl w:val="0"/>
      <w:jc w:val="both"/>
    </w:pPr>
    <w:rPr>
      <w:rFonts w:ascii="Times New Roman" w:hAnsi="Times New Roman" w:eastAsia="宋体" w:cs="Times New Roman"/>
      <w:szCs w:val="24"/>
      <w:lang w:val="en-US" w:eastAsia="zh-CN" w:bidi="ar-SA"/>
    </w:rPr>
  </w:style>
  <w:style w:type="paragraph" w:customStyle="1" w:styleId="83">
    <w:name w:val="纯文本2"/>
    <w:basedOn w:val="77"/>
    <w:autoRedefine/>
    <w:qFormat/>
    <w:uiPriority w:val="0"/>
    <w:rPr>
      <w:rFonts w:ascii="宋体" w:hAnsi="Courier New"/>
      <w:szCs w:val="20"/>
    </w:rPr>
  </w:style>
  <w:style w:type="character" w:customStyle="1" w:styleId="84">
    <w:name w:val="font141"/>
    <w:autoRedefine/>
    <w:qFormat/>
    <w:uiPriority w:val="0"/>
    <w:rPr>
      <w:rFonts w:hint="default" w:ascii="Times New Roman" w:hAnsi="Times New Roman" w:cs="Times New Roman"/>
      <w:color w:val="000000"/>
      <w:sz w:val="18"/>
      <w:szCs w:val="18"/>
      <w:u w:val="none"/>
    </w:rPr>
  </w:style>
  <w:style w:type="character" w:customStyle="1" w:styleId="85">
    <w:name w:val="font71"/>
    <w:autoRedefine/>
    <w:qFormat/>
    <w:uiPriority w:val="0"/>
    <w:rPr>
      <w:rFonts w:hint="eastAsia" w:ascii="宋体" w:hAnsi="宋体" w:eastAsia="宋体" w:cs="宋体"/>
      <w:color w:val="000000"/>
      <w:sz w:val="18"/>
      <w:szCs w:val="18"/>
      <w:u w:val="none"/>
    </w:rPr>
  </w:style>
  <w:style w:type="character" w:customStyle="1" w:styleId="86">
    <w:name w:val="font61"/>
    <w:autoRedefine/>
    <w:qFormat/>
    <w:uiPriority w:val="0"/>
    <w:rPr>
      <w:rFonts w:hint="default" w:ascii="等线" w:hAnsi="等线" w:eastAsia="等线" w:cs="等线"/>
      <w:b/>
      <w:bCs/>
      <w:color w:val="FF0000"/>
      <w:sz w:val="22"/>
      <w:szCs w:val="22"/>
      <w:u w:val="none"/>
    </w:rPr>
  </w:style>
  <w:style w:type="character" w:customStyle="1" w:styleId="87">
    <w:name w:val="font31"/>
    <w:basedOn w:val="32"/>
    <w:autoRedefine/>
    <w:qFormat/>
    <w:uiPriority w:val="0"/>
    <w:rPr>
      <w:rFonts w:hint="eastAsia" w:ascii="宋体" w:hAnsi="宋体" w:eastAsia="宋体" w:cs="宋体"/>
      <w:color w:val="000000"/>
      <w:sz w:val="22"/>
      <w:szCs w:val="22"/>
      <w:u w:val="none"/>
    </w:rPr>
  </w:style>
  <w:style w:type="character" w:customStyle="1" w:styleId="88">
    <w:name w:val="font41"/>
    <w:basedOn w:val="32"/>
    <w:autoRedefine/>
    <w:qFormat/>
    <w:uiPriority w:val="0"/>
    <w:rPr>
      <w:rFonts w:hint="eastAsia" w:ascii="宋体" w:hAnsi="宋体" w:eastAsia="宋体" w:cs="宋体"/>
      <w:color w:val="FF0000"/>
      <w:sz w:val="22"/>
      <w:szCs w:val="22"/>
      <w:u w:val="none"/>
    </w:rPr>
  </w:style>
  <w:style w:type="character" w:customStyle="1" w:styleId="89">
    <w:name w:val="font01"/>
    <w:basedOn w:val="32"/>
    <w:autoRedefine/>
    <w:qFormat/>
    <w:uiPriority w:val="0"/>
    <w:rPr>
      <w:rFonts w:hint="eastAsia" w:ascii="宋体" w:hAnsi="宋体" w:eastAsia="宋体" w:cs="宋体"/>
      <w:color w:val="000000"/>
      <w:sz w:val="22"/>
      <w:szCs w:val="22"/>
      <w:u w:val="none"/>
    </w:rPr>
  </w:style>
  <w:style w:type="paragraph" w:customStyle="1" w:styleId="90">
    <w:name w:val="Table Text"/>
    <w:basedOn w:val="1"/>
    <w:semiHidden/>
    <w:qFormat/>
    <w:uiPriority w:val="0"/>
    <w:rPr>
      <w:rFonts w:ascii="宋体" w:hAnsi="宋体" w:eastAsia="宋体" w:cs="宋体"/>
      <w:sz w:val="21"/>
      <w:szCs w:val="21"/>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3" Type="http://schemas.openxmlformats.org/officeDocument/2006/relationships/fontTable" Target="fontTable.xml"/><Relationship Id="rId22" Type="http://schemas.openxmlformats.org/officeDocument/2006/relationships/customXml" Target="../customXml/item2.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4.png"/><Relationship Id="rId18" Type="http://schemas.openxmlformats.org/officeDocument/2006/relationships/image" Target="media/image3.png"/><Relationship Id="rId17" Type="http://schemas.openxmlformats.org/officeDocument/2006/relationships/image" Target="media/image2.png"/><Relationship Id="rId16" Type="http://schemas.openxmlformats.org/officeDocument/2006/relationships/image" Target="media/image1.png"/><Relationship Id="rId15" Type="http://schemas.openxmlformats.org/officeDocument/2006/relationships/theme" Target="theme/theme1.xml"/><Relationship Id="rId14" Type="http://schemas.openxmlformats.org/officeDocument/2006/relationships/footer" Target="footer5.xml"/><Relationship Id="rId13" Type="http://schemas.openxmlformats.org/officeDocument/2006/relationships/footer" Target="footer4.xml"/><Relationship Id="rId12" Type="http://schemas.openxmlformats.org/officeDocument/2006/relationships/header" Target="header5.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72FDE4B-77BC-4B7C-94B1-DC883D126658}">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114</Pages>
  <Words>55843</Words>
  <Characters>58525</Characters>
  <Lines>66</Lines>
  <Paragraphs>65</Paragraphs>
  <TotalTime>11</TotalTime>
  <ScaleCrop>false</ScaleCrop>
  <LinksUpToDate>false</LinksUpToDate>
  <CharactersWithSpaces>60403</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2022-10-28T09:19:00Z</dcterms:created>
  <dc:creator>MyPC</dc:creator>
  <cp:lastModifiedBy>仰望星空</cp:lastModifiedBy>
  <cp:lastPrinted>2022-12-01T06:09:00Z</cp:lastPrinted>
  <dcterms:modified xsi:type="dcterms:W3CDTF">2025-10-28T07:28:15Z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ICV">
    <vt:lpwstr>9B4496D277B841E2864CE244E6A8E62A_13</vt:lpwstr>
  </property>
  <property fmtid="{D5CDD505-2E9C-101B-9397-08002B2CF9AE}" pid="4" name="KSOTemplateDocerSaveRecord">
    <vt:lpwstr>eyJoZGlkIjoiZjU4NWFhMGMzNzUyMDc0OTg0MWY2YzhkNTYxN2ZhZGIiLCJ1c2VySWQiOiI0MTEwODk2MjcifQ==</vt:lpwstr>
  </property>
</Properties>
</file>