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eastAsia="华文中宋"/>
          <w:color w:val="auto"/>
          <w:sz w:val="44"/>
          <w:szCs w:val="44"/>
        </w:rPr>
      </w:pPr>
      <w:r>
        <w:rPr>
          <w:rFonts w:hint="eastAsia" w:eastAsia="华文中宋"/>
          <w:color w:val="auto"/>
          <w:sz w:val="44"/>
          <w:szCs w:val="44"/>
        </w:rPr>
        <w:t>竞争性谈判文件</w:t>
      </w:r>
    </w:p>
    <w:p>
      <w:pPr>
        <w:spacing w:line="600" w:lineRule="exact"/>
        <w:ind w:firstLine="640" w:firstLineChars="200"/>
        <w:rPr>
          <w:rFonts w:eastAsia="仿宋_GB2312"/>
          <w:color w:val="auto"/>
          <w:sz w:val="32"/>
          <w:szCs w:val="32"/>
          <w:highlight w:val="none"/>
        </w:rPr>
      </w:pPr>
      <w:bookmarkStart w:id="0" w:name="OLE_LINK4"/>
      <w:r>
        <w:rPr>
          <w:rFonts w:hint="eastAsia" w:eastAsia="仿宋_GB2312"/>
          <w:color w:val="auto"/>
          <w:sz w:val="32"/>
          <w:szCs w:val="32"/>
          <w:highlight w:val="none"/>
          <w:u w:val="single"/>
          <w:lang w:val="en-US" w:eastAsia="zh-CN"/>
        </w:rPr>
        <w:t>东莞市东富投资发展有限</w:t>
      </w:r>
      <w:r>
        <w:rPr>
          <w:rFonts w:hint="eastAsia" w:eastAsia="仿宋_GB2312"/>
          <w:color w:val="auto"/>
          <w:sz w:val="32"/>
          <w:szCs w:val="32"/>
          <w:highlight w:val="none"/>
          <w:u w:val="single"/>
        </w:rPr>
        <w:t>公司</w:t>
      </w:r>
      <w:bookmarkEnd w:id="0"/>
      <w:r>
        <w:rPr>
          <w:rFonts w:hint="eastAsia" w:eastAsia="仿宋_GB2312"/>
          <w:color w:val="auto"/>
          <w:sz w:val="32"/>
          <w:szCs w:val="32"/>
          <w:highlight w:val="none"/>
        </w:rPr>
        <w:t>需采购一家</w:t>
      </w:r>
      <w:r>
        <w:rPr>
          <w:rFonts w:hint="eastAsia" w:eastAsia="仿宋_GB2312"/>
          <w:color w:val="auto"/>
          <w:sz w:val="32"/>
          <w:szCs w:val="32"/>
          <w:highlight w:val="none"/>
          <w:u w:val="single"/>
          <w:lang w:eastAsia="zh-CN"/>
        </w:rPr>
        <w:t>多测合一</w:t>
      </w:r>
      <w:r>
        <w:rPr>
          <w:rFonts w:hint="eastAsia" w:eastAsia="仿宋_GB2312"/>
          <w:color w:val="auto"/>
          <w:sz w:val="32"/>
          <w:szCs w:val="32"/>
          <w:highlight w:val="none"/>
        </w:rPr>
        <w:t>单位单位，现将相关情况介绍如下：</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一、项目名称及内容</w:t>
      </w:r>
    </w:p>
    <w:p>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lang w:val="en-US" w:eastAsia="zh-CN"/>
        </w:rPr>
        <w:t>虎门镇衣流时尚园一期A区3号地块项目多测合一服务</w:t>
      </w:r>
      <w:r>
        <w:rPr>
          <w:rFonts w:hint="eastAsia" w:eastAsia="仿宋_GB2312"/>
          <w:color w:val="auto"/>
          <w:sz w:val="32"/>
          <w:szCs w:val="32"/>
          <w:highlight w:val="none"/>
          <w:u w:val="single"/>
        </w:rPr>
        <w:t>；</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0" w:firstLineChars="200"/>
        <w:jc w:val="left"/>
        <w:rPr>
          <w:rFonts w:hint="eastAsia" w:eastAsia="仿宋_GB2312"/>
          <w:color w:val="auto"/>
          <w:sz w:val="32"/>
          <w:szCs w:val="32"/>
          <w:highlight w:val="none"/>
          <w:u w:val="single"/>
          <w:lang w:eastAsia="zh-CN"/>
        </w:rPr>
      </w:pPr>
      <w:r>
        <w:rPr>
          <w:rFonts w:eastAsia="仿宋_GB2312"/>
          <w:color w:val="auto"/>
          <w:sz w:val="32"/>
          <w:szCs w:val="32"/>
          <w:highlight w:val="none"/>
        </w:rPr>
        <w:t>2</w:t>
      </w:r>
      <w:r>
        <w:rPr>
          <w:rFonts w:hint="eastAsia" w:eastAsia="仿宋_GB2312"/>
          <w:color w:val="auto"/>
          <w:sz w:val="32"/>
          <w:szCs w:val="32"/>
          <w:highlight w:val="none"/>
          <w:u w:val="none"/>
        </w:rPr>
        <w:t>、</w:t>
      </w:r>
      <w:r>
        <w:rPr>
          <w:rFonts w:hint="eastAsia" w:eastAsia="仿宋_GB2312"/>
          <w:color w:val="auto"/>
          <w:sz w:val="32"/>
          <w:szCs w:val="32"/>
          <w:highlight w:val="none"/>
          <w:u w:val="none"/>
          <w:lang w:val="en-US" w:eastAsia="zh-CN"/>
        </w:rPr>
        <w:t>项目概况：</w:t>
      </w:r>
      <w:bookmarkStart w:id="1" w:name="OLE_LINK5"/>
      <w:r>
        <w:rPr>
          <w:rFonts w:hint="eastAsia" w:eastAsia="仿宋_GB2312"/>
          <w:color w:val="auto"/>
          <w:sz w:val="32"/>
          <w:szCs w:val="32"/>
          <w:highlight w:val="none"/>
          <w:u w:val="single"/>
          <w:lang w:val="en-US" w:eastAsia="zh-CN"/>
        </w:rPr>
        <w:t>虎门镇衣流时尚园A区3号地块项目位于虎门镇镇口第一工业区，项目占地面积约12594.12平方米，总建筑面积约62286.84平方米，其中计容建筑面积50376.48平方米。项目将建设1栋12层工业厂房及园区管委会、消防救援站，主要生产制造纺织服装。（具体建设规模及内容以批复的文件为准）。</w:t>
      </w:r>
    </w:p>
    <w:bookmarkEnd w:id="1"/>
    <w:p>
      <w:pPr>
        <w:adjustRightInd w:val="0"/>
        <w:snapToGrid w:val="0"/>
        <w:spacing w:line="600" w:lineRule="exact"/>
        <w:ind w:firstLine="640" w:firstLineChars="200"/>
        <w:rPr>
          <w:rFonts w:hint="eastAsia" w:eastAsia="仿宋_GB2312" w:cs="Times New Roman"/>
          <w:color w:val="auto"/>
          <w:kern w:val="0"/>
          <w:sz w:val="32"/>
          <w:szCs w:val="32"/>
          <w:highlight w:val="none"/>
          <w:u w:val="single"/>
          <w:lang w:val="en-US" w:eastAsia="zh-CN" w:bidi="ar-SA"/>
        </w:rPr>
      </w:pPr>
      <w:r>
        <w:rPr>
          <w:rFonts w:hint="default" w:eastAsia="仿宋_GB2312" w:cs="Times New Roman"/>
          <w:color w:val="auto"/>
          <w:kern w:val="0"/>
          <w:sz w:val="32"/>
          <w:szCs w:val="32"/>
          <w:highlight w:val="none"/>
          <w:u w:val="none"/>
          <w:lang w:val="en-US" w:eastAsia="zh-CN" w:bidi="ar-SA"/>
        </w:rPr>
        <w:t>3</w:t>
      </w:r>
      <w:r>
        <w:rPr>
          <w:rFonts w:hint="eastAsia" w:eastAsia="仿宋_GB2312" w:cs="Times New Roman"/>
          <w:color w:val="auto"/>
          <w:kern w:val="0"/>
          <w:sz w:val="32"/>
          <w:szCs w:val="32"/>
          <w:highlight w:val="none"/>
          <w:u w:val="none"/>
          <w:lang w:val="en-US" w:eastAsia="zh-CN" w:bidi="ar-SA"/>
        </w:rPr>
        <w:t>、采购范围：</w:t>
      </w:r>
      <w:bookmarkStart w:id="2" w:name="OLE_LINK6"/>
      <w:r>
        <w:rPr>
          <w:rFonts w:hint="eastAsia" w:eastAsia="仿宋_GB2312" w:cs="Times New Roman"/>
          <w:color w:val="auto"/>
          <w:kern w:val="0"/>
          <w:sz w:val="32"/>
          <w:szCs w:val="32"/>
          <w:highlight w:val="none"/>
          <w:u w:val="single"/>
          <w:lang w:val="en-US" w:eastAsia="zh-CN" w:bidi="ar-SA"/>
        </w:rPr>
        <w:t>测量内容含：地形图测绘、规划条件核实测量（包括初测和复测）以及不动产测量等。</w:t>
      </w:r>
      <w:bookmarkEnd w:id="2"/>
    </w:p>
    <w:p>
      <w:pPr>
        <w:adjustRightInd w:val="0"/>
        <w:snapToGrid w:val="0"/>
        <w:spacing w:line="600" w:lineRule="exact"/>
        <w:ind w:firstLine="640" w:firstLineChars="200"/>
        <w:rPr>
          <w:rFonts w:eastAsia="仿宋_GB2312"/>
          <w:color w:val="auto"/>
          <w:sz w:val="32"/>
          <w:szCs w:val="32"/>
          <w:highlight w:val="none"/>
        </w:rPr>
      </w:pPr>
      <w:r>
        <w:rPr>
          <w:rFonts w:hint="default" w:eastAsia="仿宋_GB2312"/>
          <w:color w:val="auto"/>
          <w:sz w:val="32"/>
          <w:szCs w:val="32"/>
          <w:highlight w:val="none"/>
          <w:lang w:val="en-US"/>
        </w:rPr>
        <w:t>4</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东莞市</w:t>
      </w:r>
      <w:r>
        <w:rPr>
          <w:rFonts w:hint="eastAsia" w:eastAsia="仿宋_GB2312"/>
          <w:color w:val="auto"/>
          <w:sz w:val="32"/>
          <w:szCs w:val="32"/>
          <w:highlight w:val="none"/>
          <w:u w:val="single"/>
          <w:lang w:val="en-US" w:eastAsia="zh-CN"/>
        </w:rPr>
        <w:t>虎门镇</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pPr>
        <w:keepNext w:val="0"/>
        <w:keepLines w:val="0"/>
        <w:pageBreakBefore w:val="0"/>
        <w:kinsoku/>
        <w:wordWrap/>
        <w:overflowPunct/>
        <w:topLinePunct w:val="0"/>
        <w:autoSpaceDE/>
        <w:autoSpaceDN/>
        <w:bidi w:val="0"/>
        <w:adjustRightInd w:val="0"/>
        <w:snapToGrid w:val="0"/>
        <w:spacing w:line="276" w:lineRule="auto"/>
        <w:ind w:firstLine="640" w:firstLineChars="200"/>
        <w:textAlignment w:val="auto"/>
        <w:rPr>
          <w:rFonts w:hint="eastAsia" w:eastAsia="仿宋_GB2312"/>
          <w:color w:val="auto"/>
          <w:sz w:val="32"/>
          <w:szCs w:val="32"/>
          <w:highlight w:val="none"/>
          <w:u w:val="single"/>
          <w:lang w:eastAsia="zh-CN"/>
        </w:rPr>
      </w:pPr>
      <w:r>
        <w:rPr>
          <w:rFonts w:hint="default" w:eastAsia="仿宋_GB2312"/>
          <w:color w:val="auto"/>
          <w:sz w:val="32"/>
          <w:szCs w:val="32"/>
          <w:highlight w:val="none"/>
          <w:lang w:val="en-US"/>
        </w:rPr>
        <w:t>5</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r>
        <w:rPr>
          <w:rFonts w:hint="default" w:eastAsia="仿宋_GB2312"/>
          <w:color w:val="auto"/>
          <w:sz w:val="32"/>
          <w:szCs w:val="32"/>
          <w:highlight w:val="none"/>
          <w:u w:val="single"/>
          <w:lang w:val="en-US"/>
        </w:rPr>
        <w:t>详见《</w:t>
      </w:r>
      <w:r>
        <w:rPr>
          <w:rFonts w:hint="eastAsia" w:eastAsia="仿宋_GB2312"/>
          <w:color w:val="auto"/>
          <w:sz w:val="32"/>
          <w:szCs w:val="32"/>
          <w:highlight w:val="none"/>
          <w:u w:val="single"/>
          <w:lang w:val="en-US" w:eastAsia="zh-CN"/>
        </w:rPr>
        <w:t>谈判</w:t>
      </w:r>
      <w:r>
        <w:rPr>
          <w:rFonts w:hint="default" w:eastAsia="仿宋_GB2312"/>
          <w:color w:val="auto"/>
          <w:sz w:val="32"/>
          <w:szCs w:val="32"/>
          <w:highlight w:val="none"/>
          <w:u w:val="single"/>
          <w:lang w:val="en-US"/>
        </w:rPr>
        <w:t>文件》</w:t>
      </w:r>
      <w:r>
        <w:rPr>
          <w:rFonts w:hint="eastAsia" w:eastAsia="仿宋_GB2312"/>
          <w:color w:val="auto"/>
          <w:sz w:val="32"/>
          <w:szCs w:val="32"/>
          <w:highlight w:val="none"/>
          <w:u w:val="single"/>
          <w:lang w:val="en-US" w:eastAsia="zh-CN"/>
        </w:rPr>
        <w:t>第三部分</w:t>
      </w:r>
      <w:r>
        <w:rPr>
          <w:rFonts w:hint="default" w:eastAsia="仿宋_GB2312"/>
          <w:color w:val="auto"/>
          <w:sz w:val="32"/>
          <w:szCs w:val="32"/>
          <w:highlight w:val="none"/>
          <w:u w:val="single"/>
          <w:lang w:val="en-US"/>
        </w:rPr>
        <w:t>《合同文本》</w:t>
      </w:r>
      <w:r>
        <w:rPr>
          <w:rFonts w:hint="eastAsia" w:eastAsia="仿宋_GB2312"/>
          <w:color w:val="auto"/>
          <w:sz w:val="32"/>
          <w:szCs w:val="32"/>
          <w:highlight w:val="none"/>
          <w:u w:val="single"/>
          <w:lang w:eastAsia="zh-CN"/>
        </w:rPr>
        <w:t>。</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二、项目发布</w:t>
      </w:r>
    </w:p>
    <w:p>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w:t>
      </w:r>
      <w:r>
        <w:rPr>
          <w:rFonts w:eastAsia="仿宋_GB2312"/>
          <w:color w:val="auto"/>
          <w:sz w:val="32"/>
          <w:szCs w:val="32"/>
          <w:highlight w:val="none"/>
        </w:rPr>
        <w:t>http://www.dgsy.com.cn/</w:t>
      </w:r>
      <w:r>
        <w:rPr>
          <w:rFonts w:hint="eastAsia" w:eastAsia="仿宋_GB2312"/>
          <w:color w:val="auto"/>
          <w:sz w:val="32"/>
          <w:szCs w:val="32"/>
          <w:highlight w:val="none"/>
        </w:rPr>
        <w:t>）发布（参照《东实集团招标采购管理办法》、《工程招标实施细则》、《采购实施细则》要求执行）。</w:t>
      </w:r>
    </w:p>
    <w:p>
      <w:pPr>
        <w:adjustRightInd w:val="0"/>
        <w:snapToGrid w:val="0"/>
        <w:spacing w:line="600" w:lineRule="exact"/>
        <w:ind w:firstLine="640" w:firstLineChars="200"/>
        <w:outlineLvl w:val="0"/>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pPr>
        <w:adjustRightInd w:val="0"/>
        <w:snapToGrid w:val="0"/>
        <w:spacing w:line="600" w:lineRule="exact"/>
        <w:ind w:firstLine="640" w:firstLineChars="200"/>
        <w:rPr>
          <w:rFonts w:ascii="仿宋" w:hAnsi="仿宋" w:eastAsia="仿宋"/>
          <w:sz w:val="32"/>
          <w:szCs w:val="32"/>
          <w:highlight w:val="none"/>
        </w:rPr>
      </w:pPr>
      <w:r>
        <w:rPr>
          <w:rFonts w:hint="eastAsia" w:ascii="仿宋" w:hAnsi="仿宋" w:eastAsia="仿宋"/>
          <w:color w:val="auto"/>
          <w:sz w:val="32"/>
          <w:szCs w:val="32"/>
          <w:highlight w:val="none"/>
        </w:rPr>
        <w:t>1、</w:t>
      </w:r>
      <w:r>
        <w:rPr>
          <w:rFonts w:hint="eastAsia" w:ascii="仿宋" w:hAnsi="仿宋" w:eastAsia="仿宋"/>
          <w:sz w:val="32"/>
          <w:szCs w:val="32"/>
        </w:rPr>
        <w:t>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 w:hAnsi="仿宋" w:eastAsia="仿宋"/>
          <w:sz w:val="32"/>
          <w:szCs w:val="32"/>
          <w:highlight w:val="none"/>
        </w:rPr>
        <w:t>】</w:t>
      </w:r>
    </w:p>
    <w:p>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2、资质要求：</w:t>
      </w:r>
      <w:bookmarkStart w:id="3" w:name="OLE_LINK7"/>
      <w:r>
        <w:rPr>
          <w:rFonts w:hint="eastAsia" w:ascii="仿宋" w:hAnsi="仿宋" w:eastAsia="仿宋"/>
          <w:color w:val="auto"/>
          <w:sz w:val="32"/>
          <w:szCs w:val="32"/>
          <w:highlight w:val="none"/>
        </w:rPr>
        <w:t>响应人须具备</w:t>
      </w:r>
      <w:r>
        <w:rPr>
          <w:rFonts w:hint="eastAsia" w:ascii="仿宋" w:hAnsi="仿宋" w:eastAsia="仿宋"/>
          <w:color w:val="auto"/>
          <w:sz w:val="32"/>
          <w:szCs w:val="32"/>
          <w:highlight w:val="none"/>
          <w:u w:val="none"/>
        </w:rPr>
        <w:t xml:space="preserve"> </w:t>
      </w:r>
      <w:r>
        <w:rPr>
          <w:rFonts w:hint="eastAsia" w:ascii="仿宋" w:hAnsi="仿宋" w:eastAsia="仿宋"/>
          <w:color w:val="auto"/>
          <w:kern w:val="2"/>
          <w:sz w:val="32"/>
          <w:szCs w:val="32"/>
          <w:highlight w:val="none"/>
          <w:u w:val="single"/>
          <w:lang w:val="en-US" w:eastAsia="zh-CN"/>
        </w:rPr>
        <w:t xml:space="preserve"> 乙级或以上测绘资质（专业含工程测量、界线与不动产测绘） </w:t>
      </w:r>
      <w:r>
        <w:rPr>
          <w:rFonts w:hint="eastAsia" w:ascii="仿宋" w:hAnsi="仿宋" w:eastAsia="仿宋"/>
          <w:color w:val="auto"/>
          <w:sz w:val="32"/>
          <w:szCs w:val="32"/>
          <w:highlight w:val="none"/>
        </w:rPr>
        <w:t>且在有效期内。【提供资质证书复印件（加盖公章）】</w:t>
      </w:r>
      <w:bookmarkEnd w:id="3"/>
    </w:p>
    <w:p>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3、业绩要求：具备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多测合一</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20</w:t>
      </w:r>
      <w:r>
        <w:rPr>
          <w:rFonts w:hint="eastAsia" w:ascii="仿宋" w:hAnsi="仿宋" w:eastAsia="仿宋"/>
          <w:color w:val="auto"/>
          <w:sz w:val="32"/>
          <w:szCs w:val="32"/>
          <w:highlight w:val="none"/>
          <w:u w:val="single"/>
          <w:lang w:val="en-US" w:eastAsia="zh-CN"/>
        </w:rPr>
        <w:t>20</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10</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01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hint="eastAsia" w:ascii="仿宋" w:hAnsi="仿宋" w:eastAsia="仿宋"/>
          <w:color w:val="auto"/>
          <w:sz w:val="32"/>
          <w:szCs w:val="32"/>
          <w:highlight w:val="none"/>
          <w:u w:val="single"/>
        </w:rPr>
        <w:t>响应截止时间</w:t>
      </w:r>
      <w:r>
        <w:rPr>
          <w:rFonts w:hint="eastAsia" w:ascii="仿宋" w:hAnsi="仿宋" w:eastAsia="仿宋"/>
          <w:color w:val="auto"/>
          <w:sz w:val="32"/>
          <w:szCs w:val="32"/>
          <w:highlight w:val="none"/>
        </w:rPr>
        <w:t>，完成至少</w:t>
      </w:r>
      <w:r>
        <w:rPr>
          <w:rFonts w:ascii="仿宋" w:hAnsi="仿宋" w:eastAsia="仿宋"/>
          <w:color w:val="auto"/>
          <w:sz w:val="32"/>
          <w:szCs w:val="32"/>
          <w:highlight w:val="none"/>
        </w:rPr>
        <w:t>1</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多测合一</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4、人员要求：响应人拟派项目负责人须具备</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。响应人拟派项目专职人员须</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。【提供</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证书复印件（加盖公章）】</w:t>
      </w:r>
    </w:p>
    <w:p>
      <w:pPr>
        <w:adjustRightInd w:val="0"/>
        <w:snapToGrid w:val="0"/>
        <w:spacing w:line="6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5、未被列入东实集团及下属企业</w:t>
      </w:r>
      <w:r>
        <w:rPr>
          <w:rFonts w:hint="eastAsia" w:ascii="仿宋" w:hAnsi="仿宋" w:eastAsia="仿宋"/>
          <w:color w:val="auto"/>
          <w:sz w:val="32"/>
          <w:szCs w:val="32"/>
          <w:highlight w:val="none"/>
          <w:lang w:val="en-US" w:eastAsia="zh-CN"/>
        </w:rPr>
        <w:t>相关</w:t>
      </w:r>
      <w:r>
        <w:rPr>
          <w:rFonts w:hint="eastAsia" w:ascii="仿宋" w:hAnsi="仿宋" w:eastAsia="仿宋"/>
          <w:color w:val="auto"/>
          <w:sz w:val="32"/>
          <w:szCs w:val="32"/>
          <w:highlight w:val="none"/>
        </w:rPr>
        <w:t>领域黑名单。【以东莞实业投资控股集团有限公司发文（东实通〔2021〕44号）、（东实通〔2021〕98号）</w:t>
      </w:r>
      <w:r>
        <w:rPr>
          <w:rFonts w:hint="eastAsia" w:ascii="仿宋" w:hAnsi="仿宋" w:eastAsia="仿宋"/>
          <w:color w:val="auto"/>
          <w:sz w:val="32"/>
          <w:szCs w:val="32"/>
          <w:highlight w:val="none"/>
          <w:lang w:eastAsia="zh-CN"/>
        </w:rPr>
        <w:t>、</w:t>
      </w:r>
      <w:r>
        <w:rPr>
          <w:rFonts w:hint="default" w:ascii="仿宋" w:hAnsi="仿宋" w:eastAsia="仿宋"/>
          <w:color w:val="auto"/>
          <w:sz w:val="32"/>
          <w:szCs w:val="32"/>
          <w:highlight w:val="none"/>
          <w:lang w:val="en-US" w:eastAsia="zh-CN"/>
        </w:rPr>
        <w:t>（东实通〔2022〕75号）（东实通〔2023〕37号）</w:t>
      </w:r>
      <w:r>
        <w:rPr>
          <w:rFonts w:hint="eastAsia" w:ascii="仿宋" w:hAnsi="仿宋" w:eastAsia="仿宋"/>
          <w:color w:val="auto"/>
          <w:sz w:val="32"/>
          <w:szCs w:val="32"/>
          <w:highlight w:val="none"/>
          <w:lang w:val="en-US" w:eastAsia="zh-CN"/>
        </w:rPr>
        <w:t>、（东实通〔2024〕163号）、（东实通〔2024〕195号）</w:t>
      </w:r>
      <w:r>
        <w:rPr>
          <w:rFonts w:hint="eastAsia" w:ascii="仿宋" w:hAnsi="仿宋" w:eastAsia="仿宋"/>
          <w:color w:val="auto"/>
          <w:sz w:val="32"/>
          <w:szCs w:val="32"/>
          <w:highlight w:val="none"/>
        </w:rPr>
        <w:t>为准</w:t>
      </w:r>
      <w:r>
        <w:rPr>
          <w:rFonts w:hint="default" w:ascii="仿宋" w:hAnsi="仿宋" w:eastAsia="仿宋"/>
          <w:color w:val="auto"/>
          <w:sz w:val="32"/>
          <w:szCs w:val="32"/>
          <w:highlight w:val="none"/>
          <w:lang w:eastAsia="zh-CN"/>
        </w:rPr>
        <w:t>，</w:t>
      </w:r>
      <w:r>
        <w:rPr>
          <w:rFonts w:hint="default" w:ascii="仿宋" w:hAnsi="仿宋" w:eastAsia="仿宋"/>
          <w:color w:val="auto"/>
          <w:sz w:val="32"/>
          <w:szCs w:val="32"/>
          <w:highlight w:val="none"/>
          <w:lang w:val="en-US" w:eastAsia="zh-CN"/>
        </w:rPr>
        <w:t>如有最新发文通知，按最新文件执行。</w:t>
      </w:r>
      <w:r>
        <w:rPr>
          <w:rFonts w:hint="eastAsia" w:ascii="仿宋" w:hAnsi="仿宋" w:eastAsia="仿宋"/>
          <w:color w:val="auto"/>
          <w:sz w:val="32"/>
          <w:szCs w:val="32"/>
          <w:highlight w:val="none"/>
        </w:rPr>
        <w:t>】</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四、采购内容及要求</w:t>
      </w:r>
    </w:p>
    <w:p>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single"/>
        </w:rPr>
        <w:t>具体要求详见本竞争性谈判文件《技术规范书》。</w:t>
      </w:r>
      <w:r>
        <w:rPr>
          <w:rFonts w:hint="eastAsia" w:eastAsia="仿宋_GB2312"/>
          <w:color w:val="auto"/>
          <w:sz w:val="32"/>
          <w:szCs w:val="32"/>
          <w:highlight w:val="none"/>
          <w:u w:val="none"/>
        </w:rPr>
        <w:t>响应人须仔细阅读本技术规范书，因未详细了解本</w:t>
      </w:r>
      <w:r>
        <w:rPr>
          <w:rFonts w:hint="eastAsia" w:eastAsia="仿宋_GB2312"/>
          <w:color w:val="auto"/>
          <w:sz w:val="32"/>
          <w:szCs w:val="32"/>
          <w:highlight w:val="none"/>
          <w:u w:val="none"/>
          <w:lang w:val="en-US" w:eastAsia="zh-CN"/>
        </w:rPr>
        <w:t>技术规范书</w:t>
      </w:r>
      <w:r>
        <w:rPr>
          <w:rFonts w:hint="eastAsia" w:eastAsia="仿宋_GB2312"/>
          <w:color w:val="auto"/>
          <w:sz w:val="32"/>
          <w:szCs w:val="32"/>
          <w:highlight w:val="none"/>
          <w:u w:val="none"/>
        </w:rPr>
        <w:t>造成报价项目遗漏，由响应人自行负责。</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五、完成时间</w:t>
      </w:r>
    </w:p>
    <w:p>
      <w:pPr>
        <w:spacing w:line="600" w:lineRule="exact"/>
        <w:ind w:firstLine="640" w:firstLineChars="200"/>
        <w:rPr>
          <w:rFonts w:eastAsia="仿宋_GB2312"/>
          <w:color w:val="auto"/>
          <w:sz w:val="32"/>
          <w:szCs w:val="32"/>
          <w:highlight w:val="none"/>
        </w:rPr>
      </w:pPr>
      <w:bookmarkStart w:id="4" w:name="_Hlk38897553"/>
      <w:r>
        <w:rPr>
          <w:rFonts w:hint="eastAsia" w:eastAsia="仿宋_GB2312"/>
          <w:color w:val="auto"/>
          <w:sz w:val="32"/>
          <w:szCs w:val="32"/>
          <w:highlight w:val="none"/>
          <w:u w:val="single"/>
        </w:rPr>
        <w:t>详见《</w:t>
      </w:r>
      <w:r>
        <w:rPr>
          <w:rFonts w:hint="eastAsia" w:eastAsia="仿宋_GB2312"/>
          <w:color w:val="auto"/>
          <w:sz w:val="32"/>
          <w:szCs w:val="32"/>
          <w:highlight w:val="none"/>
          <w:u w:val="single"/>
          <w:lang w:val="en-US" w:eastAsia="zh-CN"/>
        </w:rPr>
        <w:t>谈判</w:t>
      </w:r>
      <w:r>
        <w:rPr>
          <w:rFonts w:hint="eastAsia" w:eastAsia="仿宋_GB2312"/>
          <w:color w:val="auto"/>
          <w:sz w:val="32"/>
          <w:szCs w:val="32"/>
          <w:highlight w:val="none"/>
          <w:u w:val="single"/>
        </w:rPr>
        <w:t>文件》附件</w:t>
      </w:r>
      <w:r>
        <w:rPr>
          <w:rFonts w:hint="eastAsia" w:eastAsia="黑体"/>
          <w:color w:val="auto"/>
          <w:sz w:val="28"/>
          <w:szCs w:val="44"/>
          <w:u w:val="single"/>
          <w:lang w:val="en-US" w:eastAsia="zh-CN"/>
        </w:rPr>
        <w:t>七</w:t>
      </w:r>
      <w:r>
        <w:rPr>
          <w:rFonts w:hint="eastAsia" w:eastAsia="仿宋_GB2312"/>
          <w:color w:val="auto"/>
          <w:sz w:val="32"/>
          <w:szCs w:val="32"/>
          <w:highlight w:val="none"/>
          <w:u w:val="single"/>
        </w:rPr>
        <w:t>：《合同文本》</w:t>
      </w:r>
      <w:r>
        <w:rPr>
          <w:rFonts w:hint="eastAsia" w:eastAsia="仿宋_GB2312"/>
          <w:color w:val="auto"/>
          <w:sz w:val="32"/>
          <w:szCs w:val="32"/>
          <w:highlight w:val="none"/>
        </w:rPr>
        <w:t>。</w:t>
      </w:r>
      <w:bookmarkEnd w:id="4"/>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六、支付方式</w:t>
      </w:r>
    </w:p>
    <w:p>
      <w:pPr>
        <w:spacing w:line="600" w:lineRule="exact"/>
        <w:ind w:firstLine="640" w:firstLineChars="200"/>
        <w:rPr>
          <w:rFonts w:hint="eastAsia" w:eastAsia="仿宋_GB2312"/>
          <w:color w:val="auto"/>
          <w:sz w:val="32"/>
          <w:szCs w:val="32"/>
          <w:highlight w:val="none"/>
          <w:u w:val="single"/>
        </w:rPr>
      </w:pPr>
      <w:bookmarkStart w:id="5" w:name="_Hlk38897977"/>
      <w:r>
        <w:rPr>
          <w:rFonts w:hint="eastAsia" w:eastAsia="仿宋_GB2312"/>
          <w:color w:val="auto"/>
          <w:sz w:val="32"/>
          <w:szCs w:val="32"/>
          <w:highlight w:val="none"/>
          <w:u w:val="single"/>
        </w:rPr>
        <w:t>1</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自</w:t>
      </w:r>
      <w:r>
        <w:rPr>
          <w:rFonts w:hint="eastAsia" w:eastAsia="仿宋_GB2312"/>
          <w:color w:val="auto"/>
          <w:sz w:val="32"/>
          <w:szCs w:val="32"/>
          <w:highlight w:val="none"/>
          <w:u w:val="single"/>
          <w:lang w:val="en-US" w:eastAsia="zh-CN"/>
        </w:rPr>
        <w:t>本</w:t>
      </w:r>
      <w:r>
        <w:rPr>
          <w:rFonts w:hint="eastAsia" w:eastAsia="仿宋_GB2312"/>
          <w:color w:val="auto"/>
          <w:sz w:val="32"/>
          <w:szCs w:val="32"/>
          <w:highlight w:val="none"/>
          <w:u w:val="single"/>
        </w:rPr>
        <w:t>合同签订</w:t>
      </w:r>
      <w:r>
        <w:rPr>
          <w:rFonts w:hint="eastAsia" w:eastAsia="仿宋_GB2312"/>
          <w:color w:val="auto"/>
          <w:sz w:val="32"/>
          <w:szCs w:val="32"/>
          <w:highlight w:val="none"/>
          <w:u w:val="single"/>
          <w:lang w:val="en-US" w:eastAsia="zh-CN"/>
        </w:rPr>
        <w:t>且</w:t>
      </w:r>
      <w:r>
        <w:rPr>
          <w:rFonts w:hint="eastAsia" w:eastAsia="仿宋_GB2312"/>
          <w:color w:val="auto"/>
          <w:sz w:val="32"/>
          <w:szCs w:val="32"/>
          <w:highlight w:val="none"/>
          <w:u w:val="single"/>
        </w:rPr>
        <w:t>在甲方通知乙方进场开展每项测量项目工作之日起15个工作日内，丙方向乙方支付该项测量项目对应的测量费的10%作为</w:t>
      </w:r>
      <w:r>
        <w:rPr>
          <w:rFonts w:hint="eastAsia" w:eastAsia="仿宋_GB2312"/>
          <w:color w:val="auto"/>
          <w:sz w:val="32"/>
          <w:szCs w:val="32"/>
          <w:highlight w:val="none"/>
          <w:u w:val="single"/>
          <w:lang w:eastAsia="zh-Hans"/>
        </w:rPr>
        <w:t>预付款</w:t>
      </w:r>
      <w:r>
        <w:rPr>
          <w:rFonts w:hint="eastAsia" w:eastAsia="仿宋_GB2312"/>
          <w:color w:val="auto"/>
          <w:sz w:val="32"/>
          <w:szCs w:val="32"/>
          <w:highlight w:val="none"/>
          <w:u w:val="single"/>
        </w:rPr>
        <w:t>。</w:t>
      </w:r>
    </w:p>
    <w:p>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2</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乙方自每项测量项目工作完工后，由甲方根据实际工作量完成测量成果验收，经甲、乙、丙三方共同审定及相关主管部门审核合格后15个工作日内，</w:t>
      </w:r>
      <w:r>
        <w:rPr>
          <w:rFonts w:hint="eastAsia" w:eastAsia="仿宋_GB2312"/>
          <w:color w:val="auto"/>
          <w:sz w:val="32"/>
          <w:szCs w:val="32"/>
          <w:highlight w:val="none"/>
          <w:u w:val="single"/>
          <w:lang w:val="en-US" w:eastAsia="zh-CN"/>
        </w:rPr>
        <w:t>丙方</w:t>
      </w:r>
      <w:r>
        <w:rPr>
          <w:rFonts w:hint="eastAsia" w:eastAsia="仿宋_GB2312"/>
          <w:color w:val="auto"/>
          <w:sz w:val="32"/>
          <w:szCs w:val="32"/>
          <w:highlight w:val="none"/>
          <w:u w:val="single"/>
        </w:rPr>
        <w:t>支付至该项测量费的90%。</w:t>
      </w:r>
    </w:p>
    <w:p>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3</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 xml:space="preserve">自全部测量项目完工且全部测量成果均提交相关主管部门审核合格并且甲方、丙方完成结算资料审核之日起30个工作日内，丙方向乙方支付剩余结算款。 </w:t>
      </w:r>
    </w:p>
    <w:p>
      <w:pPr>
        <w:spacing w:line="600" w:lineRule="exact"/>
        <w:ind w:firstLine="640" w:firstLineChars="200"/>
        <w:rPr>
          <w:rFonts w:hint="eastAsia" w:eastAsia="仿宋_GB2312"/>
          <w:b w:val="0"/>
          <w:bCs w:val="0"/>
          <w:color w:val="auto"/>
          <w:sz w:val="32"/>
          <w:szCs w:val="32"/>
          <w:highlight w:val="none"/>
          <w:u w:val="single"/>
        </w:rPr>
      </w:pPr>
      <w:r>
        <w:rPr>
          <w:rFonts w:hint="eastAsia" w:eastAsia="仿宋_GB2312"/>
          <w:color w:val="auto"/>
          <w:sz w:val="32"/>
          <w:szCs w:val="32"/>
          <w:highlight w:val="none"/>
          <w:u w:val="single"/>
        </w:rPr>
        <w:t>4</w:t>
      </w:r>
      <w:r>
        <w:rPr>
          <w:rFonts w:hint="eastAsia" w:eastAsia="仿宋_GB2312"/>
          <w:color w:val="auto"/>
          <w:sz w:val="32"/>
          <w:szCs w:val="32"/>
          <w:highlight w:val="none"/>
          <w:u w:val="single"/>
          <w:lang w:eastAsia="zh-CN"/>
        </w:rPr>
        <w:t>、</w:t>
      </w:r>
      <w:r>
        <w:rPr>
          <w:rFonts w:hint="eastAsia" w:hAnsi="Times New Roman" w:eastAsia="仿宋_GB2312"/>
          <w:color w:val="auto"/>
          <w:sz w:val="32"/>
          <w:szCs w:val="32"/>
          <w:highlight w:val="none"/>
          <w:u w:val="single"/>
        </w:rPr>
        <w:t>每次付款前，乙方必须提供合法、有效、与本合同总价款条款中增值税税率一致的增值税专用发票给丙方，否则丙方有权拒绝付款且不构成违约；在丙方除支付质保金（若有）外的最后一期款项前，乙方须连同当期支付款项发票和质保金（若有）发票一并提交给丙方；若后期出现质保问题，按照质保责任和条款，部分或全部扣除质保金（若有）的，不退还相应金额的发票。若合同执行期间，遇国家税务政策调整所引起的合同价格变化，按照不含税价格调整结算价格。</w:t>
      </w:r>
    </w:p>
    <w:bookmarkEnd w:id="5"/>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七、报价</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u w:val="single"/>
        </w:rPr>
        <w:t xml:space="preserve">¥ </w:t>
      </w:r>
      <w:bookmarkStart w:id="6" w:name="OLE_LINK3"/>
      <w:r>
        <w:rPr>
          <w:rFonts w:hint="eastAsia" w:eastAsia="仿宋_GB2312"/>
          <w:color w:val="auto"/>
          <w:sz w:val="32"/>
          <w:szCs w:val="32"/>
          <w:highlight w:val="none"/>
          <w:u w:val="single"/>
          <w:lang w:val="en-US" w:eastAsia="zh-CN"/>
        </w:rPr>
        <w:t>226731.33</w:t>
      </w:r>
      <w:bookmarkEnd w:id="6"/>
      <w:r>
        <w:rPr>
          <w:rFonts w:hint="eastAsia" w:eastAsia="仿宋_GB2312"/>
          <w:color w:val="auto"/>
          <w:sz w:val="32"/>
          <w:szCs w:val="32"/>
          <w:highlight w:val="none"/>
          <w:u w:val="single"/>
        </w:rPr>
        <w:t>元。</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八、定标</w:t>
      </w:r>
    </w:p>
    <w:p>
      <w:pPr>
        <w:spacing w:line="600" w:lineRule="exact"/>
        <w:ind w:firstLine="640" w:firstLineChars="200"/>
        <w:rPr>
          <w:rFonts w:hint="eastAsia" w:eastAsia="仿宋_GB2312"/>
          <w:color w:val="auto"/>
          <w:sz w:val="32"/>
          <w:szCs w:val="32"/>
          <w:highlight w:val="none"/>
          <w:u w:val="single"/>
          <w:lang w:eastAsia="zh-CN"/>
        </w:rPr>
      </w:pPr>
      <w:r>
        <w:rPr>
          <w:rFonts w:hint="eastAsia" w:eastAsia="仿宋_GB2312"/>
          <w:color w:val="auto"/>
          <w:sz w:val="32"/>
          <w:szCs w:val="32"/>
          <w:highlight w:val="none"/>
          <w:u w:val="single"/>
        </w:rPr>
        <w:t>本次项目采用</w:t>
      </w:r>
      <w:r>
        <w:rPr>
          <w:rFonts w:hint="eastAsia" w:eastAsia="仿宋_GB2312"/>
          <w:color w:val="auto"/>
          <w:sz w:val="32"/>
          <w:szCs w:val="32"/>
          <w:highlight w:val="none"/>
          <w:u w:val="single"/>
          <w:lang w:val="en-US" w:eastAsia="zh-CN"/>
        </w:rPr>
        <w:t>竞争性谈判</w:t>
      </w:r>
      <w:r>
        <w:rPr>
          <w:rFonts w:hint="eastAsia" w:eastAsia="仿宋_GB2312"/>
          <w:color w:val="auto"/>
          <w:sz w:val="32"/>
          <w:szCs w:val="32"/>
          <w:highlight w:val="none"/>
          <w:u w:val="single"/>
        </w:rPr>
        <w:t>方式进行采购</w:t>
      </w:r>
      <w:r>
        <w:rPr>
          <w:rFonts w:hint="eastAsia" w:eastAsia="仿宋_GB2312"/>
          <w:color w:val="auto"/>
          <w:sz w:val="32"/>
          <w:szCs w:val="32"/>
          <w:highlight w:val="none"/>
          <w:u w:val="single"/>
          <w:lang w:eastAsia="zh-CN"/>
        </w:rPr>
        <w:t>，竞争性谈判报价共两轮报价（含唱标报价）,</w:t>
      </w:r>
      <w:r>
        <w:rPr>
          <w:rFonts w:hint="eastAsia" w:eastAsia="仿宋_GB2312"/>
          <w:color w:val="auto"/>
          <w:sz w:val="32"/>
          <w:szCs w:val="32"/>
          <w:highlight w:val="none"/>
          <w:u w:val="single"/>
        </w:rPr>
        <w:t>谈判小组应要求所有参加最后一轮谈判的供应商在规定的统一截止时间前提交最终密封报价。</w:t>
      </w:r>
    </w:p>
    <w:p>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谈判文件有实质性变动的，谈判小组应以书面形式通知所有参加谈判的供应商。供应商应当按照采购文件的变动情况和谈判小组的要求重新提交响应文件（或补充书面材料），并由其法定代表人或授权代表签字或者加盖公章。</w:t>
      </w:r>
    </w:p>
    <w:p>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经谈判确定最终采购需求和提交最后报价的供应商后，谈判小组应当根据符合采购需求、质量和服务均能满足采购文件实质性响应要求且最终报价最低的原则按顺序排列推荐候选供应商。</w:t>
      </w:r>
    </w:p>
    <w:p>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谈判结束后，招标采购工作小组将相关谈判情况按程序审批并确定成交人。</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九、采取的合同文本</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合同签订的依据为竞争性谈判文件、</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文件及补充说明等。确定成交单位后，成交单位在</w:t>
      </w:r>
      <w:r>
        <w:rPr>
          <w:rFonts w:hint="default" w:eastAsia="仿宋_GB2312"/>
          <w:color w:val="auto"/>
          <w:sz w:val="32"/>
          <w:szCs w:val="32"/>
          <w:highlight w:val="none"/>
          <w:u w:val="single"/>
          <w:lang w:val="en-US"/>
        </w:rPr>
        <w:t>30</w:t>
      </w:r>
      <w:r>
        <w:rPr>
          <w:rFonts w:hint="eastAsia" w:eastAsia="仿宋_GB2312"/>
          <w:color w:val="auto"/>
          <w:sz w:val="32"/>
          <w:szCs w:val="32"/>
          <w:highlight w:val="none"/>
        </w:rPr>
        <w:t>天内与采购人签订合同。</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pPr>
        <w:adjustRightInd w:val="0"/>
        <w:snapToGrid w:val="0"/>
        <w:spacing w:line="600" w:lineRule="exact"/>
        <w:ind w:firstLine="640" w:firstLineChars="200"/>
        <w:outlineLvl w:val="0"/>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pPr>
        <w:numPr>
          <w:ilvl w:val="0"/>
          <w:numId w:val="4"/>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w:t>
      </w:r>
      <w:r>
        <w:rPr>
          <w:rFonts w:hint="eastAsia" w:eastAsia="仿宋_GB2312"/>
          <w:color w:val="auto"/>
          <w:sz w:val="32"/>
          <w:szCs w:val="32"/>
          <w:highlight w:val="none"/>
          <w:lang w:eastAsia="zh-CN"/>
        </w:rPr>
        <w:t>及报价清单（模板）</w:t>
      </w:r>
      <w:r>
        <w:rPr>
          <w:rFonts w:hint="eastAsia" w:eastAsia="仿宋_GB2312"/>
          <w:color w:val="auto"/>
          <w:sz w:val="32"/>
          <w:szCs w:val="32"/>
          <w:highlight w:val="none"/>
        </w:rPr>
        <w:t>；</w:t>
      </w:r>
    </w:p>
    <w:p>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十一、响应文件份数</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w:t>
      </w:r>
      <w:bookmarkStart w:id="19" w:name="_GoBack"/>
      <w:bookmarkEnd w:id="19"/>
      <w:r>
        <w:rPr>
          <w:rFonts w:hint="eastAsia" w:eastAsia="仿宋_GB2312"/>
          <w:color w:val="auto"/>
          <w:sz w:val="32"/>
          <w:szCs w:val="32"/>
          <w:highlight w:val="none"/>
        </w:rPr>
        <w:t>描件电子版（U盘）。</w:t>
      </w:r>
    </w:p>
    <w:p>
      <w:pPr>
        <w:numPr>
          <w:ilvl w:val="0"/>
          <w:numId w:val="0"/>
        </w:numPr>
        <w:adjustRightInd w:val="0"/>
        <w:snapToGrid w:val="0"/>
        <w:spacing w:line="600" w:lineRule="exact"/>
        <w:ind w:firstLine="640" w:firstLineChars="200"/>
        <w:outlineLvl w:val="0"/>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w:t>
      </w:r>
      <w:r>
        <w:rPr>
          <w:rFonts w:hint="eastAsia" w:eastAsia="仿宋_GB2312" w:cs="Times New Roman"/>
          <w:color w:val="auto"/>
          <w:sz w:val="32"/>
          <w:szCs w:val="32"/>
          <w:highlight w:val="none"/>
          <w:u w:val="none"/>
          <w:lang w:val="en-US" w:eastAsia="zh-CN"/>
        </w:rPr>
        <w:t>谈判</w:t>
      </w:r>
      <w:r>
        <w:rPr>
          <w:rFonts w:hint="eastAsia" w:ascii="Times New Roman" w:hAnsi="Times New Roman" w:eastAsia="仿宋_GB2312" w:cs="Times New Roman"/>
          <w:color w:val="auto"/>
          <w:sz w:val="32"/>
          <w:szCs w:val="32"/>
          <w:highlight w:val="none"/>
          <w:u w:val="none"/>
          <w:lang w:val="en-US" w:eastAsia="zh-CN"/>
        </w:rPr>
        <w:t>文件规定的金额和期限交纳</w:t>
      </w:r>
      <w:r>
        <w:rPr>
          <w:rFonts w:hint="eastAsia" w:eastAsia="仿宋_GB2312" w:cs="Times New Roman"/>
          <w:color w:val="auto"/>
          <w:sz w:val="32"/>
          <w:szCs w:val="32"/>
          <w:highlight w:val="none"/>
          <w:u w:val="none"/>
          <w:lang w:val="en-US" w:eastAsia="zh-CN"/>
        </w:rPr>
        <w:t>谈判</w:t>
      </w:r>
      <w:r>
        <w:rPr>
          <w:rFonts w:hint="eastAsia" w:ascii="Times New Roman" w:hAnsi="Times New Roman" w:eastAsia="仿宋_GB2312" w:cs="Times New Roman"/>
          <w:color w:val="auto"/>
          <w:sz w:val="32"/>
          <w:szCs w:val="32"/>
          <w:highlight w:val="none"/>
          <w:u w:val="none"/>
          <w:lang w:val="en-US" w:eastAsia="zh-CN"/>
        </w:rPr>
        <w:t>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w:t>
      </w:r>
      <w:r>
        <w:rPr>
          <w:rFonts w:hint="eastAsia" w:eastAsia="仿宋_GB2312" w:cs="Times New Roman"/>
          <w:color w:val="auto"/>
          <w:sz w:val="32"/>
          <w:szCs w:val="32"/>
          <w:highlight w:val="none"/>
          <w:u w:val="none"/>
          <w:lang w:val="en-US" w:eastAsia="zh-CN"/>
        </w:rPr>
        <w:t>谈判</w:t>
      </w:r>
      <w:r>
        <w:rPr>
          <w:rFonts w:hint="eastAsia" w:ascii="Times New Roman" w:hAnsi="Times New Roman" w:eastAsia="仿宋_GB2312" w:cs="Times New Roman"/>
          <w:color w:val="auto"/>
          <w:sz w:val="32"/>
          <w:szCs w:val="32"/>
          <w:highlight w:val="none"/>
          <w:u w:val="none"/>
          <w:lang w:val="en-US" w:eastAsia="zh-CN"/>
        </w:rPr>
        <w:t>保证金无效。</w:t>
      </w:r>
    </w:p>
    <w:p>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w:t>
      </w:r>
      <w:r>
        <w:rPr>
          <w:rFonts w:hint="eastAsia" w:eastAsia="仿宋_GB2312" w:cs="Times New Roman"/>
          <w:color w:val="auto"/>
          <w:sz w:val="32"/>
          <w:szCs w:val="32"/>
          <w:highlight w:val="none"/>
          <w:u w:val="single"/>
          <w:lang w:val="en-US" w:eastAsia="zh-CN"/>
        </w:rPr>
        <w:t>谈判</w:t>
      </w:r>
      <w:r>
        <w:rPr>
          <w:rFonts w:hint="eastAsia" w:ascii="Times New Roman" w:hAnsi="Times New Roman" w:eastAsia="仿宋_GB2312" w:cs="Times New Roman"/>
          <w:color w:val="auto"/>
          <w:sz w:val="32"/>
          <w:szCs w:val="32"/>
          <w:highlight w:val="none"/>
          <w:u w:val="single"/>
          <w:lang w:val="en-US" w:eastAsia="zh-CN"/>
        </w:rPr>
        <w:t>保证金：</w:t>
      </w:r>
      <w:r>
        <w:rPr>
          <w:rFonts w:hint="eastAsia" w:eastAsia="仿宋_GB2312" w:cs="Times New Roman"/>
          <w:color w:val="auto"/>
          <w:sz w:val="32"/>
          <w:szCs w:val="32"/>
          <w:highlight w:val="none"/>
          <w:u w:val="single"/>
          <w:lang w:val="en-US" w:eastAsia="zh-CN"/>
        </w:rPr>
        <w:t>详见附件一《投标须知》</w:t>
      </w:r>
    </w:p>
    <w:p>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w:t>
      </w:r>
      <w:r>
        <w:rPr>
          <w:rFonts w:hint="eastAsia" w:eastAsia="仿宋_GB2312" w:cs="Times New Roman"/>
          <w:color w:val="auto"/>
          <w:sz w:val="32"/>
          <w:szCs w:val="32"/>
          <w:highlight w:val="none"/>
          <w:u w:val="single"/>
          <w:lang w:val="en-US" w:eastAsia="zh-CN"/>
        </w:rPr>
        <w:t>：详见附件一《投标须知》</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pPr>
        <w:spacing w:line="600" w:lineRule="exact"/>
        <w:ind w:firstLine="643" w:firstLineChars="200"/>
        <w:rPr>
          <w:rFonts w:eastAsia="仿宋_GB2312"/>
          <w:b/>
          <w:color w:val="auto"/>
          <w:sz w:val="32"/>
          <w:szCs w:val="32"/>
          <w:highlight w:val="yellow"/>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hint="eastAsia" w:eastAsia="仿宋_GB2312"/>
          <w:b/>
          <w:color w:val="auto"/>
          <w:sz w:val="32"/>
          <w:szCs w:val="32"/>
          <w:highlight w:val="none"/>
          <w:u w:val="single"/>
          <w:lang w:val="en-US" w:eastAsia="zh-CN"/>
        </w:rPr>
        <w:t>2025</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 xml:space="preserve"> 10 </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 xml:space="preserve"> 31 </w:t>
      </w:r>
      <w:r>
        <w:rPr>
          <w:rFonts w:hint="eastAsia" w:eastAsia="仿宋_GB2312"/>
          <w:b/>
          <w:color w:val="auto"/>
          <w:sz w:val="32"/>
          <w:szCs w:val="32"/>
          <w:highlight w:val="none"/>
        </w:rPr>
        <w:t>日（</w:t>
      </w:r>
      <w:r>
        <w:rPr>
          <w:rFonts w:hint="eastAsia" w:eastAsia="仿宋_GB2312"/>
          <w:b/>
          <w:color w:val="auto"/>
          <w:sz w:val="32"/>
          <w:szCs w:val="32"/>
          <w:highlight w:val="none"/>
          <w:lang w:val="en-US" w:eastAsia="zh-CN"/>
        </w:rPr>
        <w:t xml:space="preserve">星期 五 </w:t>
      </w:r>
      <w:r>
        <w:rPr>
          <w:rFonts w:hint="eastAsia" w:eastAsia="仿宋_GB2312"/>
          <w:b/>
          <w:color w:val="auto"/>
          <w:sz w:val="32"/>
          <w:szCs w:val="32"/>
          <w:highlight w:val="none"/>
        </w:rPr>
        <w:t>）</w:t>
      </w:r>
      <w:r>
        <w:rPr>
          <w:rFonts w:hint="eastAsia" w:eastAsia="仿宋_GB2312"/>
          <w:b/>
          <w:color w:val="auto"/>
          <w:sz w:val="32"/>
          <w:szCs w:val="32"/>
          <w:highlight w:val="none"/>
          <w:u w:val="none"/>
          <w:lang w:val="en-US" w:eastAsia="zh-CN"/>
        </w:rPr>
        <w:t>上午</w:t>
      </w:r>
      <w:r>
        <w:rPr>
          <w:rFonts w:hint="eastAsia" w:eastAsia="仿宋_GB2312"/>
          <w:b/>
          <w:color w:val="auto"/>
          <w:sz w:val="32"/>
          <w:szCs w:val="32"/>
          <w:highlight w:val="none"/>
          <w:u w:val="single"/>
          <w:lang w:val="en-US" w:eastAsia="zh-CN"/>
        </w:rPr>
        <w:t>10</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pPr>
        <w:spacing w:line="600" w:lineRule="exact"/>
        <w:ind w:firstLine="643" w:firstLineChars="200"/>
        <w:rPr>
          <w:rFonts w:hint="eastAsia" w:eastAsia="仿宋_GB2312"/>
          <w:b/>
          <w:color w:val="auto"/>
          <w:sz w:val="32"/>
          <w:szCs w:val="32"/>
          <w:highlight w:val="none"/>
          <w:u w:val="singl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东莞市东城区八一路1号机关二号大院9号楼103室</w:t>
      </w:r>
    </w:p>
    <w:p>
      <w:pPr>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联系人：</w:t>
      </w:r>
      <w:r>
        <w:rPr>
          <w:rFonts w:hint="eastAsia"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 xml:space="preserve">卢工 </w:t>
      </w:r>
    </w:p>
    <w:p>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rPr>
        <w:t>联系电话：</w:t>
      </w:r>
      <w:r>
        <w:rPr>
          <w:rFonts w:hint="eastAsia" w:eastAsia="仿宋_GB2312"/>
          <w:color w:val="auto"/>
          <w:sz w:val="32"/>
          <w:szCs w:val="32"/>
          <w:highlight w:val="none"/>
          <w:u w:val="single"/>
          <w:lang w:val="en-US" w:eastAsia="zh-CN"/>
        </w:rPr>
        <w:t>18824523425</w:t>
      </w:r>
    </w:p>
    <w:p>
      <w:pPr>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pPr>
        <w:spacing w:line="600" w:lineRule="exact"/>
        <w:ind w:firstLine="640" w:firstLineChars="200"/>
        <w:rPr>
          <w:rFonts w:eastAsia="仿宋_GB2312"/>
          <w:color w:val="auto"/>
          <w:sz w:val="32"/>
          <w:szCs w:val="32"/>
          <w:highlight w:val="none"/>
        </w:rPr>
      </w:pPr>
      <w:bookmarkStart w:id="7"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7"/>
    </w:p>
    <w:p>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p>
    <w:p>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p>
    <w:p>
      <w:pPr>
        <w:widowControl/>
        <w:spacing w:line="600" w:lineRule="exact"/>
        <w:jc w:val="left"/>
        <w:rPr>
          <w:rFonts w:eastAsia="仿宋_GB2312"/>
          <w:color w:val="auto"/>
          <w:sz w:val="32"/>
          <w:szCs w:val="32"/>
          <w:highlight w:val="none"/>
        </w:rPr>
      </w:pPr>
    </w:p>
    <w:p>
      <w:pPr>
        <w:spacing w:line="600" w:lineRule="exact"/>
        <w:ind w:firstLine="640" w:firstLineChars="200"/>
        <w:jc w:val="right"/>
        <w:rPr>
          <w:rFonts w:hint="eastAsia" w:eastAsia="仿宋_GB2312"/>
          <w:color w:val="auto"/>
          <w:sz w:val="32"/>
          <w:szCs w:val="32"/>
          <w:highlight w:val="none"/>
          <w:lang w:eastAsia="zh-CN"/>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东莞市东富投资发展有限公司</w:t>
      </w:r>
      <w:r>
        <w:rPr>
          <w:rFonts w:hint="eastAsia" w:eastAsia="仿宋_GB2312"/>
          <w:color w:val="auto"/>
          <w:sz w:val="32"/>
          <w:szCs w:val="32"/>
          <w:highlight w:val="none"/>
          <w:lang w:val="en-US" w:eastAsia="zh-CN"/>
        </w:rPr>
        <w:t xml:space="preserve"> </w:t>
      </w:r>
    </w:p>
    <w:p>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25</w:t>
      </w:r>
      <w:r>
        <w:rPr>
          <w:rFonts w:hint="eastAsia" w:eastAsia="仿宋_GB2312"/>
          <w:color w:val="auto"/>
          <w:sz w:val="32"/>
          <w:szCs w:val="32"/>
          <w:highlight w:val="none"/>
        </w:rPr>
        <w:t>年</w:t>
      </w:r>
      <w:r>
        <w:rPr>
          <w:rFonts w:hint="eastAsia" w:eastAsia="仿宋_GB2312"/>
          <w:color w:val="auto"/>
          <w:sz w:val="32"/>
          <w:szCs w:val="32"/>
          <w:highlight w:val="none"/>
          <w:u w:val="single"/>
          <w:lang w:val="en-US" w:eastAsia="zh-CN"/>
        </w:rPr>
        <w:t xml:space="preserve"> 10</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 xml:space="preserve"> 27</w:t>
      </w:r>
      <w:r>
        <w:rPr>
          <w:rFonts w:hint="eastAsia" w:eastAsia="仿宋_GB2312"/>
          <w:color w:val="auto"/>
          <w:sz w:val="32"/>
          <w:szCs w:val="32"/>
          <w:highlight w:val="none"/>
        </w:rPr>
        <w:t>日</w:t>
      </w:r>
    </w:p>
    <w:p>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486" w:bottom="1440" w:left="1800" w:header="851" w:footer="992" w:gutter="0"/>
          <w:cols w:space="720" w:num="1"/>
          <w:docGrid w:type="lines" w:linePitch="312" w:charSpace="0"/>
        </w:sectPr>
      </w:pPr>
    </w:p>
    <w:p>
      <w:pPr>
        <w:pStyle w:val="44"/>
        <w:ind w:firstLine="0" w:firstLineChars="0"/>
        <w:jc w:val="left"/>
        <w:outlineLvl w:val="0"/>
        <w:rPr>
          <w:rFonts w:eastAsia="黑体"/>
          <w:color w:val="auto"/>
          <w:sz w:val="28"/>
          <w:szCs w:val="44"/>
          <w:highlight w:val="none"/>
        </w:rPr>
      </w:pPr>
      <w:r>
        <w:rPr>
          <w:rFonts w:hint="eastAsia" w:eastAsia="黑体"/>
          <w:color w:val="auto"/>
          <w:sz w:val="28"/>
          <w:szCs w:val="44"/>
          <w:highlight w:val="none"/>
        </w:rPr>
        <w:t>附件一投标须知</w:t>
      </w:r>
    </w:p>
    <w:p>
      <w:pPr>
        <w:jc w:val="center"/>
        <w:rPr>
          <w:rFonts w:eastAsia="华文中宋"/>
          <w:color w:val="auto"/>
          <w:sz w:val="44"/>
          <w:szCs w:val="44"/>
          <w:highlight w:val="none"/>
        </w:rPr>
      </w:pPr>
      <w:r>
        <w:rPr>
          <w:rFonts w:hint="eastAsia" w:eastAsia="华文中宋"/>
          <w:color w:val="auto"/>
          <w:sz w:val="44"/>
          <w:szCs w:val="44"/>
          <w:highlight w:val="none"/>
        </w:rPr>
        <w:t>投标须知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1"/>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pPr>
              <w:pStyle w:val="11"/>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pPr>
              <w:pStyle w:val="11"/>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pPr>
              <w:adjustRightInd w:val="0"/>
              <w:snapToGrid w:val="0"/>
              <w:spacing w:line="560" w:lineRule="exact"/>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虎门镇衣流时尚园一期A区3号地块项目多测合一服务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pPr>
              <w:spacing w:line="360" w:lineRule="auto"/>
              <w:rPr>
                <w:rFonts w:hint="default"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lang w:eastAsia="zh-CN"/>
              </w:rPr>
              <w:t>东莞市</w:t>
            </w:r>
            <w:r>
              <w:rPr>
                <w:rFonts w:hint="eastAsia" w:eastAsia="仿宋_GB2312"/>
                <w:color w:val="auto"/>
                <w:sz w:val="32"/>
                <w:szCs w:val="32"/>
                <w:highlight w:val="none"/>
                <w:lang w:val="en-US" w:eastAsia="zh-CN"/>
              </w:rPr>
              <w:t>虎门镇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vAlign w:val="center"/>
          </w:tcPr>
          <w:p>
            <w:pPr>
              <w:spacing w:line="360" w:lineRule="auto"/>
              <w:rPr>
                <w:rFonts w:ascii="Times New Roman" w:hAnsi="Times New Roman" w:eastAsia="仿宋_GB2312" w:cs="Times New Roman"/>
                <w:color w:val="auto"/>
                <w:kern w:val="2"/>
                <w:sz w:val="32"/>
                <w:szCs w:val="32"/>
                <w:highlight w:val="none"/>
                <w:lang w:val="en-US" w:eastAsia="zh-CN" w:bidi="ar-SA"/>
              </w:rPr>
            </w:pPr>
            <w:r>
              <w:rPr>
                <w:rFonts w:hint="default" w:eastAsia="仿宋_GB2312"/>
                <w:color w:val="auto"/>
                <w:sz w:val="32"/>
                <w:szCs w:val="32"/>
                <w:highlight w:val="none"/>
                <w:lang w:val="en-US"/>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pPr>
              <w:spacing w:line="360" w:lineRule="auto"/>
              <w:rPr>
                <w:rFonts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lang w:val="en-US" w:eastAsia="zh-CN"/>
              </w:rPr>
              <w:t>详见合同文本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vAlign w:val="center"/>
          </w:tcPr>
          <w:p>
            <w:pPr>
              <w:jc w:val="left"/>
              <w:rPr>
                <w:rFonts w:hint="default" w:ascii="Times New Roman" w:hAnsi="Times New Roman" w:eastAsia="仿宋" w:cs="Times New Roman"/>
                <w:color w:val="auto"/>
                <w:kern w:val="2"/>
                <w:sz w:val="32"/>
                <w:szCs w:val="32"/>
                <w:highlight w:val="none"/>
                <w:lang w:val="en-US" w:eastAsia="zh-CN" w:bidi="ar-SA"/>
              </w:rPr>
            </w:pPr>
            <w:r>
              <w:rPr>
                <w:rFonts w:hint="eastAsia" w:eastAsia="仿宋_GB2312"/>
                <w:color w:val="auto"/>
                <w:sz w:val="32"/>
                <w:szCs w:val="32"/>
                <w:highlight w:val="none"/>
                <w:lang w:val="en-US" w:eastAsia="zh-CN"/>
              </w:rPr>
              <w:t>详见合同文本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pPr>
              <w:spacing w:line="500" w:lineRule="exact"/>
              <w:jc w:val="left"/>
              <w:rPr>
                <w:rFonts w:hint="default"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lang w:val="en-US" w:eastAsia="zh-CN"/>
              </w:rPr>
              <w:t>详见合同文本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pPr>
              <w:adjustRightInd w:val="0"/>
              <w:snapToGrid w:val="0"/>
              <w:spacing w:line="560" w:lineRule="exact"/>
              <w:rPr>
                <w:rFonts w:hint="default"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lang w:val="en-US" w:eastAsia="zh-CN"/>
              </w:rPr>
              <w:t>响应人须具备乙级或以上测绘资质（专业含工程测量、界线与不动产测绘） 且在有效期内。</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谈判保证金金额及缴纳方式</w:t>
            </w:r>
          </w:p>
        </w:tc>
        <w:tc>
          <w:tcPr>
            <w:tcW w:w="5942" w:type="dxa"/>
            <w:vAlign w:val="center"/>
          </w:tcPr>
          <w:p>
            <w:pPr>
              <w:adjustRightInd w:val="0"/>
              <w:snapToGrid w:val="0"/>
              <w:spacing w:line="560" w:lineRule="exact"/>
              <w:jc w:val="left"/>
              <w:outlineLvl w:val="9"/>
              <w:rPr>
                <w:rFonts w:eastAsia="仿宋_GB2312"/>
                <w:color w:val="auto"/>
                <w:sz w:val="32"/>
                <w:szCs w:val="32"/>
                <w:highlight w:val="none"/>
              </w:rPr>
            </w:pPr>
            <w:r>
              <w:rPr>
                <w:rFonts w:hint="eastAsia" w:eastAsia="仿宋_GB2312"/>
                <w:color w:val="auto"/>
                <w:sz w:val="32"/>
                <w:szCs w:val="32"/>
                <w:highlight w:val="none"/>
              </w:rPr>
              <w:t>1、响应人应按</w:t>
            </w:r>
            <w:r>
              <w:rPr>
                <w:rFonts w:hint="eastAsia" w:eastAsia="仿宋_GB2312"/>
                <w:color w:val="auto"/>
                <w:sz w:val="32"/>
                <w:szCs w:val="32"/>
                <w:highlight w:val="none"/>
                <w:lang w:val="en-US" w:eastAsia="zh-CN"/>
              </w:rPr>
              <w:t>谈判</w:t>
            </w:r>
            <w:r>
              <w:rPr>
                <w:rFonts w:hint="eastAsia" w:eastAsia="仿宋_GB2312"/>
                <w:color w:val="auto"/>
                <w:sz w:val="32"/>
                <w:szCs w:val="32"/>
                <w:highlight w:val="none"/>
              </w:rPr>
              <w:t>文件规定的金额和期限交纳报价保证金，报价保证金作为报价文件的组成部分。响应人与交款人名称必须一致，非响应人缴纳的报价保证金无效。</w:t>
            </w:r>
          </w:p>
          <w:p>
            <w:pPr>
              <w:adjustRightInd w:val="0"/>
              <w:snapToGrid w:val="0"/>
              <w:spacing w:line="560" w:lineRule="exact"/>
              <w:jc w:val="left"/>
              <w:outlineLvl w:val="9"/>
              <w:rPr>
                <w:rFonts w:eastAsia="仿宋_GB2312"/>
                <w:color w:val="auto"/>
                <w:sz w:val="32"/>
                <w:szCs w:val="32"/>
                <w:highlight w:val="none"/>
                <w:u w:val="none"/>
              </w:rPr>
            </w:pPr>
            <w:r>
              <w:rPr>
                <w:rFonts w:hint="eastAsia" w:eastAsia="仿宋_GB2312"/>
                <w:color w:val="auto"/>
                <w:sz w:val="32"/>
                <w:szCs w:val="32"/>
                <w:highlight w:val="none"/>
              </w:rPr>
              <w:t>2、报价保证金金额</w:t>
            </w:r>
            <w:r>
              <w:rPr>
                <w:rFonts w:hint="eastAsia" w:eastAsia="仿宋_GB2312"/>
                <w:color w:val="auto"/>
                <w:sz w:val="32"/>
                <w:szCs w:val="32"/>
                <w:highlight w:val="none"/>
                <w:u w:val="none"/>
              </w:rPr>
              <w:t>：</w:t>
            </w:r>
            <w:r>
              <w:rPr>
                <w:rFonts w:hint="eastAsia" w:eastAsia="仿宋_GB2312"/>
                <w:color w:val="auto"/>
                <w:sz w:val="32"/>
                <w:szCs w:val="32"/>
                <w:highlight w:val="none"/>
                <w:u w:val="single"/>
                <w:lang w:val="en-US" w:eastAsia="zh-CN"/>
              </w:rPr>
              <w:t>4530</w:t>
            </w:r>
            <w:r>
              <w:rPr>
                <w:rFonts w:hint="eastAsia" w:eastAsia="仿宋_GB2312"/>
                <w:color w:val="auto"/>
                <w:sz w:val="32"/>
                <w:szCs w:val="32"/>
                <w:highlight w:val="none"/>
                <w:u w:val="none"/>
              </w:rPr>
              <w:t>元。</w:t>
            </w:r>
          </w:p>
          <w:p>
            <w:pPr>
              <w:adjustRightInd w:val="0"/>
              <w:snapToGrid w:val="0"/>
              <w:spacing w:line="560" w:lineRule="exact"/>
              <w:jc w:val="left"/>
              <w:outlineLvl w:val="9"/>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u w:val="none"/>
              </w:rPr>
              <w:t>3、报价保证金缴纳期限：开标时</w:t>
            </w:r>
            <w:r>
              <w:rPr>
                <w:rFonts w:hint="eastAsia" w:ascii="Times New Roman" w:hAnsi="Times New Roman" w:eastAsia="仿宋_GB2312" w:cs="Times New Roman"/>
                <w:color w:val="auto"/>
                <w:sz w:val="32"/>
                <w:szCs w:val="32"/>
                <w:highlight w:val="none"/>
              </w:rPr>
              <w:t>间前（报价保证金汇错账号、迟到或不足额均作无效处理）。</w:t>
            </w:r>
          </w:p>
          <w:p>
            <w:pPr>
              <w:adjustRightInd w:val="0"/>
              <w:snapToGrid w:val="0"/>
              <w:spacing w:line="560" w:lineRule="exact"/>
              <w:jc w:val="left"/>
              <w:outlineLvl w:val="9"/>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4、</w:t>
            </w:r>
            <w:r>
              <w:rPr>
                <w:rFonts w:hint="eastAsia" w:ascii="Times New Roman" w:hAnsi="Times New Roman" w:eastAsia="仿宋_GB2312" w:cs="Times New Roman"/>
                <w:color w:val="auto"/>
                <w:sz w:val="32"/>
                <w:szCs w:val="32"/>
                <w:highlight w:val="none"/>
              </w:rPr>
              <w:t>投标保证金缴纳方式：转帐</w:t>
            </w:r>
            <w:r>
              <w:rPr>
                <w:rFonts w:hint="eastAsia" w:ascii="Times New Roman" w:hAnsi="Times New Roman" w:eastAsia="仿宋_GB2312" w:cs="Times New Roman"/>
                <w:color w:val="auto"/>
                <w:sz w:val="32"/>
                <w:szCs w:val="32"/>
                <w:highlight w:val="none"/>
                <w:lang w:eastAsia="zh-CN"/>
              </w:rPr>
              <w:t>。</w:t>
            </w:r>
          </w:p>
          <w:p>
            <w:pPr>
              <w:adjustRightInd w:val="0"/>
              <w:snapToGrid w:val="0"/>
              <w:spacing w:line="560" w:lineRule="exact"/>
              <w:jc w:val="left"/>
              <w:outlineLvl w:val="9"/>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5、报价保证金收款账户信息：</w:t>
            </w:r>
          </w:p>
          <w:p>
            <w:pPr>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rPr>
              <w:t>账户名称：</w:t>
            </w:r>
            <w:r>
              <w:rPr>
                <w:rFonts w:hint="eastAsia" w:eastAsia="仿宋_GB2312"/>
                <w:color w:val="auto"/>
                <w:sz w:val="32"/>
                <w:szCs w:val="32"/>
                <w:highlight w:val="none"/>
                <w:u w:val="single"/>
                <w:lang w:val="en-US" w:eastAsia="zh-CN"/>
              </w:rPr>
              <w:t>东莞市东富投资发展有限公司</w:t>
            </w:r>
          </w:p>
          <w:p>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rPr>
              <w:t>开户银行：交通银行东莞分行营业部</w:t>
            </w:r>
            <w:r>
              <w:rPr>
                <w:rFonts w:hint="eastAsia" w:eastAsia="仿宋_GB2312"/>
                <w:color w:val="auto"/>
                <w:sz w:val="32"/>
                <w:szCs w:val="32"/>
                <w:highlight w:val="none"/>
                <w:lang w:val="en-US" w:eastAsia="zh-CN"/>
              </w:rPr>
              <w:t xml:space="preserve"> </w:t>
            </w:r>
          </w:p>
          <w:p>
            <w:pPr>
              <w:adjustRightInd w:val="0"/>
              <w:snapToGrid w:val="0"/>
              <w:spacing w:line="560" w:lineRule="exact"/>
              <w:rPr>
                <w:rFonts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银行账户：4830 0761 1013 0002 35768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9</w:t>
            </w:r>
          </w:p>
        </w:tc>
        <w:tc>
          <w:tcPr>
            <w:tcW w:w="2275" w:type="dxa"/>
            <w:vAlign w:val="top"/>
          </w:tcPr>
          <w:p>
            <w:pPr>
              <w:spacing w:line="360" w:lineRule="auto"/>
              <w:jc w:val="center"/>
              <w:rPr>
                <w:rFonts w:eastAsia="仿宋_GB2312"/>
                <w:color w:val="auto"/>
                <w:sz w:val="32"/>
                <w:szCs w:val="32"/>
                <w:highlight w:val="none"/>
              </w:rPr>
            </w:pPr>
          </w:p>
          <w:p>
            <w:pPr>
              <w:spacing w:line="360" w:lineRule="auto"/>
              <w:jc w:val="center"/>
              <w:rPr>
                <w:rFonts w:eastAsia="仿宋_GB2312"/>
                <w:color w:val="auto"/>
                <w:sz w:val="32"/>
                <w:szCs w:val="32"/>
                <w:highlight w:val="none"/>
              </w:rPr>
            </w:pPr>
          </w:p>
          <w:p>
            <w:pPr>
              <w:spacing w:line="360" w:lineRule="auto"/>
              <w:jc w:val="center"/>
              <w:rPr>
                <w:rFonts w:eastAsia="仿宋_GB2312"/>
                <w:color w:val="auto"/>
                <w:sz w:val="32"/>
                <w:szCs w:val="32"/>
                <w:highlight w:val="none"/>
              </w:rPr>
            </w:pPr>
          </w:p>
          <w:p>
            <w:pPr>
              <w:spacing w:line="360" w:lineRule="auto"/>
              <w:jc w:val="center"/>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履约保证金</w:t>
            </w:r>
          </w:p>
        </w:tc>
        <w:tc>
          <w:tcPr>
            <w:tcW w:w="5942" w:type="dxa"/>
            <w:vAlign w:val="center"/>
          </w:tcPr>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1、中标人与采购人签订合同时提交履约保证金，履约保证金金额为中标合同金额的10%。履约保证金采用银行转账方式提交，中标人不能按本采购文件要求提交履约保证金的，采购人将有权取消中标人的中标资格。</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2、履约保证金申请返还时间为采购人完成服务结算之日，成交人没有任何违约的情况下由成交人提交退款申请，收到成交人申请后30个日历日内，受益人一次性无息退回。</w:t>
            </w:r>
          </w:p>
          <w:p>
            <w:pPr>
              <w:pStyle w:val="10"/>
              <w:rPr>
                <w:rFonts w:hint="eastAsia" w:ascii="Times New Roman" w:hAnsi="Times New Roman" w:eastAsia="仿宋_GB2312" w:cs="Times New Roman"/>
                <w:b/>
                <w:bCs/>
                <w:color w:val="auto"/>
                <w:kern w:val="2"/>
                <w:sz w:val="32"/>
                <w:szCs w:val="32"/>
                <w:highlight w:val="none"/>
                <w:lang w:val="en-US" w:eastAsia="zh-CN" w:bidi="ar-SA"/>
              </w:rPr>
            </w:pPr>
            <w:r>
              <w:rPr>
                <w:rFonts w:hint="eastAsia" w:eastAsia="仿宋_GB2312"/>
                <w:b/>
                <w:bCs/>
                <w:color w:val="auto"/>
                <w:sz w:val="32"/>
                <w:szCs w:val="32"/>
                <w:highlight w:val="none"/>
              </w:rPr>
              <w:t>本项目履约保证金的受益人为项目业主：</w:t>
            </w:r>
            <w:r>
              <w:rPr>
                <w:rFonts w:hint="eastAsia" w:eastAsia="仿宋_GB2312"/>
                <w:b/>
                <w:bCs/>
                <w:color w:val="auto"/>
                <w:sz w:val="32"/>
                <w:szCs w:val="32"/>
                <w:highlight w:val="none"/>
                <w:lang w:val="en-US" w:eastAsia="zh-CN"/>
              </w:rPr>
              <w:t>东莞市虎门镇镇口股份经济联合社</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10</w:t>
            </w:r>
          </w:p>
        </w:tc>
        <w:tc>
          <w:tcPr>
            <w:tcW w:w="2275" w:type="dxa"/>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谈判有效期</w:t>
            </w:r>
          </w:p>
        </w:tc>
        <w:tc>
          <w:tcPr>
            <w:tcW w:w="5942" w:type="dxa"/>
            <w:vAlign w:val="center"/>
          </w:tcPr>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11</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）竞争性谈判文件规定的其他情形：见竞争性谈判公告或竞争性谈判响应须知前附表。</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、响应人在竞争性谈判活动中有下列行为之一的，应视情节轻重，暂停或取消其参与采购人及东实集团旗下采购项目的资格：</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）响应人之间相互串通、或与采购人、代理机构、评审委员会成员串通谈判，损害采购人或者其他响应人的合法权益的；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）以他人名义谈判或以其他方式弄虚作假，骗取成交的；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）成交人无正当理由不与采购人订立合同，在签订合同时向采购人提出附加条件，或者不按照竞争性谈判文件要求提交履约担保的；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、有下列情形之一的，视为响应人串通谈判，其响应无效：</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、使用通过受让或者租借等方式获取的资格、资质证书响应的，属于以他人名义谈判，其响应无效：</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（二）竞争性谈判活动前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年内与其存在劳动关系，担任其董事、监事，是其控股股东或实际控制人，或存在其他经济利益关系，可能影响竞争性谈判活动公平公正的；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（三）其他可能影响竞争性谈判活动公平、公正进行的关系。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pPr>
              <w:spacing w:line="360" w:lineRule="auto"/>
              <w:jc w:val="center"/>
              <w:rPr>
                <w:rFonts w:eastAsia="仿宋_GB2312"/>
                <w:color w:val="auto"/>
                <w:sz w:val="32"/>
                <w:szCs w:val="32"/>
                <w:highlight w:val="none"/>
              </w:rPr>
            </w:pPr>
          </w:p>
        </w:tc>
        <w:tc>
          <w:tcPr>
            <w:tcW w:w="2275" w:type="dxa"/>
            <w:tcBorders>
              <w:bottom w:val="double" w:color="auto" w:sz="4" w:space="0"/>
            </w:tcBorders>
            <w:vAlign w:val="center"/>
          </w:tcPr>
          <w:p>
            <w:pPr>
              <w:spacing w:line="360" w:lineRule="auto"/>
              <w:jc w:val="center"/>
              <w:rPr>
                <w:rFonts w:eastAsia="仿宋_GB2312"/>
                <w:color w:val="auto"/>
                <w:sz w:val="32"/>
                <w:szCs w:val="32"/>
                <w:highlight w:val="none"/>
              </w:rPr>
            </w:pPr>
          </w:p>
        </w:tc>
        <w:tc>
          <w:tcPr>
            <w:tcW w:w="5942" w:type="dxa"/>
            <w:tcBorders>
              <w:bottom w:val="double" w:color="auto" w:sz="4" w:space="0"/>
            </w:tcBorders>
            <w:vAlign w:val="center"/>
          </w:tcPr>
          <w:p>
            <w:pPr>
              <w:adjustRightInd w:val="0"/>
              <w:snapToGrid w:val="0"/>
              <w:spacing w:line="560" w:lineRule="exact"/>
              <w:rPr>
                <w:rFonts w:eastAsia="仿宋_GB2312"/>
                <w:color w:val="auto"/>
                <w:sz w:val="32"/>
                <w:szCs w:val="32"/>
                <w:highlight w:val="none"/>
              </w:rPr>
            </w:pPr>
          </w:p>
        </w:tc>
      </w:tr>
    </w:tbl>
    <w:p>
      <w:pPr>
        <w:pStyle w:val="44"/>
        <w:ind w:firstLine="0" w:firstLineChars="0"/>
        <w:jc w:val="left"/>
        <w:outlineLvl w:val="0"/>
        <w:rPr>
          <w:rFonts w:eastAsia="黑体"/>
          <w:color w:val="auto"/>
          <w:sz w:val="28"/>
          <w:szCs w:val="44"/>
          <w:highlight w:val="none"/>
        </w:rPr>
      </w:pPr>
      <w:bookmarkStart w:id="8" w:name="_Hlk524442005"/>
      <w:r>
        <w:rPr>
          <w:rFonts w:hint="eastAsia" w:eastAsia="黑体"/>
          <w:color w:val="auto"/>
          <w:sz w:val="28"/>
          <w:szCs w:val="44"/>
          <w:highlight w:val="none"/>
        </w:rPr>
        <w:t>附件二报价函</w:t>
      </w:r>
    </w:p>
    <w:p>
      <w:pPr>
        <w:jc w:val="center"/>
        <w:rPr>
          <w:rFonts w:eastAsia="华文中宋"/>
          <w:color w:val="auto"/>
          <w:sz w:val="44"/>
          <w:szCs w:val="44"/>
          <w:highlight w:val="none"/>
        </w:rPr>
      </w:pPr>
      <w:r>
        <w:rPr>
          <w:rFonts w:hint="eastAsia" w:eastAsia="华文中宋"/>
          <w:color w:val="auto"/>
          <w:sz w:val="44"/>
          <w:szCs w:val="44"/>
          <w:highlight w:val="none"/>
        </w:rPr>
        <w:t>报价函</w:t>
      </w:r>
    </w:p>
    <w:p>
      <w:pPr>
        <w:ind w:firstLine="560"/>
        <w:jc w:val="center"/>
        <w:rPr>
          <w:rFonts w:eastAsia="仿宋_GB2312"/>
          <w:color w:val="auto"/>
          <w:sz w:val="32"/>
          <w:szCs w:val="32"/>
          <w:highlight w:val="none"/>
        </w:rPr>
      </w:pPr>
    </w:p>
    <w:p>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东莞市东富投资发展有限公司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hint="eastAsia" w:eastAsia="仿宋_GB2312"/>
          <w:color w:val="auto"/>
          <w:sz w:val="32"/>
          <w:szCs w:val="32"/>
          <w:highlight w:val="none"/>
          <w:u w:val="single"/>
          <w:lang w:val="en-US" w:eastAsia="zh-CN"/>
        </w:rPr>
        <w:t>虎门镇衣流时尚园一期A区3号地块项目多测合一服务</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税率  %（必填）</w:t>
      </w:r>
      <w:r>
        <w:rPr>
          <w:rFonts w:hint="eastAsia" w:eastAsia="仿宋_GB2312"/>
          <w:color w:val="auto"/>
          <w:sz w:val="32"/>
          <w:szCs w:val="32"/>
          <w:highlight w:val="none"/>
        </w:rPr>
        <w:t>承接此项目。</w:t>
      </w:r>
    </w:p>
    <w:p>
      <w:pPr>
        <w:rPr>
          <w:rFonts w:eastAsia="仿宋_GB2312"/>
          <w:color w:val="auto"/>
          <w:sz w:val="32"/>
          <w:szCs w:val="32"/>
          <w:highlight w:val="none"/>
        </w:rPr>
      </w:pPr>
    </w:p>
    <w:p>
      <w:pPr>
        <w:rPr>
          <w:rFonts w:eastAsia="仿宋_GB2312"/>
          <w:color w:val="auto"/>
          <w:sz w:val="32"/>
          <w:szCs w:val="32"/>
          <w:highlight w:val="none"/>
        </w:rPr>
      </w:pPr>
    </w:p>
    <w:p>
      <w:pPr>
        <w:rPr>
          <w:rFonts w:eastAsia="仿宋_GB2312"/>
          <w:color w:val="auto"/>
          <w:sz w:val="32"/>
          <w:szCs w:val="32"/>
          <w:highlight w:val="none"/>
        </w:rPr>
      </w:pPr>
    </w:p>
    <w:p>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pPr>
        <w:jc w:val="left"/>
        <w:rPr>
          <w:rFonts w:eastAsia="仿宋_GB2312"/>
          <w:color w:val="auto"/>
          <w:sz w:val="32"/>
          <w:szCs w:val="32"/>
          <w:highlight w:val="none"/>
        </w:rPr>
      </w:pPr>
      <w:r>
        <w:rPr>
          <w:rFonts w:hint="eastAsia" w:eastAsia="仿宋_GB2312"/>
          <w:color w:val="auto"/>
          <w:sz w:val="32"/>
          <w:szCs w:val="32"/>
          <w:highlight w:val="none"/>
        </w:rPr>
        <w:t>联系人：</w:t>
      </w:r>
    </w:p>
    <w:p>
      <w:pPr>
        <w:jc w:val="left"/>
        <w:rPr>
          <w:rFonts w:eastAsia="仿宋_GB2312"/>
          <w:color w:val="auto"/>
          <w:sz w:val="32"/>
          <w:szCs w:val="32"/>
          <w:highlight w:val="none"/>
        </w:rPr>
      </w:pPr>
      <w:r>
        <w:rPr>
          <w:rFonts w:hint="eastAsia" w:eastAsia="仿宋_GB2312"/>
          <w:color w:val="auto"/>
          <w:sz w:val="32"/>
          <w:szCs w:val="32"/>
          <w:highlight w:val="none"/>
        </w:rPr>
        <w:t>联系电话：</w:t>
      </w:r>
    </w:p>
    <w:p>
      <w:pPr>
        <w:jc w:val="left"/>
        <w:rPr>
          <w:rFonts w:eastAsia="仿宋_GB2312"/>
          <w:color w:val="auto"/>
          <w:sz w:val="32"/>
          <w:szCs w:val="32"/>
          <w:highlight w:val="none"/>
        </w:rPr>
      </w:pPr>
      <w:r>
        <w:rPr>
          <w:rFonts w:hint="eastAsia" w:eastAsia="仿宋_GB2312"/>
          <w:color w:val="auto"/>
          <w:sz w:val="32"/>
          <w:szCs w:val="32"/>
          <w:highlight w:val="none"/>
        </w:rPr>
        <w:t>日期：</w:t>
      </w:r>
    </w:p>
    <w:p>
      <w:pPr>
        <w:jc w:val="center"/>
        <w:rPr>
          <w:rFonts w:eastAsia="仿宋_GB2312"/>
          <w:color w:val="auto"/>
          <w:sz w:val="32"/>
          <w:szCs w:val="32"/>
          <w:highlight w:val="none"/>
        </w:rPr>
      </w:pPr>
    </w:p>
    <w:p>
      <w:pPr>
        <w:jc w:val="center"/>
        <w:rPr>
          <w:rFonts w:eastAsia="仿宋_GB2312"/>
          <w:color w:val="auto"/>
          <w:sz w:val="32"/>
          <w:szCs w:val="32"/>
          <w:highlight w:val="none"/>
        </w:rPr>
      </w:pPr>
    </w:p>
    <w:p>
      <w:pPr>
        <w:jc w:val="center"/>
        <w:rPr>
          <w:rFonts w:eastAsia="仿宋_GB2312"/>
          <w:color w:val="auto"/>
          <w:sz w:val="32"/>
          <w:szCs w:val="32"/>
          <w:highlight w:val="none"/>
        </w:rPr>
      </w:pPr>
    </w:p>
    <w:p>
      <w:pPr>
        <w:widowControl/>
        <w:jc w:val="left"/>
        <w:rPr>
          <w:rFonts w:ascii="仿宋_GB2312" w:eastAsia="仿宋_GB2312"/>
          <w:color w:val="auto"/>
          <w:sz w:val="28"/>
          <w:szCs w:val="44"/>
          <w:highlight w:val="none"/>
        </w:rPr>
      </w:pPr>
    </w:p>
    <w:p>
      <w:pPr>
        <w:pStyle w:val="30"/>
        <w:rPr>
          <w:rFonts w:ascii="仿宋_GB2312" w:eastAsia="仿宋_GB2312"/>
          <w:color w:val="auto"/>
          <w:sz w:val="28"/>
          <w:szCs w:val="44"/>
          <w:highlight w:val="none"/>
        </w:rPr>
      </w:pPr>
    </w:p>
    <w:tbl>
      <w:tblPr>
        <w:tblStyle w:val="23"/>
        <w:tblW w:w="927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trPr>
        <w:tc>
          <w:tcPr>
            <w:tcW w:w="9279"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highlight w:val="none"/>
                <w:u w:val="none"/>
              </w:rPr>
            </w:pPr>
            <w:r>
              <w:rPr>
                <w:rFonts w:hint="eastAsia" w:ascii="宋体" w:hAnsi="宋体" w:eastAsia="宋体" w:cs="宋体"/>
                <w:b/>
                <w:bCs/>
                <w:i w:val="0"/>
                <w:iCs w:val="0"/>
                <w:color w:val="000000"/>
                <w:kern w:val="0"/>
                <w:sz w:val="28"/>
                <w:szCs w:val="28"/>
                <w:highlight w:val="none"/>
                <w:u w:val="none"/>
                <w:lang w:val="en-US" w:eastAsia="zh-CN" w:bidi="ar"/>
              </w:rPr>
              <w:t>报价清单</w:t>
            </w:r>
          </w:p>
        </w:tc>
      </w:tr>
    </w:tbl>
    <w:tbl>
      <w:tblPr>
        <w:tblStyle w:val="23"/>
        <w:tblpPr w:leftFromText="180" w:rightFromText="180" w:vertAnchor="text" w:horzAnchor="page" w:tblpX="1506" w:tblpY="23"/>
        <w:tblOverlap w:val="never"/>
        <w:tblW w:w="92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4"/>
        <w:gridCol w:w="2380"/>
        <w:gridCol w:w="1026"/>
        <w:gridCol w:w="696"/>
        <w:gridCol w:w="1008"/>
        <w:gridCol w:w="1395"/>
        <w:gridCol w:w="18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jc w:val="center"/>
        </w:trPr>
        <w:tc>
          <w:tcPr>
            <w:tcW w:w="844" w:type="dxa"/>
            <w:tcBorders>
              <w:top w:val="single" w:color="auto" w:sz="12" w:space="0"/>
              <w:left w:val="single" w:color="auto" w:sz="12" w:space="0"/>
              <w:bottom w:val="nil"/>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b/>
                <w:color w:val="000000"/>
                <w:sz w:val="18"/>
                <w:szCs w:val="18"/>
              </w:rPr>
            </w:pPr>
            <w:r>
              <w:rPr>
                <w:rFonts w:hint="eastAsia" w:ascii="仿宋_GB2312" w:hAnsi="仿宋_GB2312" w:eastAsia="仿宋_GB2312"/>
                <w:b/>
                <w:color w:val="000000"/>
                <w:sz w:val="18"/>
                <w:szCs w:val="18"/>
              </w:rPr>
              <w:t>序号</w:t>
            </w:r>
          </w:p>
        </w:tc>
        <w:tc>
          <w:tcPr>
            <w:tcW w:w="2380"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b/>
                <w:color w:val="000000"/>
                <w:sz w:val="18"/>
                <w:szCs w:val="18"/>
              </w:rPr>
            </w:pPr>
            <w:r>
              <w:rPr>
                <w:rFonts w:hint="eastAsia" w:ascii="仿宋_GB2312" w:hAnsi="仿宋_GB2312" w:eastAsia="仿宋_GB2312"/>
                <w:b/>
                <w:color w:val="000000"/>
                <w:sz w:val="18"/>
                <w:szCs w:val="18"/>
              </w:rPr>
              <w:t>项目名称</w:t>
            </w:r>
          </w:p>
        </w:tc>
        <w:tc>
          <w:tcPr>
            <w:tcW w:w="1026"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b/>
                <w:color w:val="000000"/>
                <w:sz w:val="18"/>
                <w:szCs w:val="18"/>
              </w:rPr>
            </w:pPr>
            <w:r>
              <w:rPr>
                <w:rFonts w:hint="eastAsia" w:ascii="仿宋_GB2312" w:hAnsi="仿宋_GB2312" w:eastAsia="仿宋_GB2312"/>
                <w:b/>
                <w:color w:val="000000"/>
                <w:sz w:val="18"/>
                <w:szCs w:val="18"/>
              </w:rPr>
              <w:t>工作量</w:t>
            </w:r>
          </w:p>
        </w:tc>
        <w:tc>
          <w:tcPr>
            <w:tcW w:w="696"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b/>
                <w:color w:val="000000"/>
                <w:sz w:val="18"/>
                <w:szCs w:val="18"/>
              </w:rPr>
            </w:pPr>
            <w:r>
              <w:rPr>
                <w:rFonts w:hint="eastAsia" w:ascii="仿宋_GB2312" w:hAnsi="仿宋_GB2312" w:eastAsia="仿宋_GB2312"/>
                <w:b/>
                <w:color w:val="000000"/>
                <w:sz w:val="18"/>
                <w:szCs w:val="18"/>
              </w:rPr>
              <w:t>单位</w:t>
            </w:r>
          </w:p>
        </w:tc>
        <w:tc>
          <w:tcPr>
            <w:tcW w:w="1008"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b/>
                <w:color w:val="000000"/>
                <w:sz w:val="18"/>
                <w:szCs w:val="18"/>
              </w:rPr>
            </w:pPr>
            <w:r>
              <w:rPr>
                <w:rFonts w:hint="eastAsia" w:ascii="仿宋_GB2312" w:hAnsi="仿宋_GB2312" w:eastAsia="仿宋_GB2312"/>
                <w:b/>
                <w:color w:val="000000"/>
                <w:sz w:val="18"/>
                <w:szCs w:val="18"/>
                <w:lang w:val="en-US" w:eastAsia="zh-CN"/>
              </w:rPr>
              <w:t>含税</w:t>
            </w:r>
            <w:r>
              <w:rPr>
                <w:rFonts w:hint="eastAsia" w:ascii="仿宋_GB2312" w:hAnsi="仿宋_GB2312" w:eastAsia="仿宋_GB2312"/>
                <w:b/>
                <w:color w:val="000000"/>
                <w:sz w:val="18"/>
                <w:szCs w:val="18"/>
              </w:rPr>
              <w:t>单价（元）</w:t>
            </w:r>
          </w:p>
        </w:tc>
        <w:tc>
          <w:tcPr>
            <w:tcW w:w="1395"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b/>
                <w:color w:val="000000"/>
                <w:sz w:val="18"/>
                <w:szCs w:val="18"/>
              </w:rPr>
            </w:pPr>
            <w:r>
              <w:rPr>
                <w:rFonts w:hint="eastAsia" w:ascii="仿宋_GB2312" w:hAnsi="仿宋_GB2312" w:eastAsia="仿宋_GB2312"/>
                <w:b/>
                <w:color w:val="000000"/>
                <w:sz w:val="18"/>
                <w:szCs w:val="18"/>
              </w:rPr>
              <w:t>含税合计（元）</w:t>
            </w:r>
          </w:p>
        </w:tc>
        <w:tc>
          <w:tcPr>
            <w:tcW w:w="1887"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b/>
                <w:color w:val="000000"/>
                <w:sz w:val="18"/>
                <w:szCs w:val="18"/>
              </w:rPr>
            </w:pPr>
            <w:r>
              <w:rPr>
                <w:rFonts w:hint="eastAsia" w:ascii="仿宋_GB2312" w:hAnsi="仿宋_GB2312" w:eastAsia="仿宋_GB2312"/>
                <w:b/>
                <w:color w:val="000000"/>
                <w:sz w:val="18"/>
                <w:szCs w:val="1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一</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测图（办理用地、规划许可阶段）</w:t>
            </w:r>
          </w:p>
        </w:tc>
        <w:tc>
          <w:tcPr>
            <w:tcW w:w="1026" w:type="dxa"/>
            <w:tcBorders>
              <w:top w:val="single" w:color="auto" w:sz="6" w:space="0"/>
              <w:left w:val="nil"/>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696"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8"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1.1</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地形图测绘（1:500比例尺）</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0.01</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km²</w:t>
            </w: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1.2</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r>
              <w:rPr>
                <w:rFonts w:hint="eastAsia" w:ascii="宋体" w:hAnsi="宋体"/>
                <w:b/>
                <w:color w:val="000000"/>
                <w:sz w:val="18"/>
                <w:szCs w:val="18"/>
              </w:rPr>
              <w:t>小计：（1.1）</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二</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规划条件核实测量</w:t>
            </w:r>
          </w:p>
        </w:tc>
        <w:tc>
          <w:tcPr>
            <w:tcW w:w="1026" w:type="dxa"/>
            <w:tcBorders>
              <w:top w:val="single" w:color="auto" w:sz="6" w:space="0"/>
              <w:left w:val="nil"/>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696"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2.1</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竣工验收测图</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1</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副</w:t>
            </w: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2.2</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验测平面位置（间距、退让）</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4</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边</w:t>
            </w: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2.3</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验测高程、高度</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2</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栋</w:t>
            </w: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(含地下室，最终以出工程证数量为准）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2.4</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规划建筑面积测量</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61806.88</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w:t>
            </w: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2.5</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r>
              <w:rPr>
                <w:rFonts w:hint="eastAsia" w:ascii="宋体" w:hAnsi="宋体"/>
                <w:b/>
                <w:color w:val="000000"/>
                <w:sz w:val="18"/>
                <w:szCs w:val="18"/>
              </w:rPr>
              <w:t>小计：（2.1+2.2+2.3+2.4）</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三</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不动产测量</w:t>
            </w:r>
          </w:p>
        </w:tc>
        <w:tc>
          <w:tcPr>
            <w:tcW w:w="1026" w:type="dxa"/>
            <w:tcBorders>
              <w:top w:val="single" w:color="auto" w:sz="6" w:space="0"/>
              <w:left w:val="nil"/>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696"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3.1</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房产面积测量</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61806.88</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w:t>
            </w: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3.3</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小计：（3.1）</w:t>
            </w:r>
          </w:p>
        </w:tc>
        <w:tc>
          <w:tcPr>
            <w:tcW w:w="1026" w:type="dxa"/>
            <w:tcBorders>
              <w:top w:val="single" w:color="auto" w:sz="6" w:space="0"/>
              <w:left w:val="nil"/>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696" w:type="dxa"/>
            <w:tcBorders>
              <w:top w:val="single" w:color="auto" w:sz="6" w:space="0"/>
              <w:left w:val="nil"/>
              <w:bottom w:val="single" w:color="auto" w:sz="6" w:space="0"/>
              <w:right w:val="nil"/>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008"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四</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汇总合计：1.2+2.5+3.3</w:t>
            </w:r>
          </w:p>
        </w:tc>
        <w:tc>
          <w:tcPr>
            <w:tcW w:w="102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00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39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1" w:hRule="atLeast"/>
          <w:jc w:val="center"/>
        </w:trPr>
        <w:tc>
          <w:tcPr>
            <w:tcW w:w="844" w:type="dxa"/>
            <w:tcBorders>
              <w:top w:val="single" w:color="auto" w:sz="6" w:space="0"/>
              <w:left w:val="single" w:color="auto" w:sz="12" w:space="0"/>
              <w:bottom w:val="single" w:color="auto" w:sz="12"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r>
              <w:rPr>
                <w:rFonts w:hint="eastAsia" w:ascii="黑体" w:hAnsi="黑体" w:eastAsia="黑体"/>
                <w:b/>
                <w:color w:val="000000"/>
                <w:sz w:val="18"/>
                <w:szCs w:val="18"/>
              </w:rPr>
              <w:t>五</w:t>
            </w:r>
          </w:p>
        </w:tc>
        <w:tc>
          <w:tcPr>
            <w:tcW w:w="2380"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spacing w:beforeLines="0" w:afterLines="0"/>
              <w:jc w:val="center"/>
              <w:rPr>
                <w:rFonts w:hint="default" w:ascii="黑体" w:hAnsi="黑体" w:eastAsia="黑体"/>
                <w:b/>
                <w:color w:val="000000"/>
                <w:sz w:val="18"/>
                <w:szCs w:val="18"/>
                <w:lang w:val="en-US" w:eastAsia="zh-CN"/>
              </w:rPr>
            </w:pPr>
            <w:r>
              <w:rPr>
                <w:rFonts w:hint="eastAsia" w:ascii="黑体" w:hAnsi="黑体" w:eastAsia="黑体"/>
                <w:b/>
                <w:color w:val="000000"/>
                <w:sz w:val="18"/>
                <w:szCs w:val="18"/>
                <w:lang w:val="en-US" w:eastAsia="zh-CN"/>
              </w:rPr>
              <w:t>税率</w:t>
            </w:r>
          </w:p>
        </w:tc>
        <w:tc>
          <w:tcPr>
            <w:tcW w:w="1026"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696"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008"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spacing w:beforeLines="0" w:afterLines="0"/>
              <w:jc w:val="center"/>
              <w:rPr>
                <w:rFonts w:hint="eastAsia" w:ascii="黑体" w:hAnsi="黑体" w:eastAsia="黑体"/>
                <w:b/>
                <w:color w:val="000000"/>
                <w:sz w:val="18"/>
                <w:szCs w:val="18"/>
              </w:rPr>
            </w:pPr>
          </w:p>
        </w:tc>
        <w:tc>
          <w:tcPr>
            <w:tcW w:w="1395"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b/>
                <w:color w:val="000000"/>
                <w:sz w:val="18"/>
                <w:szCs w:val="18"/>
              </w:rPr>
            </w:pPr>
          </w:p>
        </w:tc>
        <w:tc>
          <w:tcPr>
            <w:tcW w:w="1887"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18"/>
                <w:szCs w:val="18"/>
              </w:rPr>
            </w:pPr>
          </w:p>
        </w:tc>
      </w:tr>
    </w:tbl>
    <w:p>
      <w:pPr>
        <w:rPr>
          <w:rFonts w:hint="eastAsia"/>
          <w:b/>
          <w:color w:val="auto"/>
          <w:sz w:val="21"/>
          <w:szCs w:val="21"/>
          <w:highlight w:val="none"/>
        </w:rPr>
      </w:pPr>
    </w:p>
    <w:p>
      <w:pPr>
        <w:rPr>
          <w:b/>
          <w:color w:val="auto"/>
          <w:sz w:val="21"/>
          <w:szCs w:val="21"/>
          <w:highlight w:val="none"/>
        </w:rPr>
      </w:pPr>
      <w:r>
        <w:rPr>
          <w:rFonts w:hint="eastAsia"/>
          <w:b/>
          <w:color w:val="auto"/>
          <w:sz w:val="21"/>
          <w:szCs w:val="21"/>
          <w:highlight w:val="none"/>
        </w:rPr>
        <w:t>注：1、合计含税报价应等于“报价</w:t>
      </w:r>
      <w:r>
        <w:rPr>
          <w:rFonts w:hint="eastAsia"/>
          <w:b/>
          <w:color w:val="auto"/>
          <w:sz w:val="21"/>
          <w:szCs w:val="21"/>
          <w:highlight w:val="none"/>
          <w:lang w:eastAsia="zh-CN"/>
        </w:rPr>
        <w:t>清单</w:t>
      </w:r>
      <w:r>
        <w:rPr>
          <w:rFonts w:hint="eastAsia"/>
          <w:b/>
          <w:color w:val="auto"/>
          <w:sz w:val="21"/>
          <w:szCs w:val="21"/>
          <w:highlight w:val="none"/>
        </w:rPr>
        <w:t>”中的总报价（含税）。</w:t>
      </w:r>
    </w:p>
    <w:p>
      <w:pPr>
        <w:pStyle w:val="30"/>
        <w:rPr>
          <w:rFonts w:hint="eastAsia" w:ascii="仿宋_GB2312" w:eastAsia="仿宋_GB2312"/>
          <w:color w:val="auto"/>
          <w:sz w:val="28"/>
          <w:szCs w:val="44"/>
          <w:highlight w:val="none"/>
        </w:rPr>
      </w:pPr>
      <w:r>
        <w:rPr>
          <w:rFonts w:hint="eastAsia"/>
          <w:b/>
          <w:color w:val="auto"/>
          <w:sz w:val="21"/>
          <w:szCs w:val="21"/>
          <w:highlight w:val="none"/>
          <w:lang w:val="en-US" w:eastAsia="zh-CN"/>
        </w:rPr>
        <w:t>2、</w:t>
      </w:r>
      <w:r>
        <w:rPr>
          <w:rFonts w:hint="eastAsia"/>
          <w:b/>
          <w:color w:val="auto"/>
          <w:sz w:val="21"/>
          <w:szCs w:val="21"/>
          <w:highlight w:val="none"/>
        </w:rPr>
        <w:t>磋商过程中，成交供应商最终报价对比投标报价如有下浮，最终清单价格按下浮比例，整体等比例下浮调整。</w:t>
      </w:r>
    </w:p>
    <w:p>
      <w:pPr>
        <w:rPr>
          <w:rFonts w:ascii="仿宋_GB2312" w:eastAsia="仿宋_GB2312"/>
          <w:color w:val="auto"/>
          <w:sz w:val="28"/>
          <w:szCs w:val="44"/>
          <w:highlight w:val="none"/>
        </w:rPr>
      </w:pPr>
      <w:r>
        <w:rPr>
          <w:rFonts w:hint="eastAsia" w:ascii="仿宋_GB2312" w:eastAsia="仿宋_GB2312"/>
          <w:color w:val="auto"/>
          <w:sz w:val="28"/>
          <w:szCs w:val="44"/>
          <w:highlight w:val="none"/>
        </w:rPr>
        <w:t>注：《报价函（最终报价）》在谈判后由法定代表人或授权委托人填报或签署并递交，不须与报价文件一同装订。</w:t>
      </w:r>
    </w:p>
    <w:p>
      <w:pPr>
        <w:ind w:firstLine="2200" w:firstLineChars="500"/>
        <w:rPr>
          <w:rFonts w:ascii="仿宋_GB2312" w:eastAsia="仿宋_GB2312"/>
          <w:color w:val="auto"/>
          <w:sz w:val="44"/>
          <w:szCs w:val="44"/>
          <w:highlight w:val="none"/>
        </w:rPr>
      </w:pPr>
      <w:r>
        <w:rPr>
          <w:rFonts w:hint="eastAsia" w:ascii="仿宋_GB2312" w:eastAsia="仿宋_GB2312"/>
          <w:color w:val="auto"/>
          <w:sz w:val="44"/>
          <w:szCs w:val="44"/>
          <w:highlight w:val="none"/>
        </w:rPr>
        <w:t>报</w:t>
      </w:r>
      <w:r>
        <w:rPr>
          <w:rFonts w:ascii="仿宋_GB2312" w:eastAsia="仿宋_GB2312"/>
          <w:color w:val="auto"/>
          <w:sz w:val="44"/>
          <w:szCs w:val="44"/>
          <w:highlight w:val="none"/>
        </w:rPr>
        <w:t xml:space="preserve"> </w:t>
      </w:r>
      <w:r>
        <w:rPr>
          <w:rFonts w:hint="eastAsia" w:ascii="仿宋_GB2312" w:eastAsia="仿宋_GB2312"/>
          <w:color w:val="auto"/>
          <w:sz w:val="44"/>
          <w:szCs w:val="44"/>
          <w:highlight w:val="none"/>
        </w:rPr>
        <w:t>价</w:t>
      </w:r>
      <w:r>
        <w:rPr>
          <w:rFonts w:ascii="仿宋_GB2312" w:eastAsia="仿宋_GB2312"/>
          <w:color w:val="auto"/>
          <w:sz w:val="44"/>
          <w:szCs w:val="44"/>
          <w:highlight w:val="none"/>
        </w:rPr>
        <w:t xml:space="preserve"> </w:t>
      </w:r>
      <w:r>
        <w:rPr>
          <w:rFonts w:hint="eastAsia" w:ascii="仿宋_GB2312" w:eastAsia="仿宋_GB2312"/>
          <w:color w:val="auto"/>
          <w:sz w:val="44"/>
          <w:szCs w:val="44"/>
          <w:highlight w:val="none"/>
        </w:rPr>
        <w:t>函（最终报价）</w:t>
      </w:r>
    </w:p>
    <w:p>
      <w:pPr>
        <w:ind w:firstLine="560"/>
        <w:jc w:val="center"/>
        <w:rPr>
          <w:rFonts w:ascii="仿宋_GB2312" w:eastAsia="仿宋_GB2312"/>
          <w:color w:val="auto"/>
          <w:sz w:val="32"/>
          <w:szCs w:val="32"/>
          <w:highlight w:val="none"/>
        </w:rPr>
      </w:pPr>
    </w:p>
    <w:p>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东莞市东富投资发展有限公司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pPr>
        <w:ind w:firstLine="640" w:firstLineChars="200"/>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根据贵司</w:t>
      </w:r>
      <w:r>
        <w:rPr>
          <w:rFonts w:hint="eastAsia" w:eastAsia="仿宋_GB2312"/>
          <w:color w:val="auto"/>
          <w:sz w:val="32"/>
          <w:szCs w:val="32"/>
          <w:highlight w:val="none"/>
          <w:u w:val="single"/>
          <w:lang w:val="en-US" w:eastAsia="zh-CN"/>
        </w:rPr>
        <w:t>虎门镇衣流时尚园一期A区3号地块项目多测合一服务</w:t>
      </w:r>
      <w:r>
        <w:rPr>
          <w:rFonts w:hint="eastAsia" w:ascii="仿宋_GB2312" w:eastAsia="仿宋_GB2312"/>
          <w:color w:val="auto"/>
          <w:sz w:val="32"/>
          <w:szCs w:val="32"/>
          <w:highlight w:val="none"/>
        </w:rPr>
        <w:t>的竞争性谈判文件，经澄清，我司已清楚采购文件及采购人的全部需求，我司愿以人民币</w:t>
      </w:r>
      <w:r>
        <w:rPr>
          <w:rFonts w:ascii="仿宋_GB2312" w:eastAsia="仿宋_GB2312"/>
          <w:color w:val="auto"/>
          <w:sz w:val="32"/>
          <w:szCs w:val="32"/>
          <w:highlight w:val="none"/>
          <w:u w:val="single"/>
        </w:rPr>
        <w:t xml:space="preserve">             </w:t>
      </w:r>
      <w:r>
        <w:rPr>
          <w:rFonts w:hint="eastAsia" w:ascii="仿宋_GB2312" w:eastAsia="仿宋_GB2312"/>
          <w:color w:val="auto"/>
          <w:sz w:val="32"/>
          <w:szCs w:val="32"/>
          <w:highlight w:val="none"/>
          <w:u w:val="single"/>
          <w:lang w:eastAsia="zh-CN"/>
        </w:rPr>
        <w:t>元</w:t>
      </w:r>
      <w:r>
        <w:rPr>
          <w:rFonts w:ascii="仿宋_GB2312" w:eastAsia="仿宋_GB2312"/>
          <w:color w:val="auto"/>
          <w:sz w:val="32"/>
          <w:szCs w:val="32"/>
          <w:highlight w:val="none"/>
          <w:u w:val="single"/>
        </w:rPr>
        <w:t xml:space="preserve"> </w:t>
      </w:r>
      <w:r>
        <w:rPr>
          <w:rFonts w:hint="eastAsia" w:ascii="仿宋_GB2312" w:eastAsia="仿宋_GB2312"/>
          <w:color w:val="auto"/>
          <w:sz w:val="32"/>
          <w:szCs w:val="32"/>
          <w:highlight w:val="none"/>
        </w:rPr>
        <w:t>（小写</w:t>
      </w:r>
      <w:r>
        <w:rPr>
          <w:rFonts w:ascii="仿宋_GB2312" w:eastAsia="仿宋_GB2312"/>
          <w:color w:val="auto"/>
          <w:sz w:val="32"/>
          <w:szCs w:val="32"/>
          <w:highlight w:val="none"/>
        </w:rPr>
        <w:t>¥</w:t>
      </w:r>
      <w:r>
        <w:rPr>
          <w:rFonts w:ascii="仿宋_GB2312" w:eastAsia="仿宋_GB2312"/>
          <w:color w:val="auto"/>
          <w:sz w:val="32"/>
          <w:szCs w:val="32"/>
          <w:highlight w:val="none"/>
          <w:u w:val="single"/>
        </w:rPr>
        <w:t xml:space="preserve">         </w:t>
      </w:r>
      <w:r>
        <w:rPr>
          <w:rFonts w:hint="eastAsia" w:ascii="仿宋_GB2312" w:eastAsia="仿宋_GB2312"/>
          <w:color w:val="auto"/>
          <w:sz w:val="32"/>
          <w:szCs w:val="32"/>
          <w:highlight w:val="none"/>
        </w:rPr>
        <w:t>元</w:t>
      </w:r>
      <w:r>
        <w:rPr>
          <w:rFonts w:hint="eastAsia" w:ascii="仿宋_GB2312" w:eastAsia="仿宋_GB2312"/>
          <w:color w:val="auto"/>
          <w:sz w:val="32"/>
          <w:szCs w:val="32"/>
          <w:highlight w:val="none"/>
          <w:lang w:eastAsia="zh-CN"/>
        </w:rPr>
        <w:t>，</w:t>
      </w:r>
      <w:r>
        <w:rPr>
          <w:rFonts w:hint="eastAsia" w:eastAsia="仿宋_GB2312"/>
          <w:color w:val="auto"/>
          <w:sz w:val="32"/>
          <w:szCs w:val="32"/>
          <w:highlight w:val="none"/>
          <w:u w:val="none"/>
          <w:lang w:val="en-US" w:eastAsia="zh-CN"/>
        </w:rPr>
        <w:t>税率</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u w:val="none"/>
          <w:lang w:val="en-US" w:eastAsia="zh-CN"/>
        </w:rPr>
        <w:t>%</w:t>
      </w:r>
      <w:r>
        <w:rPr>
          <w:rFonts w:hint="eastAsia" w:ascii="仿宋_GB2312" w:eastAsia="仿宋_GB2312"/>
          <w:color w:val="auto"/>
          <w:sz w:val="32"/>
          <w:szCs w:val="32"/>
          <w:highlight w:val="none"/>
        </w:rPr>
        <w:t>）的总报价承接本项目。</w:t>
      </w:r>
    </w:p>
    <w:p>
      <w:pPr>
        <w:ind w:firstLine="570"/>
        <w:jc w:val="left"/>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widowControl/>
        <w:shd w:val="clear" w:color="auto"/>
        <w:adjustRightInd w:val="0"/>
        <w:snapToGrid w:val="0"/>
        <w:ind w:right="-89" w:firstLine="3840" w:firstLineChars="1200"/>
        <w:rPr>
          <w:rFonts w:ascii="仿宋_GB2312" w:eastAsia="仿宋_GB2312"/>
          <w:color w:val="auto"/>
          <w:sz w:val="32"/>
          <w:szCs w:val="32"/>
          <w:highlight w:val="none"/>
        </w:rPr>
      </w:pPr>
      <w:r>
        <w:rPr>
          <w:rFonts w:hint="eastAsia" w:ascii="仿宋_GB2312" w:eastAsia="仿宋_GB2312"/>
          <w:color w:val="auto"/>
          <w:sz w:val="32"/>
          <w:szCs w:val="32"/>
          <w:highlight w:val="none"/>
        </w:rPr>
        <w:t>响应人：</w:t>
      </w:r>
    </w:p>
    <w:p>
      <w:pPr>
        <w:widowControl/>
        <w:shd w:val="clear" w:color="auto"/>
        <w:adjustRightInd w:val="0"/>
        <w:snapToGrid w:val="0"/>
        <w:spacing w:before="100" w:beforeAutospacing="1" w:after="100" w:afterAutospacing="1"/>
        <w:ind w:firstLine="3840" w:firstLineChars="1200"/>
        <w:rPr>
          <w:rFonts w:ascii="仿宋_GB2312" w:eastAsia="仿宋_GB2312"/>
          <w:color w:val="auto"/>
          <w:sz w:val="32"/>
          <w:szCs w:val="32"/>
          <w:highlight w:val="none"/>
        </w:rPr>
      </w:pPr>
      <w:r>
        <w:rPr>
          <w:rFonts w:hint="eastAsia" w:ascii="仿宋_GB2312" w:eastAsia="仿宋_GB2312"/>
          <w:color w:val="auto"/>
          <w:sz w:val="32"/>
          <w:szCs w:val="32"/>
          <w:highlight w:val="none"/>
        </w:rPr>
        <w:t>法人代表或</w:t>
      </w:r>
    </w:p>
    <w:p>
      <w:pPr>
        <w:widowControl/>
        <w:shd w:val="clear" w:color="auto"/>
        <w:adjustRightInd w:val="0"/>
        <w:snapToGrid w:val="0"/>
        <w:spacing w:before="100" w:beforeAutospacing="1" w:after="100" w:afterAutospacing="1"/>
        <w:ind w:firstLine="3840" w:firstLineChars="1200"/>
        <w:rPr>
          <w:rFonts w:ascii="仿宋_GB2312" w:eastAsia="仿宋_GB2312"/>
          <w:color w:val="auto"/>
          <w:sz w:val="32"/>
          <w:szCs w:val="32"/>
          <w:highlight w:val="none"/>
        </w:rPr>
      </w:pPr>
      <w:r>
        <w:rPr>
          <w:rFonts w:hint="eastAsia" w:ascii="仿宋_GB2312" w:eastAsia="仿宋_GB2312"/>
          <w:color w:val="auto"/>
          <w:sz w:val="32"/>
          <w:szCs w:val="32"/>
          <w:highlight w:val="none"/>
        </w:rPr>
        <w:t>被授权委托人（签名）：</w:t>
      </w:r>
    </w:p>
    <w:p>
      <w:pPr>
        <w:ind w:right="960" w:firstLine="3680" w:firstLineChars="1150"/>
        <w:rPr>
          <w:rFonts w:ascii="仿宋_GB2312" w:eastAsia="仿宋_GB2312"/>
          <w:color w:val="auto"/>
          <w:sz w:val="32"/>
          <w:szCs w:val="32"/>
          <w:highlight w:val="none"/>
        </w:rPr>
      </w:pP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日期：</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月</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日</w:t>
      </w:r>
    </w:p>
    <w:p>
      <w:pPr>
        <w:jc w:val="center"/>
        <w:rPr>
          <w:rFonts w:eastAsia="仿宋_GB2312"/>
          <w:color w:val="auto"/>
          <w:sz w:val="32"/>
          <w:szCs w:val="32"/>
          <w:highlight w:val="none"/>
        </w:rPr>
      </w:pPr>
    </w:p>
    <w:p>
      <w:pPr>
        <w:widowControl/>
        <w:jc w:val="left"/>
        <w:rPr>
          <w:rFonts w:eastAsia="黑体"/>
          <w:color w:val="auto"/>
          <w:sz w:val="28"/>
          <w:szCs w:val="44"/>
          <w:highlight w:val="none"/>
        </w:rPr>
      </w:pPr>
      <w:r>
        <w:rPr>
          <w:rFonts w:eastAsia="黑体"/>
          <w:color w:val="auto"/>
          <w:sz w:val="28"/>
          <w:szCs w:val="44"/>
          <w:highlight w:val="none"/>
        </w:rPr>
        <w:br w:type="page"/>
      </w:r>
    </w:p>
    <w:p>
      <w:pPr>
        <w:pStyle w:val="44"/>
        <w:ind w:firstLine="0" w:firstLineChars="0"/>
        <w:jc w:val="left"/>
        <w:outlineLvl w:val="0"/>
        <w:rPr>
          <w:rFonts w:eastAsia="黑体"/>
          <w:color w:val="auto"/>
          <w:sz w:val="28"/>
          <w:szCs w:val="44"/>
          <w:highlight w:val="none"/>
        </w:rPr>
      </w:pPr>
      <w:r>
        <w:rPr>
          <w:rFonts w:hint="eastAsia" w:eastAsia="黑体"/>
          <w:color w:val="auto"/>
          <w:sz w:val="28"/>
          <w:szCs w:val="44"/>
          <w:highlight w:val="none"/>
        </w:rPr>
        <w:t>附件三法人证明</w:t>
      </w:r>
    </w:p>
    <w:p>
      <w:pPr>
        <w:pStyle w:val="44"/>
        <w:ind w:firstLine="0" w:firstLineChars="0"/>
        <w:jc w:val="left"/>
        <w:rPr>
          <w:rFonts w:eastAsia="黑体"/>
          <w:color w:val="auto"/>
          <w:sz w:val="28"/>
          <w:szCs w:val="44"/>
          <w:highlight w:val="none"/>
        </w:rPr>
      </w:pPr>
    </w:p>
    <w:p>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pPr>
        <w:rPr>
          <w:rFonts w:eastAsia="仿宋_GB2312"/>
          <w:color w:val="auto"/>
          <w:sz w:val="32"/>
          <w:szCs w:val="32"/>
          <w:highlight w:val="none"/>
        </w:rPr>
      </w:pPr>
    </w:p>
    <w:p>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东莞市东富投资发展有限公司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w:t>
      </w:r>
      <w:r>
        <w:rPr>
          <w:rFonts w:hint="default" w:ascii="Times New Roman" w:hAnsi="Times New Roman"/>
          <w:color w:val="auto"/>
          <w:sz w:val="32"/>
          <w:szCs w:val="32"/>
          <w:highlight w:val="none"/>
          <w:u w:val="single"/>
          <w:lang w:val="en-US"/>
        </w:rPr>
        <w:t xml:space="preserve">    </w:t>
      </w:r>
      <w:r>
        <w:rPr>
          <w:rFonts w:hint="eastAsia" w:ascii="Times New Roman" w:hAnsi="Times New Roman"/>
          <w:color w:val="auto"/>
          <w:sz w:val="32"/>
          <w:szCs w:val="32"/>
          <w:highlight w:val="none"/>
        </w:rPr>
        <w:t>（国家名称）的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pPr>
        <w:spacing w:line="600" w:lineRule="exact"/>
        <w:rPr>
          <w:rFonts w:eastAsia="仿宋_GB2312"/>
          <w:color w:val="auto"/>
          <w:sz w:val="32"/>
          <w:szCs w:val="32"/>
          <w:highlight w:val="none"/>
        </w:rPr>
      </w:pPr>
    </w:p>
    <w:p>
      <w:pPr>
        <w:spacing w:line="600" w:lineRule="exact"/>
        <w:rPr>
          <w:rFonts w:eastAsia="仿宋_GB2312"/>
          <w:color w:val="auto"/>
          <w:sz w:val="32"/>
          <w:szCs w:val="32"/>
          <w:highlight w:val="none"/>
        </w:rPr>
      </w:pPr>
    </w:p>
    <w:p>
      <w:pPr>
        <w:spacing w:line="600" w:lineRule="exact"/>
        <w:rPr>
          <w:rFonts w:eastAsia="仿宋_GB2312"/>
          <w:color w:val="auto"/>
          <w:sz w:val="32"/>
          <w:szCs w:val="32"/>
          <w:highlight w:val="none"/>
        </w:rPr>
      </w:pP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pPr>
        <w:rPr>
          <w:rFonts w:eastAsia="仿宋_GB2312"/>
          <w:color w:val="auto"/>
          <w:sz w:val="32"/>
          <w:szCs w:val="32"/>
          <w:highlight w:val="none"/>
        </w:rPr>
      </w:pPr>
    </w:p>
    <w:p>
      <w:pPr>
        <w:widowControl/>
        <w:jc w:val="both"/>
        <w:outlineLvl w:val="0"/>
        <w:rPr>
          <w:rFonts w:eastAsia="黑体"/>
          <w:color w:val="auto"/>
          <w:sz w:val="28"/>
          <w:szCs w:val="44"/>
          <w:highlight w:val="none"/>
        </w:rPr>
      </w:pPr>
      <w:bookmarkStart w:id="9" w:name="_Toc384752807"/>
      <w:r>
        <w:rPr>
          <w:rFonts w:eastAsia="仿宋_GB2312"/>
          <w:color w:val="auto"/>
          <w:sz w:val="32"/>
          <w:szCs w:val="32"/>
          <w:highlight w:val="none"/>
        </w:rPr>
        <w:br w:type="page"/>
      </w:r>
      <w:bookmarkStart w:id="10" w:name="_Hlk40704362"/>
      <w:r>
        <w:rPr>
          <w:rFonts w:hint="eastAsia" w:eastAsia="黑体"/>
          <w:color w:val="auto"/>
          <w:sz w:val="28"/>
          <w:szCs w:val="44"/>
        </w:rPr>
        <w:t>附件</w:t>
      </w:r>
      <w:r>
        <w:rPr>
          <w:rFonts w:hint="eastAsia" w:eastAsia="黑体"/>
          <w:color w:val="auto"/>
          <w:sz w:val="28"/>
          <w:szCs w:val="44"/>
          <w:lang w:val="en-US" w:eastAsia="zh-CN"/>
        </w:rPr>
        <w:t>四</w:t>
      </w:r>
      <w:r>
        <w:rPr>
          <w:rFonts w:hint="eastAsia" w:eastAsia="黑体"/>
          <w:color w:val="auto"/>
          <w:sz w:val="28"/>
          <w:szCs w:val="44"/>
          <w:highlight w:val="none"/>
        </w:rPr>
        <w:t>法人授权书</w:t>
      </w:r>
    </w:p>
    <w:p>
      <w:pPr>
        <w:widowControl/>
        <w:jc w:val="center"/>
        <w:rPr>
          <w:rFonts w:eastAsia="仿宋_GB2312"/>
          <w:b/>
          <w:color w:val="auto"/>
          <w:sz w:val="32"/>
          <w:szCs w:val="32"/>
          <w:highlight w:val="none"/>
        </w:rPr>
      </w:pPr>
    </w:p>
    <w:p>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9"/>
    </w:p>
    <w:p>
      <w:pPr>
        <w:pStyle w:val="43"/>
        <w:ind w:firstLine="0" w:firstLineChars="0"/>
        <w:rPr>
          <w:rFonts w:ascii="Times New Roman" w:hAnsi="Times New Roman"/>
          <w:color w:val="auto"/>
          <w:sz w:val="32"/>
          <w:szCs w:val="32"/>
          <w:highlight w:val="none"/>
        </w:rPr>
      </w:pPr>
    </w:p>
    <w:p>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东莞市东富投资发展有限公司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val="en-US" w:eastAsia="zh-CN"/>
        </w:rPr>
        <w:t>虎门镇衣流时尚园一期A区3号地块项目多测合一服务</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pPr>
        <w:pStyle w:val="43"/>
        <w:ind w:firstLine="659"/>
        <w:rPr>
          <w:rFonts w:ascii="Times New Roman" w:hAnsi="Times New Roman"/>
          <w:color w:val="auto"/>
          <w:sz w:val="32"/>
          <w:szCs w:val="32"/>
          <w:highlight w:val="none"/>
        </w:rPr>
      </w:pPr>
    </w:p>
    <w:p>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日签字生效，有效期与竞争性谈判有效期一致，特此声明。</w:t>
      </w:r>
    </w:p>
    <w:p>
      <w:pPr>
        <w:pStyle w:val="43"/>
        <w:ind w:firstLine="659"/>
        <w:rPr>
          <w:rFonts w:ascii="Times New Roman" w:hAnsi="Times New Roman"/>
          <w:color w:val="auto"/>
          <w:sz w:val="32"/>
          <w:szCs w:val="32"/>
          <w:highlight w:val="none"/>
        </w:rPr>
      </w:pPr>
    </w:p>
    <w:p>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10"/>
    <w:p>
      <w:pPr>
        <w:pStyle w:val="44"/>
        <w:ind w:firstLine="0" w:firstLineChars="0"/>
        <w:jc w:val="left"/>
        <w:outlineLvl w:val="0"/>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w:t>
      </w:r>
      <w:r>
        <w:rPr>
          <w:rFonts w:hint="eastAsia" w:eastAsia="黑体"/>
          <w:color w:val="auto"/>
          <w:sz w:val="28"/>
          <w:szCs w:val="44"/>
          <w:highlight w:val="none"/>
          <w:lang w:val="en-US" w:eastAsia="zh-CN"/>
        </w:rPr>
        <w:t>五</w:t>
      </w:r>
      <w:r>
        <w:rPr>
          <w:rFonts w:hint="eastAsia" w:eastAsia="黑体"/>
          <w:color w:val="auto"/>
          <w:sz w:val="28"/>
          <w:szCs w:val="44"/>
          <w:highlight w:val="none"/>
        </w:rPr>
        <w:t>承诺函</w:t>
      </w:r>
    </w:p>
    <w:p>
      <w:pPr>
        <w:pStyle w:val="44"/>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东莞市东富投资发展有限公司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pPr>
        <w:pStyle w:val="43"/>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lang w:val="en-US" w:eastAsia="zh-CN"/>
        </w:rPr>
        <w:t>虎门镇衣流时尚园一期A区3号地块项目多测合一服务</w:t>
      </w:r>
      <w:r>
        <w:rPr>
          <w:rFonts w:hint="eastAsia"/>
          <w:color w:val="auto"/>
          <w:sz w:val="32"/>
          <w:szCs w:val="32"/>
          <w:highlight w:val="none"/>
          <w:u w:val="single"/>
        </w:rPr>
        <w:t>（项目名称）</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我公司已充分了解采购项目情况，本次报价完全响应竞争性谈判文件的要求，我公司所提供的</w:t>
      </w:r>
      <w:r>
        <w:rPr>
          <w:rFonts w:hint="eastAsia" w:ascii="Times New Roman" w:hAnsi="Times New Roman"/>
          <w:color w:val="auto"/>
          <w:sz w:val="32"/>
          <w:szCs w:val="32"/>
          <w:highlight w:val="none"/>
          <w:u w:val="single"/>
          <w:lang w:val="en-US" w:eastAsia="zh-CN"/>
        </w:rPr>
        <w:t>多测合一</w:t>
      </w:r>
      <w:r>
        <w:rPr>
          <w:rFonts w:hint="eastAsia"/>
          <w:color w:val="auto"/>
          <w:sz w:val="32"/>
          <w:szCs w:val="32"/>
          <w:highlight w:val="none"/>
          <w:u w:val="single"/>
          <w:lang w:eastAsia="zh-CN"/>
        </w:rPr>
        <w:t>服务</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pPr>
        <w:pStyle w:val="43"/>
        <w:ind w:firstLine="659"/>
        <w:rPr>
          <w:rFonts w:ascii="Times New Roman" w:hAnsi="Times New Roman"/>
          <w:color w:val="auto"/>
          <w:sz w:val="32"/>
          <w:szCs w:val="32"/>
          <w:highlight w:val="none"/>
        </w:rPr>
      </w:pPr>
    </w:p>
    <w:p>
      <w:pPr>
        <w:pStyle w:val="43"/>
        <w:ind w:firstLine="0" w:firstLineChars="0"/>
        <w:jc w:val="left"/>
        <w:rPr>
          <w:rFonts w:ascii="Times New Roman" w:hAnsi="Times New Roman"/>
          <w:color w:val="auto"/>
          <w:sz w:val="32"/>
          <w:szCs w:val="32"/>
          <w:highlight w:val="none"/>
        </w:rPr>
      </w:pPr>
    </w:p>
    <w:p>
      <w:pPr>
        <w:jc w:val="left"/>
        <w:rPr>
          <w:rFonts w:eastAsia="仿宋"/>
          <w:color w:val="auto"/>
          <w:sz w:val="32"/>
          <w:szCs w:val="32"/>
          <w:highlight w:val="none"/>
        </w:rPr>
      </w:pPr>
    </w:p>
    <w:p>
      <w:pPr>
        <w:jc w:val="left"/>
        <w:rPr>
          <w:rFonts w:eastAsia="仿宋"/>
          <w:color w:val="auto"/>
          <w:sz w:val="32"/>
          <w:szCs w:val="32"/>
          <w:highlight w:val="none"/>
        </w:rPr>
      </w:pPr>
    </w:p>
    <w:p>
      <w:pPr>
        <w:jc w:val="left"/>
        <w:rPr>
          <w:rFonts w:eastAsia="仿宋"/>
          <w:color w:val="auto"/>
          <w:sz w:val="32"/>
          <w:szCs w:val="32"/>
          <w:highlight w:val="none"/>
        </w:rPr>
      </w:pPr>
    </w:p>
    <w:p>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pPr>
        <w:pStyle w:val="43"/>
        <w:ind w:firstLine="0" w:firstLineChars="0"/>
        <w:jc w:val="left"/>
        <w:rPr>
          <w:rFonts w:ascii="Times New Roman" w:hAnsi="Times New Roman"/>
          <w:color w:val="auto"/>
          <w:sz w:val="32"/>
          <w:szCs w:val="32"/>
          <w:highlight w:val="none"/>
        </w:rPr>
      </w:pPr>
    </w:p>
    <w:p>
      <w:pPr>
        <w:pStyle w:val="43"/>
        <w:ind w:firstLine="0" w:firstLineChars="0"/>
        <w:jc w:val="left"/>
        <w:rPr>
          <w:rFonts w:ascii="Times New Roman" w:hAnsi="Times New Roman"/>
          <w:color w:val="auto"/>
          <w:sz w:val="32"/>
          <w:szCs w:val="32"/>
          <w:highlight w:val="none"/>
        </w:rPr>
      </w:pPr>
    </w:p>
    <w:p>
      <w:pPr>
        <w:pStyle w:val="2"/>
        <w:rPr>
          <w:rFonts w:eastAsia="黑体"/>
          <w:color w:val="auto"/>
          <w:sz w:val="28"/>
          <w:szCs w:val="44"/>
          <w:highlight w:val="none"/>
        </w:rPr>
      </w:pPr>
      <w:bookmarkStart w:id="11" w:name="_Hlk40704598"/>
      <w:r>
        <w:rPr>
          <w:rFonts w:hint="eastAsia" w:eastAsia="黑体"/>
          <w:color w:val="auto"/>
          <w:sz w:val="28"/>
          <w:szCs w:val="44"/>
          <w:highlight w:val="none"/>
          <w:lang w:val="en-US" w:eastAsia="zh-CN"/>
        </w:rPr>
        <w:t>附件六：</w:t>
      </w:r>
      <w:r>
        <w:rPr>
          <w:rFonts w:hint="eastAsia" w:eastAsia="黑体"/>
          <w:color w:val="auto"/>
          <w:sz w:val="28"/>
          <w:szCs w:val="44"/>
          <w:highlight w:val="none"/>
        </w:rPr>
        <w:t>技术规范书</w:t>
      </w:r>
    </w:p>
    <w:p>
      <w:pPr>
        <w:pStyle w:val="44"/>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技术规范书</w:t>
      </w:r>
    </w:p>
    <w:p>
      <w:pPr>
        <w:rPr>
          <w:rFonts w:ascii="宋体" w:hAnsi="宋体" w:cs="宋体"/>
          <w:color w:val="auto"/>
          <w:sz w:val="24"/>
          <w:highlight w:val="none"/>
        </w:rPr>
      </w:pPr>
      <w:r>
        <w:rPr>
          <w:rFonts w:hint="eastAsia" w:ascii="宋体" w:hAnsi="宋体"/>
          <w:bCs/>
          <w:color w:val="auto"/>
          <w:highlight w:val="none"/>
        </w:rPr>
        <w:t>一、</w:t>
      </w:r>
      <w:r>
        <w:rPr>
          <w:rFonts w:hint="eastAsia" w:ascii="宋体" w:hAnsi="宋体" w:cs="宋体"/>
          <w:color w:val="auto"/>
          <w:sz w:val="24"/>
          <w:highlight w:val="none"/>
        </w:rPr>
        <w:t>执行标准</w:t>
      </w:r>
    </w:p>
    <w:p>
      <w:pPr>
        <w:rPr>
          <w:rFonts w:ascii="宋体" w:hAnsi="宋体" w:cs="宋体"/>
          <w:color w:val="auto"/>
          <w:sz w:val="24"/>
          <w:highlight w:val="none"/>
        </w:rPr>
      </w:pPr>
    </w:p>
    <w:tbl>
      <w:tblPr>
        <w:tblStyle w:val="23"/>
        <w:tblW w:w="97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4620"/>
        <w:gridCol w:w="1680"/>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color w:val="auto"/>
                <w:kern w:val="0"/>
                <w:sz w:val="22"/>
                <w:szCs w:val="22"/>
                <w:highlight w:val="none"/>
                <w:lang w:bidi="ar"/>
              </w:rPr>
              <w:t>序号</w:t>
            </w:r>
          </w:p>
        </w:tc>
        <w:tc>
          <w:tcPr>
            <w:tcW w:w="4620" w:type="dxa"/>
            <w:noWrap w:val="0"/>
            <w:vAlign w:val="center"/>
          </w:tcPr>
          <w:p>
            <w:pPr>
              <w:widowControl/>
              <w:spacing w:line="400" w:lineRule="exact"/>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color w:val="auto"/>
                <w:kern w:val="0"/>
                <w:sz w:val="22"/>
                <w:szCs w:val="22"/>
                <w:highlight w:val="none"/>
                <w:lang w:bidi="ar"/>
              </w:rPr>
              <w:t>标准名称</w:t>
            </w:r>
          </w:p>
        </w:tc>
        <w:tc>
          <w:tcPr>
            <w:tcW w:w="1680" w:type="dxa"/>
            <w:noWrap w:val="0"/>
            <w:vAlign w:val="center"/>
          </w:tcPr>
          <w:p>
            <w:pPr>
              <w:widowControl/>
              <w:spacing w:line="400" w:lineRule="exact"/>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color w:val="auto"/>
                <w:kern w:val="0"/>
                <w:sz w:val="22"/>
                <w:szCs w:val="22"/>
                <w:highlight w:val="none"/>
                <w:lang w:bidi="ar"/>
              </w:rPr>
              <w:t>标准代号</w:t>
            </w:r>
          </w:p>
        </w:tc>
        <w:tc>
          <w:tcPr>
            <w:tcW w:w="1230" w:type="dxa"/>
            <w:noWrap w:val="0"/>
            <w:vAlign w:val="center"/>
          </w:tcPr>
          <w:p>
            <w:pPr>
              <w:widowControl/>
              <w:spacing w:line="400" w:lineRule="exact"/>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color w:val="auto"/>
                <w:kern w:val="0"/>
                <w:sz w:val="22"/>
                <w:szCs w:val="22"/>
                <w:highlight w:val="none"/>
                <w:lang w:bidi="ar"/>
              </w:rPr>
              <w:t>标准等级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w:t>
            </w:r>
          </w:p>
        </w:tc>
        <w:tc>
          <w:tcPr>
            <w:tcW w:w="4620" w:type="dxa"/>
            <w:noWrap w:val="0"/>
            <w:vAlign w:val="center"/>
          </w:tcPr>
          <w:p>
            <w:pPr>
              <w:widowControl/>
              <w:spacing w:line="400" w:lineRule="exact"/>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国家基本比例尺地图 1：500 1：1000 1：2000地形图</w:t>
            </w:r>
          </w:p>
        </w:tc>
        <w:tc>
          <w:tcPr>
            <w:tcW w:w="168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GB/T 33176</w:t>
            </w:r>
          </w:p>
        </w:tc>
        <w:tc>
          <w:tcPr>
            <w:tcW w:w="123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w:t>
            </w:r>
          </w:p>
        </w:tc>
        <w:tc>
          <w:tcPr>
            <w:tcW w:w="4620" w:type="dxa"/>
            <w:noWrap w:val="0"/>
            <w:vAlign w:val="center"/>
          </w:tcPr>
          <w:p>
            <w:pPr>
              <w:widowControl/>
              <w:spacing w:line="400" w:lineRule="exact"/>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国家基本比例尺地图图式 第1部分：1：500 1：1000 1：2000地形图图式</w:t>
            </w:r>
          </w:p>
        </w:tc>
        <w:tc>
          <w:tcPr>
            <w:tcW w:w="168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GB/T 20257.1</w:t>
            </w:r>
          </w:p>
        </w:tc>
        <w:tc>
          <w:tcPr>
            <w:tcW w:w="123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29" w:type="dxa"/>
            <w:noWrap w:val="0"/>
            <w:vAlign w:val="top"/>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w:t>
            </w:r>
          </w:p>
        </w:tc>
        <w:tc>
          <w:tcPr>
            <w:tcW w:w="4620" w:type="dxa"/>
            <w:noWrap w:val="0"/>
            <w:vAlign w:val="center"/>
          </w:tcPr>
          <w:p>
            <w:pPr>
              <w:pStyle w:val="65"/>
              <w:spacing w:line="40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《全球定位系统实时动态测量（RTK）规范》</w:t>
            </w:r>
          </w:p>
        </w:tc>
        <w:tc>
          <w:tcPr>
            <w:tcW w:w="1680" w:type="dxa"/>
            <w:noWrap w:val="0"/>
            <w:vAlign w:val="center"/>
          </w:tcPr>
          <w:p>
            <w:pPr>
              <w:pStyle w:val="65"/>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CH/T 2009-2010</w:t>
            </w:r>
          </w:p>
        </w:tc>
        <w:tc>
          <w:tcPr>
            <w:tcW w:w="1230" w:type="dxa"/>
            <w:noWrap w:val="0"/>
            <w:vAlign w:val="top"/>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4</w:t>
            </w:r>
          </w:p>
        </w:tc>
        <w:tc>
          <w:tcPr>
            <w:tcW w:w="4620" w:type="dxa"/>
            <w:noWrap w:val="0"/>
            <w:vAlign w:val="center"/>
          </w:tcPr>
          <w:p>
            <w:pPr>
              <w:widowControl/>
              <w:spacing w:line="400" w:lineRule="exact"/>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工程测量规范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GB 50026</w:t>
            </w:r>
          </w:p>
        </w:tc>
        <w:tc>
          <w:tcPr>
            <w:tcW w:w="123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5</w:t>
            </w:r>
          </w:p>
        </w:tc>
        <w:tc>
          <w:tcPr>
            <w:tcW w:w="4620" w:type="dxa"/>
            <w:noWrap w:val="0"/>
            <w:vAlign w:val="center"/>
          </w:tcPr>
          <w:p>
            <w:pPr>
              <w:widowControl/>
              <w:spacing w:line="400" w:lineRule="exact"/>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房产测量规范（第1单元：房产测量规定）</w:t>
            </w:r>
          </w:p>
        </w:tc>
        <w:tc>
          <w:tcPr>
            <w:tcW w:w="168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GB/T 17986.1</w:t>
            </w:r>
          </w:p>
        </w:tc>
        <w:tc>
          <w:tcPr>
            <w:tcW w:w="123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6</w:t>
            </w:r>
          </w:p>
        </w:tc>
        <w:tc>
          <w:tcPr>
            <w:tcW w:w="4620" w:type="dxa"/>
            <w:noWrap w:val="0"/>
            <w:vAlign w:val="center"/>
          </w:tcPr>
          <w:p>
            <w:pPr>
              <w:widowControl/>
              <w:spacing w:line="400" w:lineRule="exact"/>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房产测量规范（第2单元：房产图图式）</w:t>
            </w:r>
          </w:p>
        </w:tc>
        <w:tc>
          <w:tcPr>
            <w:tcW w:w="168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GB/T 17986.2</w:t>
            </w:r>
          </w:p>
        </w:tc>
        <w:tc>
          <w:tcPr>
            <w:tcW w:w="123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7</w:t>
            </w:r>
          </w:p>
        </w:tc>
        <w:tc>
          <w:tcPr>
            <w:tcW w:w="4620" w:type="dxa"/>
            <w:noWrap w:val="0"/>
            <w:vAlign w:val="center"/>
          </w:tcPr>
          <w:p>
            <w:pPr>
              <w:widowControl/>
              <w:spacing w:line="400" w:lineRule="exact"/>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建筑工程建筑面积计算规范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GB/T 50353</w:t>
            </w:r>
          </w:p>
        </w:tc>
        <w:tc>
          <w:tcPr>
            <w:tcW w:w="123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8</w:t>
            </w:r>
          </w:p>
        </w:tc>
        <w:tc>
          <w:tcPr>
            <w:tcW w:w="4620" w:type="dxa"/>
            <w:noWrap w:val="0"/>
            <w:vAlign w:val="center"/>
          </w:tcPr>
          <w:p>
            <w:pPr>
              <w:widowControl/>
              <w:spacing w:line="400" w:lineRule="exact"/>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城市测量规范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CJJ/T 8</w:t>
            </w:r>
          </w:p>
        </w:tc>
        <w:tc>
          <w:tcPr>
            <w:tcW w:w="1230" w:type="dxa"/>
            <w:noWrap w:val="0"/>
            <w:vAlign w:val="center"/>
          </w:tcPr>
          <w:p>
            <w:pPr>
              <w:widowControl/>
              <w:spacing w:line="400" w:lineRule="exact"/>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9</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城市地下管线探测技术规程</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CJJ 61</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10</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卫星定位城市测量技术规范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CJJ/T 73</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11</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地籍调查规程</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TD/T 1001</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12</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测绘技术总结编写规程</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CH/T 1001</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13</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测绘技术设计规定</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CH/T 1004</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14</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全球定位系统（GPS）测量规范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GB/T 18314</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15</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测绘成果质量检验报告编写基本规定</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CH/Z 1001</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16</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建筑设计防火规范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GB 50016</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17</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建筑防排烟系统技术标准</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GB 51251</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18</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高层民用建筑设计防火规范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GB 50045</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19</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人民防空地下室设计规范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GB 50038</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人民防空工程设计规范</w:t>
            </w:r>
          </w:p>
        </w:tc>
        <w:tc>
          <w:tcPr>
            <w:tcW w:w="168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GB 50225</w:t>
            </w: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21</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东莞市建设工程规划条件核实测量技术规程</w:t>
            </w:r>
          </w:p>
        </w:tc>
        <w:tc>
          <w:tcPr>
            <w:tcW w:w="1680" w:type="dxa"/>
            <w:noWrap w:val="0"/>
            <w:vAlign w:val="center"/>
          </w:tcPr>
          <w:p>
            <w:pPr>
              <w:spacing w:line="400" w:lineRule="exact"/>
              <w:jc w:val="center"/>
              <w:rPr>
                <w:rFonts w:hint="eastAsia" w:ascii="宋体" w:hAnsi="宋体" w:eastAsia="宋体" w:cs="宋体"/>
                <w:color w:val="auto"/>
                <w:kern w:val="0"/>
                <w:sz w:val="22"/>
                <w:szCs w:val="22"/>
                <w:highlight w:val="none"/>
                <w:lang w:bidi="ar"/>
              </w:rPr>
            </w:pP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地方标准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22</w:t>
            </w:r>
          </w:p>
        </w:tc>
        <w:tc>
          <w:tcPr>
            <w:tcW w:w="4620" w:type="dxa"/>
            <w:noWrap w:val="0"/>
            <w:vAlign w:val="center"/>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东莞市建设项目规划指标计算细则</w:t>
            </w:r>
          </w:p>
        </w:tc>
        <w:tc>
          <w:tcPr>
            <w:tcW w:w="1680" w:type="dxa"/>
            <w:noWrap w:val="0"/>
            <w:vAlign w:val="center"/>
          </w:tcPr>
          <w:p>
            <w:pPr>
              <w:spacing w:line="400" w:lineRule="exact"/>
              <w:jc w:val="center"/>
              <w:rPr>
                <w:rFonts w:hint="eastAsia" w:ascii="宋体" w:hAnsi="宋体" w:eastAsia="宋体" w:cs="宋体"/>
                <w:color w:val="auto"/>
                <w:kern w:val="0"/>
                <w:sz w:val="22"/>
                <w:szCs w:val="22"/>
                <w:highlight w:val="none"/>
                <w:lang w:bidi="ar"/>
              </w:rPr>
            </w:pPr>
          </w:p>
        </w:tc>
        <w:tc>
          <w:tcPr>
            <w:tcW w:w="1230" w:type="dxa"/>
            <w:noWrap w:val="0"/>
            <w:vAlign w:val="center"/>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地方标准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29" w:type="dxa"/>
            <w:noWrap w:val="0"/>
            <w:vAlign w:val="top"/>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Cs w:val="21"/>
                <w:highlight w:val="none"/>
                <w:lang w:bidi="ar"/>
              </w:rPr>
              <w:t>23</w:t>
            </w:r>
          </w:p>
        </w:tc>
        <w:tc>
          <w:tcPr>
            <w:tcW w:w="4620" w:type="dxa"/>
            <w:noWrap w:val="0"/>
            <w:vAlign w:val="top"/>
          </w:tcPr>
          <w:p>
            <w:pPr>
              <w:widowControl/>
              <w:spacing w:line="400" w:lineRule="exact"/>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szCs w:val="21"/>
                <w:highlight w:val="none"/>
              </w:rPr>
              <w:t>东莞市工程建设项目“多测合一”实施配套制度文件（试行）</w:t>
            </w:r>
          </w:p>
        </w:tc>
        <w:tc>
          <w:tcPr>
            <w:tcW w:w="1680" w:type="dxa"/>
            <w:noWrap w:val="0"/>
            <w:vAlign w:val="top"/>
          </w:tcPr>
          <w:p>
            <w:pPr>
              <w:spacing w:line="400" w:lineRule="exact"/>
              <w:jc w:val="center"/>
              <w:rPr>
                <w:rFonts w:hint="eastAsia" w:ascii="宋体" w:hAnsi="宋体" w:eastAsia="宋体" w:cs="宋体"/>
                <w:color w:val="auto"/>
                <w:kern w:val="0"/>
                <w:sz w:val="22"/>
                <w:szCs w:val="22"/>
                <w:highlight w:val="none"/>
                <w:lang w:bidi="ar"/>
              </w:rPr>
            </w:pPr>
          </w:p>
        </w:tc>
        <w:tc>
          <w:tcPr>
            <w:tcW w:w="1230" w:type="dxa"/>
            <w:noWrap w:val="0"/>
            <w:vAlign w:val="top"/>
          </w:tcPr>
          <w:p>
            <w:pPr>
              <w:widowControl/>
              <w:spacing w:line="400" w:lineRule="exact"/>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Cs w:val="21"/>
                <w:highlight w:val="none"/>
                <w:lang w:bidi="ar"/>
              </w:rPr>
              <w:t>地方标准</w:t>
            </w:r>
          </w:p>
        </w:tc>
      </w:tr>
    </w:tbl>
    <w:p>
      <w:pPr>
        <w:rPr>
          <w:rFonts w:hint="eastAsia" w:ascii="宋体" w:hAnsi="宋体" w:cs="宋体"/>
          <w:color w:val="auto"/>
          <w:szCs w:val="21"/>
          <w:highlight w:val="none"/>
        </w:rPr>
      </w:pPr>
      <w:r>
        <w:rPr>
          <w:rFonts w:hint="eastAsia" w:ascii="宋体" w:hAnsi="宋体" w:cs="宋体"/>
          <w:color w:val="auto"/>
          <w:szCs w:val="21"/>
          <w:highlight w:val="none"/>
        </w:rPr>
        <w:t>注：项目实施过程中，上述标准有更新的，执行最新标准。</w:t>
      </w:r>
    </w:p>
    <w:p>
      <w:pPr>
        <w:numPr>
          <w:ilvl w:val="-1"/>
          <w:numId w:val="0"/>
        </w:numPr>
        <w:spacing w:line="360" w:lineRule="exact"/>
        <w:rPr>
          <w:rFonts w:hint="default" w:ascii="宋体" w:hAnsi="宋体"/>
          <w:color w:val="auto"/>
          <w:sz w:val="24"/>
          <w:highlight w:val="none"/>
          <w:lang w:val="en-US" w:eastAsia="zh-CN"/>
        </w:rPr>
      </w:pPr>
    </w:p>
    <w:p>
      <w:pPr>
        <w:rPr>
          <w:rFonts w:hint="eastAsia" w:ascii="宋体" w:hAnsi="宋体"/>
          <w:color w:val="auto"/>
          <w:sz w:val="24"/>
          <w:highlight w:val="none"/>
          <w:lang w:val="en-US" w:eastAsia="zh-CN"/>
        </w:rPr>
      </w:pPr>
      <w:r>
        <w:rPr>
          <w:rFonts w:hint="eastAsia" w:ascii="宋体" w:hAnsi="宋体"/>
          <w:color w:val="auto"/>
          <w:sz w:val="24"/>
          <w:highlight w:val="none"/>
          <w:lang w:val="en-US" w:eastAsia="zh-CN"/>
        </w:rPr>
        <w:br w:type="page"/>
      </w:r>
    </w:p>
    <w:bookmarkEnd w:id="8"/>
    <w:bookmarkEnd w:id="11"/>
    <w:p>
      <w:pPr>
        <w:pStyle w:val="44"/>
        <w:ind w:firstLine="640"/>
        <w:jc w:val="center"/>
        <w:outlineLvl w:val="1"/>
        <w:rPr>
          <w:rFonts w:eastAsia="黑体"/>
          <w:sz w:val="28"/>
          <w:szCs w:val="44"/>
        </w:rPr>
      </w:pPr>
      <w:bookmarkStart w:id="12" w:name="_Toc148265712"/>
      <w:bookmarkEnd w:id="12"/>
      <w:bookmarkStart w:id="13" w:name="_Toc5246"/>
      <w:r>
        <w:rPr>
          <w:rFonts w:hint="eastAsia" w:eastAsia="黑体"/>
          <w:sz w:val="32"/>
          <w:szCs w:val="48"/>
        </w:rPr>
        <w:t>第三部分 合同文本</w:t>
      </w:r>
    </w:p>
    <w:p>
      <w:pPr>
        <w:pStyle w:val="13"/>
        <w:spacing w:line="360" w:lineRule="auto"/>
        <w:rPr>
          <w:rFonts w:hAnsi="宋体"/>
          <w:bCs/>
        </w:rPr>
      </w:pPr>
    </w:p>
    <w:p>
      <w:pPr>
        <w:spacing w:before="27"/>
        <w:ind w:right="1221"/>
        <w:jc w:val="left"/>
        <w:rPr>
          <w:sz w:val="28"/>
        </w:rPr>
      </w:pPr>
      <w:r>
        <w:rPr>
          <w:sz w:val="28"/>
        </w:rPr>
        <w:t>合同编号：</w:t>
      </w:r>
    </w:p>
    <w:p>
      <w:pPr>
        <w:pStyle w:val="10"/>
        <w:rPr>
          <w:sz w:val="20"/>
        </w:rPr>
      </w:pPr>
    </w:p>
    <w:p>
      <w:pPr>
        <w:pStyle w:val="10"/>
        <w:spacing w:before="7"/>
        <w:rPr>
          <w:sz w:val="29"/>
        </w:rPr>
      </w:pPr>
    </w:p>
    <w:p>
      <w:pPr>
        <w:pStyle w:val="19"/>
        <w:spacing w:line="360" w:lineRule="auto"/>
        <w:jc w:val="center"/>
        <w:rPr>
          <w:rStyle w:val="26"/>
          <w:spacing w:val="40"/>
          <w:sz w:val="36"/>
          <w:szCs w:val="36"/>
        </w:rPr>
      </w:pPr>
    </w:p>
    <w:p>
      <w:pPr>
        <w:autoSpaceDE w:val="0"/>
        <w:autoSpaceDN w:val="0"/>
        <w:adjustRightInd w:val="0"/>
        <w:spacing w:line="360" w:lineRule="auto"/>
        <w:ind w:left="210" w:leftChars="100"/>
        <w:jc w:val="center"/>
        <w:rPr>
          <w:rFonts w:ascii="宋体" w:eastAsia="黑体"/>
          <w:b/>
          <w:bCs/>
          <w:kern w:val="0"/>
          <w:sz w:val="52"/>
          <w:szCs w:val="24"/>
        </w:rPr>
      </w:pPr>
      <w:r>
        <w:rPr>
          <w:rFonts w:hint="eastAsia" w:ascii="宋体" w:eastAsia="黑体"/>
          <w:b/>
          <w:bCs/>
          <w:kern w:val="0"/>
          <w:sz w:val="52"/>
          <w:szCs w:val="24"/>
          <w:lang w:val="en-US" w:eastAsia="zh-CN"/>
        </w:rPr>
        <w:t>虎门镇衣流时尚园一期A区3号地块项目多测合一服务</w:t>
      </w:r>
      <w:r>
        <w:rPr>
          <w:rFonts w:hint="eastAsia" w:ascii="宋体" w:eastAsia="黑体"/>
          <w:b/>
          <w:bCs/>
          <w:kern w:val="0"/>
          <w:sz w:val="52"/>
          <w:szCs w:val="24"/>
        </w:rPr>
        <w:t>合同</w:t>
      </w:r>
    </w:p>
    <w:p>
      <w:pPr>
        <w:rPr>
          <w:rFonts w:ascii="宋体" w:hAnsi="宋体" w:cs="宋体"/>
          <w:sz w:val="28"/>
          <w:szCs w:val="28"/>
        </w:rPr>
      </w:pPr>
      <w:r>
        <w:rPr>
          <w:rFonts w:hint="eastAsia" w:ascii="宋体" w:hAnsi="宋体" w:cs="宋体"/>
          <w:sz w:val="28"/>
          <w:szCs w:val="28"/>
        </w:rPr>
        <w:t xml:space="preserve">                                                                           </w:t>
      </w:r>
    </w:p>
    <w:p>
      <w:pPr>
        <w:rPr>
          <w:rFonts w:ascii="宋体" w:hAnsi="宋体" w:cs="宋体"/>
          <w:sz w:val="28"/>
          <w:szCs w:val="28"/>
        </w:rPr>
      </w:pPr>
      <w:r>
        <w:rPr>
          <w:rFonts w:hint="eastAsia" w:ascii="宋体" w:hAnsi="宋体" w:cs="宋体"/>
          <w:sz w:val="28"/>
          <w:szCs w:val="28"/>
        </w:rPr>
        <w:t xml:space="preserve"> </w:t>
      </w:r>
    </w:p>
    <w:p>
      <w:pPr>
        <w:tabs>
          <w:tab w:val="left" w:pos="180"/>
        </w:tabs>
        <w:spacing w:line="360" w:lineRule="auto"/>
        <w:ind w:left="210" w:leftChars="100" w:firstLine="1470" w:firstLineChars="700"/>
        <w:rPr>
          <w:u w:val="single"/>
        </w:rPr>
      </w:pPr>
      <w:r>
        <w:rPr>
          <w:rFonts w:hint="eastAsia"/>
        </w:rPr>
        <w:t>项目</w:t>
      </w:r>
      <w:r>
        <w:t>名称</w:t>
      </w:r>
      <w:r>
        <w:rPr>
          <w:rFonts w:hint="eastAsia"/>
        </w:rPr>
        <w:t>：</w:t>
      </w:r>
      <w:r>
        <w:rPr>
          <w:rFonts w:hint="eastAsia" w:hAnsi="宋体"/>
          <w:szCs w:val="21"/>
          <w:u w:val="single"/>
        </w:rPr>
        <w:t xml:space="preserve">                                        </w:t>
      </w:r>
    </w:p>
    <w:p>
      <w:pPr>
        <w:tabs>
          <w:tab w:val="left" w:pos="180"/>
        </w:tabs>
        <w:spacing w:line="360" w:lineRule="auto"/>
        <w:ind w:left="210" w:leftChars="100" w:firstLine="420" w:firstLineChars="200"/>
      </w:pPr>
    </w:p>
    <w:p>
      <w:pPr>
        <w:tabs>
          <w:tab w:val="left" w:pos="180"/>
        </w:tabs>
        <w:spacing w:line="360" w:lineRule="auto"/>
        <w:ind w:left="210" w:leftChars="100" w:firstLine="1470" w:firstLineChars="700"/>
        <w:rPr>
          <w:u w:val="single"/>
        </w:rPr>
      </w:pPr>
      <w:r>
        <w:rPr>
          <w:rFonts w:hint="eastAsia"/>
        </w:rPr>
        <w:t>甲方（代建单位）</w:t>
      </w:r>
      <w:r>
        <w:t>：</w:t>
      </w:r>
      <w:r>
        <w:rPr>
          <w:rFonts w:hint="eastAsia" w:hAnsi="宋体"/>
          <w:szCs w:val="21"/>
          <w:u w:val="single"/>
        </w:rPr>
        <w:t xml:space="preserve">                              </w:t>
      </w:r>
    </w:p>
    <w:p>
      <w:pPr>
        <w:tabs>
          <w:tab w:val="left" w:pos="180"/>
        </w:tabs>
        <w:spacing w:line="360" w:lineRule="auto"/>
        <w:ind w:left="210" w:leftChars="100" w:firstLine="420" w:firstLineChars="200"/>
      </w:pPr>
    </w:p>
    <w:p>
      <w:pPr>
        <w:tabs>
          <w:tab w:val="left" w:pos="180"/>
        </w:tabs>
        <w:spacing w:line="360" w:lineRule="auto"/>
        <w:ind w:left="210" w:leftChars="100" w:firstLine="1470" w:firstLineChars="700"/>
        <w:rPr>
          <w:u w:val="single"/>
        </w:rPr>
      </w:pPr>
      <w:r>
        <w:rPr>
          <w:rFonts w:hint="eastAsia"/>
        </w:rPr>
        <w:t>乙方（测量单位）</w:t>
      </w:r>
      <w:r>
        <w:t>：</w:t>
      </w:r>
      <w:r>
        <w:rPr>
          <w:rFonts w:hint="eastAsia"/>
          <w:u w:val="single"/>
        </w:rPr>
        <w:t xml:space="preserve">                          </w:t>
      </w:r>
    </w:p>
    <w:p>
      <w:pPr>
        <w:tabs>
          <w:tab w:val="left" w:pos="180"/>
        </w:tabs>
        <w:spacing w:line="360" w:lineRule="auto"/>
        <w:ind w:left="210" w:leftChars="100" w:firstLine="420" w:firstLineChars="200"/>
      </w:pPr>
    </w:p>
    <w:p>
      <w:pPr>
        <w:tabs>
          <w:tab w:val="left" w:pos="180"/>
        </w:tabs>
        <w:spacing w:line="360" w:lineRule="auto"/>
        <w:ind w:left="210" w:leftChars="100" w:firstLine="1470" w:firstLineChars="700"/>
        <w:rPr>
          <w:u w:val="single"/>
        </w:rPr>
      </w:pPr>
      <w:r>
        <w:rPr>
          <w:rFonts w:hint="eastAsia"/>
        </w:rPr>
        <w:t>丙方（建设单位）:</w:t>
      </w:r>
      <w:r>
        <w:rPr>
          <w:rFonts w:hint="eastAsia"/>
          <w:u w:val="single"/>
        </w:rPr>
        <w:t xml:space="preserve">                             </w:t>
      </w:r>
    </w:p>
    <w:p>
      <w:pPr>
        <w:tabs>
          <w:tab w:val="left" w:pos="180"/>
        </w:tabs>
        <w:spacing w:line="360" w:lineRule="auto"/>
        <w:ind w:left="210" w:leftChars="100" w:firstLine="420" w:firstLineChars="200"/>
        <w:jc w:val="center"/>
        <w:rPr>
          <w:szCs w:val="21"/>
        </w:rPr>
      </w:pPr>
    </w:p>
    <w:p>
      <w:pPr>
        <w:pStyle w:val="2"/>
      </w:pPr>
    </w:p>
    <w:p>
      <w:pPr>
        <w:tabs>
          <w:tab w:val="left" w:pos="180"/>
        </w:tabs>
        <w:spacing w:line="360" w:lineRule="auto"/>
        <w:ind w:left="210" w:leftChars="100" w:firstLine="1470" w:firstLineChars="700"/>
        <w:rPr>
          <w:szCs w:val="21"/>
        </w:rPr>
      </w:pPr>
      <w:r>
        <w:rPr>
          <w:rFonts w:hint="eastAsia"/>
          <w:szCs w:val="21"/>
        </w:rPr>
        <w:t>签订日期：</w:t>
      </w:r>
      <w:r>
        <w:rPr>
          <w:szCs w:val="21"/>
          <w:u w:val="single"/>
        </w:rPr>
        <w:t xml:space="preserve"> </w:t>
      </w:r>
      <w:r>
        <w:rPr>
          <w:rFonts w:hint="eastAsia"/>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pPr>
        <w:snapToGrid w:val="0"/>
        <w:spacing w:line="360" w:lineRule="auto"/>
        <w:rPr>
          <w:rFonts w:hAnsi="宋体"/>
          <w:szCs w:val="21"/>
          <w:u w:val="single"/>
        </w:rPr>
      </w:pPr>
      <w:r>
        <w:rPr>
          <w:szCs w:val="21"/>
        </w:rPr>
        <w:br w:type="page"/>
      </w:r>
      <w:r>
        <w:rPr>
          <w:rFonts w:hint="eastAsia"/>
          <w:szCs w:val="21"/>
        </w:rPr>
        <w:t>甲方（代建单位</w:t>
      </w:r>
      <w:r>
        <w:rPr>
          <w:rFonts w:hint="eastAsia" w:hAnsi="宋体"/>
          <w:szCs w:val="21"/>
        </w:rPr>
        <w:t>)：</w:t>
      </w:r>
      <w:r>
        <w:rPr>
          <w:rFonts w:hint="eastAsia" w:hAnsi="宋体"/>
          <w:szCs w:val="21"/>
          <w:u w:val="single"/>
        </w:rPr>
        <w:t xml:space="preserve">                                         </w:t>
      </w:r>
    </w:p>
    <w:p>
      <w:pPr>
        <w:spacing w:line="360" w:lineRule="auto"/>
        <w:rPr>
          <w:rFonts w:hAnsi="宋体"/>
          <w:szCs w:val="21"/>
          <w:u w:val="single"/>
        </w:rPr>
      </w:pPr>
      <w:r>
        <w:rPr>
          <w:rFonts w:hAnsi="宋体"/>
          <w:szCs w:val="21"/>
        </w:rPr>
        <w:t>法定代表人：</w:t>
      </w:r>
      <w:r>
        <w:rPr>
          <w:rFonts w:hint="eastAsia" w:hAnsi="宋体"/>
          <w:szCs w:val="21"/>
          <w:u w:val="single"/>
        </w:rPr>
        <w:t xml:space="preserve">                                        </w:t>
      </w:r>
    </w:p>
    <w:p>
      <w:pPr>
        <w:spacing w:line="360" w:lineRule="auto"/>
        <w:rPr>
          <w:rFonts w:hAnsi="宋体"/>
          <w:szCs w:val="21"/>
          <w:u w:val="single"/>
        </w:rPr>
      </w:pPr>
      <w:r>
        <w:rPr>
          <w:rFonts w:hAnsi="宋体"/>
          <w:szCs w:val="21"/>
        </w:rPr>
        <w:t>联系地址：</w:t>
      </w:r>
      <w:r>
        <w:rPr>
          <w:rFonts w:hint="eastAsia" w:hAnsi="宋体"/>
          <w:szCs w:val="21"/>
          <w:u w:val="single"/>
        </w:rPr>
        <w:t xml:space="preserve">                                        </w:t>
      </w:r>
    </w:p>
    <w:p>
      <w:pPr>
        <w:snapToGrid w:val="0"/>
        <w:spacing w:line="360" w:lineRule="auto"/>
        <w:ind w:left="210" w:leftChars="100"/>
        <w:rPr>
          <w:rFonts w:hAnsi="宋体"/>
          <w:szCs w:val="21"/>
          <w:u w:val="single"/>
        </w:rPr>
      </w:pPr>
    </w:p>
    <w:p>
      <w:pPr>
        <w:snapToGrid w:val="0"/>
        <w:spacing w:line="360" w:lineRule="auto"/>
        <w:rPr>
          <w:rFonts w:hAnsi="宋体"/>
          <w:szCs w:val="21"/>
        </w:rPr>
      </w:pPr>
      <w:r>
        <w:rPr>
          <w:rFonts w:hint="eastAsia" w:hAnsi="宋体"/>
          <w:szCs w:val="21"/>
        </w:rPr>
        <w:t>乙方（测量单位）：</w:t>
      </w:r>
      <w:r>
        <w:rPr>
          <w:rFonts w:hint="eastAsia" w:hAnsi="宋体"/>
          <w:szCs w:val="21"/>
          <w:u w:val="single"/>
        </w:rPr>
        <w:t xml:space="preserve">                                       </w:t>
      </w:r>
      <w:r>
        <w:rPr>
          <w:rFonts w:hint="eastAsia" w:hAnsi="宋体"/>
          <w:szCs w:val="21"/>
        </w:rPr>
        <w:t xml:space="preserve">                                         </w:t>
      </w:r>
    </w:p>
    <w:p>
      <w:pPr>
        <w:snapToGrid w:val="0"/>
        <w:spacing w:line="360" w:lineRule="auto"/>
        <w:rPr>
          <w:rFonts w:hAnsi="宋体"/>
          <w:szCs w:val="21"/>
        </w:rPr>
      </w:pPr>
      <w:r>
        <w:rPr>
          <w:rFonts w:hint="eastAsia" w:hAnsi="宋体"/>
          <w:szCs w:val="21"/>
        </w:rPr>
        <w:t>乙方测绘资质等级：</w:t>
      </w:r>
      <w:r>
        <w:rPr>
          <w:rFonts w:hint="eastAsia" w:hAnsi="宋体"/>
          <w:szCs w:val="21"/>
          <w:u w:val="single"/>
        </w:rPr>
        <w:t xml:space="preserve">                                   </w:t>
      </w:r>
      <w:r>
        <w:rPr>
          <w:rFonts w:hint="eastAsia" w:hAnsi="宋体"/>
          <w:szCs w:val="21"/>
        </w:rPr>
        <w:t xml:space="preserve">           </w:t>
      </w:r>
    </w:p>
    <w:p>
      <w:pPr>
        <w:spacing w:line="360" w:lineRule="auto"/>
        <w:rPr>
          <w:rFonts w:hAnsi="宋体"/>
          <w:szCs w:val="21"/>
          <w:u w:val="single"/>
        </w:rPr>
      </w:pPr>
      <w:r>
        <w:rPr>
          <w:rFonts w:hAnsi="宋体"/>
          <w:szCs w:val="21"/>
        </w:rPr>
        <w:t>法定代表人：</w:t>
      </w:r>
      <w:r>
        <w:rPr>
          <w:rFonts w:hint="eastAsia" w:hAnsi="宋体"/>
          <w:szCs w:val="21"/>
          <w:u w:val="single"/>
        </w:rPr>
        <w:t xml:space="preserve">                                        </w:t>
      </w:r>
    </w:p>
    <w:p>
      <w:pPr>
        <w:spacing w:line="360" w:lineRule="auto"/>
        <w:rPr>
          <w:rFonts w:hAnsi="宋体"/>
          <w:szCs w:val="21"/>
          <w:u w:val="single"/>
        </w:rPr>
      </w:pPr>
      <w:r>
        <w:rPr>
          <w:rFonts w:hAnsi="宋体"/>
          <w:szCs w:val="21"/>
        </w:rPr>
        <w:t>联系地址：</w:t>
      </w:r>
      <w:r>
        <w:rPr>
          <w:rFonts w:hint="eastAsia" w:hAnsi="宋体"/>
          <w:szCs w:val="21"/>
          <w:u w:val="single"/>
        </w:rPr>
        <w:t xml:space="preserve">                                        </w:t>
      </w:r>
    </w:p>
    <w:p>
      <w:pPr>
        <w:snapToGrid w:val="0"/>
        <w:spacing w:line="360" w:lineRule="auto"/>
        <w:ind w:left="210" w:leftChars="100"/>
        <w:jc w:val="left"/>
        <w:rPr>
          <w:rFonts w:ascii="宋体" w:hAnsi="宋体" w:cs="宋体"/>
          <w:sz w:val="22"/>
          <w:szCs w:val="22"/>
        </w:rPr>
      </w:pPr>
    </w:p>
    <w:p>
      <w:pPr>
        <w:snapToGrid w:val="0"/>
        <w:spacing w:line="360" w:lineRule="auto"/>
        <w:rPr>
          <w:rFonts w:hAnsi="宋体"/>
          <w:szCs w:val="21"/>
        </w:rPr>
      </w:pPr>
      <w:r>
        <w:rPr>
          <w:rFonts w:hint="eastAsia" w:hAnsi="宋体"/>
          <w:szCs w:val="21"/>
        </w:rPr>
        <w:t>丙方（建设单位）：</w:t>
      </w:r>
      <w:r>
        <w:rPr>
          <w:rFonts w:hint="eastAsia" w:hAnsi="宋体"/>
          <w:szCs w:val="21"/>
          <w:u w:val="single"/>
        </w:rPr>
        <w:t xml:space="preserve">                                       </w:t>
      </w:r>
      <w:r>
        <w:rPr>
          <w:rFonts w:hint="eastAsia" w:hAnsi="宋体"/>
          <w:szCs w:val="21"/>
        </w:rPr>
        <w:t xml:space="preserve">                                         </w:t>
      </w:r>
    </w:p>
    <w:p>
      <w:pPr>
        <w:spacing w:line="360" w:lineRule="auto"/>
        <w:rPr>
          <w:rFonts w:hAnsi="宋体"/>
          <w:szCs w:val="21"/>
        </w:rPr>
      </w:pPr>
      <w:r>
        <w:rPr>
          <w:rFonts w:hAnsi="宋体"/>
          <w:szCs w:val="21"/>
        </w:rPr>
        <w:t xml:space="preserve">法定代表人：                                        </w:t>
      </w:r>
    </w:p>
    <w:p>
      <w:pPr>
        <w:spacing w:line="360" w:lineRule="auto"/>
        <w:rPr>
          <w:rFonts w:hAnsi="宋体"/>
          <w:szCs w:val="21"/>
        </w:rPr>
      </w:pPr>
      <w:r>
        <w:rPr>
          <w:rFonts w:hAnsi="宋体"/>
          <w:szCs w:val="21"/>
        </w:rPr>
        <w:t xml:space="preserve">联系地址：                                        </w:t>
      </w:r>
    </w:p>
    <w:p/>
    <w:p>
      <w:pPr>
        <w:widowControl/>
        <w:tabs>
          <w:tab w:val="left" w:pos="1695"/>
          <w:tab w:val="left" w:pos="2700"/>
        </w:tabs>
        <w:adjustRightInd w:val="0"/>
        <w:snapToGrid w:val="0"/>
        <w:spacing w:line="360" w:lineRule="auto"/>
        <w:ind w:firstLine="420" w:firstLineChars="200"/>
        <w:outlineLvl w:val="2"/>
        <w:rPr>
          <w:rFonts w:ascii="宋体" w:hAnsi="宋体" w:cs="宋体"/>
          <w:szCs w:val="21"/>
        </w:rPr>
      </w:pPr>
      <w:r>
        <w:rPr>
          <w:rFonts w:hint="eastAsia" w:ascii="宋体" w:hAnsi="宋体" w:cs="宋体"/>
          <w:szCs w:val="21"/>
        </w:rPr>
        <w:t>丙方为东莞市虎门镇镇口衣流时尚产业园项目的投资主体及建设方，丙方委托甲方作为该项目的专业技术服务单位，负责项目前期土地整备服务及二级开发建设代建服务。</w:t>
      </w:r>
    </w:p>
    <w:p>
      <w:pPr>
        <w:spacing w:line="400" w:lineRule="exact"/>
        <w:ind w:firstLine="440" w:firstLineChars="200"/>
        <w:jc w:val="left"/>
        <w:rPr>
          <w:rFonts w:ascii="宋体" w:hAnsi="宋体" w:cs="宋体"/>
          <w:sz w:val="22"/>
          <w:szCs w:val="22"/>
        </w:rPr>
      </w:pPr>
      <w:r>
        <w:rPr>
          <w:rFonts w:hint="eastAsia" w:ascii="宋体" w:hAnsi="宋体" w:cs="宋体"/>
          <w:sz w:val="22"/>
          <w:szCs w:val="22"/>
        </w:rPr>
        <w:t>根据《中华人民共和国民法典》、《中华人民共和国测绘法》和有关法律法规，经三方协商一致签订本合同。</w:t>
      </w:r>
    </w:p>
    <w:p>
      <w:pPr>
        <w:spacing w:line="400" w:lineRule="exact"/>
        <w:jc w:val="left"/>
        <w:rPr>
          <w:rFonts w:ascii="宋体" w:hAnsi="宋体" w:cs="宋体"/>
          <w:b/>
          <w:bCs/>
          <w:sz w:val="22"/>
          <w:szCs w:val="22"/>
        </w:rPr>
      </w:pPr>
    </w:p>
    <w:p>
      <w:pPr>
        <w:spacing w:line="400" w:lineRule="exact"/>
        <w:jc w:val="left"/>
        <w:rPr>
          <w:rFonts w:ascii="宋体" w:hAnsi="宋体" w:cs="宋体"/>
          <w:b/>
          <w:bCs/>
          <w:sz w:val="22"/>
          <w:szCs w:val="22"/>
          <w:u w:val="single"/>
        </w:rPr>
      </w:pPr>
      <w:r>
        <w:rPr>
          <w:rFonts w:hint="eastAsia" w:ascii="宋体" w:hAnsi="宋体" w:cs="宋体"/>
          <w:b/>
          <w:bCs/>
          <w:sz w:val="22"/>
          <w:szCs w:val="22"/>
        </w:rPr>
        <w:t>第一条 测量范围（包括测区地点、面积、测区地理位置等）</w:t>
      </w:r>
    </w:p>
    <w:p>
      <w:pPr>
        <w:spacing w:line="400" w:lineRule="exact"/>
        <w:rPr>
          <w:rFonts w:ascii="宋体" w:hAnsi="宋体" w:cs="宋体"/>
          <w:sz w:val="22"/>
          <w:szCs w:val="22"/>
        </w:rPr>
      </w:pPr>
      <w:r>
        <w:rPr>
          <w:rFonts w:hint="eastAsia" w:ascii="宋体" w:hAnsi="宋体" w:cs="宋体"/>
          <w:sz w:val="22"/>
          <w:szCs w:val="22"/>
        </w:rPr>
        <w:t xml:space="preserve">   甲方委托乙方对</w:t>
      </w:r>
      <w:r>
        <w:rPr>
          <w:rFonts w:hint="eastAsia" w:ascii="宋体" w:hAnsi="宋体" w:cs="宋体"/>
          <w:sz w:val="22"/>
          <w:szCs w:val="22"/>
          <w:u w:val="single"/>
          <w:lang w:val="en-US" w:eastAsia="zh-CN"/>
        </w:rPr>
        <w:t>虎门镇衣流时尚园一期A区3号地块项目</w:t>
      </w:r>
      <w:r>
        <w:rPr>
          <w:rFonts w:hint="eastAsia" w:ascii="宋体" w:hAnsi="宋体" w:cs="宋体"/>
          <w:sz w:val="22"/>
          <w:szCs w:val="22"/>
        </w:rPr>
        <w:t xml:space="preserve">进行测量工作。                                                                                                                               </w:t>
      </w:r>
    </w:p>
    <w:p>
      <w:pPr>
        <w:spacing w:line="400" w:lineRule="exact"/>
        <w:jc w:val="left"/>
        <w:rPr>
          <w:rFonts w:ascii="宋体" w:hAnsi="宋体" w:cs="宋体"/>
          <w:b/>
          <w:bCs/>
          <w:sz w:val="22"/>
          <w:szCs w:val="22"/>
        </w:rPr>
      </w:pPr>
    </w:p>
    <w:p>
      <w:pPr>
        <w:spacing w:line="400" w:lineRule="exact"/>
        <w:jc w:val="left"/>
        <w:rPr>
          <w:rFonts w:ascii="宋体" w:hAnsi="宋体" w:cs="宋体"/>
          <w:sz w:val="22"/>
          <w:szCs w:val="22"/>
        </w:rPr>
      </w:pPr>
      <w:r>
        <w:rPr>
          <w:rFonts w:hint="eastAsia" w:ascii="宋体" w:hAnsi="宋体" w:cs="宋体"/>
          <w:b/>
          <w:bCs/>
          <w:sz w:val="22"/>
          <w:szCs w:val="22"/>
        </w:rPr>
        <w:t xml:space="preserve">第二条 测量内容（包括测量项目和工作量等） </w:t>
      </w:r>
      <w:r>
        <w:rPr>
          <w:rFonts w:hint="eastAsia" w:ascii="宋体" w:hAnsi="宋体" w:cs="宋体"/>
          <w:sz w:val="22"/>
          <w:szCs w:val="22"/>
        </w:rPr>
        <w:t xml:space="preserve">                              </w:t>
      </w:r>
    </w:p>
    <w:p>
      <w:pPr>
        <w:spacing w:line="400" w:lineRule="exact"/>
        <w:rPr>
          <w:rFonts w:hint="eastAsia" w:ascii="宋体" w:hAnsi="宋体" w:cs="宋体"/>
          <w:sz w:val="22"/>
          <w:szCs w:val="22"/>
        </w:rPr>
      </w:pPr>
      <w:r>
        <w:rPr>
          <w:rFonts w:hint="eastAsia" w:ascii="宋体" w:hAnsi="宋体" w:cs="宋体"/>
          <w:sz w:val="22"/>
          <w:szCs w:val="22"/>
        </w:rPr>
        <w:t xml:space="preserve">   地形图测绘、规划条件核实测量、不动产测量（详见</w:t>
      </w:r>
      <w:r>
        <w:rPr>
          <w:rFonts w:hint="eastAsia" w:ascii="宋体" w:hAnsi="宋体" w:cs="宋体"/>
          <w:sz w:val="22"/>
          <w:szCs w:val="22"/>
          <w:lang w:val="en-US" w:eastAsia="zh-CN"/>
        </w:rPr>
        <w:t>多测合一服务</w:t>
      </w:r>
      <w:r>
        <w:rPr>
          <w:rFonts w:hint="eastAsia" w:ascii="宋体" w:hAnsi="宋体" w:cs="宋体"/>
          <w:sz w:val="22"/>
          <w:szCs w:val="22"/>
        </w:rPr>
        <w:t xml:space="preserve">清单）。    </w:t>
      </w:r>
    </w:p>
    <w:p>
      <w:pPr>
        <w:spacing w:line="400" w:lineRule="exact"/>
        <w:rPr>
          <w:rFonts w:ascii="宋体" w:hAnsi="宋体" w:cs="宋体"/>
          <w:sz w:val="22"/>
          <w:szCs w:val="22"/>
        </w:rPr>
      </w:pPr>
      <w:r>
        <w:rPr>
          <w:rFonts w:hint="eastAsia" w:ascii="宋体" w:hAnsi="宋体" w:cs="宋体"/>
          <w:sz w:val="22"/>
          <w:szCs w:val="22"/>
        </w:rPr>
        <w:t xml:space="preserve">                </w:t>
      </w:r>
    </w:p>
    <w:p>
      <w:pPr>
        <w:spacing w:line="400" w:lineRule="exact"/>
        <w:rPr>
          <w:rFonts w:ascii="宋体" w:hAnsi="宋体" w:cs="宋体"/>
          <w:b/>
          <w:bCs/>
          <w:sz w:val="22"/>
          <w:szCs w:val="22"/>
        </w:rPr>
      </w:pPr>
      <w:r>
        <w:rPr>
          <w:rFonts w:hint="eastAsia" w:ascii="宋体" w:hAnsi="宋体" w:cs="宋体"/>
          <w:b/>
          <w:bCs/>
          <w:sz w:val="22"/>
          <w:szCs w:val="22"/>
        </w:rPr>
        <w:t>第三条 执行技术标准</w:t>
      </w:r>
    </w:p>
    <w:tbl>
      <w:tblPr>
        <w:tblStyle w:val="23"/>
        <w:tblpPr w:leftFromText="180" w:rightFromText="180" w:vertAnchor="text" w:horzAnchor="page" w:tblpX="1072" w:tblpY="340"/>
        <w:tblOverlap w:val="never"/>
        <w:tblW w:w="96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5855"/>
        <w:gridCol w:w="1740"/>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b/>
                <w:bCs/>
                <w:sz w:val="22"/>
                <w:szCs w:val="22"/>
              </w:rPr>
            </w:pPr>
            <w:r>
              <w:rPr>
                <w:b/>
                <w:color w:val="000000"/>
                <w:kern w:val="0"/>
                <w:sz w:val="22"/>
                <w:szCs w:val="22"/>
                <w:lang w:bidi="ar"/>
              </w:rPr>
              <w:t>序号</w:t>
            </w:r>
          </w:p>
        </w:tc>
        <w:tc>
          <w:tcPr>
            <w:tcW w:w="5855" w:type="dxa"/>
            <w:vAlign w:val="center"/>
          </w:tcPr>
          <w:p>
            <w:pPr>
              <w:widowControl/>
              <w:spacing w:line="400" w:lineRule="exact"/>
              <w:jc w:val="center"/>
              <w:textAlignment w:val="center"/>
              <w:rPr>
                <w:b/>
                <w:bCs/>
                <w:sz w:val="22"/>
                <w:szCs w:val="22"/>
              </w:rPr>
            </w:pPr>
            <w:r>
              <w:rPr>
                <w:b/>
                <w:color w:val="000000"/>
                <w:kern w:val="0"/>
                <w:sz w:val="22"/>
                <w:szCs w:val="22"/>
                <w:lang w:bidi="ar"/>
              </w:rPr>
              <w:t>标准名称</w:t>
            </w:r>
          </w:p>
        </w:tc>
        <w:tc>
          <w:tcPr>
            <w:tcW w:w="1740" w:type="dxa"/>
            <w:vAlign w:val="center"/>
          </w:tcPr>
          <w:p>
            <w:pPr>
              <w:widowControl/>
              <w:spacing w:line="400" w:lineRule="exact"/>
              <w:jc w:val="center"/>
              <w:textAlignment w:val="center"/>
              <w:rPr>
                <w:b/>
                <w:bCs/>
                <w:sz w:val="22"/>
                <w:szCs w:val="22"/>
              </w:rPr>
            </w:pPr>
            <w:r>
              <w:rPr>
                <w:b/>
                <w:color w:val="000000"/>
                <w:kern w:val="0"/>
                <w:sz w:val="22"/>
                <w:szCs w:val="22"/>
                <w:lang w:bidi="ar"/>
              </w:rPr>
              <w:t>标准代号</w:t>
            </w:r>
          </w:p>
        </w:tc>
        <w:tc>
          <w:tcPr>
            <w:tcW w:w="1290" w:type="dxa"/>
            <w:vAlign w:val="center"/>
          </w:tcPr>
          <w:p>
            <w:pPr>
              <w:widowControl/>
              <w:spacing w:line="400" w:lineRule="exact"/>
              <w:jc w:val="center"/>
              <w:textAlignment w:val="center"/>
              <w:rPr>
                <w:b/>
                <w:bCs/>
                <w:sz w:val="22"/>
                <w:szCs w:val="22"/>
              </w:rPr>
            </w:pPr>
            <w:r>
              <w:rPr>
                <w:b/>
                <w:color w:val="000000"/>
                <w:kern w:val="0"/>
                <w:sz w:val="22"/>
                <w:szCs w:val="22"/>
                <w:lang w:bidi="ar"/>
              </w:rPr>
              <w:t>标准等级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sz w:val="22"/>
                <w:szCs w:val="22"/>
              </w:rPr>
            </w:pPr>
            <w:r>
              <w:rPr>
                <w:color w:val="000000"/>
                <w:kern w:val="0"/>
                <w:sz w:val="22"/>
                <w:szCs w:val="22"/>
                <w:lang w:bidi="ar"/>
              </w:rPr>
              <w:t>1</w:t>
            </w:r>
          </w:p>
        </w:tc>
        <w:tc>
          <w:tcPr>
            <w:tcW w:w="5855" w:type="dxa"/>
            <w:vAlign w:val="center"/>
          </w:tcPr>
          <w:p>
            <w:pPr>
              <w:widowControl/>
              <w:spacing w:line="400" w:lineRule="exact"/>
              <w:jc w:val="center"/>
              <w:textAlignment w:val="center"/>
              <w:rPr>
                <w:sz w:val="22"/>
                <w:szCs w:val="22"/>
              </w:rPr>
            </w:pPr>
            <w:r>
              <w:rPr>
                <w:color w:val="000000"/>
                <w:kern w:val="0"/>
                <w:sz w:val="22"/>
                <w:szCs w:val="22"/>
                <w:lang w:bidi="ar"/>
              </w:rPr>
              <w:t>国家基本比例尺地图 1：500 1：1000 1：2000地形图</w:t>
            </w:r>
          </w:p>
        </w:tc>
        <w:tc>
          <w:tcPr>
            <w:tcW w:w="1740" w:type="dxa"/>
            <w:vAlign w:val="center"/>
          </w:tcPr>
          <w:p>
            <w:pPr>
              <w:widowControl/>
              <w:spacing w:line="400" w:lineRule="exact"/>
              <w:jc w:val="center"/>
              <w:textAlignment w:val="center"/>
              <w:rPr>
                <w:sz w:val="22"/>
                <w:szCs w:val="22"/>
              </w:rPr>
            </w:pPr>
            <w:r>
              <w:rPr>
                <w:color w:val="000000"/>
                <w:kern w:val="0"/>
                <w:sz w:val="22"/>
                <w:szCs w:val="22"/>
                <w:lang w:bidi="ar"/>
              </w:rPr>
              <w:t>GB/T 33176</w:t>
            </w:r>
          </w:p>
        </w:tc>
        <w:tc>
          <w:tcPr>
            <w:tcW w:w="1290" w:type="dxa"/>
            <w:vAlign w:val="center"/>
          </w:tcPr>
          <w:p>
            <w:pPr>
              <w:widowControl/>
              <w:spacing w:line="400" w:lineRule="exact"/>
              <w:jc w:val="center"/>
              <w:textAlignment w:val="center"/>
              <w:rPr>
                <w:sz w:val="22"/>
                <w:szCs w:val="22"/>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exact"/>
        </w:trPr>
        <w:tc>
          <w:tcPr>
            <w:tcW w:w="750" w:type="dxa"/>
            <w:vAlign w:val="center"/>
          </w:tcPr>
          <w:p>
            <w:pPr>
              <w:widowControl/>
              <w:spacing w:line="400" w:lineRule="exact"/>
              <w:jc w:val="center"/>
              <w:textAlignment w:val="center"/>
              <w:rPr>
                <w:sz w:val="22"/>
                <w:szCs w:val="22"/>
              </w:rPr>
            </w:pPr>
            <w:r>
              <w:rPr>
                <w:color w:val="000000"/>
                <w:kern w:val="0"/>
                <w:sz w:val="22"/>
                <w:szCs w:val="22"/>
                <w:lang w:bidi="ar"/>
              </w:rPr>
              <w:t>2</w:t>
            </w:r>
          </w:p>
        </w:tc>
        <w:tc>
          <w:tcPr>
            <w:tcW w:w="5855" w:type="dxa"/>
            <w:vAlign w:val="center"/>
          </w:tcPr>
          <w:p>
            <w:pPr>
              <w:widowControl/>
              <w:spacing w:line="400" w:lineRule="exact"/>
              <w:jc w:val="center"/>
              <w:textAlignment w:val="center"/>
              <w:rPr>
                <w:sz w:val="22"/>
                <w:szCs w:val="22"/>
              </w:rPr>
            </w:pPr>
            <w:r>
              <w:rPr>
                <w:color w:val="000000"/>
                <w:kern w:val="0"/>
                <w:sz w:val="22"/>
                <w:szCs w:val="22"/>
                <w:lang w:bidi="ar"/>
              </w:rPr>
              <w:t>国家基本比例尺地图图式 第1部分：1：500 1：1000 1：2000地形图图式</w:t>
            </w:r>
          </w:p>
        </w:tc>
        <w:tc>
          <w:tcPr>
            <w:tcW w:w="1740" w:type="dxa"/>
            <w:vAlign w:val="center"/>
          </w:tcPr>
          <w:p>
            <w:pPr>
              <w:widowControl/>
              <w:spacing w:line="400" w:lineRule="exact"/>
              <w:jc w:val="center"/>
              <w:textAlignment w:val="center"/>
              <w:rPr>
                <w:sz w:val="22"/>
                <w:szCs w:val="22"/>
              </w:rPr>
            </w:pPr>
            <w:r>
              <w:rPr>
                <w:color w:val="000000"/>
                <w:kern w:val="0"/>
                <w:sz w:val="22"/>
                <w:szCs w:val="22"/>
                <w:lang w:bidi="ar"/>
              </w:rPr>
              <w:t>GB/T 20257.1</w:t>
            </w:r>
          </w:p>
        </w:tc>
        <w:tc>
          <w:tcPr>
            <w:tcW w:w="1290" w:type="dxa"/>
            <w:vAlign w:val="center"/>
          </w:tcPr>
          <w:p>
            <w:pPr>
              <w:widowControl/>
              <w:spacing w:line="400" w:lineRule="exact"/>
              <w:jc w:val="center"/>
              <w:textAlignment w:val="center"/>
              <w:rPr>
                <w:sz w:val="22"/>
                <w:szCs w:val="22"/>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50" w:type="dxa"/>
          </w:tcPr>
          <w:p>
            <w:pPr>
              <w:spacing w:line="400" w:lineRule="exact"/>
              <w:jc w:val="center"/>
              <w:rPr>
                <w:sz w:val="22"/>
                <w:szCs w:val="22"/>
              </w:rPr>
            </w:pPr>
            <w:r>
              <w:rPr>
                <w:sz w:val="22"/>
                <w:szCs w:val="22"/>
              </w:rPr>
              <w:t>3</w:t>
            </w:r>
          </w:p>
        </w:tc>
        <w:tc>
          <w:tcPr>
            <w:tcW w:w="5855"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《全球定位系统实时动态测量（RTK）规范》</w:t>
            </w:r>
          </w:p>
        </w:tc>
        <w:tc>
          <w:tcPr>
            <w:tcW w:w="1740"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CH/T 2009-2010</w:t>
            </w:r>
          </w:p>
        </w:tc>
        <w:tc>
          <w:tcPr>
            <w:tcW w:w="1290" w:type="dxa"/>
          </w:tcPr>
          <w:p>
            <w:pPr>
              <w:spacing w:line="400" w:lineRule="exact"/>
              <w:jc w:val="center"/>
              <w:rPr>
                <w:sz w:val="22"/>
                <w:szCs w:val="22"/>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sz w:val="22"/>
                <w:szCs w:val="22"/>
              </w:rPr>
            </w:pPr>
            <w:r>
              <w:rPr>
                <w:color w:val="000000"/>
                <w:kern w:val="0"/>
                <w:sz w:val="22"/>
                <w:szCs w:val="22"/>
                <w:lang w:bidi="ar"/>
              </w:rPr>
              <w:t>4</w:t>
            </w:r>
          </w:p>
        </w:tc>
        <w:tc>
          <w:tcPr>
            <w:tcW w:w="5855" w:type="dxa"/>
            <w:vAlign w:val="center"/>
          </w:tcPr>
          <w:p>
            <w:pPr>
              <w:widowControl/>
              <w:spacing w:line="400" w:lineRule="exact"/>
              <w:jc w:val="center"/>
              <w:textAlignment w:val="center"/>
              <w:rPr>
                <w:sz w:val="22"/>
                <w:szCs w:val="22"/>
              </w:rPr>
            </w:pPr>
            <w:r>
              <w:rPr>
                <w:color w:val="000000"/>
                <w:kern w:val="0"/>
                <w:sz w:val="22"/>
                <w:szCs w:val="22"/>
                <w:lang w:bidi="ar"/>
              </w:rPr>
              <w:t>工程测量规范</w:t>
            </w:r>
          </w:p>
        </w:tc>
        <w:tc>
          <w:tcPr>
            <w:tcW w:w="1740" w:type="dxa"/>
            <w:vAlign w:val="center"/>
          </w:tcPr>
          <w:p>
            <w:pPr>
              <w:widowControl/>
              <w:spacing w:line="400" w:lineRule="exact"/>
              <w:jc w:val="center"/>
              <w:textAlignment w:val="center"/>
              <w:rPr>
                <w:sz w:val="22"/>
                <w:szCs w:val="22"/>
              </w:rPr>
            </w:pPr>
            <w:r>
              <w:rPr>
                <w:color w:val="000000"/>
                <w:kern w:val="0"/>
                <w:sz w:val="22"/>
                <w:szCs w:val="22"/>
                <w:lang w:bidi="ar"/>
              </w:rPr>
              <w:t>GB 50026</w:t>
            </w:r>
          </w:p>
        </w:tc>
        <w:tc>
          <w:tcPr>
            <w:tcW w:w="1290" w:type="dxa"/>
            <w:vAlign w:val="center"/>
          </w:tcPr>
          <w:p>
            <w:pPr>
              <w:widowControl/>
              <w:spacing w:line="400" w:lineRule="exact"/>
              <w:jc w:val="center"/>
              <w:textAlignment w:val="center"/>
              <w:rPr>
                <w:sz w:val="22"/>
                <w:szCs w:val="22"/>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sz w:val="22"/>
                <w:szCs w:val="22"/>
              </w:rPr>
            </w:pPr>
            <w:r>
              <w:rPr>
                <w:color w:val="000000"/>
                <w:kern w:val="0"/>
                <w:sz w:val="22"/>
                <w:szCs w:val="22"/>
                <w:lang w:bidi="ar"/>
              </w:rPr>
              <w:t>5</w:t>
            </w:r>
          </w:p>
        </w:tc>
        <w:tc>
          <w:tcPr>
            <w:tcW w:w="5855" w:type="dxa"/>
            <w:vAlign w:val="center"/>
          </w:tcPr>
          <w:p>
            <w:pPr>
              <w:widowControl/>
              <w:spacing w:line="400" w:lineRule="exact"/>
              <w:jc w:val="center"/>
              <w:textAlignment w:val="center"/>
              <w:rPr>
                <w:sz w:val="22"/>
                <w:szCs w:val="22"/>
              </w:rPr>
            </w:pPr>
            <w:r>
              <w:rPr>
                <w:color w:val="000000"/>
                <w:kern w:val="0"/>
                <w:sz w:val="22"/>
                <w:szCs w:val="22"/>
                <w:lang w:bidi="ar"/>
              </w:rPr>
              <w:t>房产测量规范（第1单元：房产测量规定）</w:t>
            </w:r>
          </w:p>
        </w:tc>
        <w:tc>
          <w:tcPr>
            <w:tcW w:w="1740" w:type="dxa"/>
            <w:vAlign w:val="center"/>
          </w:tcPr>
          <w:p>
            <w:pPr>
              <w:widowControl/>
              <w:spacing w:line="400" w:lineRule="exact"/>
              <w:jc w:val="center"/>
              <w:textAlignment w:val="center"/>
              <w:rPr>
                <w:sz w:val="22"/>
                <w:szCs w:val="22"/>
              </w:rPr>
            </w:pPr>
            <w:r>
              <w:rPr>
                <w:color w:val="000000"/>
                <w:kern w:val="0"/>
                <w:sz w:val="22"/>
                <w:szCs w:val="22"/>
                <w:lang w:bidi="ar"/>
              </w:rPr>
              <w:t>GB/T 17986.1</w:t>
            </w:r>
          </w:p>
        </w:tc>
        <w:tc>
          <w:tcPr>
            <w:tcW w:w="1290" w:type="dxa"/>
            <w:vAlign w:val="center"/>
          </w:tcPr>
          <w:p>
            <w:pPr>
              <w:widowControl/>
              <w:spacing w:line="400" w:lineRule="exact"/>
              <w:jc w:val="center"/>
              <w:textAlignment w:val="center"/>
              <w:rPr>
                <w:sz w:val="22"/>
                <w:szCs w:val="22"/>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sz w:val="22"/>
                <w:szCs w:val="22"/>
              </w:rPr>
            </w:pPr>
            <w:r>
              <w:rPr>
                <w:color w:val="000000"/>
                <w:kern w:val="0"/>
                <w:sz w:val="22"/>
                <w:szCs w:val="22"/>
                <w:lang w:bidi="ar"/>
              </w:rPr>
              <w:t>6</w:t>
            </w:r>
          </w:p>
        </w:tc>
        <w:tc>
          <w:tcPr>
            <w:tcW w:w="5855" w:type="dxa"/>
            <w:vAlign w:val="center"/>
          </w:tcPr>
          <w:p>
            <w:pPr>
              <w:widowControl/>
              <w:spacing w:line="400" w:lineRule="exact"/>
              <w:jc w:val="center"/>
              <w:textAlignment w:val="center"/>
              <w:rPr>
                <w:sz w:val="22"/>
                <w:szCs w:val="22"/>
              </w:rPr>
            </w:pPr>
            <w:r>
              <w:rPr>
                <w:color w:val="000000"/>
                <w:kern w:val="0"/>
                <w:sz w:val="22"/>
                <w:szCs w:val="22"/>
                <w:lang w:bidi="ar"/>
              </w:rPr>
              <w:t>房产测量规范（第2单元：房产图图式）</w:t>
            </w:r>
          </w:p>
        </w:tc>
        <w:tc>
          <w:tcPr>
            <w:tcW w:w="1740" w:type="dxa"/>
            <w:vAlign w:val="center"/>
          </w:tcPr>
          <w:p>
            <w:pPr>
              <w:widowControl/>
              <w:spacing w:line="400" w:lineRule="exact"/>
              <w:jc w:val="center"/>
              <w:textAlignment w:val="center"/>
              <w:rPr>
                <w:sz w:val="22"/>
                <w:szCs w:val="22"/>
              </w:rPr>
            </w:pPr>
            <w:r>
              <w:rPr>
                <w:color w:val="000000"/>
                <w:kern w:val="0"/>
                <w:sz w:val="22"/>
                <w:szCs w:val="22"/>
                <w:lang w:bidi="ar"/>
              </w:rPr>
              <w:t>GB/T 17986.2</w:t>
            </w:r>
          </w:p>
        </w:tc>
        <w:tc>
          <w:tcPr>
            <w:tcW w:w="1290" w:type="dxa"/>
            <w:vAlign w:val="center"/>
          </w:tcPr>
          <w:p>
            <w:pPr>
              <w:widowControl/>
              <w:spacing w:line="400" w:lineRule="exact"/>
              <w:jc w:val="center"/>
              <w:textAlignment w:val="center"/>
              <w:rPr>
                <w:sz w:val="22"/>
                <w:szCs w:val="22"/>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sz w:val="22"/>
                <w:szCs w:val="22"/>
              </w:rPr>
            </w:pPr>
            <w:r>
              <w:rPr>
                <w:color w:val="000000"/>
                <w:kern w:val="0"/>
                <w:sz w:val="22"/>
                <w:szCs w:val="22"/>
                <w:lang w:bidi="ar"/>
              </w:rPr>
              <w:t>7</w:t>
            </w:r>
          </w:p>
        </w:tc>
        <w:tc>
          <w:tcPr>
            <w:tcW w:w="5855" w:type="dxa"/>
            <w:vAlign w:val="center"/>
          </w:tcPr>
          <w:p>
            <w:pPr>
              <w:widowControl/>
              <w:spacing w:line="400" w:lineRule="exact"/>
              <w:jc w:val="center"/>
              <w:textAlignment w:val="center"/>
              <w:rPr>
                <w:sz w:val="22"/>
                <w:szCs w:val="22"/>
              </w:rPr>
            </w:pPr>
            <w:r>
              <w:rPr>
                <w:color w:val="323232"/>
                <w:kern w:val="0"/>
                <w:sz w:val="22"/>
                <w:szCs w:val="22"/>
                <w:lang w:bidi="ar"/>
              </w:rPr>
              <w:t>建筑工程建筑面积计算规范</w:t>
            </w:r>
          </w:p>
        </w:tc>
        <w:tc>
          <w:tcPr>
            <w:tcW w:w="1740" w:type="dxa"/>
            <w:vAlign w:val="center"/>
          </w:tcPr>
          <w:p>
            <w:pPr>
              <w:widowControl/>
              <w:spacing w:line="400" w:lineRule="exact"/>
              <w:jc w:val="center"/>
              <w:textAlignment w:val="center"/>
              <w:rPr>
                <w:sz w:val="22"/>
                <w:szCs w:val="22"/>
              </w:rPr>
            </w:pPr>
            <w:r>
              <w:rPr>
                <w:color w:val="323232"/>
                <w:kern w:val="0"/>
                <w:sz w:val="22"/>
                <w:szCs w:val="22"/>
                <w:lang w:bidi="ar"/>
              </w:rPr>
              <w:t>GB/T 50353</w:t>
            </w:r>
          </w:p>
        </w:tc>
        <w:tc>
          <w:tcPr>
            <w:tcW w:w="1290" w:type="dxa"/>
            <w:vAlign w:val="center"/>
          </w:tcPr>
          <w:p>
            <w:pPr>
              <w:widowControl/>
              <w:spacing w:line="400" w:lineRule="exact"/>
              <w:jc w:val="center"/>
              <w:textAlignment w:val="center"/>
              <w:rPr>
                <w:sz w:val="22"/>
                <w:szCs w:val="22"/>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sz w:val="22"/>
                <w:szCs w:val="22"/>
              </w:rPr>
            </w:pPr>
            <w:r>
              <w:rPr>
                <w:color w:val="000000"/>
                <w:kern w:val="0"/>
                <w:sz w:val="22"/>
                <w:szCs w:val="22"/>
                <w:lang w:bidi="ar"/>
              </w:rPr>
              <w:t>8</w:t>
            </w:r>
          </w:p>
        </w:tc>
        <w:tc>
          <w:tcPr>
            <w:tcW w:w="5855" w:type="dxa"/>
            <w:vAlign w:val="center"/>
          </w:tcPr>
          <w:p>
            <w:pPr>
              <w:widowControl/>
              <w:spacing w:line="400" w:lineRule="exact"/>
              <w:jc w:val="center"/>
              <w:textAlignment w:val="center"/>
              <w:rPr>
                <w:sz w:val="22"/>
                <w:szCs w:val="22"/>
              </w:rPr>
            </w:pPr>
            <w:r>
              <w:rPr>
                <w:color w:val="000000"/>
                <w:kern w:val="0"/>
                <w:sz w:val="22"/>
                <w:szCs w:val="22"/>
                <w:lang w:bidi="ar"/>
              </w:rPr>
              <w:t>城市测量规范</w:t>
            </w:r>
          </w:p>
        </w:tc>
        <w:tc>
          <w:tcPr>
            <w:tcW w:w="1740" w:type="dxa"/>
            <w:vAlign w:val="center"/>
          </w:tcPr>
          <w:p>
            <w:pPr>
              <w:widowControl/>
              <w:spacing w:line="400" w:lineRule="exact"/>
              <w:jc w:val="center"/>
              <w:textAlignment w:val="center"/>
              <w:rPr>
                <w:sz w:val="22"/>
                <w:szCs w:val="22"/>
              </w:rPr>
            </w:pPr>
            <w:r>
              <w:rPr>
                <w:color w:val="000000"/>
                <w:kern w:val="0"/>
                <w:sz w:val="22"/>
                <w:szCs w:val="22"/>
                <w:lang w:bidi="ar"/>
              </w:rPr>
              <w:t>CJJ/T 8</w:t>
            </w:r>
          </w:p>
        </w:tc>
        <w:tc>
          <w:tcPr>
            <w:tcW w:w="1290" w:type="dxa"/>
            <w:vAlign w:val="center"/>
          </w:tcPr>
          <w:p>
            <w:pPr>
              <w:widowControl/>
              <w:spacing w:line="400" w:lineRule="exact"/>
              <w:jc w:val="center"/>
              <w:textAlignment w:val="center"/>
              <w:rPr>
                <w:sz w:val="22"/>
                <w:szCs w:val="22"/>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9</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城市地下管线探测技术规程</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CJJ 61</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10</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卫星定位城市测量技术规范</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CJJ/T 73</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11</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地籍调查规程</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TD/T 1001</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12</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测绘技术总结编写规程</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CH/T 1001</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13</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测绘技术设计规定</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CH/T 1004</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14</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全球定位系统（GPS）测量规范</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GB/T 18314</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15</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测绘成果质量检验报告编写基本规定</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CH/Z 1001</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16</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建筑设计防火规范</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GB 50016</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17</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建筑防排烟系统技术标准</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GB 51251</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18</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高层民用建筑设计防火规范</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GB 50045</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19</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人民防空地下室设计规范</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GB 50038</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20</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人民防空工程设计规范</w:t>
            </w:r>
          </w:p>
        </w:tc>
        <w:tc>
          <w:tcPr>
            <w:tcW w:w="174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GB 50225</w:t>
            </w: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国家标准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21</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东莞市建设工程规划条件核实测量技术规程</w:t>
            </w:r>
          </w:p>
        </w:tc>
        <w:tc>
          <w:tcPr>
            <w:tcW w:w="1740" w:type="dxa"/>
            <w:vAlign w:val="center"/>
          </w:tcPr>
          <w:p>
            <w:pPr>
              <w:spacing w:line="400" w:lineRule="exact"/>
              <w:jc w:val="center"/>
              <w:rPr>
                <w:color w:val="000000"/>
                <w:kern w:val="0"/>
                <w:sz w:val="22"/>
                <w:szCs w:val="22"/>
                <w:lang w:bidi="ar"/>
              </w:rPr>
            </w:pP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地方标准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22</w:t>
            </w:r>
          </w:p>
        </w:tc>
        <w:tc>
          <w:tcPr>
            <w:tcW w:w="5855"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东莞市建设项目规划指标计算细则</w:t>
            </w:r>
          </w:p>
        </w:tc>
        <w:tc>
          <w:tcPr>
            <w:tcW w:w="1740" w:type="dxa"/>
            <w:vAlign w:val="center"/>
          </w:tcPr>
          <w:p>
            <w:pPr>
              <w:spacing w:line="400" w:lineRule="exact"/>
              <w:jc w:val="center"/>
              <w:rPr>
                <w:color w:val="000000"/>
                <w:kern w:val="0"/>
                <w:sz w:val="22"/>
                <w:szCs w:val="22"/>
                <w:lang w:bidi="ar"/>
              </w:rPr>
            </w:pPr>
          </w:p>
        </w:tc>
        <w:tc>
          <w:tcPr>
            <w:tcW w:w="1290" w:type="dxa"/>
            <w:vAlign w:val="center"/>
          </w:tcPr>
          <w:p>
            <w:pPr>
              <w:widowControl/>
              <w:spacing w:line="400" w:lineRule="exact"/>
              <w:jc w:val="center"/>
              <w:textAlignment w:val="center"/>
              <w:rPr>
                <w:color w:val="000000"/>
                <w:kern w:val="0"/>
                <w:sz w:val="22"/>
                <w:szCs w:val="22"/>
                <w:lang w:bidi="ar"/>
              </w:rPr>
            </w:pPr>
            <w:r>
              <w:rPr>
                <w:color w:val="000000"/>
                <w:kern w:val="0"/>
                <w:sz w:val="22"/>
                <w:szCs w:val="22"/>
                <w:lang w:bidi="ar"/>
              </w:rPr>
              <w:t>地方标准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750" w:type="dxa"/>
          </w:tcPr>
          <w:p>
            <w:pPr>
              <w:widowControl/>
              <w:spacing w:line="400" w:lineRule="exact"/>
              <w:jc w:val="center"/>
              <w:textAlignment w:val="center"/>
              <w:rPr>
                <w:color w:val="000000"/>
                <w:kern w:val="0"/>
                <w:sz w:val="22"/>
                <w:szCs w:val="22"/>
                <w:lang w:bidi="ar"/>
              </w:rPr>
            </w:pPr>
            <w:r>
              <w:rPr>
                <w:rFonts w:hint="eastAsia" w:ascii="宋体" w:hAnsi="宋体" w:cs="宋体"/>
                <w:kern w:val="0"/>
                <w:szCs w:val="21"/>
                <w:lang w:bidi="ar"/>
              </w:rPr>
              <w:t>23</w:t>
            </w:r>
          </w:p>
        </w:tc>
        <w:tc>
          <w:tcPr>
            <w:tcW w:w="5855" w:type="dxa"/>
          </w:tcPr>
          <w:p>
            <w:pPr>
              <w:widowControl/>
              <w:spacing w:line="400" w:lineRule="exact"/>
              <w:jc w:val="center"/>
              <w:textAlignment w:val="center"/>
              <w:rPr>
                <w:color w:val="000000"/>
                <w:kern w:val="0"/>
                <w:sz w:val="22"/>
                <w:szCs w:val="22"/>
                <w:lang w:bidi="ar"/>
              </w:rPr>
            </w:pPr>
            <w:r>
              <w:rPr>
                <w:rFonts w:hint="eastAsia" w:ascii="宋体" w:hAnsi="宋体" w:cs="宋体"/>
                <w:szCs w:val="21"/>
              </w:rPr>
              <w:t>东莞市工程建设项目“多测合一”实施配套制度文件（试行）</w:t>
            </w:r>
          </w:p>
        </w:tc>
        <w:tc>
          <w:tcPr>
            <w:tcW w:w="1740" w:type="dxa"/>
          </w:tcPr>
          <w:p>
            <w:pPr>
              <w:spacing w:line="400" w:lineRule="exact"/>
              <w:jc w:val="center"/>
              <w:rPr>
                <w:color w:val="000000"/>
                <w:kern w:val="0"/>
                <w:sz w:val="22"/>
                <w:szCs w:val="22"/>
                <w:lang w:bidi="ar"/>
              </w:rPr>
            </w:pPr>
          </w:p>
        </w:tc>
        <w:tc>
          <w:tcPr>
            <w:tcW w:w="1290" w:type="dxa"/>
          </w:tcPr>
          <w:p>
            <w:pPr>
              <w:widowControl/>
              <w:spacing w:line="400" w:lineRule="exact"/>
              <w:jc w:val="center"/>
              <w:textAlignment w:val="center"/>
              <w:rPr>
                <w:color w:val="000000"/>
                <w:kern w:val="0"/>
                <w:sz w:val="22"/>
                <w:szCs w:val="22"/>
                <w:lang w:bidi="ar"/>
              </w:rPr>
            </w:pPr>
            <w:r>
              <w:rPr>
                <w:rFonts w:hint="eastAsia" w:ascii="宋体" w:hAnsi="宋体" w:cs="宋体"/>
                <w:kern w:val="0"/>
                <w:szCs w:val="21"/>
                <w:lang w:bidi="ar"/>
              </w:rPr>
              <w:t>地方标准</w:t>
            </w:r>
          </w:p>
        </w:tc>
      </w:tr>
    </w:tbl>
    <w:p>
      <w:pPr>
        <w:spacing w:line="400" w:lineRule="exact"/>
        <w:rPr>
          <w:rFonts w:ascii="宋体" w:hAnsi="宋体" w:cs="宋体"/>
          <w:b/>
          <w:bCs/>
          <w:szCs w:val="21"/>
        </w:rPr>
      </w:pPr>
      <w:r>
        <w:rPr>
          <w:rFonts w:hint="eastAsia" w:ascii="宋体" w:hAnsi="宋体" w:cs="宋体"/>
          <w:b/>
          <w:bCs/>
          <w:szCs w:val="21"/>
        </w:rPr>
        <w:t>注：项目实施过程中，上述标准有更新的，执行最新标准。</w:t>
      </w:r>
    </w:p>
    <w:p>
      <w:pPr>
        <w:spacing w:line="400" w:lineRule="exact"/>
        <w:jc w:val="left"/>
        <w:rPr>
          <w:rFonts w:ascii="宋体" w:hAnsi="宋体" w:cs="宋体"/>
          <w:b/>
          <w:bCs/>
          <w:sz w:val="22"/>
          <w:szCs w:val="22"/>
        </w:rPr>
      </w:pPr>
    </w:p>
    <w:p>
      <w:pPr>
        <w:numPr>
          <w:ilvl w:val="0"/>
          <w:numId w:val="5"/>
        </w:numPr>
        <w:spacing w:line="400" w:lineRule="exact"/>
        <w:jc w:val="left"/>
        <w:rPr>
          <w:rFonts w:ascii="宋体" w:hAnsi="宋体" w:cs="宋体"/>
          <w:b/>
          <w:bCs/>
          <w:sz w:val="22"/>
          <w:szCs w:val="22"/>
        </w:rPr>
      </w:pPr>
      <w:r>
        <w:rPr>
          <w:rFonts w:hint="eastAsia" w:ascii="宋体" w:hAnsi="宋体" w:cs="宋体"/>
          <w:b/>
          <w:bCs/>
          <w:sz w:val="22"/>
          <w:szCs w:val="22"/>
        </w:rPr>
        <w:t>测量费</w:t>
      </w:r>
    </w:p>
    <w:p>
      <w:pPr>
        <w:pStyle w:val="29"/>
        <w:numPr>
          <w:ilvl w:val="255"/>
          <w:numId w:val="0"/>
        </w:numPr>
        <w:jc w:val="center"/>
      </w:pPr>
      <w:r>
        <w:rPr>
          <w:rFonts w:hint="eastAsia"/>
          <w:lang w:val="en-US" w:eastAsia="zh-CN"/>
        </w:rPr>
        <w:t>多测合一服务</w:t>
      </w:r>
      <w:r>
        <w:rPr>
          <w:rFonts w:hint="eastAsia"/>
        </w:rPr>
        <w:t>清单</w:t>
      </w:r>
    </w:p>
    <w:p>
      <w:pPr>
        <w:pStyle w:val="29"/>
        <w:numPr>
          <w:ilvl w:val="255"/>
          <w:numId w:val="0"/>
        </w:numPr>
        <w:jc w:val="center"/>
        <w:rPr>
          <w:rFonts w:hint="eastAsia"/>
          <w:lang w:val="en-US" w:eastAsia="zh-CN"/>
        </w:rPr>
      </w:pPr>
    </w:p>
    <w:tbl>
      <w:tblPr>
        <w:tblStyle w:val="23"/>
        <w:tblpPr w:leftFromText="180" w:rightFromText="180" w:vertAnchor="text" w:horzAnchor="page" w:tblpX="1356" w:tblpY="-43"/>
        <w:tblOverlap w:val="never"/>
        <w:tblW w:w="92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4"/>
        <w:gridCol w:w="2380"/>
        <w:gridCol w:w="1134"/>
        <w:gridCol w:w="696"/>
        <w:gridCol w:w="1130"/>
        <w:gridCol w:w="1165"/>
        <w:gridCol w:w="18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jc w:val="center"/>
        </w:trPr>
        <w:tc>
          <w:tcPr>
            <w:tcW w:w="844" w:type="dxa"/>
            <w:tcBorders>
              <w:top w:val="single" w:color="auto" w:sz="12" w:space="0"/>
              <w:left w:val="single" w:color="auto" w:sz="12" w:space="0"/>
              <w:bottom w:val="nil"/>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序号</w:t>
            </w:r>
          </w:p>
        </w:tc>
        <w:tc>
          <w:tcPr>
            <w:tcW w:w="2380"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项目名称</w:t>
            </w:r>
          </w:p>
        </w:tc>
        <w:tc>
          <w:tcPr>
            <w:tcW w:w="1134"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工作量</w:t>
            </w:r>
          </w:p>
        </w:tc>
        <w:tc>
          <w:tcPr>
            <w:tcW w:w="696"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单位</w:t>
            </w:r>
          </w:p>
        </w:tc>
        <w:tc>
          <w:tcPr>
            <w:tcW w:w="1130"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eastAsia"/>
                <w:b/>
                <w:color w:val="000000"/>
                <w:kern w:val="0"/>
                <w:sz w:val="22"/>
                <w:szCs w:val="22"/>
                <w:lang w:val="en-US" w:eastAsia="zh-CN" w:bidi="ar"/>
              </w:rPr>
              <w:t>含税</w:t>
            </w:r>
            <w:r>
              <w:rPr>
                <w:rFonts w:hint="default" w:ascii="Times New Roman" w:hAnsi="Times New Roman" w:eastAsia="宋体"/>
                <w:b/>
                <w:color w:val="000000"/>
                <w:kern w:val="0"/>
                <w:sz w:val="22"/>
                <w:szCs w:val="22"/>
                <w:lang w:bidi="ar"/>
              </w:rPr>
              <w:t>单价（元）</w:t>
            </w:r>
          </w:p>
        </w:tc>
        <w:tc>
          <w:tcPr>
            <w:tcW w:w="1165"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含税合计（元）</w:t>
            </w:r>
          </w:p>
        </w:tc>
        <w:tc>
          <w:tcPr>
            <w:tcW w:w="1887" w:type="dxa"/>
            <w:tcBorders>
              <w:top w:val="single" w:color="auto" w:sz="12" w:space="0"/>
              <w:left w:val="single" w:color="auto" w:sz="6" w:space="0"/>
              <w:bottom w:val="nil"/>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一</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测图（办理用地、规划许可阶段）</w:t>
            </w:r>
          </w:p>
        </w:tc>
        <w:tc>
          <w:tcPr>
            <w:tcW w:w="1134" w:type="dxa"/>
            <w:tcBorders>
              <w:top w:val="single" w:color="auto" w:sz="6" w:space="0"/>
              <w:left w:val="nil"/>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696"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1.1</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地形图测绘（1:500比例尺）</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0.01</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km²</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1.2</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小计：（1.1）</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二</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规划条件核实测量</w:t>
            </w:r>
          </w:p>
        </w:tc>
        <w:tc>
          <w:tcPr>
            <w:tcW w:w="1134" w:type="dxa"/>
            <w:tcBorders>
              <w:top w:val="single" w:color="auto" w:sz="6" w:space="0"/>
              <w:left w:val="nil"/>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696"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2.1</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竣工验收测图</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1</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副</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2.2</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验测平面位置（间距、退让）</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4</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边</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2.3</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验测高程、高度</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2</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栋</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(含地下室，最终以出工程证数量为准）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2.4</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规划建筑面积测量</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61806.88</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2.5</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小计：（2.1+2.2+2.3+2.4）</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三</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不动产测量</w:t>
            </w:r>
          </w:p>
        </w:tc>
        <w:tc>
          <w:tcPr>
            <w:tcW w:w="1134" w:type="dxa"/>
            <w:tcBorders>
              <w:top w:val="single" w:color="auto" w:sz="6" w:space="0"/>
              <w:left w:val="nil"/>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696"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3.1</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房产面积测量</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61806.88</w:t>
            </w: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r>
              <w:rPr>
                <w:rFonts w:hint="default" w:ascii="Times New Roman" w:hAnsi="Times New Roman"/>
                <w:b/>
                <w:color w:val="000000"/>
                <w:kern w:val="0"/>
                <w:sz w:val="22"/>
                <w:szCs w:val="22"/>
                <w:lang w:bidi="ar"/>
              </w:rPr>
              <w:t>3.3</w:t>
            </w:r>
          </w:p>
        </w:tc>
        <w:tc>
          <w:tcPr>
            <w:tcW w:w="2380" w:type="dxa"/>
            <w:tcBorders>
              <w:top w:val="single" w:color="auto" w:sz="6" w:space="0"/>
              <w:left w:val="single" w:color="auto" w:sz="6" w:space="0"/>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小计：（3.1）</w:t>
            </w:r>
          </w:p>
        </w:tc>
        <w:tc>
          <w:tcPr>
            <w:tcW w:w="1134" w:type="dxa"/>
            <w:tcBorders>
              <w:top w:val="single" w:color="auto" w:sz="6" w:space="0"/>
              <w:left w:val="nil"/>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696" w:type="dxa"/>
            <w:tcBorders>
              <w:top w:val="single" w:color="auto" w:sz="6" w:space="0"/>
              <w:left w:val="nil"/>
              <w:bottom w:val="single" w:color="auto" w:sz="6" w:space="0"/>
              <w:right w:val="nil"/>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30" w:type="dxa"/>
            <w:tcBorders>
              <w:top w:val="single" w:color="auto" w:sz="6" w:space="0"/>
              <w:left w:val="nil"/>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844" w:type="dxa"/>
            <w:tcBorders>
              <w:top w:val="single" w:color="auto" w:sz="6" w:space="0"/>
              <w:left w:val="single" w:color="auto" w:sz="12"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四</w:t>
            </w:r>
          </w:p>
        </w:tc>
        <w:tc>
          <w:tcPr>
            <w:tcW w:w="238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汇总合计：1.2+2.5+3.3</w:t>
            </w:r>
          </w:p>
        </w:tc>
        <w:tc>
          <w:tcPr>
            <w:tcW w:w="113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69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65"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844" w:type="dxa"/>
            <w:tcBorders>
              <w:top w:val="single" w:color="auto" w:sz="6" w:space="0"/>
              <w:left w:val="single" w:color="auto" w:sz="12" w:space="0"/>
              <w:bottom w:val="single" w:color="auto" w:sz="12"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r>
              <w:rPr>
                <w:rFonts w:hint="default" w:ascii="Times New Roman" w:hAnsi="Times New Roman" w:eastAsia="宋体"/>
                <w:b/>
                <w:color w:val="000000"/>
                <w:kern w:val="0"/>
                <w:sz w:val="22"/>
                <w:szCs w:val="22"/>
                <w:lang w:bidi="ar"/>
              </w:rPr>
              <w:t>五</w:t>
            </w:r>
          </w:p>
        </w:tc>
        <w:tc>
          <w:tcPr>
            <w:tcW w:w="2380"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val="en-US" w:eastAsia="zh-CN" w:bidi="ar"/>
              </w:rPr>
            </w:pPr>
            <w:r>
              <w:rPr>
                <w:rFonts w:hint="default" w:ascii="Times New Roman" w:hAnsi="Times New Roman" w:eastAsia="宋体"/>
                <w:b/>
                <w:color w:val="000000"/>
                <w:kern w:val="0"/>
                <w:sz w:val="22"/>
                <w:szCs w:val="22"/>
                <w:lang w:val="en-US" w:eastAsia="zh-CN" w:bidi="ar"/>
              </w:rPr>
              <w:t>税率</w:t>
            </w:r>
          </w:p>
        </w:tc>
        <w:tc>
          <w:tcPr>
            <w:tcW w:w="1134"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696"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30"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eastAsia="宋体"/>
                <w:b/>
                <w:color w:val="000000"/>
                <w:kern w:val="0"/>
                <w:sz w:val="22"/>
                <w:szCs w:val="22"/>
                <w:lang w:bidi="ar"/>
              </w:rPr>
            </w:pPr>
          </w:p>
        </w:tc>
        <w:tc>
          <w:tcPr>
            <w:tcW w:w="1165"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c>
          <w:tcPr>
            <w:tcW w:w="1887" w:type="dxa"/>
            <w:tcBorders>
              <w:top w:val="single" w:color="auto" w:sz="6" w:space="0"/>
              <w:left w:val="single" w:color="auto" w:sz="6" w:space="0"/>
              <w:bottom w:val="single" w:color="auto" w:sz="12" w:space="0"/>
              <w:right w:val="single" w:color="auto" w:sz="6" w:space="0"/>
              <w:tl2br w:val="nil"/>
              <w:tr2bl w:val="nil"/>
            </w:tcBorders>
            <w:shd w:val="clear" w:color="auto" w:fill="auto"/>
            <w:noWrap w:val="0"/>
            <w:vAlign w:val="center"/>
          </w:tcPr>
          <w:p>
            <w:pPr>
              <w:widowControl/>
              <w:spacing w:beforeLines="-2147483648" w:afterLines="-2147483648" w:line="400" w:lineRule="exact"/>
              <w:jc w:val="center"/>
              <w:textAlignment w:val="center"/>
              <w:rPr>
                <w:rFonts w:hint="default" w:ascii="Times New Roman" w:hAnsi="Times New Roman"/>
                <w:b/>
                <w:color w:val="000000"/>
                <w:kern w:val="0"/>
                <w:sz w:val="22"/>
                <w:szCs w:val="22"/>
                <w:lang w:bidi="ar"/>
              </w:rPr>
            </w:pPr>
          </w:p>
        </w:tc>
      </w:tr>
    </w:tbl>
    <w:p>
      <w:pPr>
        <w:spacing w:line="400" w:lineRule="exact"/>
        <w:ind w:firstLine="440" w:firstLineChars="200"/>
        <w:jc w:val="left"/>
        <w:rPr>
          <w:rFonts w:hint="default" w:eastAsia="宋体"/>
          <w:lang w:val="en-US" w:eastAsia="zh-CN"/>
        </w:rPr>
      </w:pPr>
      <w:bookmarkStart w:id="14" w:name="OLE_LINK1"/>
      <w:bookmarkStart w:id="15" w:name="OLE_LINK2"/>
      <w:r>
        <w:rPr>
          <w:rFonts w:hint="eastAsia" w:ascii="宋体" w:hAnsi="宋体" w:cs="宋体"/>
          <w:color w:val="auto"/>
          <w:sz w:val="22"/>
          <w:szCs w:val="22"/>
        </w:rPr>
        <w:t>本</w:t>
      </w:r>
      <w:bookmarkEnd w:id="14"/>
      <w:bookmarkEnd w:id="15"/>
      <w:r>
        <w:rPr>
          <w:rFonts w:hint="eastAsia" w:ascii="宋体" w:hAnsi="宋体" w:cs="宋体"/>
          <w:color w:val="auto"/>
          <w:sz w:val="22"/>
          <w:szCs w:val="22"/>
        </w:rPr>
        <w:t>合同总价款(含税) 为￥       元(大写:人民币        )，其中:增值税率为     %，税金金额￥       元，不含税合同总价款为￥       元（详见下表）。本合同</w:t>
      </w:r>
      <w:r>
        <w:rPr>
          <w:rFonts w:hint="eastAsia" w:ascii="宋体" w:hAnsi="宋体" w:cs="宋体"/>
          <w:color w:val="auto"/>
          <w:sz w:val="22"/>
          <w:szCs w:val="22"/>
          <w:lang w:val="en-US" w:eastAsia="zh-CN"/>
        </w:rPr>
        <w:t>最终结算金额按以下方式确定：如据实计算金额低于合同总价的按该据实计算金额结算，如据实计算</w:t>
      </w:r>
      <w:r>
        <w:rPr>
          <w:rFonts w:hint="eastAsia"/>
          <w:lang w:val="en-US" w:eastAsia="zh-CN"/>
        </w:rPr>
        <w:t>金额高于合同总价的则按合同总价结算。</w:t>
      </w:r>
    </w:p>
    <w:p>
      <w:pPr>
        <w:spacing w:line="400" w:lineRule="exact"/>
      </w:pPr>
    </w:p>
    <w:p>
      <w:pPr>
        <w:spacing w:line="400" w:lineRule="exact"/>
        <w:rPr>
          <w:rFonts w:ascii="宋体" w:hAnsi="宋体" w:cs="宋体"/>
          <w:b/>
          <w:bCs/>
          <w:sz w:val="22"/>
          <w:szCs w:val="22"/>
        </w:rPr>
      </w:pPr>
      <w:r>
        <w:rPr>
          <w:rFonts w:hint="eastAsia" w:ascii="宋体" w:hAnsi="宋体" w:cs="宋体"/>
          <w:b/>
          <w:bCs/>
          <w:sz w:val="22"/>
          <w:szCs w:val="22"/>
        </w:rPr>
        <w:t xml:space="preserve">第五条 甲方的义务 </w:t>
      </w:r>
    </w:p>
    <w:p>
      <w:pPr>
        <w:spacing w:line="400" w:lineRule="exact"/>
        <w:ind w:firstLine="440" w:firstLineChars="200"/>
        <w:rPr>
          <w:sz w:val="22"/>
          <w:szCs w:val="22"/>
        </w:rPr>
      </w:pPr>
      <w:r>
        <w:rPr>
          <w:rFonts w:hint="eastAsia"/>
          <w:sz w:val="22"/>
          <w:szCs w:val="22"/>
        </w:rPr>
        <w:t>5.1甲方自收到材料清单之日</w:t>
      </w:r>
      <w:r>
        <w:rPr>
          <w:sz w:val="22"/>
          <w:szCs w:val="22"/>
        </w:rPr>
        <w:t>起</w:t>
      </w:r>
      <w:r>
        <w:rPr>
          <w:sz w:val="22"/>
          <w:szCs w:val="22"/>
          <w:u w:val="single"/>
        </w:rPr>
        <w:t xml:space="preserve"> </w:t>
      </w:r>
      <w:r>
        <w:rPr>
          <w:rFonts w:hint="eastAsia"/>
          <w:sz w:val="22"/>
          <w:szCs w:val="22"/>
          <w:u w:val="single"/>
        </w:rPr>
        <w:t xml:space="preserve">  5</w:t>
      </w:r>
      <w:r>
        <w:rPr>
          <w:sz w:val="22"/>
          <w:szCs w:val="22"/>
          <w:u w:val="single"/>
        </w:rPr>
        <w:t xml:space="preserve"> </w:t>
      </w:r>
      <w:r>
        <w:rPr>
          <w:rFonts w:hint="eastAsia"/>
          <w:sz w:val="22"/>
          <w:szCs w:val="22"/>
          <w:u w:val="single"/>
        </w:rPr>
        <w:t xml:space="preserve"> </w:t>
      </w:r>
      <w:r>
        <w:rPr>
          <w:sz w:val="22"/>
          <w:szCs w:val="22"/>
        </w:rPr>
        <w:t>日内向乙方提交有关资料。</w:t>
      </w:r>
      <w:r>
        <w:rPr>
          <w:rFonts w:hint="eastAsia"/>
          <w:sz w:val="22"/>
          <w:szCs w:val="22"/>
        </w:rPr>
        <w:t xml:space="preserve">甲方按照该清单提交完毕资料后即视为甲方已提供全部所需要资料。 </w:t>
      </w:r>
      <w:r>
        <w:rPr>
          <w:sz w:val="22"/>
          <w:szCs w:val="22"/>
        </w:rPr>
        <w:t xml:space="preserve"> </w:t>
      </w:r>
    </w:p>
    <w:p>
      <w:pPr>
        <w:spacing w:line="400" w:lineRule="exact"/>
        <w:ind w:firstLine="440" w:firstLineChars="200"/>
        <w:rPr>
          <w:sz w:val="22"/>
          <w:szCs w:val="22"/>
        </w:rPr>
      </w:pPr>
      <w:r>
        <w:rPr>
          <w:rFonts w:hint="eastAsia"/>
          <w:sz w:val="22"/>
          <w:szCs w:val="22"/>
        </w:rPr>
        <w:t>5.2</w:t>
      </w:r>
      <w:r>
        <w:rPr>
          <w:sz w:val="22"/>
          <w:szCs w:val="22"/>
        </w:rPr>
        <w:t>自接到乙方编制的技术设计书之日起</w:t>
      </w:r>
      <w:r>
        <w:rPr>
          <w:rFonts w:hint="eastAsia"/>
          <w:sz w:val="22"/>
          <w:szCs w:val="22"/>
        </w:rPr>
        <w:t>及时</w:t>
      </w:r>
      <w:r>
        <w:rPr>
          <w:sz w:val="22"/>
          <w:szCs w:val="22"/>
        </w:rPr>
        <w:t xml:space="preserve">完成技术设计书的审定工作， 并提出书面审定意见。 </w:t>
      </w:r>
    </w:p>
    <w:p>
      <w:pPr>
        <w:spacing w:line="400" w:lineRule="exact"/>
        <w:rPr>
          <w:rFonts w:ascii="宋体" w:hAnsi="宋体" w:cs="宋体"/>
          <w:sz w:val="22"/>
          <w:szCs w:val="22"/>
        </w:rPr>
      </w:pPr>
    </w:p>
    <w:p>
      <w:pPr>
        <w:spacing w:line="400" w:lineRule="exact"/>
        <w:rPr>
          <w:rFonts w:ascii="宋体" w:hAnsi="宋体" w:cs="宋体"/>
          <w:b/>
          <w:bCs/>
          <w:sz w:val="22"/>
          <w:szCs w:val="22"/>
        </w:rPr>
      </w:pPr>
      <w:r>
        <w:rPr>
          <w:rFonts w:hint="eastAsia" w:ascii="宋体" w:hAnsi="宋体" w:cs="宋体"/>
          <w:b/>
          <w:bCs/>
          <w:sz w:val="22"/>
          <w:szCs w:val="22"/>
        </w:rPr>
        <w:t xml:space="preserve">第六条 乙方的义务 </w:t>
      </w:r>
    </w:p>
    <w:p>
      <w:pPr>
        <w:spacing w:line="400" w:lineRule="exact"/>
        <w:ind w:firstLine="440" w:firstLineChars="200"/>
        <w:rPr>
          <w:sz w:val="22"/>
          <w:szCs w:val="22"/>
        </w:rPr>
      </w:pPr>
      <w:r>
        <w:rPr>
          <w:rFonts w:hint="eastAsia"/>
          <w:sz w:val="22"/>
          <w:szCs w:val="22"/>
        </w:rPr>
        <w:t>6.1乙方应当于合同签订之日一次性向甲方提交所需材料清单，并充分向甲方解释说明资料要求，甲方、丙方按照该清单提交完毕资料后即视为甲方已提供全部所需要资料。如果在项目过程中需要补充资料，甲方、丙方亦应及时提供，但乙方不得以补充材料为由延迟工作期限。</w:t>
      </w:r>
    </w:p>
    <w:p>
      <w:pPr>
        <w:spacing w:line="400" w:lineRule="exact"/>
        <w:ind w:firstLine="440" w:firstLineChars="200"/>
        <w:rPr>
          <w:sz w:val="22"/>
          <w:szCs w:val="22"/>
        </w:rPr>
      </w:pPr>
      <w:r>
        <w:rPr>
          <w:rFonts w:hint="eastAsia"/>
          <w:sz w:val="22"/>
          <w:szCs w:val="22"/>
        </w:rPr>
        <w:t>6.2</w:t>
      </w:r>
      <w:r>
        <w:rPr>
          <w:sz w:val="22"/>
          <w:szCs w:val="22"/>
        </w:rPr>
        <w:t>自收到甲方的有关材料之日起</w:t>
      </w:r>
      <w:r>
        <w:rPr>
          <w:sz w:val="22"/>
          <w:szCs w:val="22"/>
          <w:u w:val="single"/>
        </w:rPr>
        <w:t xml:space="preserve"> 5 </w:t>
      </w:r>
      <w:r>
        <w:rPr>
          <w:sz w:val="22"/>
          <w:szCs w:val="22"/>
        </w:rPr>
        <w:t xml:space="preserve">日内，根据甲方的有关资料和本合同的技术要求完成技术设计书的编制，并交甲方审定。 </w:t>
      </w:r>
    </w:p>
    <w:p>
      <w:pPr>
        <w:spacing w:line="400" w:lineRule="exact"/>
        <w:ind w:firstLine="440" w:firstLineChars="200"/>
        <w:rPr>
          <w:sz w:val="22"/>
          <w:szCs w:val="22"/>
        </w:rPr>
      </w:pPr>
      <w:r>
        <w:rPr>
          <w:rFonts w:hint="eastAsia"/>
          <w:sz w:val="22"/>
          <w:szCs w:val="22"/>
        </w:rPr>
        <w:t>6.3</w:t>
      </w:r>
      <w:r>
        <w:rPr>
          <w:sz w:val="22"/>
          <w:szCs w:val="22"/>
        </w:rPr>
        <w:t>自收到甲方对技术设计书同意实施的审定意见之日起</w:t>
      </w:r>
      <w:r>
        <w:rPr>
          <w:sz w:val="22"/>
          <w:szCs w:val="22"/>
          <w:u w:val="single"/>
        </w:rPr>
        <w:t xml:space="preserve"> 5 </w:t>
      </w:r>
      <w:r>
        <w:rPr>
          <w:sz w:val="22"/>
          <w:szCs w:val="22"/>
        </w:rPr>
        <w:t>日内组织</w:t>
      </w:r>
      <w:r>
        <w:rPr>
          <w:rFonts w:hint="eastAsia"/>
          <w:sz w:val="22"/>
          <w:szCs w:val="22"/>
        </w:rPr>
        <w:t>测量</w:t>
      </w:r>
      <w:r>
        <w:rPr>
          <w:sz w:val="22"/>
          <w:szCs w:val="22"/>
        </w:rPr>
        <w:t xml:space="preserve">队伍进场作业。 </w:t>
      </w:r>
    </w:p>
    <w:p>
      <w:pPr>
        <w:spacing w:line="400" w:lineRule="exact"/>
        <w:ind w:firstLine="440" w:firstLineChars="200"/>
        <w:rPr>
          <w:sz w:val="22"/>
          <w:szCs w:val="22"/>
        </w:rPr>
      </w:pPr>
      <w:r>
        <w:rPr>
          <w:rFonts w:hint="eastAsia"/>
          <w:sz w:val="22"/>
          <w:szCs w:val="22"/>
        </w:rPr>
        <w:t>6.4</w:t>
      </w:r>
      <w:r>
        <w:rPr>
          <w:sz w:val="22"/>
          <w:szCs w:val="22"/>
        </w:rPr>
        <w:t>乙方应当根据技术设计书要求确保</w:t>
      </w:r>
      <w:r>
        <w:rPr>
          <w:rFonts w:hint="eastAsia"/>
          <w:sz w:val="22"/>
          <w:szCs w:val="22"/>
        </w:rPr>
        <w:t>测量</w:t>
      </w:r>
      <w:r>
        <w:rPr>
          <w:sz w:val="22"/>
          <w:szCs w:val="22"/>
        </w:rPr>
        <w:t xml:space="preserve">项目如完成。 </w:t>
      </w:r>
    </w:p>
    <w:p>
      <w:pPr>
        <w:spacing w:line="400" w:lineRule="exact"/>
        <w:ind w:firstLine="440" w:firstLineChars="200"/>
        <w:rPr>
          <w:sz w:val="22"/>
          <w:szCs w:val="22"/>
        </w:rPr>
      </w:pPr>
      <w:r>
        <w:rPr>
          <w:rFonts w:hint="eastAsia"/>
          <w:sz w:val="22"/>
          <w:szCs w:val="22"/>
        </w:rPr>
        <w:t>6.5</w:t>
      </w:r>
      <w:r>
        <w:rPr>
          <w:sz w:val="22"/>
          <w:szCs w:val="22"/>
        </w:rPr>
        <w:t>未经甲方</w:t>
      </w:r>
      <w:r>
        <w:rPr>
          <w:rFonts w:hint="eastAsia"/>
          <w:sz w:val="22"/>
          <w:szCs w:val="22"/>
        </w:rPr>
        <w:t>、丙方</w:t>
      </w:r>
      <w:r>
        <w:rPr>
          <w:sz w:val="22"/>
          <w:szCs w:val="22"/>
        </w:rPr>
        <w:t xml:space="preserve">允许，乙方不得将本合同标的全部或部分转包给第三方。 </w:t>
      </w:r>
    </w:p>
    <w:p>
      <w:pPr>
        <w:spacing w:line="400" w:lineRule="exact"/>
      </w:pPr>
    </w:p>
    <w:p>
      <w:pPr>
        <w:numPr>
          <w:ilvl w:val="0"/>
          <w:numId w:val="6"/>
        </w:numPr>
        <w:spacing w:line="400" w:lineRule="exact"/>
        <w:rPr>
          <w:rFonts w:ascii="宋体" w:hAnsi="宋体" w:cs="宋体"/>
          <w:b/>
          <w:bCs/>
          <w:sz w:val="22"/>
          <w:szCs w:val="22"/>
        </w:rPr>
      </w:pPr>
      <w:r>
        <w:rPr>
          <w:rFonts w:hint="eastAsia" w:ascii="宋体" w:hAnsi="宋体" w:cs="宋体"/>
          <w:b/>
          <w:bCs/>
          <w:sz w:val="22"/>
          <w:szCs w:val="22"/>
        </w:rPr>
        <w:t xml:space="preserve">丙方的义务 </w:t>
      </w:r>
    </w:p>
    <w:p>
      <w:pPr>
        <w:spacing w:line="400" w:lineRule="exact"/>
        <w:ind w:firstLine="440" w:firstLineChars="200"/>
        <w:rPr>
          <w:sz w:val="22"/>
          <w:szCs w:val="22"/>
        </w:rPr>
      </w:pPr>
      <w:r>
        <w:rPr>
          <w:rFonts w:hint="eastAsia"/>
          <w:sz w:val="22"/>
          <w:szCs w:val="22"/>
        </w:rPr>
        <w:t>7.1</w:t>
      </w:r>
      <w:r>
        <w:rPr>
          <w:sz w:val="22"/>
          <w:szCs w:val="22"/>
        </w:rPr>
        <w:t>应当保证乙方的</w:t>
      </w:r>
      <w:r>
        <w:rPr>
          <w:rFonts w:hint="eastAsia"/>
          <w:sz w:val="22"/>
          <w:szCs w:val="22"/>
        </w:rPr>
        <w:t>测量</w:t>
      </w:r>
      <w:r>
        <w:rPr>
          <w:sz w:val="22"/>
          <w:szCs w:val="22"/>
        </w:rPr>
        <w:t xml:space="preserve">队伍顺利进入现场工作，并对乙方进场人员的工作提供必要的条件。 </w:t>
      </w:r>
    </w:p>
    <w:p>
      <w:pPr>
        <w:spacing w:line="400" w:lineRule="exact"/>
        <w:ind w:firstLine="440" w:firstLineChars="200"/>
        <w:rPr>
          <w:rFonts w:eastAsia="新宋体"/>
          <w:color w:val="000000"/>
          <w:kern w:val="0"/>
          <w:sz w:val="22"/>
          <w:szCs w:val="22"/>
          <w:lang w:bidi="ar"/>
        </w:rPr>
      </w:pPr>
      <w:r>
        <w:rPr>
          <w:rFonts w:hint="eastAsia"/>
          <w:sz w:val="22"/>
          <w:szCs w:val="22"/>
        </w:rPr>
        <w:t>7.2</w:t>
      </w:r>
      <w:r>
        <w:rPr>
          <w:sz w:val="22"/>
          <w:szCs w:val="22"/>
        </w:rPr>
        <w:t>允许乙方内部使用执行本合同所生产的测</w:t>
      </w:r>
      <w:r>
        <w:rPr>
          <w:rFonts w:hint="eastAsia"/>
          <w:sz w:val="22"/>
          <w:szCs w:val="22"/>
        </w:rPr>
        <w:t>量</w:t>
      </w:r>
      <w:r>
        <w:rPr>
          <w:sz w:val="22"/>
          <w:szCs w:val="22"/>
        </w:rPr>
        <w:t>成果，授权乙方在联合测绘系统中上传联合</w:t>
      </w:r>
      <w:r>
        <w:rPr>
          <w:rFonts w:hint="eastAsia"/>
          <w:sz w:val="22"/>
          <w:szCs w:val="22"/>
        </w:rPr>
        <w:t>测量</w:t>
      </w:r>
      <w:r>
        <w:rPr>
          <w:sz w:val="22"/>
          <w:szCs w:val="22"/>
        </w:rPr>
        <w:t>合同及</w:t>
      </w:r>
      <w:r>
        <w:rPr>
          <w:rFonts w:hint="eastAsia"/>
          <w:sz w:val="22"/>
          <w:szCs w:val="22"/>
        </w:rPr>
        <w:t>测量</w:t>
      </w:r>
      <w:r>
        <w:rPr>
          <w:sz w:val="22"/>
          <w:szCs w:val="22"/>
        </w:rPr>
        <w:t xml:space="preserve">成果。 </w:t>
      </w:r>
      <w:r>
        <w:rPr>
          <w:rFonts w:eastAsia="新宋体"/>
          <w:color w:val="000000"/>
          <w:kern w:val="0"/>
          <w:sz w:val="22"/>
          <w:szCs w:val="22"/>
          <w:lang w:bidi="ar"/>
        </w:rPr>
        <w:t xml:space="preserve"> </w:t>
      </w:r>
    </w:p>
    <w:p>
      <w:pPr>
        <w:spacing w:line="400" w:lineRule="exact"/>
        <w:rPr>
          <w:sz w:val="22"/>
          <w:szCs w:val="22"/>
        </w:rPr>
      </w:pPr>
    </w:p>
    <w:p>
      <w:pPr>
        <w:spacing w:line="400" w:lineRule="exact"/>
        <w:rPr>
          <w:b/>
          <w:bCs/>
          <w:sz w:val="22"/>
          <w:szCs w:val="22"/>
        </w:rPr>
      </w:pPr>
      <w:r>
        <w:rPr>
          <w:b/>
          <w:bCs/>
          <w:sz w:val="22"/>
          <w:szCs w:val="22"/>
        </w:rPr>
        <w:t>第</w:t>
      </w:r>
      <w:r>
        <w:rPr>
          <w:rFonts w:hint="eastAsia"/>
          <w:b/>
          <w:bCs/>
          <w:sz w:val="22"/>
          <w:szCs w:val="22"/>
        </w:rPr>
        <w:t>八</w:t>
      </w:r>
      <w:r>
        <w:rPr>
          <w:b/>
          <w:bCs/>
          <w:sz w:val="22"/>
          <w:szCs w:val="22"/>
        </w:rPr>
        <w:t>条</w:t>
      </w:r>
      <w:r>
        <w:rPr>
          <w:rFonts w:hint="eastAsia"/>
          <w:b/>
          <w:bCs/>
          <w:sz w:val="22"/>
          <w:szCs w:val="22"/>
        </w:rPr>
        <w:t xml:space="preserve"> 测量项目及</w:t>
      </w:r>
      <w:r>
        <w:rPr>
          <w:b/>
          <w:bCs/>
          <w:sz w:val="22"/>
          <w:szCs w:val="22"/>
        </w:rPr>
        <w:t>工期</w:t>
      </w:r>
    </w:p>
    <w:tbl>
      <w:tblPr>
        <w:tblStyle w:val="23"/>
        <w:tblW w:w="9358" w:type="dxa"/>
        <w:tblInd w:w="7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5"/>
        <w:gridCol w:w="3492"/>
        <w:gridCol w:w="2156"/>
        <w:gridCol w:w="27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exact"/>
        </w:trPr>
        <w:tc>
          <w:tcPr>
            <w:tcW w:w="975" w:type="dxa"/>
            <w:vAlign w:val="center"/>
          </w:tcPr>
          <w:p>
            <w:pPr>
              <w:pStyle w:val="65"/>
              <w:spacing w:line="400" w:lineRule="exact"/>
              <w:jc w:val="center"/>
              <w:rPr>
                <w:rFonts w:hAnsi="宋体" w:cs="宋体"/>
                <w:b/>
                <w:bCs/>
                <w:sz w:val="22"/>
                <w:szCs w:val="22"/>
              </w:rPr>
            </w:pPr>
            <w:r>
              <w:rPr>
                <w:rFonts w:hint="eastAsia" w:hAnsi="宋体" w:cs="宋体"/>
                <w:b/>
                <w:bCs/>
                <w:sz w:val="22"/>
                <w:szCs w:val="22"/>
              </w:rPr>
              <w:t>序号</w:t>
            </w:r>
          </w:p>
        </w:tc>
        <w:tc>
          <w:tcPr>
            <w:tcW w:w="3492" w:type="dxa"/>
            <w:vAlign w:val="center"/>
          </w:tcPr>
          <w:p>
            <w:pPr>
              <w:pStyle w:val="65"/>
              <w:spacing w:line="400" w:lineRule="exact"/>
              <w:jc w:val="center"/>
              <w:rPr>
                <w:rFonts w:hAnsi="宋体" w:cs="宋体"/>
                <w:b/>
                <w:bCs/>
                <w:sz w:val="22"/>
                <w:szCs w:val="22"/>
              </w:rPr>
            </w:pPr>
            <w:r>
              <w:rPr>
                <w:rFonts w:hint="eastAsia" w:hAnsi="宋体" w:cs="宋体"/>
                <w:b/>
                <w:bCs/>
                <w:sz w:val="22"/>
                <w:szCs w:val="22"/>
              </w:rPr>
              <w:t>测  量  项  目</w:t>
            </w:r>
          </w:p>
        </w:tc>
        <w:tc>
          <w:tcPr>
            <w:tcW w:w="2156" w:type="dxa"/>
            <w:vAlign w:val="center"/>
          </w:tcPr>
          <w:p>
            <w:pPr>
              <w:pStyle w:val="65"/>
              <w:spacing w:line="400" w:lineRule="exact"/>
              <w:ind w:firstLine="330" w:firstLineChars="150"/>
              <w:jc w:val="center"/>
              <w:rPr>
                <w:rFonts w:hAnsi="宋体" w:cs="宋体"/>
                <w:b/>
                <w:bCs/>
                <w:sz w:val="22"/>
                <w:szCs w:val="22"/>
              </w:rPr>
            </w:pPr>
            <w:r>
              <w:rPr>
                <w:rFonts w:hint="eastAsia" w:hAnsi="宋体" w:cs="宋体"/>
                <w:b/>
                <w:bCs/>
                <w:sz w:val="22"/>
                <w:szCs w:val="22"/>
              </w:rPr>
              <w:t>完成时间</w:t>
            </w:r>
          </w:p>
        </w:tc>
        <w:tc>
          <w:tcPr>
            <w:tcW w:w="2735" w:type="dxa"/>
            <w:vAlign w:val="center"/>
          </w:tcPr>
          <w:p>
            <w:pPr>
              <w:pStyle w:val="65"/>
              <w:spacing w:line="400" w:lineRule="exact"/>
              <w:jc w:val="center"/>
              <w:rPr>
                <w:rFonts w:hAnsi="宋体" w:cs="宋体"/>
                <w:b/>
                <w:bCs/>
                <w:sz w:val="22"/>
                <w:szCs w:val="22"/>
              </w:rPr>
            </w:pPr>
            <w:r>
              <w:rPr>
                <w:rFonts w:hint="eastAsia" w:hAnsi="宋体" w:cs="宋体"/>
                <w:b/>
                <w:bCs/>
                <w:sz w:val="22"/>
                <w:szCs w:val="22"/>
              </w:rPr>
              <w:t>备 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exact"/>
        </w:trPr>
        <w:tc>
          <w:tcPr>
            <w:tcW w:w="975" w:type="dxa"/>
            <w:vAlign w:val="center"/>
          </w:tcPr>
          <w:p>
            <w:pPr>
              <w:spacing w:line="400" w:lineRule="exact"/>
              <w:jc w:val="center"/>
              <w:rPr>
                <w:sz w:val="22"/>
                <w:szCs w:val="22"/>
              </w:rPr>
            </w:pPr>
            <w:r>
              <w:rPr>
                <w:sz w:val="22"/>
                <w:szCs w:val="22"/>
              </w:rPr>
              <w:t>1</w:t>
            </w:r>
          </w:p>
        </w:tc>
        <w:tc>
          <w:tcPr>
            <w:tcW w:w="3492" w:type="dxa"/>
            <w:vAlign w:val="center"/>
          </w:tcPr>
          <w:p>
            <w:pPr>
              <w:pStyle w:val="65"/>
              <w:spacing w:line="400" w:lineRule="exact"/>
              <w:jc w:val="center"/>
              <w:rPr>
                <w:rFonts w:ascii="Times New Roman" w:hAnsi="Times New Roman"/>
                <w:sz w:val="22"/>
                <w:szCs w:val="22"/>
              </w:rPr>
            </w:pPr>
            <w:r>
              <w:rPr>
                <w:rFonts w:hint="eastAsia" w:ascii="Times New Roman" w:hAnsi="Times New Roman"/>
                <w:sz w:val="22"/>
                <w:szCs w:val="22"/>
              </w:rPr>
              <w:t>地形图测</w:t>
            </w:r>
            <w:r>
              <w:rPr>
                <w:rFonts w:ascii="Times New Roman" w:hAnsi="Times New Roman"/>
                <w:sz w:val="22"/>
                <w:szCs w:val="22"/>
              </w:rPr>
              <w:t>绘</w:t>
            </w:r>
          </w:p>
        </w:tc>
        <w:tc>
          <w:tcPr>
            <w:tcW w:w="2156"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10个工作日内</w:t>
            </w:r>
          </w:p>
        </w:tc>
        <w:tc>
          <w:tcPr>
            <w:tcW w:w="2735" w:type="dxa"/>
            <w:vMerge w:val="restart"/>
            <w:vAlign w:val="center"/>
          </w:tcPr>
          <w:p>
            <w:pPr>
              <w:pStyle w:val="65"/>
              <w:spacing w:line="400" w:lineRule="exact"/>
              <w:jc w:val="center"/>
              <w:rPr>
                <w:rFonts w:hint="eastAsia" w:hAnsi="宋体" w:eastAsia="宋体" w:cs="宋体"/>
                <w:sz w:val="22"/>
                <w:szCs w:val="22"/>
                <w:lang w:val="en-US" w:eastAsia="zh-CN"/>
              </w:rPr>
            </w:pPr>
            <w:r>
              <w:rPr>
                <w:rFonts w:hint="eastAsia" w:hAnsi="宋体" w:cs="宋体"/>
                <w:sz w:val="22"/>
                <w:szCs w:val="22"/>
              </w:rPr>
              <w:t>自甲方通知</w:t>
            </w:r>
            <w:r>
              <w:rPr>
                <w:rFonts w:hint="eastAsia" w:hAnsi="宋体" w:cs="宋体"/>
                <w:sz w:val="22"/>
                <w:szCs w:val="22"/>
                <w:lang w:val="en-US" w:eastAsia="zh-CN"/>
              </w:rPr>
              <w:t>之</w:t>
            </w:r>
            <w:r>
              <w:rPr>
                <w:rFonts w:hint="eastAsia" w:hAnsi="宋体" w:cs="宋体"/>
                <w:sz w:val="22"/>
                <w:szCs w:val="22"/>
              </w:rPr>
              <w:t>日起</w:t>
            </w:r>
            <w:r>
              <w:rPr>
                <w:rFonts w:hint="eastAsia" w:hAnsi="宋体" w:cs="宋体"/>
                <w:sz w:val="22"/>
                <w:szCs w:val="22"/>
                <w:lang w:val="en-US" w:eastAsia="zh-CN"/>
              </w:rPr>
              <w:t>计算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exact"/>
        </w:trPr>
        <w:tc>
          <w:tcPr>
            <w:tcW w:w="975" w:type="dxa"/>
            <w:vAlign w:val="center"/>
          </w:tcPr>
          <w:p>
            <w:pPr>
              <w:spacing w:line="400" w:lineRule="exact"/>
              <w:jc w:val="center"/>
              <w:rPr>
                <w:sz w:val="22"/>
                <w:szCs w:val="22"/>
              </w:rPr>
            </w:pPr>
            <w:r>
              <w:rPr>
                <w:sz w:val="22"/>
                <w:szCs w:val="22"/>
              </w:rPr>
              <w:t>2</w:t>
            </w:r>
          </w:p>
        </w:tc>
        <w:tc>
          <w:tcPr>
            <w:tcW w:w="3492" w:type="dxa"/>
            <w:vAlign w:val="center"/>
          </w:tcPr>
          <w:p>
            <w:pPr>
              <w:pStyle w:val="65"/>
              <w:spacing w:line="400" w:lineRule="exact"/>
              <w:jc w:val="center"/>
              <w:rPr>
                <w:rFonts w:ascii="Times New Roman" w:hAnsi="Times New Roman"/>
                <w:sz w:val="22"/>
                <w:szCs w:val="22"/>
              </w:rPr>
            </w:pPr>
            <w:r>
              <w:rPr>
                <w:rFonts w:hint="eastAsia" w:ascii="Times New Roman" w:hAnsi="Times New Roman"/>
                <w:sz w:val="22"/>
                <w:szCs w:val="22"/>
              </w:rPr>
              <w:t>规划条件核实测量</w:t>
            </w:r>
          </w:p>
        </w:tc>
        <w:tc>
          <w:tcPr>
            <w:tcW w:w="2156" w:type="dxa"/>
            <w:vAlign w:val="center"/>
          </w:tcPr>
          <w:p>
            <w:pPr>
              <w:spacing w:line="400" w:lineRule="exact"/>
              <w:jc w:val="center"/>
              <w:rPr>
                <w:sz w:val="22"/>
                <w:szCs w:val="22"/>
              </w:rPr>
            </w:pPr>
            <w:r>
              <w:rPr>
                <w:sz w:val="22"/>
                <w:szCs w:val="22"/>
              </w:rPr>
              <w:t>20个工作日内</w:t>
            </w:r>
          </w:p>
        </w:tc>
        <w:tc>
          <w:tcPr>
            <w:tcW w:w="2735" w:type="dxa"/>
            <w:vMerge w:val="continue"/>
            <w:vAlign w:val="center"/>
          </w:tcPr>
          <w:p>
            <w:pPr>
              <w:pStyle w:val="65"/>
              <w:spacing w:line="400" w:lineRule="exact"/>
              <w:jc w:val="center"/>
              <w:rPr>
                <w:rFonts w:hAnsi="宋体" w:cs="宋体"/>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9" w:hRule="exact"/>
        </w:trPr>
        <w:tc>
          <w:tcPr>
            <w:tcW w:w="975" w:type="dxa"/>
            <w:vAlign w:val="center"/>
          </w:tcPr>
          <w:p>
            <w:pPr>
              <w:spacing w:line="400" w:lineRule="exact"/>
              <w:jc w:val="center"/>
              <w:rPr>
                <w:sz w:val="22"/>
                <w:szCs w:val="22"/>
              </w:rPr>
            </w:pPr>
            <w:r>
              <w:rPr>
                <w:sz w:val="22"/>
                <w:szCs w:val="22"/>
              </w:rPr>
              <w:t>3</w:t>
            </w:r>
          </w:p>
        </w:tc>
        <w:tc>
          <w:tcPr>
            <w:tcW w:w="3492" w:type="dxa"/>
            <w:vAlign w:val="center"/>
          </w:tcPr>
          <w:p>
            <w:pPr>
              <w:pStyle w:val="65"/>
              <w:spacing w:line="400" w:lineRule="exact"/>
              <w:jc w:val="center"/>
              <w:rPr>
                <w:rFonts w:ascii="Times New Roman" w:hAnsi="Times New Roman"/>
                <w:sz w:val="22"/>
                <w:szCs w:val="22"/>
              </w:rPr>
            </w:pPr>
            <w:r>
              <w:rPr>
                <w:rFonts w:hint="eastAsia" w:ascii="Times New Roman" w:hAnsi="Times New Roman"/>
                <w:sz w:val="22"/>
                <w:szCs w:val="22"/>
              </w:rPr>
              <w:t>不动产测量</w:t>
            </w:r>
          </w:p>
        </w:tc>
        <w:tc>
          <w:tcPr>
            <w:tcW w:w="2156" w:type="dxa"/>
            <w:vAlign w:val="center"/>
          </w:tcPr>
          <w:p>
            <w:pPr>
              <w:spacing w:line="400" w:lineRule="exact"/>
              <w:jc w:val="center"/>
              <w:rPr>
                <w:sz w:val="22"/>
                <w:szCs w:val="22"/>
              </w:rPr>
            </w:pPr>
            <w:r>
              <w:rPr>
                <w:rFonts w:hint="eastAsia"/>
                <w:sz w:val="22"/>
                <w:szCs w:val="22"/>
              </w:rPr>
              <w:t>2</w:t>
            </w:r>
            <w:r>
              <w:rPr>
                <w:sz w:val="22"/>
                <w:szCs w:val="22"/>
              </w:rPr>
              <w:t>0个工作日内</w:t>
            </w:r>
          </w:p>
        </w:tc>
        <w:tc>
          <w:tcPr>
            <w:tcW w:w="2735" w:type="dxa"/>
            <w:vMerge w:val="continue"/>
            <w:vAlign w:val="center"/>
          </w:tcPr>
          <w:p>
            <w:pPr>
              <w:pStyle w:val="65"/>
              <w:spacing w:line="400" w:lineRule="exact"/>
              <w:jc w:val="center"/>
              <w:rPr>
                <w:rFonts w:hAnsi="宋体" w:cs="宋体"/>
                <w:sz w:val="22"/>
                <w:szCs w:val="22"/>
              </w:rPr>
            </w:pPr>
          </w:p>
        </w:tc>
      </w:tr>
    </w:tbl>
    <w:p>
      <w:pPr>
        <w:spacing w:line="400" w:lineRule="exact"/>
        <w:rPr>
          <w:b/>
          <w:bCs/>
          <w:sz w:val="22"/>
          <w:szCs w:val="22"/>
        </w:rPr>
      </w:pPr>
    </w:p>
    <w:p>
      <w:pPr>
        <w:spacing w:line="400" w:lineRule="exact"/>
        <w:rPr>
          <w:b/>
          <w:bCs/>
          <w:sz w:val="22"/>
          <w:szCs w:val="22"/>
        </w:rPr>
      </w:pPr>
      <w:r>
        <w:rPr>
          <w:rFonts w:hint="eastAsia"/>
          <w:b/>
          <w:bCs/>
          <w:sz w:val="22"/>
          <w:szCs w:val="22"/>
        </w:rPr>
        <w:t>第九条 测量成果文件</w:t>
      </w:r>
    </w:p>
    <w:p>
      <w:pPr>
        <w:spacing w:line="400" w:lineRule="exact"/>
        <w:ind w:firstLine="220" w:firstLineChars="100"/>
        <w:rPr>
          <w:sz w:val="22"/>
          <w:szCs w:val="22"/>
        </w:rPr>
      </w:pPr>
      <w:r>
        <w:rPr>
          <w:rFonts w:hint="eastAsia"/>
          <w:sz w:val="22"/>
          <w:szCs w:val="22"/>
        </w:rPr>
        <w:t>9.1</w:t>
      </w:r>
      <w:r>
        <w:rPr>
          <w:sz w:val="22"/>
          <w:szCs w:val="22"/>
        </w:rPr>
        <w:t>乙方根据技术设计的要求向甲方交付全部</w:t>
      </w:r>
      <w:r>
        <w:rPr>
          <w:rFonts w:hint="eastAsia"/>
          <w:sz w:val="22"/>
          <w:szCs w:val="22"/>
        </w:rPr>
        <w:t>测量</w:t>
      </w:r>
      <w:r>
        <w:rPr>
          <w:sz w:val="22"/>
          <w:szCs w:val="22"/>
        </w:rPr>
        <w:t>成果（见下表）</w:t>
      </w:r>
      <w:r>
        <w:rPr>
          <w:rFonts w:hint="eastAsia"/>
          <w:sz w:val="22"/>
          <w:szCs w:val="22"/>
        </w:rPr>
        <w:t>：</w:t>
      </w:r>
    </w:p>
    <w:tbl>
      <w:tblPr>
        <w:tblStyle w:val="23"/>
        <w:tblW w:w="90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8"/>
        <w:gridCol w:w="3831"/>
        <w:gridCol w:w="798"/>
        <w:gridCol w:w="1134"/>
        <w:gridCol w:w="226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exact"/>
        </w:trPr>
        <w:tc>
          <w:tcPr>
            <w:tcW w:w="1008" w:type="dxa"/>
            <w:vAlign w:val="center"/>
          </w:tcPr>
          <w:p>
            <w:pPr>
              <w:pStyle w:val="65"/>
              <w:spacing w:line="400" w:lineRule="exact"/>
              <w:jc w:val="center"/>
              <w:rPr>
                <w:rFonts w:ascii="Times New Roman" w:hAnsi="Times New Roman"/>
                <w:b/>
                <w:bCs/>
                <w:sz w:val="22"/>
                <w:szCs w:val="22"/>
              </w:rPr>
            </w:pPr>
            <w:r>
              <w:rPr>
                <w:rFonts w:ascii="Times New Roman" w:hAnsi="Times New Roman"/>
                <w:b/>
                <w:bCs/>
                <w:sz w:val="22"/>
                <w:szCs w:val="22"/>
              </w:rPr>
              <w:t>序 号</w:t>
            </w:r>
          </w:p>
        </w:tc>
        <w:tc>
          <w:tcPr>
            <w:tcW w:w="3831" w:type="dxa"/>
            <w:vAlign w:val="center"/>
          </w:tcPr>
          <w:p>
            <w:pPr>
              <w:pStyle w:val="65"/>
              <w:spacing w:line="400" w:lineRule="exact"/>
              <w:ind w:firstLine="770" w:firstLineChars="350"/>
              <w:jc w:val="center"/>
              <w:rPr>
                <w:rFonts w:ascii="Times New Roman" w:hAnsi="Times New Roman"/>
                <w:b/>
                <w:bCs/>
                <w:sz w:val="22"/>
                <w:szCs w:val="22"/>
              </w:rPr>
            </w:pPr>
            <w:r>
              <w:rPr>
                <w:rFonts w:ascii="Times New Roman" w:hAnsi="Times New Roman"/>
                <w:b/>
                <w:bCs/>
                <w:sz w:val="22"/>
                <w:szCs w:val="22"/>
              </w:rPr>
              <w:t>成  果  名  称</w:t>
            </w:r>
          </w:p>
        </w:tc>
        <w:tc>
          <w:tcPr>
            <w:tcW w:w="798" w:type="dxa"/>
            <w:vAlign w:val="center"/>
          </w:tcPr>
          <w:p>
            <w:pPr>
              <w:pStyle w:val="65"/>
              <w:spacing w:line="400" w:lineRule="exact"/>
              <w:jc w:val="center"/>
              <w:rPr>
                <w:rFonts w:ascii="Times New Roman" w:hAnsi="Times New Roman"/>
                <w:b/>
                <w:bCs/>
                <w:sz w:val="22"/>
                <w:szCs w:val="22"/>
              </w:rPr>
            </w:pPr>
            <w:r>
              <w:rPr>
                <w:rFonts w:ascii="Times New Roman" w:hAnsi="Times New Roman"/>
                <w:b/>
                <w:bCs/>
                <w:sz w:val="22"/>
                <w:szCs w:val="22"/>
              </w:rPr>
              <w:t>规格</w:t>
            </w:r>
          </w:p>
        </w:tc>
        <w:tc>
          <w:tcPr>
            <w:tcW w:w="1134" w:type="dxa"/>
            <w:vAlign w:val="center"/>
          </w:tcPr>
          <w:p>
            <w:pPr>
              <w:pStyle w:val="65"/>
              <w:spacing w:line="400" w:lineRule="exact"/>
              <w:ind w:firstLine="220" w:firstLineChars="100"/>
              <w:rPr>
                <w:rFonts w:ascii="Times New Roman" w:hAnsi="Times New Roman"/>
                <w:b/>
                <w:bCs/>
                <w:sz w:val="22"/>
                <w:szCs w:val="22"/>
              </w:rPr>
            </w:pPr>
            <w:r>
              <w:rPr>
                <w:rFonts w:ascii="Times New Roman" w:hAnsi="Times New Roman"/>
                <w:b/>
                <w:bCs/>
                <w:sz w:val="22"/>
                <w:szCs w:val="22"/>
              </w:rPr>
              <w:t>数  量</w:t>
            </w:r>
          </w:p>
        </w:tc>
        <w:tc>
          <w:tcPr>
            <w:tcW w:w="2268" w:type="dxa"/>
            <w:vAlign w:val="center"/>
          </w:tcPr>
          <w:p>
            <w:pPr>
              <w:pStyle w:val="65"/>
              <w:spacing w:line="400" w:lineRule="exact"/>
              <w:jc w:val="center"/>
              <w:rPr>
                <w:rFonts w:ascii="Times New Roman" w:hAnsi="Times New Roman"/>
                <w:b/>
                <w:bCs/>
                <w:sz w:val="22"/>
                <w:szCs w:val="22"/>
              </w:rPr>
            </w:pPr>
            <w:r>
              <w:rPr>
                <w:rFonts w:ascii="Times New Roman" w:hAnsi="Times New Roman"/>
                <w:b/>
                <w:bCs/>
                <w:sz w:val="22"/>
                <w:szCs w:val="22"/>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exact"/>
        </w:trPr>
        <w:tc>
          <w:tcPr>
            <w:tcW w:w="1008" w:type="dxa"/>
            <w:vAlign w:val="center"/>
          </w:tcPr>
          <w:p>
            <w:pPr>
              <w:spacing w:line="400" w:lineRule="exact"/>
              <w:jc w:val="center"/>
              <w:rPr>
                <w:sz w:val="22"/>
                <w:szCs w:val="22"/>
              </w:rPr>
            </w:pPr>
            <w:r>
              <w:rPr>
                <w:sz w:val="22"/>
                <w:szCs w:val="22"/>
              </w:rPr>
              <w:t>1</w:t>
            </w:r>
          </w:p>
        </w:tc>
        <w:tc>
          <w:tcPr>
            <w:tcW w:w="3831" w:type="dxa"/>
            <w:vAlign w:val="center"/>
          </w:tcPr>
          <w:p>
            <w:pPr>
              <w:pStyle w:val="65"/>
              <w:spacing w:line="400" w:lineRule="exact"/>
              <w:jc w:val="center"/>
              <w:rPr>
                <w:rFonts w:ascii="Times New Roman" w:hAnsi="Times New Roman"/>
                <w:sz w:val="22"/>
                <w:szCs w:val="22"/>
              </w:rPr>
            </w:pPr>
            <w:r>
              <w:rPr>
                <w:rFonts w:hint="eastAsia" w:ascii="Times New Roman" w:hAnsi="Times New Roman"/>
                <w:sz w:val="22"/>
                <w:szCs w:val="22"/>
              </w:rPr>
              <w:t>地形测绘报告</w:t>
            </w:r>
          </w:p>
        </w:tc>
        <w:tc>
          <w:tcPr>
            <w:tcW w:w="798"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份</w:t>
            </w:r>
          </w:p>
        </w:tc>
        <w:tc>
          <w:tcPr>
            <w:tcW w:w="1134"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1</w:t>
            </w:r>
          </w:p>
        </w:tc>
        <w:tc>
          <w:tcPr>
            <w:tcW w:w="2268" w:type="dxa"/>
            <w:vAlign w:val="center"/>
          </w:tcPr>
          <w:p>
            <w:pPr>
              <w:pStyle w:val="65"/>
              <w:spacing w:line="400" w:lineRule="exact"/>
              <w:rPr>
                <w:rFonts w:ascii="Times New Roman" w:hAnsi="Times New Roman"/>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8" w:hRule="exact"/>
        </w:trPr>
        <w:tc>
          <w:tcPr>
            <w:tcW w:w="1008" w:type="dxa"/>
            <w:vAlign w:val="center"/>
          </w:tcPr>
          <w:p>
            <w:pPr>
              <w:spacing w:line="400" w:lineRule="exact"/>
              <w:jc w:val="center"/>
              <w:rPr>
                <w:sz w:val="22"/>
                <w:szCs w:val="22"/>
              </w:rPr>
            </w:pPr>
            <w:r>
              <w:rPr>
                <w:sz w:val="22"/>
                <w:szCs w:val="22"/>
              </w:rPr>
              <w:t>2</w:t>
            </w:r>
          </w:p>
        </w:tc>
        <w:tc>
          <w:tcPr>
            <w:tcW w:w="3831" w:type="dxa"/>
            <w:vAlign w:val="center"/>
          </w:tcPr>
          <w:p>
            <w:pPr>
              <w:pStyle w:val="65"/>
              <w:spacing w:line="400" w:lineRule="exact"/>
              <w:jc w:val="center"/>
              <w:rPr>
                <w:rFonts w:ascii="Times New Roman" w:hAnsi="Times New Roman"/>
                <w:sz w:val="22"/>
                <w:szCs w:val="22"/>
              </w:rPr>
            </w:pPr>
            <w:r>
              <w:rPr>
                <w:rFonts w:hint="eastAsia" w:ascii="Times New Roman" w:hAnsi="Times New Roman"/>
                <w:sz w:val="22"/>
                <w:szCs w:val="22"/>
              </w:rPr>
              <w:t>规划条件核实测量报告</w:t>
            </w:r>
          </w:p>
        </w:tc>
        <w:tc>
          <w:tcPr>
            <w:tcW w:w="798"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份</w:t>
            </w:r>
          </w:p>
        </w:tc>
        <w:tc>
          <w:tcPr>
            <w:tcW w:w="1134"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1</w:t>
            </w:r>
          </w:p>
        </w:tc>
        <w:tc>
          <w:tcPr>
            <w:tcW w:w="2268" w:type="dxa"/>
            <w:vAlign w:val="center"/>
          </w:tcPr>
          <w:p>
            <w:pPr>
              <w:pStyle w:val="65"/>
              <w:spacing w:line="400" w:lineRule="exact"/>
              <w:rPr>
                <w:rFonts w:hint="default" w:ascii="Times New Roman" w:hAnsi="Times New Roman" w:eastAsia="宋体"/>
                <w:sz w:val="22"/>
                <w:szCs w:val="22"/>
                <w:lang w:val="en-US" w:eastAsia="zh-CN"/>
              </w:rPr>
            </w:pPr>
            <w:r>
              <w:rPr>
                <w:rFonts w:hint="eastAsia" w:ascii="Times New Roman" w:hAnsi="Times New Roman"/>
                <w:sz w:val="22"/>
                <w:szCs w:val="22"/>
                <w:lang w:val="en-US" w:eastAsia="zh-CN"/>
              </w:rPr>
              <w:t>含初测和复测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exact"/>
        </w:trPr>
        <w:tc>
          <w:tcPr>
            <w:tcW w:w="1008" w:type="dxa"/>
            <w:vAlign w:val="center"/>
          </w:tcPr>
          <w:p>
            <w:pPr>
              <w:spacing w:line="400" w:lineRule="exact"/>
              <w:jc w:val="center"/>
              <w:rPr>
                <w:sz w:val="22"/>
                <w:szCs w:val="22"/>
              </w:rPr>
            </w:pPr>
            <w:r>
              <w:rPr>
                <w:rFonts w:hint="eastAsia"/>
                <w:sz w:val="22"/>
                <w:szCs w:val="22"/>
              </w:rPr>
              <w:t>3</w:t>
            </w:r>
          </w:p>
        </w:tc>
        <w:tc>
          <w:tcPr>
            <w:tcW w:w="3831" w:type="dxa"/>
            <w:vAlign w:val="center"/>
          </w:tcPr>
          <w:p>
            <w:pPr>
              <w:pStyle w:val="65"/>
              <w:spacing w:line="400" w:lineRule="exact"/>
              <w:jc w:val="center"/>
              <w:rPr>
                <w:rFonts w:ascii="Times New Roman" w:hAnsi="Times New Roman"/>
                <w:sz w:val="22"/>
                <w:szCs w:val="22"/>
              </w:rPr>
            </w:pPr>
            <w:r>
              <w:rPr>
                <w:rFonts w:hint="eastAsia" w:ascii="Times New Roman" w:hAnsi="Times New Roman"/>
                <w:sz w:val="22"/>
                <w:szCs w:val="22"/>
              </w:rPr>
              <w:t>不动产测量报告（实测）</w:t>
            </w:r>
          </w:p>
        </w:tc>
        <w:tc>
          <w:tcPr>
            <w:tcW w:w="798"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份</w:t>
            </w:r>
          </w:p>
        </w:tc>
        <w:tc>
          <w:tcPr>
            <w:tcW w:w="1134" w:type="dxa"/>
            <w:vAlign w:val="center"/>
          </w:tcPr>
          <w:p>
            <w:pPr>
              <w:pStyle w:val="65"/>
              <w:spacing w:line="400" w:lineRule="exact"/>
              <w:jc w:val="center"/>
              <w:rPr>
                <w:rFonts w:ascii="Times New Roman" w:hAnsi="Times New Roman"/>
                <w:sz w:val="22"/>
                <w:szCs w:val="22"/>
              </w:rPr>
            </w:pPr>
            <w:r>
              <w:rPr>
                <w:rFonts w:ascii="Times New Roman" w:hAnsi="Times New Roman"/>
                <w:sz w:val="22"/>
                <w:szCs w:val="22"/>
              </w:rPr>
              <w:t>1</w:t>
            </w:r>
          </w:p>
        </w:tc>
        <w:tc>
          <w:tcPr>
            <w:tcW w:w="2268" w:type="dxa"/>
            <w:vAlign w:val="center"/>
          </w:tcPr>
          <w:p>
            <w:pPr>
              <w:pStyle w:val="65"/>
              <w:spacing w:line="400" w:lineRule="exact"/>
              <w:rPr>
                <w:rFonts w:ascii="Times New Roman" w:hAnsi="Times New Roman"/>
                <w:sz w:val="22"/>
                <w:szCs w:val="22"/>
              </w:rPr>
            </w:pPr>
          </w:p>
        </w:tc>
      </w:tr>
    </w:tbl>
    <w:p>
      <w:pPr>
        <w:spacing w:line="400" w:lineRule="exact"/>
        <w:ind w:firstLine="440" w:firstLineChars="200"/>
        <w:rPr>
          <w:rFonts w:ascii="宋体" w:hAnsi="宋体" w:cs="宋体"/>
          <w:b/>
          <w:bCs/>
          <w:sz w:val="22"/>
          <w:szCs w:val="22"/>
        </w:rPr>
      </w:pPr>
      <w:r>
        <w:rPr>
          <w:rFonts w:hint="eastAsia" w:ascii="宋体" w:hAnsi="宋体" w:cs="宋体"/>
          <w:sz w:val="22"/>
          <w:szCs w:val="22"/>
        </w:rPr>
        <w:t>9.2若甲方、丙方对乙方所提供的</w:t>
      </w:r>
      <w:r>
        <w:rPr>
          <w:rFonts w:hint="eastAsia"/>
          <w:sz w:val="22"/>
          <w:szCs w:val="22"/>
        </w:rPr>
        <w:t>测量</w:t>
      </w:r>
      <w:r>
        <w:rPr>
          <w:rFonts w:hint="eastAsia" w:ascii="宋体" w:hAnsi="宋体" w:cs="宋体"/>
          <w:sz w:val="22"/>
          <w:szCs w:val="22"/>
        </w:rPr>
        <w:t>成果的质量有争议的，由项目所在地的省级测绘产品质量监督检验站裁决。其费用由败诉方</w:t>
      </w:r>
      <w:r>
        <w:rPr>
          <w:rFonts w:hint="eastAsia" w:ascii="宋体" w:hAnsi="宋体" w:cs="宋体"/>
          <w:sz w:val="22"/>
          <w:szCs w:val="22"/>
          <w:lang w:eastAsia="zh-CN"/>
        </w:rPr>
        <w:t>（</w:t>
      </w:r>
      <w:r>
        <w:rPr>
          <w:rFonts w:hint="eastAsia" w:ascii="宋体" w:hAnsi="宋体" w:cs="宋体"/>
          <w:sz w:val="22"/>
          <w:szCs w:val="22"/>
          <w:lang w:val="en-US" w:eastAsia="zh-CN"/>
        </w:rPr>
        <w:t>如甲方及丙方败诉的由丙方承担</w:t>
      </w:r>
      <w:r>
        <w:rPr>
          <w:rFonts w:hint="eastAsia" w:ascii="宋体" w:hAnsi="宋体" w:cs="宋体"/>
          <w:sz w:val="22"/>
          <w:szCs w:val="22"/>
          <w:lang w:eastAsia="zh-CN"/>
        </w:rPr>
        <w:t>）</w:t>
      </w:r>
      <w:r>
        <w:rPr>
          <w:rFonts w:hint="eastAsia" w:ascii="宋体" w:hAnsi="宋体" w:cs="宋体"/>
          <w:sz w:val="22"/>
          <w:szCs w:val="22"/>
        </w:rPr>
        <w:t>承担。</w:t>
      </w:r>
      <w:r>
        <w:rPr>
          <w:rFonts w:hint="eastAsia" w:ascii="宋体" w:hAnsi="宋体" w:cs="宋体"/>
          <w:b/>
          <w:bCs/>
          <w:sz w:val="22"/>
          <w:szCs w:val="22"/>
        </w:rPr>
        <w:t xml:space="preserve"> </w:t>
      </w:r>
    </w:p>
    <w:p>
      <w:pPr>
        <w:spacing w:line="400" w:lineRule="exact"/>
        <w:rPr>
          <w:rFonts w:ascii="宋体" w:hAnsi="宋体" w:cs="宋体"/>
          <w:b/>
          <w:bCs/>
          <w:sz w:val="22"/>
          <w:szCs w:val="22"/>
        </w:rPr>
      </w:pPr>
      <w:r>
        <w:rPr>
          <w:rFonts w:hint="eastAsia" w:ascii="宋体" w:hAnsi="宋体" w:cs="宋体"/>
          <w:b/>
          <w:bCs/>
          <w:sz w:val="22"/>
          <w:szCs w:val="22"/>
        </w:rPr>
        <w:t xml:space="preserve">              </w:t>
      </w:r>
    </w:p>
    <w:p>
      <w:pPr>
        <w:spacing w:line="400" w:lineRule="exact"/>
        <w:rPr>
          <w:rFonts w:ascii="宋体" w:hAnsi="宋体" w:cs="宋体"/>
          <w:b/>
          <w:bCs/>
          <w:sz w:val="22"/>
          <w:szCs w:val="22"/>
        </w:rPr>
      </w:pPr>
      <w:r>
        <w:rPr>
          <w:rFonts w:hint="eastAsia" w:ascii="宋体" w:hAnsi="宋体" w:cs="宋体"/>
          <w:b/>
          <w:bCs/>
          <w:sz w:val="22"/>
          <w:szCs w:val="22"/>
        </w:rPr>
        <w:t xml:space="preserve">第十条  测量费支付方式 </w:t>
      </w:r>
    </w:p>
    <w:p>
      <w:pPr>
        <w:spacing w:line="360" w:lineRule="auto"/>
        <w:ind w:firstLine="420" w:firstLineChars="200"/>
        <w:rPr>
          <w:rFonts w:hint="eastAsia"/>
          <w:sz w:val="22"/>
          <w:szCs w:val="22"/>
        </w:rPr>
      </w:pPr>
      <w:r>
        <w:rPr>
          <w:rFonts w:hint="eastAsia"/>
          <w:lang w:val="en-US" w:eastAsia="zh-CN"/>
        </w:rPr>
        <w:t>本合同约定的测量费按每项测量项目独立进行支付，根据本合同第四条约定的测量项目，各测量项目的具体付款节奏安排如下：</w:t>
      </w:r>
    </w:p>
    <w:p>
      <w:pPr>
        <w:spacing w:line="400" w:lineRule="exact"/>
        <w:ind w:firstLine="440" w:firstLineChars="200"/>
        <w:rPr>
          <w:sz w:val="22"/>
          <w:szCs w:val="22"/>
        </w:rPr>
      </w:pPr>
      <w:r>
        <w:rPr>
          <w:rFonts w:hint="eastAsia"/>
          <w:sz w:val="22"/>
          <w:szCs w:val="22"/>
        </w:rPr>
        <w:t>10.1</w:t>
      </w:r>
      <w:r>
        <w:rPr>
          <w:sz w:val="22"/>
          <w:szCs w:val="22"/>
        </w:rPr>
        <w:t>自</w:t>
      </w:r>
      <w:r>
        <w:rPr>
          <w:rFonts w:hint="eastAsia"/>
          <w:sz w:val="22"/>
          <w:szCs w:val="22"/>
          <w:lang w:val="en-US" w:eastAsia="zh-CN"/>
        </w:rPr>
        <w:t>本</w:t>
      </w:r>
      <w:r>
        <w:rPr>
          <w:sz w:val="22"/>
          <w:szCs w:val="22"/>
        </w:rPr>
        <w:t>合同签订</w:t>
      </w:r>
      <w:r>
        <w:rPr>
          <w:rFonts w:hint="eastAsia"/>
          <w:sz w:val="22"/>
          <w:szCs w:val="22"/>
          <w:lang w:val="en-US" w:eastAsia="zh-CN"/>
        </w:rPr>
        <w:t>且</w:t>
      </w:r>
      <w:r>
        <w:rPr>
          <w:rFonts w:hint="eastAsia"/>
          <w:sz w:val="22"/>
          <w:szCs w:val="22"/>
        </w:rPr>
        <w:t>在</w:t>
      </w:r>
      <w:r>
        <w:rPr>
          <w:sz w:val="22"/>
          <w:szCs w:val="22"/>
        </w:rPr>
        <w:t>甲方通知乙方进场</w:t>
      </w:r>
      <w:r>
        <w:rPr>
          <w:rFonts w:hint="eastAsia"/>
          <w:sz w:val="22"/>
          <w:szCs w:val="22"/>
        </w:rPr>
        <w:t>开展每项测量项目工作</w:t>
      </w:r>
      <w:r>
        <w:rPr>
          <w:sz w:val="22"/>
          <w:szCs w:val="22"/>
        </w:rPr>
        <w:t>之日起</w:t>
      </w:r>
      <w:r>
        <w:rPr>
          <w:sz w:val="22"/>
          <w:szCs w:val="22"/>
          <w:u w:val="single"/>
        </w:rPr>
        <w:t>15</w:t>
      </w:r>
      <w:r>
        <w:rPr>
          <w:rFonts w:hint="eastAsia"/>
          <w:sz w:val="22"/>
          <w:szCs w:val="22"/>
          <w:u w:val="single"/>
        </w:rPr>
        <w:t>个工作</w:t>
      </w:r>
      <w:r>
        <w:rPr>
          <w:sz w:val="22"/>
          <w:szCs w:val="22"/>
        </w:rPr>
        <w:t>日内，</w:t>
      </w:r>
      <w:r>
        <w:rPr>
          <w:rFonts w:hint="eastAsia"/>
          <w:sz w:val="22"/>
          <w:szCs w:val="22"/>
        </w:rPr>
        <w:t>丙方</w:t>
      </w:r>
      <w:r>
        <w:rPr>
          <w:sz w:val="22"/>
          <w:szCs w:val="22"/>
        </w:rPr>
        <w:t>向乙方支付</w:t>
      </w:r>
      <w:r>
        <w:rPr>
          <w:rFonts w:hint="eastAsia"/>
          <w:sz w:val="22"/>
          <w:szCs w:val="22"/>
        </w:rPr>
        <w:t>该项测量项目对应的测量费的1</w:t>
      </w:r>
      <w:r>
        <w:rPr>
          <w:sz w:val="22"/>
          <w:szCs w:val="22"/>
        </w:rPr>
        <w:t>0%作为</w:t>
      </w:r>
      <w:r>
        <w:rPr>
          <w:rFonts w:hint="eastAsia"/>
          <w:sz w:val="22"/>
          <w:szCs w:val="22"/>
          <w:lang w:eastAsia="zh-Hans"/>
        </w:rPr>
        <w:t>预付款</w:t>
      </w:r>
      <w:r>
        <w:rPr>
          <w:rFonts w:hint="eastAsia"/>
          <w:sz w:val="22"/>
          <w:szCs w:val="22"/>
        </w:rPr>
        <w:t>。</w:t>
      </w:r>
    </w:p>
    <w:p>
      <w:pPr>
        <w:spacing w:line="400" w:lineRule="exact"/>
        <w:ind w:firstLine="440" w:firstLineChars="200"/>
        <w:rPr>
          <w:sz w:val="22"/>
          <w:szCs w:val="22"/>
        </w:rPr>
      </w:pPr>
      <w:r>
        <w:rPr>
          <w:rFonts w:hint="eastAsia"/>
          <w:sz w:val="22"/>
          <w:szCs w:val="22"/>
        </w:rPr>
        <w:t>10.2</w:t>
      </w:r>
      <w:r>
        <w:rPr>
          <w:sz w:val="22"/>
          <w:szCs w:val="22"/>
        </w:rPr>
        <w:t>乙方自每项</w:t>
      </w:r>
      <w:r>
        <w:rPr>
          <w:rFonts w:hint="eastAsia"/>
          <w:sz w:val="22"/>
          <w:szCs w:val="22"/>
        </w:rPr>
        <w:t>测量项目工作完工后</w:t>
      </w:r>
      <w:r>
        <w:rPr>
          <w:sz w:val="22"/>
          <w:szCs w:val="22"/>
        </w:rPr>
        <w:t>，</w:t>
      </w:r>
      <w:r>
        <w:rPr>
          <w:rFonts w:hint="eastAsia"/>
          <w:sz w:val="22"/>
          <w:szCs w:val="22"/>
        </w:rPr>
        <w:t>由甲方</w:t>
      </w:r>
      <w:r>
        <w:rPr>
          <w:sz w:val="22"/>
          <w:szCs w:val="22"/>
        </w:rPr>
        <w:t>根据实际工作量</w:t>
      </w:r>
      <w:r>
        <w:rPr>
          <w:rFonts w:hint="eastAsia"/>
          <w:sz w:val="22"/>
          <w:szCs w:val="22"/>
        </w:rPr>
        <w:t>完成测量</w:t>
      </w:r>
      <w:r>
        <w:rPr>
          <w:sz w:val="22"/>
          <w:szCs w:val="22"/>
        </w:rPr>
        <w:t>成果验收，经甲、乙</w:t>
      </w:r>
      <w:r>
        <w:rPr>
          <w:rFonts w:hint="eastAsia"/>
          <w:sz w:val="22"/>
          <w:szCs w:val="22"/>
        </w:rPr>
        <w:t>、丙三</w:t>
      </w:r>
      <w:r>
        <w:rPr>
          <w:sz w:val="22"/>
          <w:szCs w:val="22"/>
        </w:rPr>
        <w:t>方共同审定及相关主管部门审核合格后</w:t>
      </w:r>
      <w:r>
        <w:rPr>
          <w:sz w:val="22"/>
          <w:szCs w:val="22"/>
          <w:u w:val="single"/>
        </w:rPr>
        <w:t>15</w:t>
      </w:r>
      <w:r>
        <w:rPr>
          <w:rFonts w:hint="eastAsia"/>
          <w:sz w:val="22"/>
          <w:szCs w:val="22"/>
          <w:u w:val="single"/>
        </w:rPr>
        <w:t>个工作日</w:t>
      </w:r>
      <w:r>
        <w:rPr>
          <w:rFonts w:hint="eastAsia"/>
          <w:sz w:val="22"/>
          <w:szCs w:val="22"/>
        </w:rPr>
        <w:t>内</w:t>
      </w:r>
      <w:r>
        <w:rPr>
          <w:sz w:val="22"/>
          <w:szCs w:val="22"/>
        </w:rPr>
        <w:t>，</w:t>
      </w:r>
      <w:r>
        <w:rPr>
          <w:rFonts w:hint="eastAsia"/>
          <w:sz w:val="22"/>
          <w:szCs w:val="22"/>
          <w:lang w:val="en-US" w:eastAsia="zh-CN"/>
        </w:rPr>
        <w:t>丙方</w:t>
      </w:r>
      <w:r>
        <w:rPr>
          <w:rFonts w:hint="eastAsia"/>
          <w:sz w:val="22"/>
          <w:szCs w:val="22"/>
        </w:rPr>
        <w:t>支付至</w:t>
      </w:r>
      <w:r>
        <w:rPr>
          <w:sz w:val="22"/>
          <w:szCs w:val="22"/>
        </w:rPr>
        <w:t>该项测量费的</w:t>
      </w:r>
      <w:r>
        <w:rPr>
          <w:rFonts w:hint="eastAsia"/>
          <w:sz w:val="22"/>
          <w:szCs w:val="22"/>
        </w:rPr>
        <w:t>90%</w:t>
      </w:r>
      <w:r>
        <w:rPr>
          <w:sz w:val="22"/>
          <w:szCs w:val="22"/>
        </w:rPr>
        <w:t>。</w:t>
      </w:r>
    </w:p>
    <w:p>
      <w:pPr>
        <w:spacing w:line="400" w:lineRule="exact"/>
        <w:ind w:firstLine="440" w:firstLineChars="200"/>
        <w:rPr>
          <w:sz w:val="22"/>
          <w:szCs w:val="22"/>
        </w:rPr>
      </w:pPr>
      <w:r>
        <w:rPr>
          <w:rFonts w:hint="eastAsia"/>
          <w:sz w:val="22"/>
          <w:szCs w:val="22"/>
        </w:rPr>
        <w:t>10.3</w:t>
      </w:r>
      <w:r>
        <w:rPr>
          <w:sz w:val="22"/>
          <w:szCs w:val="22"/>
        </w:rPr>
        <w:t>自</w:t>
      </w:r>
      <w:r>
        <w:rPr>
          <w:rFonts w:hint="eastAsia"/>
          <w:sz w:val="22"/>
          <w:szCs w:val="22"/>
        </w:rPr>
        <w:t>全部测量项目完工且全部测量</w:t>
      </w:r>
      <w:r>
        <w:rPr>
          <w:sz w:val="22"/>
          <w:szCs w:val="22"/>
        </w:rPr>
        <w:t>成果均提交相关主管部门审核合格并</w:t>
      </w:r>
      <w:r>
        <w:rPr>
          <w:rFonts w:hint="eastAsia"/>
          <w:sz w:val="22"/>
          <w:szCs w:val="22"/>
        </w:rPr>
        <w:t>且甲方、丙方</w:t>
      </w:r>
      <w:r>
        <w:rPr>
          <w:sz w:val="22"/>
          <w:szCs w:val="22"/>
        </w:rPr>
        <w:t>完成结算资料审核之日起</w:t>
      </w:r>
      <w:r>
        <w:rPr>
          <w:sz w:val="22"/>
          <w:szCs w:val="22"/>
          <w:u w:val="single"/>
        </w:rPr>
        <w:t>30</w:t>
      </w:r>
      <w:r>
        <w:rPr>
          <w:rFonts w:hint="eastAsia"/>
          <w:sz w:val="22"/>
          <w:szCs w:val="22"/>
          <w:u w:val="single"/>
        </w:rPr>
        <w:t>个工作</w:t>
      </w:r>
      <w:r>
        <w:rPr>
          <w:sz w:val="22"/>
          <w:szCs w:val="22"/>
        </w:rPr>
        <w:t>日内，</w:t>
      </w:r>
      <w:r>
        <w:rPr>
          <w:rFonts w:hint="eastAsia"/>
          <w:sz w:val="22"/>
          <w:szCs w:val="22"/>
        </w:rPr>
        <w:t>丙</w:t>
      </w:r>
      <w:r>
        <w:rPr>
          <w:sz w:val="22"/>
          <w:szCs w:val="22"/>
        </w:rPr>
        <w:t>方向乙方</w:t>
      </w:r>
      <w:r>
        <w:rPr>
          <w:rFonts w:hint="eastAsia"/>
          <w:sz w:val="22"/>
          <w:szCs w:val="22"/>
        </w:rPr>
        <w:t>支付</w:t>
      </w:r>
      <w:r>
        <w:rPr>
          <w:sz w:val="22"/>
          <w:szCs w:val="22"/>
        </w:rPr>
        <w:t xml:space="preserve">剩余结算款。 </w:t>
      </w:r>
    </w:p>
    <w:p>
      <w:pPr>
        <w:spacing w:line="400" w:lineRule="exact"/>
        <w:ind w:firstLine="440" w:firstLineChars="200"/>
        <w:rPr>
          <w:b/>
          <w:bCs/>
          <w:sz w:val="22"/>
          <w:szCs w:val="22"/>
        </w:rPr>
      </w:pPr>
      <w:r>
        <w:rPr>
          <w:rFonts w:hint="eastAsia"/>
          <w:sz w:val="22"/>
          <w:szCs w:val="22"/>
        </w:rPr>
        <w:t>10.4</w:t>
      </w:r>
      <w:r>
        <w:rPr>
          <w:rFonts w:hint="eastAsia" w:hAnsi="宋体"/>
          <w:sz w:val="22"/>
          <w:szCs w:val="22"/>
        </w:rPr>
        <w:t>每次付款前，乙方必须提供合法、有效、与本合同总价款条款中增值税税率一致的增值税专用发票给丙方，否则丙方有权拒绝付款且不构成违约；在丙方除支付质保金（若有）外的最后一期款项前，乙方须连同当期支付款项发票和质保金（若有）发票一并提交给丙方；若后期出现质保问题，按照质保责任和条款，部分或全部扣除质保金（若有）的，不退还相应金额的发票。若合同执行期间，遇国家税务政策调整所引起的合同价格变化，按照不含税价格调整结算价格。</w:t>
      </w:r>
    </w:p>
    <w:p>
      <w:pPr>
        <w:tabs>
          <w:tab w:val="left" w:pos="2052"/>
        </w:tabs>
      </w:pPr>
      <w:r>
        <w:rPr>
          <w:rFonts w:hint="eastAsia"/>
        </w:rPr>
        <w:tab/>
      </w:r>
    </w:p>
    <w:p>
      <w:pPr>
        <w:spacing w:line="400" w:lineRule="exact"/>
        <w:rPr>
          <w:rFonts w:ascii="宋体" w:hAnsi="宋体" w:cs="宋体"/>
          <w:b/>
          <w:bCs/>
          <w:sz w:val="22"/>
          <w:szCs w:val="22"/>
        </w:rPr>
      </w:pPr>
      <w:r>
        <w:rPr>
          <w:rFonts w:hint="eastAsia" w:ascii="宋体" w:hAnsi="宋体" w:cs="宋体"/>
          <w:b/>
          <w:bCs/>
          <w:sz w:val="22"/>
          <w:szCs w:val="22"/>
        </w:rPr>
        <w:t>第十一条 知识产权</w:t>
      </w:r>
    </w:p>
    <w:p>
      <w:pPr>
        <w:spacing w:line="400" w:lineRule="exact"/>
        <w:ind w:firstLine="440" w:firstLineChars="200"/>
        <w:rPr>
          <w:sz w:val="22"/>
          <w:szCs w:val="22"/>
        </w:rPr>
      </w:pPr>
      <w:r>
        <w:rPr>
          <w:rFonts w:hint="eastAsia"/>
          <w:sz w:val="22"/>
          <w:szCs w:val="22"/>
        </w:rPr>
        <w:t>11.1甲方、丙方提交给乙方使用的素材与资料，其知识产权仍归甲方、丙方所有。除为本合同目的而使用之外，乙方不得复制、使用及提供给第三方。</w:t>
      </w:r>
    </w:p>
    <w:p>
      <w:pPr>
        <w:spacing w:line="400" w:lineRule="exact"/>
        <w:ind w:firstLine="440" w:firstLineChars="200"/>
        <w:rPr>
          <w:sz w:val="22"/>
          <w:szCs w:val="22"/>
        </w:rPr>
      </w:pPr>
      <w:r>
        <w:rPr>
          <w:rFonts w:hint="eastAsia"/>
          <w:sz w:val="22"/>
          <w:szCs w:val="22"/>
        </w:rPr>
        <w:t>11.2乙方向丙方提交的工作成果的全部知识产权均归丙方所有；丙方有权自行决定发表、修改、使用等，相关收益归丙方所有。</w:t>
      </w:r>
    </w:p>
    <w:p>
      <w:pPr>
        <w:spacing w:line="400" w:lineRule="exact"/>
        <w:ind w:firstLine="440" w:firstLineChars="200"/>
        <w:rPr>
          <w:sz w:val="22"/>
          <w:szCs w:val="22"/>
        </w:rPr>
      </w:pPr>
      <w:r>
        <w:rPr>
          <w:rFonts w:hint="eastAsia"/>
          <w:sz w:val="22"/>
          <w:szCs w:val="22"/>
        </w:rPr>
        <w:t>11.3乙方保证向甲方、丙方交付的工作成果（包括但不限于工作成果所使用的素材）不侵犯第三方的知识产权等权利，保证甲方及/或丙方在使用该工作成果时免受第三方提出侵犯其任何专利权、著作权、商标权、商业秘密或其他知识产权的起诉及索赔。</w:t>
      </w:r>
    </w:p>
    <w:p>
      <w:pPr>
        <w:spacing w:line="400" w:lineRule="exact"/>
        <w:ind w:firstLine="440" w:firstLineChars="200"/>
        <w:rPr>
          <w:sz w:val="22"/>
          <w:szCs w:val="22"/>
        </w:rPr>
      </w:pPr>
      <w:r>
        <w:rPr>
          <w:rFonts w:hint="eastAsia"/>
          <w:sz w:val="22"/>
          <w:szCs w:val="22"/>
        </w:rPr>
        <w:t>11.4对任何因乙方交付的工作成果侵犯第三方专利权、著作权、商标权、商业秘密或其他知识产权导致第三方向甲方及/或丙方主张权利的，甲方及/或丙方应及时通知乙方，乙方将自费就上述权利主张为甲方及/或丙方辩护，并承担因此导致的一切法律责任，包括但不限于法院最终判决的或和解达成的一切费用（包括但不限于损害赔偿金和律师费等费用）。若</w:t>
      </w:r>
      <w:r>
        <w:rPr>
          <w:rFonts w:hint="eastAsia"/>
          <w:sz w:val="22"/>
          <w:szCs w:val="22"/>
          <w:lang w:val="en-US" w:eastAsia="zh-CN"/>
        </w:rPr>
        <w:t>甲方</w:t>
      </w:r>
      <w:r>
        <w:rPr>
          <w:rFonts w:hint="eastAsia"/>
          <w:sz w:val="22"/>
          <w:szCs w:val="22"/>
        </w:rPr>
        <w:t>及/或丙方受到此类索赔或起诉，并因此造成甲方及/或丙方的一切损失由乙方承担，甲方及丙方有权解除合同，同时乙方应向甲方及/或丙方支付合同总价</w:t>
      </w:r>
      <w:r>
        <w:rPr>
          <w:sz w:val="22"/>
          <w:szCs w:val="22"/>
        </w:rPr>
        <w:t>1</w:t>
      </w:r>
      <w:r>
        <w:rPr>
          <w:rFonts w:hint="eastAsia"/>
          <w:sz w:val="22"/>
          <w:szCs w:val="22"/>
        </w:rPr>
        <w:t>0%的违约金。前述违约金不足以弥补甲方及/或丙方损失的，甲方及/或丙方有权继续追偿。</w:t>
      </w:r>
    </w:p>
    <w:p/>
    <w:p>
      <w:pPr>
        <w:spacing w:line="400" w:lineRule="exact"/>
        <w:rPr>
          <w:rFonts w:ascii="宋体" w:hAnsi="宋体" w:cs="宋体"/>
          <w:b/>
          <w:bCs/>
          <w:sz w:val="22"/>
          <w:szCs w:val="22"/>
        </w:rPr>
      </w:pPr>
      <w:r>
        <w:rPr>
          <w:rFonts w:hint="eastAsia" w:ascii="宋体" w:hAnsi="宋体" w:cs="宋体"/>
          <w:b/>
          <w:bCs/>
          <w:sz w:val="22"/>
          <w:szCs w:val="22"/>
        </w:rPr>
        <w:t>第十二条 保密条款</w:t>
      </w:r>
    </w:p>
    <w:p>
      <w:pPr>
        <w:spacing w:line="400" w:lineRule="exact"/>
        <w:ind w:firstLine="440" w:firstLineChars="200"/>
      </w:pPr>
      <w:r>
        <w:rPr>
          <w:sz w:val="22"/>
          <w:szCs w:val="22"/>
        </w:rPr>
        <w:t>乙方保证对在讨论、签订、履行本合同过程中所获悉的属于</w:t>
      </w:r>
      <w:r>
        <w:rPr>
          <w:rFonts w:hint="eastAsia"/>
          <w:sz w:val="22"/>
          <w:szCs w:val="22"/>
        </w:rPr>
        <w:t>甲方及/或丙方、甲方及/或丙方</w:t>
      </w:r>
      <w:r>
        <w:rPr>
          <w:sz w:val="22"/>
          <w:szCs w:val="22"/>
        </w:rPr>
        <w:t>关联方的且无法自公开渠道的文件及资料（包括但不限于商业秘密、公司计划、运营活动、财务信息、技术信息、经营信息及其他商业秘密）予以保密。未经</w:t>
      </w:r>
      <w:r>
        <w:rPr>
          <w:rFonts w:hint="eastAsia"/>
          <w:sz w:val="22"/>
          <w:szCs w:val="22"/>
        </w:rPr>
        <w:t>甲方及/或丙方</w:t>
      </w:r>
      <w:r>
        <w:rPr>
          <w:sz w:val="22"/>
          <w:szCs w:val="22"/>
        </w:rPr>
        <w:t>同意，乙方不得超出本合同约定的目的和范围使用该商业秘密，不得向任何第三方泄露该商业秘密的全部或部分内容。前述保密义务，在本合同终止或解除之后仍需履行。如乙方或乙方员工泄露</w:t>
      </w:r>
      <w:r>
        <w:rPr>
          <w:rFonts w:hint="eastAsia"/>
          <w:sz w:val="22"/>
          <w:szCs w:val="22"/>
          <w:lang w:val="en-US" w:eastAsia="zh-CN"/>
        </w:rPr>
        <w:t>甲</w:t>
      </w:r>
      <w:r>
        <w:rPr>
          <w:rFonts w:hint="eastAsia"/>
          <w:sz w:val="22"/>
          <w:szCs w:val="22"/>
        </w:rPr>
        <w:t>方及/或丙方</w:t>
      </w:r>
      <w:r>
        <w:rPr>
          <w:sz w:val="22"/>
          <w:szCs w:val="22"/>
        </w:rPr>
        <w:t>的商业秘密致使</w:t>
      </w:r>
      <w:r>
        <w:rPr>
          <w:rFonts w:hint="eastAsia"/>
          <w:sz w:val="22"/>
          <w:szCs w:val="22"/>
        </w:rPr>
        <w:t>甲方及/或丙</w:t>
      </w:r>
      <w:r>
        <w:rPr>
          <w:sz w:val="22"/>
          <w:szCs w:val="22"/>
        </w:rPr>
        <w:t>方受到损失的，由乙方承担赔偿责任。</w:t>
      </w:r>
    </w:p>
    <w:p>
      <w:pPr>
        <w:spacing w:line="400" w:lineRule="exact"/>
        <w:rPr>
          <w:b/>
          <w:bCs/>
          <w:sz w:val="22"/>
          <w:szCs w:val="22"/>
        </w:rPr>
      </w:pPr>
    </w:p>
    <w:p>
      <w:pPr>
        <w:spacing w:line="400" w:lineRule="exact"/>
        <w:rPr>
          <w:b/>
          <w:bCs/>
          <w:sz w:val="22"/>
          <w:szCs w:val="22"/>
        </w:rPr>
      </w:pPr>
      <w:r>
        <w:rPr>
          <w:b/>
          <w:bCs/>
          <w:sz w:val="22"/>
          <w:szCs w:val="22"/>
        </w:rPr>
        <w:t>第十</w:t>
      </w:r>
      <w:r>
        <w:rPr>
          <w:rFonts w:hint="eastAsia"/>
          <w:b/>
          <w:bCs/>
          <w:sz w:val="22"/>
          <w:szCs w:val="22"/>
        </w:rPr>
        <w:t>三</w:t>
      </w:r>
      <w:r>
        <w:rPr>
          <w:b/>
          <w:bCs/>
          <w:sz w:val="22"/>
          <w:szCs w:val="22"/>
        </w:rPr>
        <w:t>条</w:t>
      </w:r>
      <w:r>
        <w:rPr>
          <w:rFonts w:hint="eastAsia"/>
          <w:b/>
          <w:bCs/>
          <w:sz w:val="22"/>
          <w:szCs w:val="22"/>
        </w:rPr>
        <w:t xml:space="preserve"> 违约责任</w:t>
      </w:r>
    </w:p>
    <w:p>
      <w:pPr>
        <w:spacing w:line="400" w:lineRule="exact"/>
        <w:ind w:firstLine="440" w:firstLineChars="200"/>
        <w:rPr>
          <w:b/>
          <w:bCs/>
          <w:sz w:val="22"/>
          <w:szCs w:val="22"/>
        </w:rPr>
      </w:pPr>
      <w:r>
        <w:rPr>
          <w:rFonts w:hint="eastAsia"/>
          <w:b/>
          <w:bCs/>
          <w:sz w:val="22"/>
          <w:szCs w:val="22"/>
        </w:rPr>
        <w:t>13.1</w:t>
      </w:r>
      <w:r>
        <w:rPr>
          <w:b/>
          <w:bCs/>
          <w:sz w:val="22"/>
          <w:szCs w:val="22"/>
        </w:rPr>
        <w:t xml:space="preserve">乙方违约责任 </w:t>
      </w:r>
    </w:p>
    <w:p>
      <w:pPr>
        <w:spacing w:line="400" w:lineRule="exact"/>
        <w:ind w:firstLine="440" w:firstLineChars="200"/>
        <w:rPr>
          <w:sz w:val="22"/>
          <w:szCs w:val="22"/>
        </w:rPr>
      </w:pPr>
      <w:r>
        <w:rPr>
          <w:rFonts w:hint="eastAsia"/>
          <w:sz w:val="22"/>
          <w:szCs w:val="22"/>
        </w:rPr>
        <w:t>13.1.1</w:t>
      </w:r>
      <w:r>
        <w:rPr>
          <w:sz w:val="22"/>
          <w:szCs w:val="22"/>
        </w:rPr>
        <w:t>合同签订后，如乙方擅自中途停止或解除合同，</w:t>
      </w:r>
      <w:r>
        <w:rPr>
          <w:rFonts w:hint="eastAsia"/>
          <w:sz w:val="22"/>
          <w:szCs w:val="22"/>
        </w:rPr>
        <w:t>乙方应当向丙方支付相当于合同总金额10%的违约金，如丙方的实际损失超出违约金数额的，丙方还有权就超出部分损失向乙方主张赔偿责任。</w:t>
      </w:r>
    </w:p>
    <w:p>
      <w:pPr>
        <w:spacing w:line="400" w:lineRule="exact"/>
        <w:ind w:firstLine="440" w:firstLineChars="200"/>
        <w:rPr>
          <w:sz w:val="22"/>
          <w:szCs w:val="22"/>
        </w:rPr>
      </w:pPr>
      <w:r>
        <w:rPr>
          <w:rFonts w:hint="eastAsia"/>
          <w:sz w:val="22"/>
          <w:szCs w:val="22"/>
        </w:rPr>
        <w:t>13.1.2</w:t>
      </w:r>
      <w:r>
        <w:rPr>
          <w:sz w:val="22"/>
          <w:szCs w:val="22"/>
        </w:rPr>
        <w:t>乙方未能按合同规定的日期提交</w:t>
      </w:r>
      <w:r>
        <w:rPr>
          <w:rFonts w:hint="eastAsia"/>
          <w:sz w:val="22"/>
          <w:szCs w:val="22"/>
        </w:rPr>
        <w:t>测量</w:t>
      </w:r>
      <w:r>
        <w:rPr>
          <w:sz w:val="22"/>
          <w:szCs w:val="22"/>
        </w:rPr>
        <w:t>成果时，应向</w:t>
      </w:r>
      <w:r>
        <w:rPr>
          <w:rFonts w:hint="eastAsia"/>
          <w:sz w:val="22"/>
          <w:szCs w:val="22"/>
        </w:rPr>
        <w:t>丙</w:t>
      </w:r>
      <w:r>
        <w:rPr>
          <w:sz w:val="22"/>
          <w:szCs w:val="22"/>
        </w:rPr>
        <w:t>方赔偿</w:t>
      </w:r>
      <w:r>
        <w:rPr>
          <w:rFonts w:hint="eastAsia"/>
          <w:sz w:val="22"/>
          <w:szCs w:val="22"/>
          <w:lang w:eastAsia="zh-Hans"/>
        </w:rPr>
        <w:t>逾期交付违约金</w:t>
      </w:r>
      <w:r>
        <w:rPr>
          <w:sz w:val="22"/>
          <w:szCs w:val="22"/>
        </w:rPr>
        <w:t>，</w:t>
      </w:r>
      <w:r>
        <w:rPr>
          <w:rFonts w:hint="eastAsia"/>
          <w:sz w:val="22"/>
          <w:szCs w:val="22"/>
          <w:lang w:eastAsia="zh-Hans"/>
        </w:rPr>
        <w:t>每逾期一日</w:t>
      </w:r>
      <w:r>
        <w:rPr>
          <w:sz w:val="22"/>
          <w:szCs w:val="22"/>
          <w:lang w:eastAsia="zh-Hans"/>
        </w:rPr>
        <w:t>，</w:t>
      </w:r>
      <w:r>
        <w:rPr>
          <w:rFonts w:hint="eastAsia"/>
          <w:sz w:val="22"/>
          <w:szCs w:val="22"/>
          <w:lang w:eastAsia="zh-Hans"/>
        </w:rPr>
        <w:t>乙方应每日</w:t>
      </w:r>
      <w:r>
        <w:rPr>
          <w:sz w:val="22"/>
          <w:szCs w:val="22"/>
        </w:rPr>
        <w:t>按合同</w:t>
      </w:r>
      <w:r>
        <w:rPr>
          <w:rFonts w:hint="eastAsia"/>
          <w:sz w:val="22"/>
          <w:szCs w:val="22"/>
        </w:rPr>
        <w:t>总价款</w:t>
      </w:r>
      <w:r>
        <w:rPr>
          <w:sz w:val="22"/>
          <w:szCs w:val="22"/>
        </w:rPr>
        <w:t>的</w:t>
      </w:r>
      <w:r>
        <w:rPr>
          <w:rFonts w:hint="eastAsia"/>
          <w:sz w:val="22"/>
          <w:szCs w:val="22"/>
          <w:u w:val="single"/>
        </w:rPr>
        <w:t>千分之一或1000元（二者取大值）</w:t>
      </w:r>
      <w:r>
        <w:rPr>
          <w:rFonts w:hint="eastAsia"/>
          <w:sz w:val="22"/>
          <w:szCs w:val="22"/>
          <w:lang w:eastAsia="zh-Hans"/>
        </w:rPr>
        <w:t>向</w:t>
      </w:r>
      <w:r>
        <w:rPr>
          <w:rFonts w:hint="eastAsia"/>
          <w:sz w:val="22"/>
          <w:szCs w:val="22"/>
        </w:rPr>
        <w:t>丙</w:t>
      </w:r>
      <w:r>
        <w:rPr>
          <w:rFonts w:hint="eastAsia"/>
          <w:sz w:val="22"/>
          <w:szCs w:val="22"/>
          <w:lang w:eastAsia="zh-Hans"/>
        </w:rPr>
        <w:t>方支付逾期交付违约金</w:t>
      </w:r>
      <w:r>
        <w:rPr>
          <w:sz w:val="22"/>
          <w:szCs w:val="22"/>
        </w:rPr>
        <w:t>。</w:t>
      </w:r>
      <w:r>
        <w:rPr>
          <w:rFonts w:hint="eastAsia"/>
          <w:sz w:val="22"/>
          <w:szCs w:val="22"/>
        </w:rPr>
        <w:t>逾期超过</w:t>
      </w:r>
      <w:r>
        <w:rPr>
          <w:rFonts w:hint="eastAsia"/>
          <w:sz w:val="22"/>
          <w:szCs w:val="22"/>
          <w:u w:val="single"/>
        </w:rPr>
        <w:t xml:space="preserve">   60  </w:t>
      </w:r>
      <w:r>
        <w:rPr>
          <w:rFonts w:hint="eastAsia"/>
          <w:sz w:val="22"/>
          <w:szCs w:val="22"/>
        </w:rPr>
        <w:t>日，丙方有权解除本合同，并有权要求乙方支付相当于合同总金额10%的违约金，如丙方的实际损失超出违约金数额的，丙方还有权就超出部分损失向乙方主张赔偿责任。</w:t>
      </w:r>
      <w:r>
        <w:rPr>
          <w:sz w:val="22"/>
          <w:szCs w:val="22"/>
        </w:rPr>
        <w:t>因天气、交通、政府行为、</w:t>
      </w:r>
      <w:r>
        <w:rPr>
          <w:rFonts w:hint="eastAsia"/>
          <w:sz w:val="22"/>
          <w:szCs w:val="22"/>
        </w:rPr>
        <w:t>甲方</w:t>
      </w:r>
      <w:r>
        <w:rPr>
          <w:rFonts w:hint="eastAsia"/>
          <w:sz w:val="22"/>
          <w:szCs w:val="22"/>
          <w:lang w:val="en-US" w:eastAsia="zh-CN"/>
        </w:rPr>
        <w:t>及/或</w:t>
      </w:r>
      <w:r>
        <w:rPr>
          <w:rFonts w:hint="eastAsia"/>
          <w:sz w:val="22"/>
          <w:szCs w:val="22"/>
        </w:rPr>
        <w:t>丙</w:t>
      </w:r>
      <w:r>
        <w:rPr>
          <w:sz w:val="22"/>
          <w:szCs w:val="22"/>
        </w:rPr>
        <w:t>方提供的资料不准确等影响</w:t>
      </w:r>
      <w:r>
        <w:rPr>
          <w:rFonts w:hint="eastAsia"/>
          <w:sz w:val="22"/>
          <w:szCs w:val="22"/>
        </w:rPr>
        <w:t>测量</w:t>
      </w:r>
      <w:r>
        <w:rPr>
          <w:sz w:val="22"/>
          <w:szCs w:val="22"/>
        </w:rPr>
        <w:t>作业的客观原因造成</w:t>
      </w:r>
      <w:r>
        <w:rPr>
          <w:rFonts w:hint="eastAsia"/>
          <w:sz w:val="22"/>
          <w:szCs w:val="22"/>
          <w:lang w:eastAsia="zh-Hans"/>
        </w:rPr>
        <w:t>逾期交付</w:t>
      </w:r>
      <w:r>
        <w:rPr>
          <w:sz w:val="22"/>
          <w:szCs w:val="22"/>
        </w:rPr>
        <w:t>，</w:t>
      </w:r>
      <w:r>
        <w:rPr>
          <w:rFonts w:hint="eastAsia"/>
          <w:sz w:val="22"/>
          <w:szCs w:val="22"/>
          <w:lang w:eastAsia="zh-Hans"/>
        </w:rPr>
        <w:t>经甲方</w:t>
      </w:r>
      <w:r>
        <w:rPr>
          <w:rFonts w:hint="eastAsia"/>
          <w:sz w:val="22"/>
          <w:szCs w:val="22"/>
        </w:rPr>
        <w:t>、丙方</w:t>
      </w:r>
      <w:r>
        <w:rPr>
          <w:rFonts w:hint="eastAsia"/>
          <w:sz w:val="22"/>
          <w:szCs w:val="22"/>
          <w:lang w:eastAsia="zh-Hans"/>
        </w:rPr>
        <w:t>书面确认</w:t>
      </w:r>
      <w:r>
        <w:rPr>
          <w:sz w:val="22"/>
          <w:szCs w:val="22"/>
          <w:lang w:eastAsia="zh-Hans"/>
        </w:rPr>
        <w:t>，</w:t>
      </w:r>
      <w:r>
        <w:rPr>
          <w:sz w:val="22"/>
          <w:szCs w:val="22"/>
        </w:rPr>
        <w:t xml:space="preserve">乙方不承担赔偿责任。 </w:t>
      </w:r>
    </w:p>
    <w:p>
      <w:pPr>
        <w:spacing w:line="400" w:lineRule="exact"/>
        <w:ind w:firstLine="440" w:firstLineChars="200"/>
        <w:rPr>
          <w:sz w:val="22"/>
          <w:szCs w:val="22"/>
        </w:rPr>
      </w:pPr>
      <w:r>
        <w:rPr>
          <w:rFonts w:hint="eastAsia"/>
          <w:sz w:val="22"/>
          <w:szCs w:val="22"/>
        </w:rPr>
        <w:t>13.1.3</w:t>
      </w:r>
      <w:r>
        <w:rPr>
          <w:sz w:val="22"/>
          <w:szCs w:val="22"/>
        </w:rPr>
        <w:t>乙方提供的</w:t>
      </w:r>
      <w:r>
        <w:rPr>
          <w:rFonts w:hint="eastAsia"/>
          <w:sz w:val="22"/>
          <w:szCs w:val="22"/>
        </w:rPr>
        <w:t>测量</w:t>
      </w:r>
      <w:r>
        <w:rPr>
          <w:sz w:val="22"/>
          <w:szCs w:val="22"/>
        </w:rPr>
        <w:t>成果质量不合格的，乙方应负责无偿予以重测或采取补救措施，以达到质量要求。</w:t>
      </w:r>
      <w:r>
        <w:rPr>
          <w:rFonts w:hint="eastAsia"/>
          <w:sz w:val="22"/>
          <w:szCs w:val="22"/>
        </w:rPr>
        <w:t>测量</w:t>
      </w:r>
      <w:r>
        <w:rPr>
          <w:sz w:val="22"/>
          <w:szCs w:val="22"/>
        </w:rPr>
        <w:t>成果质量不符合合同要求</w:t>
      </w:r>
      <w:r>
        <w:rPr>
          <w:rFonts w:hint="eastAsia"/>
          <w:sz w:val="22"/>
          <w:szCs w:val="22"/>
        </w:rPr>
        <w:t>的</w:t>
      </w:r>
      <w:r>
        <w:rPr>
          <w:sz w:val="22"/>
          <w:szCs w:val="22"/>
        </w:rPr>
        <w:t>，乙方应对因此造成的</w:t>
      </w:r>
      <w:r>
        <w:rPr>
          <w:rFonts w:hint="eastAsia"/>
          <w:sz w:val="22"/>
          <w:szCs w:val="22"/>
          <w:lang w:eastAsia="zh-Hans"/>
        </w:rPr>
        <w:t>全部</w:t>
      </w:r>
      <w:r>
        <w:rPr>
          <w:sz w:val="22"/>
          <w:szCs w:val="22"/>
        </w:rPr>
        <w:t>损失负赔偿责任，并承担相应的法律责任。</w:t>
      </w:r>
    </w:p>
    <w:p>
      <w:pPr>
        <w:spacing w:line="400" w:lineRule="exact"/>
        <w:ind w:firstLine="440" w:firstLineChars="200"/>
        <w:rPr>
          <w:sz w:val="22"/>
          <w:szCs w:val="22"/>
        </w:rPr>
      </w:pPr>
      <w:r>
        <w:rPr>
          <w:rFonts w:hint="eastAsia"/>
          <w:sz w:val="22"/>
          <w:szCs w:val="22"/>
        </w:rPr>
        <w:t>13.1.4</w:t>
      </w:r>
      <w:r>
        <w:rPr>
          <w:sz w:val="22"/>
          <w:szCs w:val="22"/>
        </w:rPr>
        <w:t>乙方擅自转包本合同标的，甲方</w:t>
      </w:r>
      <w:r>
        <w:rPr>
          <w:rFonts w:hint="eastAsia"/>
          <w:sz w:val="22"/>
          <w:szCs w:val="22"/>
        </w:rPr>
        <w:t>及丙方</w:t>
      </w:r>
      <w:r>
        <w:rPr>
          <w:sz w:val="22"/>
          <w:szCs w:val="22"/>
        </w:rPr>
        <w:t>有权解除合同</w:t>
      </w:r>
      <w:r>
        <w:rPr>
          <w:rFonts w:hint="eastAsia"/>
          <w:sz w:val="22"/>
          <w:szCs w:val="22"/>
        </w:rPr>
        <w:t>，乙方应向丙方支付相当于合同总金额10%的违约金，如甲方及/或丙方的实际损失超出违约金数额的，甲方及/或丙方还有权就超出部分损失向乙方主张赔偿责任。</w:t>
      </w:r>
    </w:p>
    <w:p>
      <w:pPr>
        <w:spacing w:line="400" w:lineRule="exact"/>
        <w:ind w:firstLine="440" w:firstLineChars="200"/>
        <w:rPr>
          <w:sz w:val="22"/>
          <w:szCs w:val="22"/>
        </w:rPr>
      </w:pPr>
      <w:r>
        <w:rPr>
          <w:rFonts w:hint="eastAsia"/>
          <w:sz w:val="22"/>
          <w:szCs w:val="22"/>
        </w:rPr>
        <w:t>13.1.5如乙方违约的，甲方、丙方除有权要求乙方承担违约责任外，还有权要求乙方支付维权成本，包括但不限于诉讼/仲裁费、调查取证费/公证费/鉴定费、律师费、保全费、担保费、差旅费等维权费用及其他合理费用。</w:t>
      </w:r>
    </w:p>
    <w:p>
      <w:pPr>
        <w:spacing w:line="400" w:lineRule="exact"/>
        <w:ind w:firstLine="440" w:firstLineChars="200"/>
        <w:rPr>
          <w:sz w:val="22"/>
          <w:szCs w:val="22"/>
        </w:rPr>
      </w:pPr>
      <w:r>
        <w:rPr>
          <w:rFonts w:hint="eastAsia"/>
          <w:sz w:val="22"/>
          <w:szCs w:val="22"/>
        </w:rPr>
        <w:t>13.1.6 因乙方原因所产生的违约金、赔偿或其他应付费用，丙方有权从乙方提供的履约担保金额或甲方应支付的合同价款中直接扣除。</w:t>
      </w:r>
    </w:p>
    <w:p>
      <w:pPr>
        <w:spacing w:line="400" w:lineRule="exact"/>
        <w:ind w:firstLine="440" w:firstLineChars="200"/>
        <w:rPr>
          <w:b/>
          <w:bCs/>
          <w:sz w:val="22"/>
          <w:szCs w:val="22"/>
        </w:rPr>
      </w:pPr>
      <w:r>
        <w:rPr>
          <w:rFonts w:hint="eastAsia"/>
          <w:b/>
          <w:bCs/>
          <w:sz w:val="22"/>
          <w:szCs w:val="22"/>
        </w:rPr>
        <w:t>13.2 丙</w:t>
      </w:r>
      <w:r>
        <w:rPr>
          <w:b/>
          <w:bCs/>
          <w:sz w:val="22"/>
          <w:szCs w:val="22"/>
        </w:rPr>
        <w:t xml:space="preserve">方违约责任 </w:t>
      </w:r>
    </w:p>
    <w:p>
      <w:pPr>
        <w:spacing w:line="400" w:lineRule="exact"/>
        <w:ind w:firstLine="440" w:firstLineChars="200"/>
        <w:rPr>
          <w:sz w:val="22"/>
          <w:szCs w:val="22"/>
        </w:rPr>
      </w:pPr>
      <w:r>
        <w:rPr>
          <w:rFonts w:hint="eastAsia"/>
          <w:sz w:val="22"/>
          <w:szCs w:val="22"/>
        </w:rPr>
        <w:t>13.2.1丙方提前解除本合同的，如乙方未实际开展工作的，应退还全部已付合同价款；如乙方已实际开展工作的，丙方应据乙方实际工作量结算合同价款，乙方不得追究甲方及/或丙方其他违约责任。</w:t>
      </w:r>
    </w:p>
    <w:p>
      <w:pPr>
        <w:spacing w:line="400" w:lineRule="exact"/>
        <w:ind w:firstLine="440" w:firstLineChars="200"/>
        <w:rPr>
          <w:sz w:val="22"/>
          <w:szCs w:val="22"/>
        </w:rPr>
      </w:pPr>
      <w:r>
        <w:rPr>
          <w:rFonts w:hint="eastAsia"/>
          <w:sz w:val="22"/>
          <w:szCs w:val="22"/>
        </w:rPr>
        <w:t>13.2.2丙方无正当理由逾期支付合同价款的，丙方应当向乙方支付逾期付款违约金。逾期付款违约金以逾期金额为本金，从丙方逾期付款当日起按照当月已发布的一年期LPR计算至合同价款付清之日。</w:t>
      </w:r>
    </w:p>
    <w:p>
      <w:pPr>
        <w:spacing w:line="400" w:lineRule="exact"/>
        <w:rPr>
          <w:sz w:val="22"/>
          <w:szCs w:val="22"/>
        </w:rPr>
      </w:pPr>
    </w:p>
    <w:p>
      <w:pPr>
        <w:spacing w:line="400" w:lineRule="exact"/>
        <w:rPr>
          <w:sz w:val="22"/>
          <w:szCs w:val="22"/>
        </w:rPr>
      </w:pPr>
      <w:r>
        <w:rPr>
          <w:b/>
          <w:bCs/>
          <w:sz w:val="22"/>
          <w:szCs w:val="22"/>
        </w:rPr>
        <w:t>第十</w:t>
      </w:r>
      <w:r>
        <w:rPr>
          <w:rFonts w:hint="eastAsia"/>
          <w:b/>
          <w:bCs/>
          <w:sz w:val="22"/>
          <w:szCs w:val="22"/>
        </w:rPr>
        <w:t>四</w:t>
      </w:r>
      <w:r>
        <w:rPr>
          <w:b/>
          <w:bCs/>
          <w:sz w:val="22"/>
          <w:szCs w:val="22"/>
        </w:rPr>
        <w:t>条</w:t>
      </w:r>
      <w:r>
        <w:rPr>
          <w:rFonts w:hint="eastAsia"/>
          <w:b/>
          <w:bCs/>
          <w:sz w:val="22"/>
          <w:szCs w:val="22"/>
        </w:rPr>
        <w:t xml:space="preserve"> </w:t>
      </w:r>
      <w:r>
        <w:rPr>
          <w:b/>
          <w:bCs/>
          <w:sz w:val="22"/>
          <w:szCs w:val="22"/>
        </w:rPr>
        <w:t>不可抗力</w:t>
      </w:r>
    </w:p>
    <w:p>
      <w:pPr>
        <w:spacing w:line="400" w:lineRule="exact"/>
        <w:ind w:firstLine="440" w:firstLineChars="200"/>
        <w:rPr>
          <w:b/>
          <w:bCs/>
          <w:sz w:val="22"/>
          <w:szCs w:val="22"/>
        </w:rPr>
      </w:pPr>
      <w:r>
        <w:rPr>
          <w:rFonts w:hint="eastAsia"/>
          <w:b/>
          <w:bCs/>
          <w:sz w:val="22"/>
          <w:szCs w:val="22"/>
        </w:rPr>
        <w:t>14.1 不可抗力的确认</w:t>
      </w:r>
    </w:p>
    <w:p>
      <w:pPr>
        <w:spacing w:line="400" w:lineRule="exact"/>
        <w:ind w:firstLine="440" w:firstLineChars="200"/>
        <w:rPr>
          <w:sz w:val="22"/>
          <w:szCs w:val="22"/>
        </w:rPr>
      </w:pPr>
      <w:r>
        <w:rPr>
          <w:rFonts w:hint="eastAsia"/>
          <w:sz w:val="22"/>
          <w:szCs w:val="22"/>
        </w:rPr>
        <w:t>不可抗力是指甲、乙、丙三方在订立合同时不可预见，在履行合同过程中不可避免发生并不能克服的自然灾害、政策的调整和社会性突发事件，如地震、海啸、瘟疫、水灾、骚乱、暴动、战争等。</w:t>
      </w:r>
    </w:p>
    <w:p>
      <w:pPr>
        <w:spacing w:line="400" w:lineRule="exact"/>
        <w:ind w:firstLine="440" w:firstLineChars="200"/>
        <w:rPr>
          <w:b/>
          <w:bCs/>
          <w:sz w:val="22"/>
          <w:szCs w:val="22"/>
        </w:rPr>
      </w:pPr>
      <w:r>
        <w:rPr>
          <w:rFonts w:hint="eastAsia"/>
          <w:b/>
          <w:bCs/>
          <w:sz w:val="22"/>
          <w:szCs w:val="22"/>
        </w:rPr>
        <w:t>14.2 不可抗力的通知</w:t>
      </w:r>
    </w:p>
    <w:p>
      <w:pPr>
        <w:spacing w:line="400" w:lineRule="exact"/>
        <w:ind w:firstLine="440" w:firstLineChars="200"/>
        <w:rPr>
          <w:sz w:val="22"/>
          <w:szCs w:val="22"/>
        </w:rPr>
      </w:pPr>
      <w:r>
        <w:rPr>
          <w:rFonts w:hint="eastAsia"/>
          <w:sz w:val="22"/>
          <w:szCs w:val="22"/>
        </w:rPr>
        <w:t>合同一方当事人遇到不可抗力事件，使其履行合同义务受到阻碍时，应立即通知合同另外几方当事人，书面说明不可抗力和受阻碍的详细情况，并提供必要的证明。</w:t>
      </w:r>
    </w:p>
    <w:p>
      <w:pPr>
        <w:spacing w:line="400" w:lineRule="exact"/>
        <w:ind w:firstLine="440" w:firstLineChars="200"/>
        <w:rPr>
          <w:b/>
          <w:bCs/>
          <w:sz w:val="22"/>
          <w:szCs w:val="22"/>
        </w:rPr>
      </w:pPr>
      <w:r>
        <w:rPr>
          <w:rFonts w:hint="eastAsia"/>
          <w:b/>
          <w:bCs/>
          <w:sz w:val="22"/>
          <w:szCs w:val="22"/>
        </w:rPr>
        <w:t>14.3 不可抗力后果及其处理</w:t>
      </w:r>
    </w:p>
    <w:p>
      <w:pPr>
        <w:spacing w:line="400" w:lineRule="exact"/>
        <w:ind w:firstLine="440" w:firstLineChars="200"/>
        <w:rPr>
          <w:sz w:val="22"/>
          <w:szCs w:val="22"/>
        </w:rPr>
      </w:pPr>
      <w:r>
        <w:rPr>
          <w:rFonts w:hint="eastAsia"/>
          <w:sz w:val="22"/>
          <w:szCs w:val="22"/>
        </w:rPr>
        <w:t>（1）合同一方延迟履行，在延迟履行期间发生不可抗力的，不免除其责任。</w:t>
      </w:r>
    </w:p>
    <w:p>
      <w:pPr>
        <w:spacing w:line="400" w:lineRule="exact"/>
        <w:ind w:firstLine="440" w:firstLineChars="200"/>
        <w:rPr>
          <w:sz w:val="22"/>
          <w:szCs w:val="22"/>
        </w:rPr>
      </w:pPr>
      <w:r>
        <w:rPr>
          <w:rFonts w:hint="eastAsia"/>
          <w:sz w:val="22"/>
          <w:szCs w:val="22"/>
        </w:rPr>
        <w:t>（2）不可抗力发生后，合同各方均应采取措施尽量避免和减少损失的扩大，任何一方没有采取有效措施导致损失扩大的，应对扩大的损失承担责任。</w:t>
      </w:r>
    </w:p>
    <w:p>
      <w:pPr>
        <w:spacing w:line="400" w:lineRule="exact"/>
        <w:ind w:firstLine="440" w:firstLineChars="200"/>
        <w:rPr>
          <w:sz w:val="22"/>
          <w:szCs w:val="22"/>
        </w:rPr>
      </w:pPr>
      <w:r>
        <w:rPr>
          <w:rFonts w:hint="eastAsia"/>
          <w:sz w:val="22"/>
          <w:szCs w:val="22"/>
        </w:rPr>
        <w:t>（3）合同一方因不可抗力不能履行合同的，应当及时通知对方解除合同。各方根据乙方实际完成工作量据实结算合同费用。</w:t>
      </w:r>
    </w:p>
    <w:p>
      <w:pPr>
        <w:spacing w:line="400" w:lineRule="exact"/>
        <w:rPr>
          <w:sz w:val="22"/>
          <w:szCs w:val="22"/>
        </w:rPr>
      </w:pPr>
    </w:p>
    <w:p>
      <w:pPr>
        <w:spacing w:line="400" w:lineRule="exact"/>
        <w:rPr>
          <w:b/>
          <w:bCs/>
          <w:sz w:val="22"/>
          <w:szCs w:val="22"/>
        </w:rPr>
      </w:pPr>
      <w:r>
        <w:rPr>
          <w:b/>
          <w:bCs/>
          <w:sz w:val="22"/>
          <w:szCs w:val="22"/>
        </w:rPr>
        <w:t>第十</w:t>
      </w:r>
      <w:r>
        <w:rPr>
          <w:rFonts w:hint="eastAsia"/>
          <w:b/>
          <w:bCs/>
          <w:sz w:val="22"/>
          <w:szCs w:val="22"/>
        </w:rPr>
        <w:t>五</w:t>
      </w:r>
      <w:r>
        <w:rPr>
          <w:b/>
          <w:bCs/>
          <w:sz w:val="22"/>
          <w:szCs w:val="22"/>
        </w:rPr>
        <w:t>条</w:t>
      </w:r>
      <w:r>
        <w:rPr>
          <w:rFonts w:hint="eastAsia"/>
          <w:b/>
          <w:bCs/>
          <w:sz w:val="22"/>
          <w:szCs w:val="22"/>
        </w:rPr>
        <w:t xml:space="preserve"> 争议解决</w:t>
      </w:r>
    </w:p>
    <w:p>
      <w:pPr>
        <w:spacing w:line="400" w:lineRule="exact"/>
        <w:ind w:firstLine="440" w:firstLineChars="200"/>
      </w:pPr>
      <w:r>
        <w:rPr>
          <w:rFonts w:hint="eastAsia"/>
          <w:sz w:val="22"/>
          <w:szCs w:val="22"/>
        </w:rPr>
        <w:t>本合同发生争议，各方当事人应及时协商解决；经各方协商无法解决的争议，各方同意按照以下方式解决：凡因本合同引起的或与本合同有关的任何争议，均提交项目所在地有管辖权的人民法院裁决。</w:t>
      </w:r>
    </w:p>
    <w:p>
      <w:pPr>
        <w:spacing w:line="400" w:lineRule="exact"/>
        <w:rPr>
          <w:b/>
          <w:bCs/>
          <w:sz w:val="22"/>
          <w:szCs w:val="22"/>
        </w:rPr>
      </w:pPr>
    </w:p>
    <w:p>
      <w:pPr>
        <w:spacing w:line="400" w:lineRule="exact"/>
        <w:rPr>
          <w:b/>
          <w:bCs/>
          <w:sz w:val="22"/>
          <w:szCs w:val="22"/>
        </w:rPr>
      </w:pPr>
      <w:r>
        <w:rPr>
          <w:rFonts w:hint="eastAsia"/>
          <w:b/>
          <w:bCs/>
          <w:sz w:val="22"/>
          <w:szCs w:val="22"/>
        </w:rPr>
        <w:t>第十六条 通知</w:t>
      </w:r>
    </w:p>
    <w:p>
      <w:pPr>
        <w:spacing w:line="400" w:lineRule="exact"/>
        <w:ind w:firstLine="440" w:firstLineChars="200"/>
        <w:rPr>
          <w:sz w:val="22"/>
          <w:szCs w:val="22"/>
        </w:rPr>
      </w:pPr>
      <w:r>
        <w:rPr>
          <w:rFonts w:hint="eastAsia"/>
          <w:sz w:val="22"/>
          <w:szCs w:val="22"/>
        </w:rPr>
        <w:t>各方各自指定履行本合同的联系人，一方资料、文件之交接及意见之传达、接收均通过联系人进行。</w:t>
      </w:r>
    </w:p>
    <w:p>
      <w:pPr>
        <w:ind w:firstLine="440" w:firstLineChars="200"/>
        <w:rPr>
          <w:sz w:val="22"/>
          <w:szCs w:val="22"/>
        </w:rPr>
      </w:pPr>
      <w:r>
        <w:rPr>
          <w:rFonts w:hint="eastAsia"/>
          <w:sz w:val="22"/>
          <w:szCs w:val="22"/>
        </w:rPr>
        <w:t xml:space="preserve">甲方指定联系人：                                                               </w:t>
      </w:r>
    </w:p>
    <w:p>
      <w:pPr>
        <w:ind w:firstLine="440" w:firstLineChars="200"/>
        <w:rPr>
          <w:sz w:val="22"/>
          <w:szCs w:val="22"/>
        </w:rPr>
      </w:pPr>
      <w:r>
        <w:rPr>
          <w:rFonts w:hint="eastAsia"/>
          <w:sz w:val="22"/>
          <w:szCs w:val="22"/>
        </w:rPr>
        <w:t>姓    名：_____________________________________________________</w:t>
      </w:r>
    </w:p>
    <w:p>
      <w:pPr>
        <w:spacing w:line="400" w:lineRule="exact"/>
        <w:ind w:firstLine="440" w:firstLineChars="200"/>
        <w:rPr>
          <w:sz w:val="22"/>
          <w:szCs w:val="22"/>
        </w:rPr>
      </w:pPr>
      <w:r>
        <w:rPr>
          <w:rFonts w:hint="eastAsia"/>
          <w:sz w:val="22"/>
          <w:szCs w:val="22"/>
        </w:rPr>
        <w:t>联系电话：_____________________________________________________</w:t>
      </w:r>
    </w:p>
    <w:p>
      <w:pPr>
        <w:spacing w:line="400" w:lineRule="exact"/>
        <w:ind w:firstLine="440" w:firstLineChars="200"/>
        <w:rPr>
          <w:sz w:val="22"/>
          <w:szCs w:val="22"/>
        </w:rPr>
      </w:pPr>
      <w:r>
        <w:rPr>
          <w:rFonts w:hint="eastAsia"/>
          <w:sz w:val="22"/>
          <w:szCs w:val="22"/>
        </w:rPr>
        <w:t>电子邮箱：_____________________________________________________</w:t>
      </w:r>
    </w:p>
    <w:p>
      <w:pPr>
        <w:spacing w:line="400" w:lineRule="exact"/>
        <w:ind w:left="436" w:leftChars="208"/>
        <w:jc w:val="left"/>
        <w:rPr>
          <w:sz w:val="22"/>
          <w:szCs w:val="22"/>
        </w:rPr>
      </w:pPr>
      <w:r>
        <w:rPr>
          <w:rFonts w:hint="eastAsia"/>
          <w:sz w:val="22"/>
          <w:szCs w:val="22"/>
        </w:rPr>
        <w:t xml:space="preserve">通讯地址：____________________________________________________                  乙方指定联系人：                                                             </w:t>
      </w:r>
    </w:p>
    <w:p>
      <w:pPr>
        <w:spacing w:line="400" w:lineRule="exact"/>
        <w:ind w:firstLine="440" w:firstLineChars="200"/>
        <w:rPr>
          <w:sz w:val="22"/>
          <w:szCs w:val="22"/>
        </w:rPr>
      </w:pPr>
      <w:r>
        <w:rPr>
          <w:rFonts w:hint="eastAsia"/>
          <w:sz w:val="22"/>
          <w:szCs w:val="22"/>
        </w:rPr>
        <w:t>姓    名：_____________________________________________________</w:t>
      </w:r>
    </w:p>
    <w:p>
      <w:pPr>
        <w:spacing w:line="400" w:lineRule="exact"/>
        <w:ind w:firstLine="440" w:firstLineChars="200"/>
        <w:rPr>
          <w:sz w:val="22"/>
          <w:szCs w:val="22"/>
        </w:rPr>
      </w:pPr>
      <w:r>
        <w:rPr>
          <w:rFonts w:hint="eastAsia"/>
          <w:sz w:val="22"/>
          <w:szCs w:val="22"/>
        </w:rPr>
        <w:t>联系电话：_____________________________________________________</w:t>
      </w:r>
    </w:p>
    <w:p>
      <w:pPr>
        <w:spacing w:line="400" w:lineRule="exact"/>
        <w:ind w:firstLine="440" w:firstLineChars="200"/>
        <w:rPr>
          <w:sz w:val="22"/>
          <w:szCs w:val="22"/>
        </w:rPr>
      </w:pPr>
      <w:r>
        <w:rPr>
          <w:rFonts w:hint="eastAsia"/>
          <w:sz w:val="22"/>
          <w:szCs w:val="22"/>
        </w:rPr>
        <w:t>电子邮箱：_____________________________________________________</w:t>
      </w:r>
    </w:p>
    <w:p>
      <w:pPr>
        <w:spacing w:line="400" w:lineRule="exact"/>
        <w:ind w:firstLine="440" w:firstLineChars="200"/>
        <w:rPr>
          <w:sz w:val="22"/>
          <w:szCs w:val="22"/>
        </w:rPr>
      </w:pPr>
      <w:r>
        <w:rPr>
          <w:rFonts w:hint="eastAsia"/>
          <w:sz w:val="22"/>
          <w:szCs w:val="22"/>
        </w:rPr>
        <w:t>通讯地址：_____________________________________________________</w:t>
      </w:r>
    </w:p>
    <w:p>
      <w:pPr>
        <w:spacing w:line="400" w:lineRule="exact"/>
        <w:ind w:left="436" w:leftChars="208"/>
        <w:jc w:val="left"/>
        <w:rPr>
          <w:sz w:val="22"/>
          <w:szCs w:val="22"/>
        </w:rPr>
      </w:pPr>
      <w:r>
        <w:rPr>
          <w:rFonts w:hint="eastAsia"/>
          <w:sz w:val="22"/>
          <w:szCs w:val="22"/>
        </w:rPr>
        <w:t xml:space="preserve">丙方指定联系人：                                                             </w:t>
      </w:r>
    </w:p>
    <w:p>
      <w:pPr>
        <w:spacing w:line="400" w:lineRule="exact"/>
        <w:ind w:firstLine="440" w:firstLineChars="200"/>
        <w:rPr>
          <w:sz w:val="22"/>
          <w:szCs w:val="22"/>
        </w:rPr>
      </w:pPr>
      <w:r>
        <w:rPr>
          <w:rFonts w:hint="eastAsia"/>
          <w:sz w:val="22"/>
          <w:szCs w:val="22"/>
        </w:rPr>
        <w:t>姓    名：_____________________________________________________</w:t>
      </w:r>
    </w:p>
    <w:p>
      <w:pPr>
        <w:spacing w:line="400" w:lineRule="exact"/>
        <w:ind w:firstLine="440" w:firstLineChars="200"/>
        <w:rPr>
          <w:sz w:val="22"/>
          <w:szCs w:val="22"/>
        </w:rPr>
      </w:pPr>
      <w:r>
        <w:rPr>
          <w:rFonts w:hint="eastAsia"/>
          <w:sz w:val="22"/>
          <w:szCs w:val="22"/>
        </w:rPr>
        <w:t>联系电话：_____________________________________________________</w:t>
      </w:r>
    </w:p>
    <w:p>
      <w:pPr>
        <w:spacing w:line="400" w:lineRule="exact"/>
        <w:ind w:firstLine="440" w:firstLineChars="200"/>
        <w:rPr>
          <w:sz w:val="22"/>
          <w:szCs w:val="22"/>
        </w:rPr>
      </w:pPr>
      <w:r>
        <w:rPr>
          <w:rFonts w:hint="eastAsia"/>
          <w:sz w:val="22"/>
          <w:szCs w:val="22"/>
        </w:rPr>
        <w:t>电子邮箱：_____________________________________________________</w:t>
      </w:r>
    </w:p>
    <w:p>
      <w:pPr>
        <w:spacing w:line="400" w:lineRule="exact"/>
        <w:ind w:firstLine="440" w:firstLineChars="200"/>
        <w:rPr>
          <w:rFonts w:hint="eastAsia"/>
          <w:sz w:val="22"/>
          <w:szCs w:val="22"/>
        </w:rPr>
      </w:pPr>
      <w:r>
        <w:rPr>
          <w:rFonts w:hint="eastAsia"/>
          <w:sz w:val="22"/>
          <w:szCs w:val="22"/>
        </w:rPr>
        <w:t>通讯地址：_____________________________________________________</w:t>
      </w:r>
    </w:p>
    <w:p>
      <w:pPr>
        <w:spacing w:line="400" w:lineRule="exact"/>
        <w:ind w:firstLine="440" w:firstLineChars="200"/>
        <w:rPr>
          <w:b/>
          <w:bCs/>
          <w:sz w:val="22"/>
          <w:szCs w:val="22"/>
        </w:rPr>
      </w:pPr>
    </w:p>
    <w:p>
      <w:pPr>
        <w:spacing w:line="400" w:lineRule="exact"/>
        <w:rPr>
          <w:rFonts w:ascii="宋体" w:hAnsi="宋体" w:cs="宋体"/>
          <w:sz w:val="22"/>
          <w:szCs w:val="22"/>
        </w:rPr>
      </w:pPr>
      <w:r>
        <w:rPr>
          <w:rFonts w:hint="eastAsia"/>
          <w:b/>
          <w:bCs/>
          <w:sz w:val="22"/>
          <w:szCs w:val="22"/>
        </w:rPr>
        <w:t>第十七条 其他</w:t>
      </w:r>
    </w:p>
    <w:p>
      <w:pPr>
        <w:spacing w:line="400" w:lineRule="exact"/>
        <w:ind w:firstLine="440" w:firstLineChars="200"/>
        <w:rPr>
          <w:sz w:val="22"/>
          <w:szCs w:val="22"/>
        </w:rPr>
      </w:pPr>
      <w:r>
        <w:rPr>
          <w:sz w:val="22"/>
          <w:szCs w:val="22"/>
        </w:rPr>
        <w:t>16</w:t>
      </w:r>
      <w:r>
        <w:rPr>
          <w:rFonts w:hint="eastAsia"/>
          <w:sz w:val="22"/>
          <w:szCs w:val="22"/>
        </w:rPr>
        <w:t>.1本合同正文与下列附件共同构成本合同双方协商达成一致的全部内容：</w:t>
      </w:r>
    </w:p>
    <w:p>
      <w:pPr>
        <w:spacing w:line="400" w:lineRule="exact"/>
        <w:ind w:firstLine="440" w:firstLineChars="200"/>
        <w:rPr>
          <w:sz w:val="22"/>
          <w:szCs w:val="22"/>
        </w:rPr>
      </w:pPr>
      <w:r>
        <w:rPr>
          <w:rFonts w:hint="eastAsia"/>
          <w:sz w:val="22"/>
          <w:szCs w:val="22"/>
        </w:rPr>
        <w:t>附件1：阳光合作协议</w:t>
      </w:r>
    </w:p>
    <w:p>
      <w:pPr>
        <w:spacing w:line="400" w:lineRule="exact"/>
        <w:ind w:firstLine="440" w:firstLineChars="200"/>
        <w:rPr>
          <w:sz w:val="22"/>
          <w:szCs w:val="22"/>
        </w:rPr>
      </w:pPr>
      <w:r>
        <w:rPr>
          <w:rFonts w:hint="eastAsia"/>
          <w:sz w:val="22"/>
          <w:szCs w:val="22"/>
        </w:rPr>
        <w:t>附件2：中标通知书</w:t>
      </w:r>
    </w:p>
    <w:p>
      <w:pPr>
        <w:spacing w:line="400" w:lineRule="exact"/>
        <w:ind w:firstLine="440" w:firstLineChars="200"/>
        <w:rPr>
          <w:sz w:val="22"/>
          <w:szCs w:val="22"/>
        </w:rPr>
      </w:pPr>
      <w:r>
        <w:rPr>
          <w:rFonts w:hint="eastAsia"/>
          <w:sz w:val="22"/>
          <w:szCs w:val="22"/>
        </w:rPr>
        <w:t>附件3：履约担保凭证</w:t>
      </w:r>
    </w:p>
    <w:p>
      <w:pPr>
        <w:spacing w:line="400" w:lineRule="exact"/>
        <w:ind w:firstLine="440" w:firstLineChars="200"/>
        <w:rPr>
          <w:sz w:val="22"/>
          <w:szCs w:val="22"/>
        </w:rPr>
      </w:pPr>
      <w:r>
        <w:rPr>
          <w:rFonts w:hint="eastAsia"/>
          <w:sz w:val="22"/>
          <w:szCs w:val="22"/>
        </w:rPr>
        <w:t>附件4：招标文件</w:t>
      </w:r>
    </w:p>
    <w:p>
      <w:pPr>
        <w:spacing w:line="400" w:lineRule="exact"/>
        <w:ind w:firstLine="440" w:firstLineChars="200"/>
        <w:rPr>
          <w:sz w:val="22"/>
          <w:szCs w:val="22"/>
        </w:rPr>
      </w:pPr>
      <w:r>
        <w:rPr>
          <w:rFonts w:hint="eastAsia"/>
          <w:sz w:val="22"/>
          <w:szCs w:val="22"/>
        </w:rPr>
        <w:t>附件5：投标文件</w:t>
      </w:r>
    </w:p>
    <w:p>
      <w:pPr>
        <w:spacing w:line="400" w:lineRule="exact"/>
        <w:ind w:firstLine="440" w:firstLineChars="200"/>
        <w:rPr>
          <w:sz w:val="22"/>
          <w:szCs w:val="22"/>
        </w:rPr>
      </w:pPr>
      <w:r>
        <w:rPr>
          <w:rFonts w:hint="eastAsia"/>
          <w:sz w:val="22"/>
          <w:szCs w:val="22"/>
        </w:rPr>
        <w:t>1</w:t>
      </w:r>
      <w:r>
        <w:rPr>
          <w:sz w:val="22"/>
          <w:szCs w:val="22"/>
        </w:rPr>
        <w:t>6</w:t>
      </w:r>
      <w:r>
        <w:rPr>
          <w:rFonts w:hint="eastAsia"/>
          <w:sz w:val="22"/>
          <w:szCs w:val="22"/>
        </w:rPr>
        <w:t>.2本合同未尽事宜，经双方平等友好协商一致，可签订补充协议。</w:t>
      </w:r>
    </w:p>
    <w:p>
      <w:pPr>
        <w:spacing w:line="400" w:lineRule="exact"/>
        <w:ind w:firstLine="440" w:firstLineChars="200"/>
        <w:rPr>
          <w:sz w:val="22"/>
          <w:szCs w:val="22"/>
        </w:rPr>
      </w:pPr>
      <w:r>
        <w:rPr>
          <w:rFonts w:hint="eastAsia"/>
          <w:sz w:val="22"/>
          <w:szCs w:val="22"/>
        </w:rPr>
        <w:t>1</w:t>
      </w:r>
      <w:r>
        <w:rPr>
          <w:sz w:val="22"/>
          <w:szCs w:val="22"/>
        </w:rPr>
        <w:t>6</w:t>
      </w:r>
      <w:r>
        <w:rPr>
          <w:rFonts w:hint="eastAsia"/>
          <w:sz w:val="22"/>
          <w:szCs w:val="22"/>
        </w:rPr>
        <w:t>.3本合同自双方有权代表签字、单位盖章后生效。</w:t>
      </w:r>
    </w:p>
    <w:p>
      <w:pPr>
        <w:spacing w:line="400" w:lineRule="exact"/>
        <w:ind w:firstLine="440" w:firstLineChars="200"/>
        <w:rPr>
          <w:rFonts w:ascii="宋体" w:hAnsi="宋体" w:cs="宋体"/>
          <w:sz w:val="22"/>
          <w:szCs w:val="22"/>
        </w:rPr>
      </w:pPr>
      <w:r>
        <w:rPr>
          <w:rFonts w:hint="eastAsia"/>
          <w:sz w:val="22"/>
          <w:szCs w:val="22"/>
        </w:rPr>
        <w:t>1</w:t>
      </w:r>
      <w:r>
        <w:rPr>
          <w:sz w:val="22"/>
          <w:szCs w:val="22"/>
        </w:rPr>
        <w:t>6</w:t>
      </w:r>
      <w:r>
        <w:rPr>
          <w:rFonts w:hint="eastAsia"/>
          <w:sz w:val="22"/>
          <w:szCs w:val="22"/>
        </w:rPr>
        <w:t>.4本合同一式【捌】份，甲方执【  肆 】份，乙方执【 贰  】份，丙方执【 贰  】份，各份具有同等法律效力。</w:t>
      </w:r>
    </w:p>
    <w:p>
      <w:pPr>
        <w:spacing w:line="360" w:lineRule="auto"/>
        <w:rPr>
          <w:rFonts w:ascii="宋体" w:hAnsi="宋体" w:cs="宋体"/>
          <w:sz w:val="22"/>
          <w:szCs w:val="22"/>
        </w:rPr>
      </w:pPr>
    </w:p>
    <w:p>
      <w:pPr>
        <w:spacing w:line="360" w:lineRule="auto"/>
        <w:rPr>
          <w:rFonts w:ascii="宋体" w:hAnsi="宋体" w:cs="宋体"/>
          <w:sz w:val="22"/>
          <w:szCs w:val="22"/>
        </w:rPr>
      </w:pPr>
      <w:r>
        <w:rPr>
          <w:rFonts w:hint="eastAsia" w:ascii="宋体" w:hAnsi="宋体" w:cs="宋体"/>
          <w:sz w:val="22"/>
          <w:szCs w:val="22"/>
        </w:rPr>
        <w:t xml:space="preserve">甲方名称（盖章）：                        乙方名称（盖章）：             </w:t>
      </w:r>
      <w:r>
        <w:rPr>
          <w:rFonts w:hint="eastAsia" w:ascii="宋体" w:hAnsi="宋体" w:cs="宋体"/>
          <w:sz w:val="22"/>
          <w:szCs w:val="22"/>
        </w:rPr>
        <w:tab/>
      </w:r>
      <w:r>
        <w:rPr>
          <w:rFonts w:hint="eastAsia" w:ascii="宋体" w:hAnsi="宋体" w:cs="宋体"/>
          <w:sz w:val="22"/>
          <w:szCs w:val="22"/>
        </w:rPr>
        <w:t xml:space="preserve">                                </w:t>
      </w:r>
    </w:p>
    <w:p>
      <w:pPr>
        <w:spacing w:line="360" w:lineRule="auto"/>
        <w:rPr>
          <w:rFonts w:ascii="宋体" w:hAnsi="宋体" w:cs="宋体"/>
          <w:sz w:val="22"/>
          <w:szCs w:val="22"/>
        </w:rPr>
      </w:pPr>
      <w:r>
        <w:rPr>
          <w:rFonts w:hint="eastAsia" w:ascii="宋体" w:hAnsi="宋体" w:cs="宋体"/>
          <w:sz w:val="22"/>
          <w:szCs w:val="22"/>
        </w:rPr>
        <w:t>地址：                                        地址：</w:t>
      </w:r>
      <w:r>
        <w:rPr>
          <w:rFonts w:ascii="宋体" w:hAnsi="宋体" w:cs="宋体"/>
          <w:sz w:val="22"/>
          <w:szCs w:val="22"/>
        </w:rPr>
        <w:t xml:space="preserve"> </w:t>
      </w:r>
    </w:p>
    <w:p>
      <w:pPr>
        <w:spacing w:line="360" w:lineRule="auto"/>
        <w:rPr>
          <w:rFonts w:ascii="宋体" w:hAnsi="宋体" w:cs="宋体"/>
          <w:sz w:val="22"/>
          <w:szCs w:val="22"/>
        </w:rPr>
      </w:pPr>
      <w:r>
        <w:rPr>
          <w:rFonts w:hint="eastAsia" w:ascii="宋体" w:hAnsi="宋体" w:cs="宋体"/>
          <w:sz w:val="22"/>
          <w:szCs w:val="22"/>
        </w:rPr>
        <w:t>联系人：                                      联系人：</w:t>
      </w:r>
    </w:p>
    <w:p>
      <w:pPr>
        <w:spacing w:line="360" w:lineRule="auto"/>
        <w:rPr>
          <w:sz w:val="22"/>
          <w:szCs w:val="22"/>
        </w:rPr>
      </w:pPr>
      <w:r>
        <w:rPr>
          <w:rFonts w:hint="eastAsia" w:ascii="宋体" w:hAnsi="宋体" w:cs="宋体"/>
          <w:sz w:val="22"/>
          <w:szCs w:val="22"/>
        </w:rPr>
        <w:t>电话：                                        电话：</w:t>
      </w:r>
      <w:r>
        <w:rPr>
          <w:color w:val="000000"/>
          <w:sz w:val="22"/>
          <w:szCs w:val="22"/>
        </w:rPr>
        <w:t xml:space="preserve"> </w:t>
      </w:r>
    </w:p>
    <w:p>
      <w:pPr>
        <w:spacing w:line="360" w:lineRule="auto"/>
        <w:rPr>
          <w:rFonts w:ascii="宋体" w:hAnsi="宋体" w:cs="宋体"/>
          <w:sz w:val="22"/>
          <w:szCs w:val="22"/>
        </w:rPr>
      </w:pPr>
      <w:r>
        <w:rPr>
          <w:rFonts w:hint="eastAsia" w:ascii="宋体" w:hAnsi="宋体" w:cs="宋体"/>
          <w:sz w:val="22"/>
          <w:szCs w:val="22"/>
        </w:rPr>
        <w:t>开户银行：                                    开户银行：</w:t>
      </w:r>
      <w:r>
        <w:rPr>
          <w:rFonts w:ascii="宋体" w:hAnsi="宋体" w:cs="宋体"/>
          <w:sz w:val="22"/>
          <w:szCs w:val="22"/>
        </w:rPr>
        <w:t xml:space="preserve"> </w:t>
      </w:r>
    </w:p>
    <w:p>
      <w:pPr>
        <w:pStyle w:val="13"/>
        <w:snapToGrid w:val="0"/>
        <w:spacing w:line="360" w:lineRule="auto"/>
        <w:rPr>
          <w:rFonts w:ascii="Times New Roman" w:hAnsi="Times New Roman"/>
          <w:sz w:val="22"/>
          <w:szCs w:val="22"/>
        </w:rPr>
      </w:pPr>
      <w:r>
        <w:rPr>
          <w:rFonts w:hint="eastAsia" w:hAnsi="宋体" w:cs="宋体"/>
          <w:sz w:val="22"/>
          <w:szCs w:val="22"/>
        </w:rPr>
        <w:t>银行帐号：                                    银行帐号：</w:t>
      </w:r>
    </w:p>
    <w:p>
      <w:pPr>
        <w:pStyle w:val="13"/>
        <w:snapToGrid w:val="0"/>
        <w:spacing w:line="360" w:lineRule="auto"/>
        <w:rPr>
          <w:rFonts w:hAnsi="宋体" w:cs="宋体"/>
          <w:sz w:val="22"/>
          <w:szCs w:val="22"/>
        </w:rPr>
      </w:pPr>
      <w:r>
        <w:rPr>
          <w:rFonts w:hint="eastAsia" w:hAnsi="宋体" w:cs="宋体"/>
          <w:sz w:val="22"/>
          <w:szCs w:val="22"/>
        </w:rPr>
        <w:t>法定代表人：                                  法定代表人：</w:t>
      </w:r>
      <w:r>
        <w:rPr>
          <w:rFonts w:hAnsi="宋体" w:cs="宋体"/>
          <w:sz w:val="22"/>
          <w:szCs w:val="22"/>
        </w:rPr>
        <w:t xml:space="preserve"> </w:t>
      </w:r>
    </w:p>
    <w:p>
      <w:pPr>
        <w:spacing w:line="360" w:lineRule="auto"/>
        <w:rPr>
          <w:rFonts w:ascii="宋体" w:hAnsi="宋体" w:cs="宋体"/>
          <w:sz w:val="22"/>
          <w:szCs w:val="22"/>
        </w:rPr>
      </w:pPr>
      <w:r>
        <w:rPr>
          <w:rFonts w:hint="eastAsia" w:ascii="宋体" w:hAnsi="宋体" w:cs="宋体"/>
          <w:sz w:val="22"/>
          <w:szCs w:val="22"/>
        </w:rPr>
        <w:t>（签字）：                                    （签字）：</w:t>
      </w:r>
    </w:p>
    <w:p>
      <w:pPr>
        <w:spacing w:line="360" w:lineRule="auto"/>
        <w:rPr>
          <w:rFonts w:ascii="宋体" w:hAnsi="宋体" w:cs="宋体"/>
          <w:sz w:val="22"/>
          <w:szCs w:val="22"/>
        </w:rPr>
      </w:pPr>
      <w:r>
        <w:rPr>
          <w:rFonts w:hint="eastAsia" w:ascii="宋体" w:hAnsi="宋体" w:cs="宋体"/>
          <w:sz w:val="22"/>
          <w:szCs w:val="22"/>
        </w:rPr>
        <w:t>（委托代理人）                                （委托代理人）</w:t>
      </w:r>
    </w:p>
    <w:p>
      <w:pPr>
        <w:pStyle w:val="19"/>
        <w:spacing w:before="0" w:beforeAutospacing="0" w:after="0" w:afterAutospacing="0" w:line="360" w:lineRule="auto"/>
        <w:jc w:val="both"/>
        <w:rPr>
          <w:color w:val="000000"/>
        </w:rPr>
      </w:pPr>
    </w:p>
    <w:p>
      <w:pPr>
        <w:spacing w:line="360" w:lineRule="auto"/>
        <w:rPr>
          <w:rFonts w:ascii="宋体" w:hAnsi="宋体" w:cs="宋体"/>
          <w:sz w:val="22"/>
          <w:szCs w:val="22"/>
        </w:rPr>
      </w:pPr>
      <w:r>
        <w:rPr>
          <w:rFonts w:hint="eastAsia" w:ascii="宋体" w:hAnsi="宋体" w:cs="宋体"/>
          <w:sz w:val="22"/>
          <w:szCs w:val="22"/>
        </w:rPr>
        <w:t xml:space="preserve">丙方名称（盖章）：                                    </w:t>
      </w:r>
    </w:p>
    <w:p>
      <w:pPr>
        <w:spacing w:line="360" w:lineRule="auto"/>
        <w:rPr>
          <w:rFonts w:ascii="宋体" w:hAnsi="宋体" w:cs="宋体"/>
          <w:sz w:val="22"/>
          <w:szCs w:val="22"/>
        </w:rPr>
      </w:pPr>
      <w:r>
        <w:rPr>
          <w:rFonts w:hint="eastAsia" w:ascii="宋体" w:hAnsi="宋体" w:cs="宋体"/>
          <w:sz w:val="22"/>
          <w:szCs w:val="22"/>
        </w:rPr>
        <w:t xml:space="preserve">地址：                               </w:t>
      </w:r>
    </w:p>
    <w:p>
      <w:pPr>
        <w:spacing w:line="360" w:lineRule="auto"/>
        <w:rPr>
          <w:rFonts w:ascii="宋体" w:hAnsi="宋体" w:cs="宋体"/>
          <w:sz w:val="22"/>
          <w:szCs w:val="22"/>
        </w:rPr>
      </w:pPr>
      <w:r>
        <w:rPr>
          <w:rFonts w:hint="eastAsia" w:ascii="宋体" w:hAnsi="宋体" w:cs="宋体"/>
          <w:sz w:val="22"/>
          <w:szCs w:val="22"/>
        </w:rPr>
        <w:t xml:space="preserve">联系人：                         </w:t>
      </w:r>
    </w:p>
    <w:p>
      <w:pPr>
        <w:spacing w:line="360" w:lineRule="auto"/>
        <w:rPr>
          <w:sz w:val="22"/>
          <w:szCs w:val="22"/>
        </w:rPr>
      </w:pPr>
      <w:r>
        <w:rPr>
          <w:rFonts w:hint="eastAsia" w:ascii="宋体" w:hAnsi="宋体" w:cs="宋体"/>
          <w:sz w:val="22"/>
          <w:szCs w:val="22"/>
        </w:rPr>
        <w:t xml:space="preserve">电话：          </w:t>
      </w:r>
    </w:p>
    <w:p>
      <w:pPr>
        <w:spacing w:line="360" w:lineRule="auto"/>
        <w:rPr>
          <w:rFonts w:ascii="宋体" w:hAnsi="宋体" w:cs="宋体"/>
          <w:sz w:val="22"/>
          <w:szCs w:val="22"/>
        </w:rPr>
      </w:pPr>
      <w:r>
        <w:rPr>
          <w:rFonts w:hint="eastAsia" w:ascii="宋体" w:hAnsi="宋体" w:cs="宋体"/>
          <w:sz w:val="22"/>
          <w:szCs w:val="22"/>
        </w:rPr>
        <w:t xml:space="preserve">开户银行：                                 </w:t>
      </w:r>
    </w:p>
    <w:p>
      <w:pPr>
        <w:pStyle w:val="13"/>
        <w:snapToGrid w:val="0"/>
        <w:spacing w:line="360" w:lineRule="auto"/>
        <w:rPr>
          <w:rFonts w:ascii="Times New Roman" w:hAnsi="Times New Roman"/>
          <w:sz w:val="22"/>
          <w:szCs w:val="22"/>
        </w:rPr>
      </w:pPr>
      <w:r>
        <w:rPr>
          <w:rFonts w:hint="eastAsia" w:hAnsi="宋体" w:cs="宋体"/>
          <w:sz w:val="22"/>
          <w:szCs w:val="22"/>
        </w:rPr>
        <w:t xml:space="preserve">银行帐号：                                   </w:t>
      </w:r>
    </w:p>
    <w:p>
      <w:pPr>
        <w:pStyle w:val="13"/>
        <w:snapToGrid w:val="0"/>
        <w:spacing w:line="360" w:lineRule="auto"/>
        <w:rPr>
          <w:rFonts w:hAnsi="宋体" w:cs="宋体"/>
          <w:sz w:val="22"/>
          <w:szCs w:val="22"/>
        </w:rPr>
      </w:pPr>
      <w:r>
        <w:rPr>
          <w:rFonts w:hint="eastAsia" w:hAnsi="宋体" w:cs="宋体"/>
          <w:sz w:val="22"/>
          <w:szCs w:val="22"/>
        </w:rPr>
        <w:t xml:space="preserve">法定代表人：                                  </w:t>
      </w:r>
    </w:p>
    <w:p>
      <w:pPr>
        <w:spacing w:line="360" w:lineRule="auto"/>
        <w:rPr>
          <w:rFonts w:ascii="宋体" w:hAnsi="宋体" w:cs="宋体"/>
          <w:sz w:val="22"/>
          <w:szCs w:val="22"/>
        </w:rPr>
      </w:pPr>
      <w:r>
        <w:rPr>
          <w:rFonts w:hint="eastAsia" w:ascii="宋体" w:hAnsi="宋体" w:cs="宋体"/>
          <w:sz w:val="22"/>
          <w:szCs w:val="22"/>
        </w:rPr>
        <w:t xml:space="preserve">（签字）：                                    </w:t>
      </w:r>
    </w:p>
    <w:p>
      <w:pPr>
        <w:spacing w:line="360" w:lineRule="auto"/>
        <w:rPr>
          <w:rFonts w:ascii="宋体" w:hAnsi="宋体" w:cs="宋体"/>
          <w:sz w:val="22"/>
          <w:szCs w:val="22"/>
        </w:rPr>
      </w:pPr>
      <w:r>
        <w:rPr>
          <w:rFonts w:hint="eastAsia" w:ascii="宋体" w:hAnsi="宋体" w:cs="宋体"/>
          <w:sz w:val="22"/>
          <w:szCs w:val="22"/>
        </w:rPr>
        <w:t xml:space="preserve">（委托代理人）                                </w:t>
      </w:r>
    </w:p>
    <w:p>
      <w:pPr>
        <w:spacing w:line="360" w:lineRule="auto"/>
        <w:rPr>
          <w:rFonts w:ascii="宋体" w:hAnsi="宋体" w:cs="宋体"/>
          <w:b/>
          <w:color w:val="000000"/>
          <w:sz w:val="28"/>
          <w:szCs w:val="24"/>
        </w:rPr>
      </w:pPr>
      <w:r>
        <w:rPr>
          <w:rFonts w:hint="eastAsia" w:ascii="宋体" w:hAnsi="宋体" w:cs="宋体"/>
          <w:color w:val="000000"/>
          <w:szCs w:val="24"/>
        </w:rPr>
        <w:br w:type="page"/>
      </w:r>
    </w:p>
    <w:p>
      <w:pPr>
        <w:widowControl/>
        <w:tabs>
          <w:tab w:val="left" w:pos="1695"/>
          <w:tab w:val="left" w:pos="2700"/>
        </w:tabs>
        <w:adjustRightInd w:val="0"/>
        <w:snapToGrid w:val="0"/>
        <w:spacing w:line="360" w:lineRule="auto"/>
        <w:outlineLvl w:val="2"/>
        <w:rPr>
          <w:rFonts w:ascii="宋体" w:hAnsi="宋体" w:cs="宋体"/>
          <w:b/>
          <w:szCs w:val="21"/>
        </w:rPr>
      </w:pPr>
      <w:bookmarkStart w:id="16" w:name="_Toc97717277"/>
      <w:bookmarkStart w:id="17" w:name="_Toc109914426"/>
      <w:bookmarkStart w:id="18" w:name="_Toc97339363"/>
      <w:r>
        <w:rPr>
          <w:rFonts w:hint="eastAsia" w:ascii="宋体" w:hAnsi="宋体" w:cs="宋体"/>
          <w:b/>
          <w:szCs w:val="21"/>
        </w:rPr>
        <w:t>附件1：阳光合作协议</w:t>
      </w:r>
      <w:bookmarkEnd w:id="16"/>
      <w:bookmarkEnd w:id="17"/>
      <w:bookmarkEnd w:id="18"/>
    </w:p>
    <w:p>
      <w:pPr>
        <w:widowControl/>
        <w:adjustRightInd w:val="0"/>
        <w:snapToGrid w:val="0"/>
        <w:spacing w:line="360" w:lineRule="auto"/>
        <w:jc w:val="center"/>
        <w:rPr>
          <w:rFonts w:ascii="宋体" w:hAnsi="宋体" w:cs="宋体"/>
          <w:b/>
          <w:bCs/>
          <w:sz w:val="36"/>
          <w:szCs w:val="36"/>
        </w:rPr>
      </w:pPr>
      <w:r>
        <w:rPr>
          <w:rFonts w:hint="eastAsia" w:ascii="宋体" w:hAnsi="宋体" w:cs="宋体"/>
          <w:b/>
          <w:bCs/>
          <w:sz w:val="36"/>
          <w:szCs w:val="36"/>
        </w:rPr>
        <w:t>阳光合作协议</w:t>
      </w:r>
    </w:p>
    <w:p>
      <w:pPr>
        <w:widowControl/>
        <w:tabs>
          <w:tab w:val="left" w:pos="2160"/>
        </w:tabs>
        <w:adjustRightInd w:val="0"/>
        <w:snapToGrid w:val="0"/>
        <w:spacing w:line="336" w:lineRule="auto"/>
        <w:ind w:firstLine="422" w:firstLineChars="192"/>
        <w:jc w:val="left"/>
        <w:rPr>
          <w:rFonts w:ascii="宋体" w:hAnsi="宋体" w:cs="宋体"/>
          <w:b/>
          <w:kern w:val="0"/>
          <w:sz w:val="22"/>
          <w:szCs w:val="22"/>
          <w:u w:val="single"/>
        </w:rPr>
      </w:pPr>
      <w:r>
        <w:rPr>
          <w:rFonts w:hint="eastAsia" w:ascii="宋体" w:hAnsi="宋体" w:cs="宋体"/>
          <w:kern w:val="0"/>
          <w:sz w:val="22"/>
          <w:szCs w:val="22"/>
        </w:rPr>
        <w:t>甲方：</w:t>
      </w:r>
      <w:r>
        <w:rPr>
          <w:rFonts w:hint="eastAsia" w:ascii="宋体" w:hAnsi="宋体" w:cs="宋体"/>
          <w:kern w:val="0"/>
          <w:sz w:val="22"/>
          <w:szCs w:val="22"/>
          <w:u w:val="single"/>
        </w:rPr>
        <w:t xml:space="preserve">东莞市东富投资发展有限公司    </w:t>
      </w:r>
      <w:r>
        <w:rPr>
          <w:rFonts w:ascii="宋体" w:hAnsi="宋体" w:cs="宋体"/>
          <w:b/>
          <w:kern w:val="0"/>
          <w:sz w:val="22"/>
          <w:szCs w:val="22"/>
          <w:u w:val="single"/>
        </w:rPr>
        <w:t xml:space="preserve">  </w:t>
      </w:r>
      <w:r>
        <w:rPr>
          <w:rFonts w:hint="eastAsia" w:ascii="宋体" w:hAnsi="宋体" w:cs="宋体"/>
          <w:b/>
          <w:kern w:val="0"/>
          <w:sz w:val="22"/>
          <w:szCs w:val="22"/>
          <w:u w:val="single"/>
        </w:rPr>
        <w:t xml:space="preserve">     </w:t>
      </w:r>
    </w:p>
    <w:p>
      <w:pPr>
        <w:widowControl/>
        <w:tabs>
          <w:tab w:val="left" w:pos="2160"/>
        </w:tabs>
        <w:adjustRightInd w:val="0"/>
        <w:snapToGrid w:val="0"/>
        <w:spacing w:line="336" w:lineRule="auto"/>
        <w:ind w:firstLine="422" w:firstLineChars="192"/>
        <w:jc w:val="left"/>
        <w:rPr>
          <w:rFonts w:ascii="宋体" w:hAnsi="宋体" w:cs="宋体"/>
          <w:b/>
          <w:kern w:val="0"/>
          <w:sz w:val="22"/>
          <w:szCs w:val="22"/>
          <w:u w:val="single"/>
        </w:rPr>
      </w:pPr>
      <w:r>
        <w:rPr>
          <w:rFonts w:hint="eastAsia" w:ascii="宋体" w:hAnsi="宋体" w:cs="宋体"/>
          <w:kern w:val="0"/>
          <w:sz w:val="22"/>
          <w:szCs w:val="22"/>
        </w:rPr>
        <w:t>乙方：</w:t>
      </w:r>
      <w:r>
        <w:rPr>
          <w:rFonts w:hint="eastAsia" w:ascii="宋体" w:hAnsi="宋体" w:cs="宋体"/>
          <w:b/>
          <w:kern w:val="0"/>
          <w:sz w:val="22"/>
          <w:szCs w:val="22"/>
          <w:u w:val="single"/>
        </w:rPr>
        <w:t xml:space="preserve">                             </w:t>
      </w:r>
      <w:r>
        <w:rPr>
          <w:rFonts w:ascii="宋体" w:hAnsi="宋体" w:cs="宋体"/>
          <w:b/>
          <w:kern w:val="0"/>
          <w:sz w:val="22"/>
          <w:szCs w:val="22"/>
          <w:u w:val="single"/>
        </w:rPr>
        <w:t xml:space="preserve">      </w:t>
      </w:r>
      <w:r>
        <w:rPr>
          <w:rFonts w:hint="eastAsia" w:ascii="宋体" w:hAnsi="宋体" w:cs="宋体"/>
          <w:b/>
          <w:kern w:val="0"/>
          <w:sz w:val="22"/>
          <w:szCs w:val="22"/>
          <w:u w:val="single"/>
        </w:rPr>
        <w:t xml:space="preserve"> </w:t>
      </w:r>
    </w:p>
    <w:p>
      <w:pPr>
        <w:spacing w:before="166" w:beforeLines="50" w:after="166" w:afterLines="50" w:line="336" w:lineRule="auto"/>
        <w:ind w:firstLine="440" w:firstLineChars="200"/>
        <w:contextualSpacing/>
        <w:rPr>
          <w:rFonts w:ascii="宋体" w:hAnsi="宋体" w:cs="宋体"/>
          <w:b/>
          <w:kern w:val="0"/>
          <w:sz w:val="22"/>
          <w:szCs w:val="22"/>
          <w:u w:val="single"/>
        </w:rPr>
      </w:pPr>
      <w:r>
        <w:rPr>
          <w:rFonts w:hint="eastAsia" w:ascii="宋体" w:hAnsi="宋体" w:cs="宋体"/>
          <w:kern w:val="0"/>
          <w:sz w:val="22"/>
          <w:szCs w:val="22"/>
        </w:rPr>
        <w:t>丙方：</w:t>
      </w:r>
      <w:r>
        <w:rPr>
          <w:rFonts w:hint="eastAsia" w:ascii="宋体" w:hAnsi="宋体" w:cs="宋体"/>
          <w:kern w:val="0"/>
          <w:sz w:val="22"/>
          <w:szCs w:val="22"/>
          <w:u w:val="single"/>
        </w:rPr>
        <w:t xml:space="preserve">东莞市虎门镇镇口股份经济联合社 </w:t>
      </w:r>
      <w:r>
        <w:rPr>
          <w:rFonts w:hint="eastAsia" w:ascii="宋体" w:hAnsi="宋体" w:cs="宋体"/>
          <w:b/>
          <w:kern w:val="0"/>
          <w:sz w:val="22"/>
          <w:szCs w:val="22"/>
          <w:u w:val="single"/>
        </w:rPr>
        <w:t xml:space="preserve">     </w:t>
      </w:r>
    </w:p>
    <w:p>
      <w:pPr>
        <w:spacing w:before="166" w:beforeLines="50" w:after="166" w:afterLines="50" w:line="336" w:lineRule="auto"/>
        <w:ind w:firstLine="420" w:firstLineChars="200"/>
        <w:contextualSpacing/>
        <w:rPr>
          <w:rFonts w:ascii="宋体"/>
        </w:rPr>
      </w:pPr>
      <w:r>
        <w:rPr>
          <w:rFonts w:hint="eastAsia" w:ascii="宋体" w:hAnsi="宋体"/>
          <w:szCs w:val="21"/>
        </w:rPr>
        <w:t>甲</w:t>
      </w:r>
      <w:r>
        <w:rPr>
          <w:rFonts w:hint="eastAsia" w:ascii="宋体" w:hAnsi="宋体"/>
        </w:rPr>
        <w:t>乙双方于</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日签署了</w:t>
      </w:r>
      <w:r>
        <w:rPr>
          <w:rFonts w:hint="eastAsia" w:ascii="宋体" w:hAnsi="宋体"/>
          <w:u w:val="single"/>
        </w:rPr>
        <w:t>《</w:t>
      </w:r>
      <w:r>
        <w:rPr>
          <w:rFonts w:hint="eastAsia" w:ascii="宋体" w:hAnsi="宋体"/>
          <w:u w:val="single"/>
          <w:lang w:val="en-US" w:eastAsia="zh-CN"/>
        </w:rPr>
        <w:t>虎门镇衣流时尚园一期A区3号地块项目多测合一服务</w:t>
      </w:r>
      <w:r>
        <w:rPr>
          <w:rFonts w:hint="eastAsia" w:ascii="宋体" w:hAnsi="宋体" w:cs="宋体"/>
          <w:kern w:val="0"/>
          <w:sz w:val="22"/>
          <w:szCs w:val="22"/>
          <w:u w:val="single"/>
        </w:rPr>
        <w:t>合同</w:t>
      </w:r>
      <w:r>
        <w:rPr>
          <w:rFonts w:hint="eastAsia" w:ascii="宋体" w:hAnsi="宋体"/>
          <w:u w:val="single"/>
        </w:rPr>
        <w:t>》</w:t>
      </w:r>
      <w:r>
        <w:rPr>
          <w:rFonts w:hint="eastAsia" w:ascii="宋体" w:hAnsi="宋体"/>
        </w:rPr>
        <w:t>（以下简称原合同），为加强双方阳光合作，保证职员职业安全，甲乙双方经协商签订本协议并作为三方共同遵守的阳光合作行为准则。</w:t>
      </w:r>
    </w:p>
    <w:p>
      <w:pPr>
        <w:widowControl/>
        <w:spacing w:before="166" w:beforeLines="50" w:after="166" w:afterLines="50" w:line="312" w:lineRule="auto"/>
        <w:ind w:left="420" w:leftChars="200"/>
        <w:contextualSpacing/>
        <w:jc w:val="left"/>
        <w:rPr>
          <w:rFonts w:ascii="宋体" w:hAnsi="宋体"/>
          <w:b/>
        </w:rPr>
      </w:pPr>
      <w:r>
        <w:rPr>
          <w:rFonts w:hint="eastAsia" w:ascii="宋体" w:hAnsi="宋体"/>
          <w:b/>
        </w:rPr>
        <w:t>一、甲方责任</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1.甲方有责任向乙方、丙方介绍本单位有关采购管理通用原则和本协议的规定。</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2.甲方有责任对本单位相关人员进行阳光合作教育。</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 xml:space="preserve">3.甲方人员应严格遵守本单位有关阳光合作管理的规定，不得接受乙方、丙方任何形式的回扣、实物、现金、有价证券、礼券等有价物品，不得参加乙方、丙方提供的旅游或其他可能影响职务行为公正履行的活动。 </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4.甲方人员如违反阳光合作管理制度及本协议规定，甲方视情节轻重、影响大小给予行政及经济处罚。</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5．对于乙方、丙方举报甲方人员违反阳光合作规定的情况，甲方应及时进行调查，根据调查情况进行处理，并将调查结果向乙方、丙方反馈。</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pPr>
        <w:widowControl/>
        <w:spacing w:before="166" w:beforeLines="50" w:after="166" w:afterLines="50" w:line="312" w:lineRule="auto"/>
        <w:ind w:left="420" w:leftChars="200"/>
        <w:contextualSpacing/>
        <w:jc w:val="left"/>
        <w:rPr>
          <w:rFonts w:ascii="宋体" w:hAnsi="宋体"/>
          <w:b/>
        </w:rPr>
      </w:pPr>
      <w:r>
        <w:rPr>
          <w:rFonts w:hint="eastAsia" w:ascii="宋体" w:hAnsi="宋体"/>
          <w:b/>
        </w:rPr>
        <w:t>二、乙方及丙方责任</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1.乙方及丙方应保证乙方及丙方人员了解甲方有关采购管理通用原则和及本协议的规定，并遵照执行。</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2.乙方及丙方不得以任何形式给予甲方人员回扣、赠送实物、现金、有价证券、礼券等有价物品或提供旅游等其他可能影响职务行为公正履行的活动（以下统称“财物”）。</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3.乙方及丙方有责任接受甲方对乙方及丙方在合作期间阳光合作管理执行情况的监督，并对甲方相关调查工作主动配合。</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4.乙方及丙方有义务就甲方人员任何形式的索取或收受财物行为及时向甲方（直接联系人为东莞实业投资控股集团有限公司</w:t>
      </w:r>
      <w:r>
        <w:rPr>
          <w:rFonts w:hint="eastAsia" w:ascii="宋体" w:hAnsi="宋体"/>
          <w:lang w:val="en-US" w:eastAsia="zh-CN"/>
        </w:rPr>
        <w:t>风控法务</w:t>
      </w:r>
      <w:r>
        <w:rPr>
          <w:rFonts w:hint="eastAsia" w:ascii="宋体" w:hAnsi="宋体"/>
        </w:rPr>
        <w:t>部）举报。如乙方及丙方或其人员向甲方人员给予财物，或甲方人员向乙方索取财物，乙方及丙方满足其要求并且未向甲方举报的，一经查实（包括但不限于被甲方核实属实，或者被司法机关或第三方核实属实的），甲方将在内部通报；乙方及丙方除应向甲方赔偿由此给甲方造成的损失外，乙方及丙方还应向甲方支付相当于原合同总价的10%的违约金，并对乙方及丙方知情不报人员进行相应处罚；连续出现2次及以上类似情况或者如因乙方在合作期间贿赂甲方人员，被司法机关立案查处核实属实的，甲方有权解除原合同，如甲方解除原合同的，则乙方及丙方应退还甲方所支付的所有款项并按原合同与本合同约定承担违约责任，且五年之内不得作为东实集团（东莞实业投资控股集团有限公司及下属子公司）合格供应商。</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 xml:space="preserve">5．甲方接受乙方及丙方实名或匿名举报，保证为举报者的信息保密，常设举报部门及电话： </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举报受理部门：东莞实业投资控股集团有限公司</w:t>
      </w:r>
      <w:r>
        <w:rPr>
          <w:rFonts w:hint="eastAsia" w:ascii="宋体" w:hAnsi="宋体"/>
          <w:lang w:val="en-US" w:eastAsia="zh-CN"/>
        </w:rPr>
        <w:t>风控法务</w:t>
      </w:r>
      <w:r>
        <w:rPr>
          <w:rFonts w:hint="eastAsia" w:ascii="宋体" w:hAnsi="宋体"/>
        </w:rPr>
        <w:t>部</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东实集团举报邮箱：dgsyxf@163.com</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东实集团举报电话：0769-28820703（周一至周五9:00-12:00和14:00-18:00）</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邮寄地址：东莞市东城区八一路1号机关二号大院9号楼，东莞实业投资控股集团有限公司</w:t>
      </w:r>
      <w:r>
        <w:rPr>
          <w:rFonts w:hint="eastAsia" w:ascii="宋体" w:hAnsi="宋体"/>
          <w:lang w:val="en-US" w:eastAsia="zh-CN"/>
        </w:rPr>
        <w:t>风控法务</w:t>
      </w:r>
      <w:r>
        <w:rPr>
          <w:rFonts w:hint="eastAsia" w:ascii="宋体" w:hAnsi="宋体"/>
        </w:rPr>
        <w:t>部收，邮编523000。</w:t>
      </w:r>
    </w:p>
    <w:p>
      <w:pPr>
        <w:widowControl/>
        <w:spacing w:before="166" w:beforeLines="50" w:after="166" w:afterLines="50" w:line="312" w:lineRule="auto"/>
        <w:ind w:left="420" w:leftChars="200"/>
        <w:contextualSpacing/>
        <w:jc w:val="left"/>
        <w:rPr>
          <w:rFonts w:ascii="宋体" w:hAnsi="宋体"/>
          <w:b/>
        </w:rPr>
      </w:pPr>
      <w:r>
        <w:rPr>
          <w:rFonts w:hint="eastAsia" w:ascii="宋体" w:hAnsi="宋体"/>
          <w:b/>
        </w:rPr>
        <w:t>三、其他</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1.本协议是原合同的补充协议，与原合同有同等法律效力。</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2.</w:t>
      </w:r>
      <w:r>
        <w:rPr>
          <w:rFonts w:ascii="宋体" w:hAnsi="宋体"/>
        </w:rPr>
        <w:t>本</w:t>
      </w:r>
      <w:r>
        <w:rPr>
          <w:rFonts w:hint="eastAsia" w:ascii="宋体" w:hAnsi="宋体"/>
        </w:rPr>
        <w:t>协议</w:t>
      </w:r>
      <w:r>
        <w:rPr>
          <w:rFonts w:ascii="宋体" w:hAnsi="宋体"/>
        </w:rPr>
        <w:t>一式</w:t>
      </w:r>
      <w:r>
        <w:rPr>
          <w:rFonts w:hint="eastAsia" w:ascii="宋体" w:hAnsi="宋体" w:cs="宋体"/>
          <w:szCs w:val="21"/>
        </w:rPr>
        <w:t xml:space="preserve"> </w:t>
      </w:r>
      <w:r>
        <w:rPr>
          <w:rFonts w:hint="eastAsia"/>
          <w:sz w:val="22"/>
          <w:szCs w:val="22"/>
        </w:rPr>
        <w:t>捌</w:t>
      </w:r>
      <w:r>
        <w:rPr>
          <w:rFonts w:hint="eastAsia" w:ascii="宋体" w:hAnsi="宋体" w:cs="宋体"/>
          <w:szCs w:val="21"/>
          <w:u w:val="single"/>
        </w:rPr>
        <w:t xml:space="preserve"> </w:t>
      </w:r>
      <w:r>
        <w:rPr>
          <w:rFonts w:hint="eastAsia" w:ascii="宋体" w:hAnsi="宋体" w:cs="宋体"/>
          <w:szCs w:val="21"/>
        </w:rPr>
        <w:t xml:space="preserve">份，甲方执 </w:t>
      </w:r>
      <w:r>
        <w:rPr>
          <w:rFonts w:hint="eastAsia" w:ascii="宋体" w:hAnsi="宋体" w:cs="宋体"/>
          <w:szCs w:val="21"/>
          <w:u w:val="single"/>
        </w:rPr>
        <w:t>肆</w:t>
      </w:r>
      <w:r>
        <w:rPr>
          <w:rFonts w:hint="eastAsia" w:ascii="宋体" w:hAnsi="宋体" w:cs="宋体"/>
          <w:szCs w:val="21"/>
        </w:rPr>
        <w:t xml:space="preserve"> 份，乙方执贰份，丙方执贰份</w:t>
      </w:r>
      <w:r>
        <w:rPr>
          <w:rFonts w:hint="eastAsia" w:ascii="宋体" w:hAnsi="宋体"/>
        </w:rPr>
        <w:t>，均具有同等法律效力。</w:t>
      </w:r>
    </w:p>
    <w:p>
      <w:pPr>
        <w:spacing w:before="166" w:beforeLines="50" w:after="166" w:afterLines="50" w:line="312" w:lineRule="auto"/>
        <w:ind w:left="105" w:leftChars="50" w:firstLine="420" w:firstLineChars="200"/>
        <w:contextualSpacing/>
        <w:rPr>
          <w:rFonts w:ascii="宋体" w:hAnsi="宋体"/>
        </w:rPr>
      </w:pPr>
      <w:r>
        <w:rPr>
          <w:rFonts w:hint="eastAsia" w:ascii="宋体" w:hAnsi="宋体"/>
        </w:rPr>
        <w:t>3.本协议经双方签署后生效。</w:t>
      </w:r>
    </w:p>
    <w:p>
      <w:pPr>
        <w:spacing w:before="166" w:beforeLines="50" w:after="166" w:afterLines="50" w:line="360" w:lineRule="auto"/>
        <w:ind w:firstLine="420" w:firstLineChars="200"/>
        <w:contextualSpacing/>
        <w:rPr>
          <w:rFonts w:ascii="宋体" w:hAnsi="宋体"/>
        </w:rPr>
      </w:pPr>
    </w:p>
    <w:p>
      <w:pPr>
        <w:spacing w:before="166" w:beforeLines="50" w:after="166" w:afterLines="50" w:line="360" w:lineRule="auto"/>
        <w:ind w:firstLine="420" w:firstLineChars="200"/>
        <w:contextualSpacing/>
        <w:rPr>
          <w:rFonts w:ascii="宋体"/>
        </w:rPr>
      </w:pPr>
      <w:r>
        <w:rPr>
          <w:rFonts w:hint="eastAsia" w:ascii="宋体" w:hAnsi="宋体"/>
        </w:rPr>
        <w:t>甲方（盖章）：                      乙方（盖章）：</w:t>
      </w:r>
      <w:r>
        <w:rPr>
          <w:rFonts w:ascii="宋体"/>
        </w:rPr>
        <w:t xml:space="preserve"> </w:t>
      </w:r>
    </w:p>
    <w:p>
      <w:pPr>
        <w:pStyle w:val="11"/>
        <w:ind w:firstLine="220"/>
        <w:rPr>
          <w:rFonts w:ascii="宋体" w:hAnsi="宋体"/>
          <w:bCs/>
          <w:kern w:val="0"/>
          <w:sz w:val="22"/>
          <w:szCs w:val="21"/>
        </w:rPr>
      </w:pPr>
      <w:r>
        <w:rPr>
          <w:rFonts w:hint="eastAsia" w:ascii="宋体" w:hAnsi="宋体"/>
          <w:bCs/>
          <w:kern w:val="0"/>
          <w:sz w:val="22"/>
          <w:szCs w:val="21"/>
        </w:rPr>
        <w:t xml:space="preserve">东莞市东富投资发展有限公司        </w:t>
      </w:r>
    </w:p>
    <w:p>
      <w:pPr>
        <w:pStyle w:val="11"/>
        <w:spacing w:line="336" w:lineRule="auto"/>
        <w:ind w:firstLine="0" w:firstLineChars="0"/>
        <w:rPr>
          <w:rFonts w:ascii="宋体" w:hAnsi="宋体"/>
          <w:bCs/>
          <w:kern w:val="0"/>
          <w:sz w:val="22"/>
          <w:szCs w:val="21"/>
        </w:rPr>
      </w:pPr>
    </w:p>
    <w:p>
      <w:pPr>
        <w:spacing w:before="166" w:beforeLines="50" w:after="166" w:afterLines="50" w:line="336" w:lineRule="auto"/>
        <w:ind w:firstLine="420" w:firstLineChars="200"/>
        <w:contextualSpacing/>
        <w:rPr>
          <w:rFonts w:ascii="宋体"/>
        </w:rPr>
      </w:pPr>
      <w:r>
        <w:rPr>
          <w:rFonts w:hint="eastAsia" w:ascii="宋体" w:hAnsi="宋体"/>
        </w:rPr>
        <w:t>法定代表人（授权代表）：</w:t>
      </w:r>
      <w:r>
        <w:rPr>
          <w:rFonts w:hint="eastAsia" w:ascii="宋体"/>
        </w:rPr>
        <w:tab/>
      </w:r>
      <w:r>
        <w:rPr>
          <w:rFonts w:hint="eastAsia" w:ascii="宋体"/>
        </w:rPr>
        <w:tab/>
      </w:r>
      <w:r>
        <w:rPr>
          <w:rFonts w:hint="eastAsia" w:ascii="宋体" w:hAnsi="宋体"/>
        </w:rPr>
        <w:t>法定代表人（授权代表）：</w:t>
      </w:r>
    </w:p>
    <w:p>
      <w:pPr>
        <w:spacing w:before="166" w:beforeLines="50" w:after="166" w:afterLines="50" w:line="336" w:lineRule="auto"/>
        <w:ind w:firstLine="420" w:firstLineChars="200"/>
        <w:contextualSpacing/>
        <w:rPr>
          <w:rFonts w:ascii="宋体" w:hAnsi="宋体"/>
        </w:rPr>
      </w:pPr>
    </w:p>
    <w:p>
      <w:pPr>
        <w:spacing w:before="166" w:beforeLines="50" w:after="166" w:afterLines="50" w:line="336" w:lineRule="auto"/>
        <w:ind w:firstLine="420" w:firstLineChars="200"/>
        <w:contextualSpacing/>
      </w:pPr>
      <w:r>
        <w:rPr>
          <w:rFonts w:hint="eastAsia" w:ascii="宋体" w:hAnsi="宋体"/>
        </w:rPr>
        <w:t>签约日期：   年   月   日</w:t>
      </w:r>
      <w:r>
        <w:tab/>
      </w:r>
      <w:r>
        <w:t xml:space="preserve">    </w:t>
      </w:r>
      <w:r>
        <w:rPr>
          <w:rFonts w:hint="eastAsia"/>
        </w:rPr>
        <w:t xml:space="preserve">   </w:t>
      </w:r>
      <w:r>
        <w:rPr>
          <w:rFonts w:hint="eastAsia" w:ascii="宋体" w:hAnsi="宋体"/>
        </w:rPr>
        <w:t>签约日期：   年   月   日</w:t>
      </w:r>
    </w:p>
    <w:p>
      <w:pPr>
        <w:spacing w:before="166" w:beforeLines="50" w:after="166" w:afterLines="50" w:line="480" w:lineRule="auto"/>
        <w:ind w:firstLine="420" w:firstLineChars="200"/>
        <w:contextualSpacing/>
        <w:rPr>
          <w:rFonts w:ascii="宋体" w:hAnsi="宋体"/>
        </w:rPr>
      </w:pPr>
    </w:p>
    <w:p>
      <w:pPr>
        <w:spacing w:before="166" w:beforeLines="50" w:after="166" w:afterLines="50" w:line="480" w:lineRule="auto"/>
        <w:ind w:firstLine="420" w:firstLineChars="200"/>
        <w:contextualSpacing/>
        <w:rPr>
          <w:rFonts w:ascii="宋体" w:hAnsi="宋体"/>
        </w:rPr>
      </w:pPr>
      <w:r>
        <w:rPr>
          <w:rFonts w:hint="eastAsia" w:ascii="宋体" w:hAnsi="宋体"/>
        </w:rPr>
        <w:t xml:space="preserve">丙方（盖章）：                  </w:t>
      </w:r>
    </w:p>
    <w:p>
      <w:pPr>
        <w:spacing w:before="166" w:beforeLines="50" w:after="166" w:afterLines="50" w:line="480" w:lineRule="auto"/>
        <w:contextualSpacing/>
        <w:rPr>
          <w:rFonts w:ascii="宋体" w:hAnsi="宋体"/>
          <w:bCs/>
          <w:kern w:val="0"/>
          <w:sz w:val="22"/>
          <w:szCs w:val="21"/>
        </w:rPr>
      </w:pPr>
      <w:r>
        <w:rPr>
          <w:rFonts w:ascii="宋体"/>
        </w:rPr>
        <w:t xml:space="preserve"> </w:t>
      </w:r>
      <w:r>
        <w:rPr>
          <w:rFonts w:hint="eastAsia" w:ascii="宋体"/>
        </w:rPr>
        <w:t xml:space="preserve">  </w:t>
      </w:r>
      <w:r>
        <w:rPr>
          <w:rFonts w:hint="eastAsia" w:ascii="宋体" w:hAnsi="宋体"/>
          <w:bCs/>
          <w:kern w:val="0"/>
          <w:sz w:val="22"/>
          <w:szCs w:val="21"/>
        </w:rPr>
        <w:t xml:space="preserve">东莞市虎门镇镇口股份经济联合社   </w:t>
      </w:r>
    </w:p>
    <w:p>
      <w:pPr>
        <w:spacing w:before="166" w:beforeLines="50" w:after="166" w:afterLines="50" w:line="336" w:lineRule="auto"/>
        <w:contextualSpacing/>
        <w:rPr>
          <w:rFonts w:ascii="宋体" w:hAnsi="宋体" w:cs="宋体"/>
          <w:bCs/>
          <w:kern w:val="0"/>
          <w:sz w:val="22"/>
          <w:szCs w:val="21"/>
        </w:rPr>
      </w:pPr>
      <w:r>
        <w:rPr>
          <w:rFonts w:hint="eastAsia" w:ascii="宋体" w:hAnsi="宋体"/>
          <w:bCs/>
          <w:kern w:val="0"/>
          <w:sz w:val="22"/>
          <w:szCs w:val="21"/>
        </w:rPr>
        <w:t xml:space="preserve">      </w:t>
      </w:r>
    </w:p>
    <w:p>
      <w:pPr>
        <w:spacing w:before="166" w:beforeLines="50" w:after="166" w:afterLines="50" w:line="336" w:lineRule="auto"/>
        <w:ind w:firstLine="420" w:firstLineChars="200"/>
        <w:contextualSpacing/>
        <w:rPr>
          <w:rFonts w:ascii="宋体"/>
        </w:rPr>
      </w:pPr>
      <w:r>
        <w:rPr>
          <w:rFonts w:hint="eastAsia" w:ascii="宋体" w:hAnsi="宋体"/>
        </w:rPr>
        <w:t>法定代表人（授权代表）：</w:t>
      </w:r>
      <w:r>
        <w:rPr>
          <w:rFonts w:hint="eastAsia" w:ascii="宋体"/>
        </w:rPr>
        <w:tab/>
      </w:r>
    </w:p>
    <w:p>
      <w:pPr>
        <w:spacing w:before="166" w:beforeLines="50" w:after="166" w:afterLines="50" w:line="336" w:lineRule="auto"/>
        <w:ind w:firstLine="420" w:firstLineChars="200"/>
        <w:contextualSpacing/>
        <w:rPr>
          <w:rFonts w:ascii="宋体" w:hAnsi="宋体"/>
        </w:rPr>
      </w:pPr>
      <w:r>
        <w:rPr>
          <w:rFonts w:hint="eastAsia" w:ascii="宋体"/>
        </w:rPr>
        <w:tab/>
      </w:r>
      <w:r>
        <w:rPr>
          <w:rFonts w:hint="eastAsia" w:ascii="宋体"/>
        </w:rPr>
        <w:t xml:space="preserve">   </w:t>
      </w:r>
    </w:p>
    <w:p>
      <w:pPr>
        <w:adjustRightInd w:val="0"/>
        <w:snapToGrid w:val="0"/>
        <w:spacing w:line="360" w:lineRule="auto"/>
        <w:ind w:firstLine="420" w:firstLineChars="200"/>
        <w:contextualSpacing/>
        <w:rPr>
          <w:rFonts w:eastAsia="仿宋_GB2312"/>
          <w:color w:val="auto"/>
          <w:sz w:val="32"/>
          <w:szCs w:val="32"/>
        </w:rPr>
      </w:pPr>
      <w:r>
        <w:rPr>
          <w:rFonts w:hint="eastAsia" w:ascii="宋体" w:hAnsi="宋体"/>
        </w:rPr>
        <w:t>签约日期：   年   月   日</w:t>
      </w:r>
      <w:bookmarkEnd w:id="13"/>
    </w:p>
    <w:sectPr>
      <w:headerReference r:id="rId5"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0D291B4-6C04-4806-BF0D-F8C93E2D714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B8FD1737-F41D-4F66-AA44-7785D0F934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auto"/>
    <w:pitch w:val="default"/>
    <w:sig w:usb0="00000001" w:usb1="080E0000" w:usb2="00000000" w:usb3="00000000" w:csb0="00040000" w:csb1="00000000"/>
    <w:embedRegular r:id="rId3" w:fontKey="{615BE5E4-A573-4657-9B7F-F661FD796D9A}"/>
  </w:font>
  <w:font w:name="仿宋">
    <w:panose1 w:val="02010609060101010101"/>
    <w:charset w:val="86"/>
    <w:family w:val="modern"/>
    <w:pitch w:val="default"/>
    <w:sig w:usb0="800002BF" w:usb1="38CF7CFA" w:usb2="00000016" w:usb3="00000000" w:csb0="00040001" w:csb1="00000000"/>
    <w:embedRegular r:id="rId4" w:fontKey="{908C8FD2-8966-4DE6-BB6F-0308D8CE1883}"/>
  </w:font>
  <w:font w:name="华文中宋">
    <w:panose1 w:val="02010600040101010101"/>
    <w:charset w:val="86"/>
    <w:family w:val="auto"/>
    <w:pitch w:val="default"/>
    <w:sig w:usb0="00000287" w:usb1="080F0000" w:usb2="00000000" w:usb3="00000000" w:csb0="0004009F" w:csb1="DFD70000"/>
    <w:embedRegular r:id="rId5" w:fontKey="{663A18DC-61DC-4090-A637-5D5A66984CE2}"/>
  </w:font>
  <w:font w:name="新宋体">
    <w:panose1 w:val="02010609030101010101"/>
    <w:charset w:val="86"/>
    <w:family w:val="modern"/>
    <w:pitch w:val="default"/>
    <w:sig w:usb0="00000203" w:usb1="288F0000" w:usb2="00000006" w:usb3="00000000" w:csb0="00040001" w:csb1="00000000"/>
    <w:embedRegular r:id="rId6" w:fontKey="{AA0E0521-3825-4F56-B632-C937A4FE0B3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202E58"/>
    <w:multiLevelType w:val="singleLevel"/>
    <w:tmpl w:val="C8202E58"/>
    <w:lvl w:ilvl="0" w:tentative="0">
      <w:start w:val="7"/>
      <w:numFmt w:val="chineseCounting"/>
      <w:suff w:val="space"/>
      <w:lvlText w:val="第%1条"/>
      <w:lvlJc w:val="left"/>
      <w:rPr>
        <w:rFonts w:hint="eastAsia"/>
      </w:rPr>
    </w:lvl>
  </w:abstractNum>
  <w:abstractNum w:abstractNumId="1">
    <w:nsid w:val="E15C341E"/>
    <w:multiLevelType w:val="singleLevel"/>
    <w:tmpl w:val="E15C341E"/>
    <w:lvl w:ilvl="0" w:tentative="0">
      <w:start w:val="4"/>
      <w:numFmt w:val="chineseCounting"/>
      <w:suff w:val="space"/>
      <w:lvlText w:val="第%1条"/>
      <w:lvlJc w:val="left"/>
      <w:rPr>
        <w:rFonts w:hint="eastAsia"/>
      </w:rPr>
    </w:lvl>
  </w:abstractNum>
  <w:abstractNum w:abstractNumId="2">
    <w:nsid w:val="02BA4E6F"/>
    <w:multiLevelType w:val="multilevel"/>
    <w:tmpl w:val="02BA4E6F"/>
    <w:lvl w:ilvl="0" w:tentative="0">
      <w:start w:val="1"/>
      <w:numFmt w:val="bullet"/>
      <w:pStyle w:val="61"/>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2"/>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758623D3"/>
    <w:multiLevelType w:val="singleLevel"/>
    <w:tmpl w:val="758623D3"/>
    <w:lvl w:ilvl="0" w:tentative="0">
      <w:start w:val="1"/>
      <w:numFmt w:val="bullet"/>
      <w:pStyle w:val="7"/>
      <w:lvlText w:val=""/>
      <w:lvlJc w:val="left"/>
      <w:pPr>
        <w:tabs>
          <w:tab w:val="left" w:pos="360"/>
        </w:tabs>
        <w:ind w:left="360" w:hanging="360"/>
      </w:pPr>
      <w:rPr>
        <w:rFonts w:hint="default" w:ascii="Wingdings" w:hAnsi="Wingdings"/>
      </w:rPr>
    </w:lvl>
  </w:abstractNum>
  <w:num w:numId="1">
    <w:abstractNumId w:val="5"/>
  </w:num>
  <w:num w:numId="2">
    <w:abstractNumId w:val="4"/>
  </w:num>
  <w:num w:numId="3">
    <w:abstractNumId w:val="2"/>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revisionView w:markup="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4MTA3NDRmNmE1YmY4NzYyZjhjMDRlNTA3MDM4MjYifQ=="/>
  </w:docVars>
  <w:rsids>
    <w:rsidRoot w:val="00BD5ED0"/>
    <w:rsid w:val="00005B73"/>
    <w:rsid w:val="00012BFA"/>
    <w:rsid w:val="000164E6"/>
    <w:rsid w:val="00035F8F"/>
    <w:rsid w:val="00045122"/>
    <w:rsid w:val="000503CE"/>
    <w:rsid w:val="000535B8"/>
    <w:rsid w:val="00055419"/>
    <w:rsid w:val="000616CD"/>
    <w:rsid w:val="00063F50"/>
    <w:rsid w:val="000679B7"/>
    <w:rsid w:val="00074383"/>
    <w:rsid w:val="00077653"/>
    <w:rsid w:val="000930FE"/>
    <w:rsid w:val="000941B8"/>
    <w:rsid w:val="0009582E"/>
    <w:rsid w:val="000A0257"/>
    <w:rsid w:val="000A0DFB"/>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575A"/>
    <w:rsid w:val="0010706E"/>
    <w:rsid w:val="00115B17"/>
    <w:rsid w:val="0012090D"/>
    <w:rsid w:val="00124D32"/>
    <w:rsid w:val="001264A1"/>
    <w:rsid w:val="00131E92"/>
    <w:rsid w:val="00136549"/>
    <w:rsid w:val="00137A41"/>
    <w:rsid w:val="00143273"/>
    <w:rsid w:val="0014433E"/>
    <w:rsid w:val="0014722B"/>
    <w:rsid w:val="0014729E"/>
    <w:rsid w:val="00152F22"/>
    <w:rsid w:val="00153F65"/>
    <w:rsid w:val="00156EF1"/>
    <w:rsid w:val="00157353"/>
    <w:rsid w:val="0016352B"/>
    <w:rsid w:val="0016665E"/>
    <w:rsid w:val="00170C97"/>
    <w:rsid w:val="0017142D"/>
    <w:rsid w:val="00175372"/>
    <w:rsid w:val="00182942"/>
    <w:rsid w:val="001844CB"/>
    <w:rsid w:val="00191009"/>
    <w:rsid w:val="001925E5"/>
    <w:rsid w:val="00193F95"/>
    <w:rsid w:val="00196FE0"/>
    <w:rsid w:val="001A2C93"/>
    <w:rsid w:val="001A45EA"/>
    <w:rsid w:val="001A5AE5"/>
    <w:rsid w:val="001B09E7"/>
    <w:rsid w:val="001B6B51"/>
    <w:rsid w:val="001C22FD"/>
    <w:rsid w:val="001C279B"/>
    <w:rsid w:val="001C6622"/>
    <w:rsid w:val="001D0EAA"/>
    <w:rsid w:val="001D0FE8"/>
    <w:rsid w:val="001D6AB7"/>
    <w:rsid w:val="001E5549"/>
    <w:rsid w:val="001E7603"/>
    <w:rsid w:val="001F7CAF"/>
    <w:rsid w:val="002000CE"/>
    <w:rsid w:val="002008CC"/>
    <w:rsid w:val="00204419"/>
    <w:rsid w:val="00205F12"/>
    <w:rsid w:val="00210BCF"/>
    <w:rsid w:val="00215784"/>
    <w:rsid w:val="00215DF7"/>
    <w:rsid w:val="00220762"/>
    <w:rsid w:val="0022330A"/>
    <w:rsid w:val="00227F02"/>
    <w:rsid w:val="00231A8A"/>
    <w:rsid w:val="002355B4"/>
    <w:rsid w:val="00235976"/>
    <w:rsid w:val="002368CE"/>
    <w:rsid w:val="00236E54"/>
    <w:rsid w:val="00237233"/>
    <w:rsid w:val="00243458"/>
    <w:rsid w:val="00244C63"/>
    <w:rsid w:val="002502B9"/>
    <w:rsid w:val="0025172C"/>
    <w:rsid w:val="00251A1B"/>
    <w:rsid w:val="00254E0E"/>
    <w:rsid w:val="002660E2"/>
    <w:rsid w:val="0026670C"/>
    <w:rsid w:val="00272C17"/>
    <w:rsid w:val="0027714D"/>
    <w:rsid w:val="002905F7"/>
    <w:rsid w:val="002941DB"/>
    <w:rsid w:val="002A05DD"/>
    <w:rsid w:val="002A1D9A"/>
    <w:rsid w:val="002A32EA"/>
    <w:rsid w:val="002A4476"/>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FC7"/>
    <w:rsid w:val="0033142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4157"/>
    <w:rsid w:val="003F7A36"/>
    <w:rsid w:val="00404AF8"/>
    <w:rsid w:val="00407262"/>
    <w:rsid w:val="004113A9"/>
    <w:rsid w:val="00412BC5"/>
    <w:rsid w:val="0042773C"/>
    <w:rsid w:val="004321F7"/>
    <w:rsid w:val="004333CD"/>
    <w:rsid w:val="004407A6"/>
    <w:rsid w:val="00445796"/>
    <w:rsid w:val="004504C6"/>
    <w:rsid w:val="00454378"/>
    <w:rsid w:val="00455511"/>
    <w:rsid w:val="00460621"/>
    <w:rsid w:val="00476704"/>
    <w:rsid w:val="0048157A"/>
    <w:rsid w:val="0048198F"/>
    <w:rsid w:val="00481EBF"/>
    <w:rsid w:val="00484829"/>
    <w:rsid w:val="00484B15"/>
    <w:rsid w:val="00485FBD"/>
    <w:rsid w:val="00486C6C"/>
    <w:rsid w:val="00490A12"/>
    <w:rsid w:val="00491E00"/>
    <w:rsid w:val="00496744"/>
    <w:rsid w:val="00497C31"/>
    <w:rsid w:val="004A699E"/>
    <w:rsid w:val="004B145E"/>
    <w:rsid w:val="004B66ED"/>
    <w:rsid w:val="004B7C4E"/>
    <w:rsid w:val="004C3A44"/>
    <w:rsid w:val="004D17EB"/>
    <w:rsid w:val="004D1C1A"/>
    <w:rsid w:val="004E611C"/>
    <w:rsid w:val="004E7081"/>
    <w:rsid w:val="004F2DA5"/>
    <w:rsid w:val="004F3897"/>
    <w:rsid w:val="004F5933"/>
    <w:rsid w:val="0050381E"/>
    <w:rsid w:val="00507325"/>
    <w:rsid w:val="00513E78"/>
    <w:rsid w:val="0052004C"/>
    <w:rsid w:val="00520138"/>
    <w:rsid w:val="005210A5"/>
    <w:rsid w:val="005371FF"/>
    <w:rsid w:val="005461F1"/>
    <w:rsid w:val="00560A5A"/>
    <w:rsid w:val="00561B95"/>
    <w:rsid w:val="00565B17"/>
    <w:rsid w:val="0058123D"/>
    <w:rsid w:val="00590112"/>
    <w:rsid w:val="005968DF"/>
    <w:rsid w:val="005A4E94"/>
    <w:rsid w:val="005A74C6"/>
    <w:rsid w:val="005B3EF9"/>
    <w:rsid w:val="005B48FC"/>
    <w:rsid w:val="005B7F8E"/>
    <w:rsid w:val="005C161C"/>
    <w:rsid w:val="005C320D"/>
    <w:rsid w:val="005C6227"/>
    <w:rsid w:val="005E2D48"/>
    <w:rsid w:val="005E3228"/>
    <w:rsid w:val="005F1911"/>
    <w:rsid w:val="005F3328"/>
    <w:rsid w:val="005F55FA"/>
    <w:rsid w:val="00604A1A"/>
    <w:rsid w:val="00605737"/>
    <w:rsid w:val="00610E99"/>
    <w:rsid w:val="00611986"/>
    <w:rsid w:val="006155F4"/>
    <w:rsid w:val="0063300F"/>
    <w:rsid w:val="00633DF9"/>
    <w:rsid w:val="00635B18"/>
    <w:rsid w:val="00640CD1"/>
    <w:rsid w:val="0064381D"/>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4336"/>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3B54"/>
    <w:rsid w:val="0074619F"/>
    <w:rsid w:val="007469CE"/>
    <w:rsid w:val="00750139"/>
    <w:rsid w:val="007564D3"/>
    <w:rsid w:val="00757900"/>
    <w:rsid w:val="00762CB4"/>
    <w:rsid w:val="00770201"/>
    <w:rsid w:val="007722DD"/>
    <w:rsid w:val="00782C1C"/>
    <w:rsid w:val="00786D41"/>
    <w:rsid w:val="00794F11"/>
    <w:rsid w:val="007953EE"/>
    <w:rsid w:val="00797AC3"/>
    <w:rsid w:val="007A5BEF"/>
    <w:rsid w:val="007A6E42"/>
    <w:rsid w:val="007A6F56"/>
    <w:rsid w:val="007B3FFC"/>
    <w:rsid w:val="007C0745"/>
    <w:rsid w:val="007C258B"/>
    <w:rsid w:val="007C518E"/>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33C18"/>
    <w:rsid w:val="0083445B"/>
    <w:rsid w:val="0083540F"/>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741A"/>
    <w:rsid w:val="00911170"/>
    <w:rsid w:val="009137D0"/>
    <w:rsid w:val="009160E2"/>
    <w:rsid w:val="00921906"/>
    <w:rsid w:val="00925020"/>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7B7"/>
    <w:rsid w:val="009C6F7D"/>
    <w:rsid w:val="009D2A2D"/>
    <w:rsid w:val="009F03D0"/>
    <w:rsid w:val="009F34D1"/>
    <w:rsid w:val="009F67E6"/>
    <w:rsid w:val="009F7302"/>
    <w:rsid w:val="00A11CF1"/>
    <w:rsid w:val="00A20D53"/>
    <w:rsid w:val="00A2111B"/>
    <w:rsid w:val="00A25FAB"/>
    <w:rsid w:val="00A31649"/>
    <w:rsid w:val="00A34A4A"/>
    <w:rsid w:val="00A36417"/>
    <w:rsid w:val="00A40F11"/>
    <w:rsid w:val="00A43898"/>
    <w:rsid w:val="00A450CE"/>
    <w:rsid w:val="00A46C5D"/>
    <w:rsid w:val="00A5612B"/>
    <w:rsid w:val="00A6082D"/>
    <w:rsid w:val="00A63294"/>
    <w:rsid w:val="00A71EF2"/>
    <w:rsid w:val="00A72D1C"/>
    <w:rsid w:val="00A74EE0"/>
    <w:rsid w:val="00A76643"/>
    <w:rsid w:val="00A7749C"/>
    <w:rsid w:val="00A7786F"/>
    <w:rsid w:val="00A820BE"/>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5ED0"/>
    <w:rsid w:val="00BE5655"/>
    <w:rsid w:val="00BE62B0"/>
    <w:rsid w:val="00BF2792"/>
    <w:rsid w:val="00BF4097"/>
    <w:rsid w:val="00BF4AA9"/>
    <w:rsid w:val="00C11DC8"/>
    <w:rsid w:val="00C139AD"/>
    <w:rsid w:val="00C1766C"/>
    <w:rsid w:val="00C26BEC"/>
    <w:rsid w:val="00C33174"/>
    <w:rsid w:val="00C36E31"/>
    <w:rsid w:val="00C4146E"/>
    <w:rsid w:val="00C446A4"/>
    <w:rsid w:val="00C54610"/>
    <w:rsid w:val="00C607E8"/>
    <w:rsid w:val="00C60F7D"/>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D22FB3"/>
    <w:rsid w:val="00D2717E"/>
    <w:rsid w:val="00D320E7"/>
    <w:rsid w:val="00D3269F"/>
    <w:rsid w:val="00D36416"/>
    <w:rsid w:val="00D418BC"/>
    <w:rsid w:val="00D45A27"/>
    <w:rsid w:val="00D46E62"/>
    <w:rsid w:val="00D52541"/>
    <w:rsid w:val="00D54BA0"/>
    <w:rsid w:val="00D608D9"/>
    <w:rsid w:val="00D634C8"/>
    <w:rsid w:val="00D64B79"/>
    <w:rsid w:val="00D66E24"/>
    <w:rsid w:val="00D76D4E"/>
    <w:rsid w:val="00D806A3"/>
    <w:rsid w:val="00D814B6"/>
    <w:rsid w:val="00D8399F"/>
    <w:rsid w:val="00D84FE2"/>
    <w:rsid w:val="00D92409"/>
    <w:rsid w:val="00D95914"/>
    <w:rsid w:val="00DA1560"/>
    <w:rsid w:val="00DA3184"/>
    <w:rsid w:val="00DA5E27"/>
    <w:rsid w:val="00DA65EE"/>
    <w:rsid w:val="00DA7E5B"/>
    <w:rsid w:val="00DB0309"/>
    <w:rsid w:val="00DB6E4E"/>
    <w:rsid w:val="00DC5744"/>
    <w:rsid w:val="00DC619A"/>
    <w:rsid w:val="00DC7FC2"/>
    <w:rsid w:val="00DD2DB5"/>
    <w:rsid w:val="00DD2E0C"/>
    <w:rsid w:val="00DD3DB6"/>
    <w:rsid w:val="00DD4ED1"/>
    <w:rsid w:val="00DD686B"/>
    <w:rsid w:val="00DE3373"/>
    <w:rsid w:val="00DE654E"/>
    <w:rsid w:val="00DE6B3D"/>
    <w:rsid w:val="00DE72B9"/>
    <w:rsid w:val="00DF11FD"/>
    <w:rsid w:val="00DF4ECA"/>
    <w:rsid w:val="00DF5183"/>
    <w:rsid w:val="00DF6697"/>
    <w:rsid w:val="00DF7AB5"/>
    <w:rsid w:val="00DF7F0A"/>
    <w:rsid w:val="00E11376"/>
    <w:rsid w:val="00E21013"/>
    <w:rsid w:val="00E21941"/>
    <w:rsid w:val="00E30D18"/>
    <w:rsid w:val="00E444B2"/>
    <w:rsid w:val="00E50267"/>
    <w:rsid w:val="00E55C56"/>
    <w:rsid w:val="00E570B0"/>
    <w:rsid w:val="00E604F7"/>
    <w:rsid w:val="00E65448"/>
    <w:rsid w:val="00E678F0"/>
    <w:rsid w:val="00E71C8B"/>
    <w:rsid w:val="00E762DB"/>
    <w:rsid w:val="00E76DF9"/>
    <w:rsid w:val="00E76EA8"/>
    <w:rsid w:val="00E82677"/>
    <w:rsid w:val="00E85FE3"/>
    <w:rsid w:val="00E87D58"/>
    <w:rsid w:val="00E91BC8"/>
    <w:rsid w:val="00EA6B31"/>
    <w:rsid w:val="00EC0694"/>
    <w:rsid w:val="00EC1E4F"/>
    <w:rsid w:val="00EC5723"/>
    <w:rsid w:val="00EC5DF0"/>
    <w:rsid w:val="00ED43D8"/>
    <w:rsid w:val="00EE1FB9"/>
    <w:rsid w:val="00EE2A12"/>
    <w:rsid w:val="00EE3F96"/>
    <w:rsid w:val="00EE5B35"/>
    <w:rsid w:val="00EE7FAE"/>
    <w:rsid w:val="00EF409F"/>
    <w:rsid w:val="00EF491C"/>
    <w:rsid w:val="00EF6DB2"/>
    <w:rsid w:val="00F004D1"/>
    <w:rsid w:val="00F059EF"/>
    <w:rsid w:val="00F06DF3"/>
    <w:rsid w:val="00F10281"/>
    <w:rsid w:val="00F12122"/>
    <w:rsid w:val="00F13805"/>
    <w:rsid w:val="00F15584"/>
    <w:rsid w:val="00F163D7"/>
    <w:rsid w:val="00F236A2"/>
    <w:rsid w:val="00F25AA0"/>
    <w:rsid w:val="00F27EC3"/>
    <w:rsid w:val="00F301A1"/>
    <w:rsid w:val="00F35D52"/>
    <w:rsid w:val="00F363B7"/>
    <w:rsid w:val="00F37CA6"/>
    <w:rsid w:val="00F46A70"/>
    <w:rsid w:val="00F51913"/>
    <w:rsid w:val="00F55724"/>
    <w:rsid w:val="00F608BD"/>
    <w:rsid w:val="00F67143"/>
    <w:rsid w:val="00F81417"/>
    <w:rsid w:val="00F854B9"/>
    <w:rsid w:val="00F938F5"/>
    <w:rsid w:val="00F94850"/>
    <w:rsid w:val="00F97E28"/>
    <w:rsid w:val="00FA6653"/>
    <w:rsid w:val="00FB1DFB"/>
    <w:rsid w:val="00FB50A2"/>
    <w:rsid w:val="00FB5E05"/>
    <w:rsid w:val="00FB74E0"/>
    <w:rsid w:val="00FC7D84"/>
    <w:rsid w:val="00FD22B3"/>
    <w:rsid w:val="00FD24E2"/>
    <w:rsid w:val="00FD50D4"/>
    <w:rsid w:val="00FD6E74"/>
    <w:rsid w:val="00FE0424"/>
    <w:rsid w:val="00FE3D58"/>
    <w:rsid w:val="00FF2CE6"/>
    <w:rsid w:val="00FF40A5"/>
    <w:rsid w:val="00FF64ED"/>
    <w:rsid w:val="01061BA5"/>
    <w:rsid w:val="01D1627A"/>
    <w:rsid w:val="01E846EF"/>
    <w:rsid w:val="0227319D"/>
    <w:rsid w:val="02602C0E"/>
    <w:rsid w:val="035D28C7"/>
    <w:rsid w:val="035D4211"/>
    <w:rsid w:val="03667E05"/>
    <w:rsid w:val="037253A1"/>
    <w:rsid w:val="037D5EE3"/>
    <w:rsid w:val="03BD5772"/>
    <w:rsid w:val="04534C46"/>
    <w:rsid w:val="04CF6E29"/>
    <w:rsid w:val="04F95263"/>
    <w:rsid w:val="059366CF"/>
    <w:rsid w:val="05A5019A"/>
    <w:rsid w:val="05C435FF"/>
    <w:rsid w:val="05D00163"/>
    <w:rsid w:val="0688048D"/>
    <w:rsid w:val="06F3772F"/>
    <w:rsid w:val="077C34B8"/>
    <w:rsid w:val="07A209C4"/>
    <w:rsid w:val="07D05B5E"/>
    <w:rsid w:val="07D95FB4"/>
    <w:rsid w:val="080D26DA"/>
    <w:rsid w:val="081E38F9"/>
    <w:rsid w:val="08284245"/>
    <w:rsid w:val="084666CA"/>
    <w:rsid w:val="084851D8"/>
    <w:rsid w:val="086F1260"/>
    <w:rsid w:val="0880226D"/>
    <w:rsid w:val="089F2BDE"/>
    <w:rsid w:val="08BB2505"/>
    <w:rsid w:val="08CC19F0"/>
    <w:rsid w:val="095028A8"/>
    <w:rsid w:val="097F70D9"/>
    <w:rsid w:val="099A07E1"/>
    <w:rsid w:val="0A034F97"/>
    <w:rsid w:val="0A9B4FED"/>
    <w:rsid w:val="0ABF5558"/>
    <w:rsid w:val="0AF32FA6"/>
    <w:rsid w:val="0B0C0A79"/>
    <w:rsid w:val="0B217416"/>
    <w:rsid w:val="0B451F6A"/>
    <w:rsid w:val="0B49079D"/>
    <w:rsid w:val="0C392A40"/>
    <w:rsid w:val="0C585A5E"/>
    <w:rsid w:val="0C6F4C8D"/>
    <w:rsid w:val="0D0E0EB6"/>
    <w:rsid w:val="0DE142CB"/>
    <w:rsid w:val="0E1C6EF4"/>
    <w:rsid w:val="0E3942FD"/>
    <w:rsid w:val="0F267565"/>
    <w:rsid w:val="0F370C67"/>
    <w:rsid w:val="0F601CC9"/>
    <w:rsid w:val="0FB8707E"/>
    <w:rsid w:val="0FDC1CDC"/>
    <w:rsid w:val="100A3270"/>
    <w:rsid w:val="10223C48"/>
    <w:rsid w:val="10A55865"/>
    <w:rsid w:val="10D23BCB"/>
    <w:rsid w:val="11FB225E"/>
    <w:rsid w:val="12475EA9"/>
    <w:rsid w:val="12976173"/>
    <w:rsid w:val="12E60404"/>
    <w:rsid w:val="13144BBF"/>
    <w:rsid w:val="133360BD"/>
    <w:rsid w:val="13AC0997"/>
    <w:rsid w:val="13C80CDE"/>
    <w:rsid w:val="142A5394"/>
    <w:rsid w:val="146E4633"/>
    <w:rsid w:val="150412EA"/>
    <w:rsid w:val="150C349A"/>
    <w:rsid w:val="16ED449D"/>
    <w:rsid w:val="171438BA"/>
    <w:rsid w:val="17230955"/>
    <w:rsid w:val="182728D3"/>
    <w:rsid w:val="182770BA"/>
    <w:rsid w:val="18863017"/>
    <w:rsid w:val="18AC6D73"/>
    <w:rsid w:val="1A551442"/>
    <w:rsid w:val="1AA01B11"/>
    <w:rsid w:val="1B0A73C1"/>
    <w:rsid w:val="1B2E7B74"/>
    <w:rsid w:val="1B4716B4"/>
    <w:rsid w:val="1B5E0712"/>
    <w:rsid w:val="1C08419D"/>
    <w:rsid w:val="1C277060"/>
    <w:rsid w:val="1D2F75FB"/>
    <w:rsid w:val="1D352737"/>
    <w:rsid w:val="1D40289C"/>
    <w:rsid w:val="1D4D5FFD"/>
    <w:rsid w:val="1D5E6513"/>
    <w:rsid w:val="1D8C11DE"/>
    <w:rsid w:val="1E3668DD"/>
    <w:rsid w:val="1E8163AE"/>
    <w:rsid w:val="1EA062D6"/>
    <w:rsid w:val="1F752FD1"/>
    <w:rsid w:val="1F7A0970"/>
    <w:rsid w:val="2077683A"/>
    <w:rsid w:val="209E2C67"/>
    <w:rsid w:val="20DD4D1B"/>
    <w:rsid w:val="21167438"/>
    <w:rsid w:val="216F32CA"/>
    <w:rsid w:val="21EF78D2"/>
    <w:rsid w:val="22124112"/>
    <w:rsid w:val="22C47244"/>
    <w:rsid w:val="233C2F6A"/>
    <w:rsid w:val="23F57352"/>
    <w:rsid w:val="249A7996"/>
    <w:rsid w:val="2552593C"/>
    <w:rsid w:val="25C06C4C"/>
    <w:rsid w:val="267E2359"/>
    <w:rsid w:val="26BC7CBC"/>
    <w:rsid w:val="27447ED5"/>
    <w:rsid w:val="275F3A77"/>
    <w:rsid w:val="27F119F9"/>
    <w:rsid w:val="28014BFC"/>
    <w:rsid w:val="284370BF"/>
    <w:rsid w:val="284F0253"/>
    <w:rsid w:val="28644870"/>
    <w:rsid w:val="28A62E54"/>
    <w:rsid w:val="28CC7D28"/>
    <w:rsid w:val="2981245A"/>
    <w:rsid w:val="2A1135B9"/>
    <w:rsid w:val="2AE949DF"/>
    <w:rsid w:val="2B10410A"/>
    <w:rsid w:val="2B3B474B"/>
    <w:rsid w:val="2B722F90"/>
    <w:rsid w:val="2B8D044E"/>
    <w:rsid w:val="2B9E16B8"/>
    <w:rsid w:val="2C016BB8"/>
    <w:rsid w:val="2C0B1233"/>
    <w:rsid w:val="2C845CD5"/>
    <w:rsid w:val="2CEB5D3E"/>
    <w:rsid w:val="2D0F42E8"/>
    <w:rsid w:val="2D77461B"/>
    <w:rsid w:val="2E400C5F"/>
    <w:rsid w:val="2E5209E3"/>
    <w:rsid w:val="2EB01AFE"/>
    <w:rsid w:val="30592C7B"/>
    <w:rsid w:val="30D1119A"/>
    <w:rsid w:val="30F12F4C"/>
    <w:rsid w:val="3112402E"/>
    <w:rsid w:val="313D3E38"/>
    <w:rsid w:val="319E4A9E"/>
    <w:rsid w:val="32611BF0"/>
    <w:rsid w:val="328E43A7"/>
    <w:rsid w:val="33981C7F"/>
    <w:rsid w:val="33A83294"/>
    <w:rsid w:val="34011E26"/>
    <w:rsid w:val="341B4D23"/>
    <w:rsid w:val="34733598"/>
    <w:rsid w:val="34F524C1"/>
    <w:rsid w:val="36A81FB2"/>
    <w:rsid w:val="3722158D"/>
    <w:rsid w:val="375E09FC"/>
    <w:rsid w:val="37941974"/>
    <w:rsid w:val="38525FA9"/>
    <w:rsid w:val="39003F1D"/>
    <w:rsid w:val="39276876"/>
    <w:rsid w:val="392B2930"/>
    <w:rsid w:val="39572709"/>
    <w:rsid w:val="39A85936"/>
    <w:rsid w:val="39F35E10"/>
    <w:rsid w:val="3AC853CC"/>
    <w:rsid w:val="3B2026D6"/>
    <w:rsid w:val="3B8A3FB6"/>
    <w:rsid w:val="3BD24DC9"/>
    <w:rsid w:val="3C582CD8"/>
    <w:rsid w:val="3C6C4B9C"/>
    <w:rsid w:val="3CEA014D"/>
    <w:rsid w:val="3CF338B2"/>
    <w:rsid w:val="3D1D0DC6"/>
    <w:rsid w:val="3D4A3444"/>
    <w:rsid w:val="3E094E14"/>
    <w:rsid w:val="3E0C1CA2"/>
    <w:rsid w:val="3E2546CD"/>
    <w:rsid w:val="3E313E73"/>
    <w:rsid w:val="3F000003"/>
    <w:rsid w:val="3F1B7D1C"/>
    <w:rsid w:val="3F1E0E25"/>
    <w:rsid w:val="402B2AD3"/>
    <w:rsid w:val="40531C58"/>
    <w:rsid w:val="40FD0822"/>
    <w:rsid w:val="41192D98"/>
    <w:rsid w:val="413E5CD9"/>
    <w:rsid w:val="41E37623"/>
    <w:rsid w:val="42C41D55"/>
    <w:rsid w:val="43425F9D"/>
    <w:rsid w:val="43F465D0"/>
    <w:rsid w:val="442A053D"/>
    <w:rsid w:val="44440739"/>
    <w:rsid w:val="446F65B8"/>
    <w:rsid w:val="44780FC1"/>
    <w:rsid w:val="44F057A6"/>
    <w:rsid w:val="45A95346"/>
    <w:rsid w:val="45D732BD"/>
    <w:rsid w:val="46416F41"/>
    <w:rsid w:val="46932E0E"/>
    <w:rsid w:val="46C4203A"/>
    <w:rsid w:val="470E29AE"/>
    <w:rsid w:val="474A538D"/>
    <w:rsid w:val="47B85381"/>
    <w:rsid w:val="494A5E79"/>
    <w:rsid w:val="49CB0CCD"/>
    <w:rsid w:val="49E35DB3"/>
    <w:rsid w:val="4A8F7A31"/>
    <w:rsid w:val="4AA610D6"/>
    <w:rsid w:val="4B0C055A"/>
    <w:rsid w:val="4B780505"/>
    <w:rsid w:val="4C4C5224"/>
    <w:rsid w:val="4C8B4A7C"/>
    <w:rsid w:val="4CBF71FE"/>
    <w:rsid w:val="4CFC368B"/>
    <w:rsid w:val="4DAC42B6"/>
    <w:rsid w:val="4DED20EF"/>
    <w:rsid w:val="4E7D412D"/>
    <w:rsid w:val="4F086AAF"/>
    <w:rsid w:val="50124212"/>
    <w:rsid w:val="504B134F"/>
    <w:rsid w:val="5069668A"/>
    <w:rsid w:val="50A83CB2"/>
    <w:rsid w:val="51081E85"/>
    <w:rsid w:val="512B42F2"/>
    <w:rsid w:val="535675C7"/>
    <w:rsid w:val="538E5DEC"/>
    <w:rsid w:val="53E50C51"/>
    <w:rsid w:val="555972FB"/>
    <w:rsid w:val="56187C50"/>
    <w:rsid w:val="565E627F"/>
    <w:rsid w:val="568B4C42"/>
    <w:rsid w:val="56D076DF"/>
    <w:rsid w:val="56D25B04"/>
    <w:rsid w:val="56E34736"/>
    <w:rsid w:val="56F910F5"/>
    <w:rsid w:val="56FB15A3"/>
    <w:rsid w:val="572C3C94"/>
    <w:rsid w:val="57806BBC"/>
    <w:rsid w:val="57981EBE"/>
    <w:rsid w:val="57BA7A55"/>
    <w:rsid w:val="586249BE"/>
    <w:rsid w:val="588875E4"/>
    <w:rsid w:val="58963DA7"/>
    <w:rsid w:val="591176CE"/>
    <w:rsid w:val="592C3305"/>
    <w:rsid w:val="59C06FDA"/>
    <w:rsid w:val="59DA206B"/>
    <w:rsid w:val="5A2C7551"/>
    <w:rsid w:val="5A400720"/>
    <w:rsid w:val="5A4E6451"/>
    <w:rsid w:val="5BA30CF5"/>
    <w:rsid w:val="5C0E00D4"/>
    <w:rsid w:val="5CF4139A"/>
    <w:rsid w:val="5D1F3061"/>
    <w:rsid w:val="5D6135C8"/>
    <w:rsid w:val="5D693C9C"/>
    <w:rsid w:val="5DA95861"/>
    <w:rsid w:val="5DE973D6"/>
    <w:rsid w:val="5E653F23"/>
    <w:rsid w:val="5E8D2D21"/>
    <w:rsid w:val="5EBD1212"/>
    <w:rsid w:val="601D10D1"/>
    <w:rsid w:val="60247C98"/>
    <w:rsid w:val="61094916"/>
    <w:rsid w:val="61952B39"/>
    <w:rsid w:val="61C86F08"/>
    <w:rsid w:val="623F329A"/>
    <w:rsid w:val="62695E27"/>
    <w:rsid w:val="628242DE"/>
    <w:rsid w:val="629F6536"/>
    <w:rsid w:val="636127C3"/>
    <w:rsid w:val="63D800FB"/>
    <w:rsid w:val="642363FC"/>
    <w:rsid w:val="6541100E"/>
    <w:rsid w:val="654C0BA8"/>
    <w:rsid w:val="657038D9"/>
    <w:rsid w:val="65827787"/>
    <w:rsid w:val="658A2B6C"/>
    <w:rsid w:val="658B21F2"/>
    <w:rsid w:val="664352EB"/>
    <w:rsid w:val="672079BD"/>
    <w:rsid w:val="679E1EB7"/>
    <w:rsid w:val="683E7EE4"/>
    <w:rsid w:val="68F51CA0"/>
    <w:rsid w:val="693307C1"/>
    <w:rsid w:val="696610E4"/>
    <w:rsid w:val="69BC6E18"/>
    <w:rsid w:val="6A0033F1"/>
    <w:rsid w:val="6A4E1B23"/>
    <w:rsid w:val="6A83721D"/>
    <w:rsid w:val="6A852A55"/>
    <w:rsid w:val="6AE21101"/>
    <w:rsid w:val="6B4F3B9E"/>
    <w:rsid w:val="6BD63153"/>
    <w:rsid w:val="6C255142"/>
    <w:rsid w:val="6C5B55DC"/>
    <w:rsid w:val="6CAE03DD"/>
    <w:rsid w:val="6CBC11B2"/>
    <w:rsid w:val="6CE56E6B"/>
    <w:rsid w:val="6D032DAA"/>
    <w:rsid w:val="6D1D16CD"/>
    <w:rsid w:val="6D791359"/>
    <w:rsid w:val="6E005A26"/>
    <w:rsid w:val="6E6329C5"/>
    <w:rsid w:val="6E940B17"/>
    <w:rsid w:val="6EFF345A"/>
    <w:rsid w:val="6F0E41D6"/>
    <w:rsid w:val="6F747CA9"/>
    <w:rsid w:val="6FB4540B"/>
    <w:rsid w:val="6FD0058F"/>
    <w:rsid w:val="6FE22F1F"/>
    <w:rsid w:val="705F70F2"/>
    <w:rsid w:val="70C73255"/>
    <w:rsid w:val="71464734"/>
    <w:rsid w:val="71610FBE"/>
    <w:rsid w:val="71C128D0"/>
    <w:rsid w:val="725008FF"/>
    <w:rsid w:val="725A2B25"/>
    <w:rsid w:val="72760778"/>
    <w:rsid w:val="731A171B"/>
    <w:rsid w:val="743104E3"/>
    <w:rsid w:val="74320C3C"/>
    <w:rsid w:val="74513162"/>
    <w:rsid w:val="74B0657B"/>
    <w:rsid w:val="750A2CD7"/>
    <w:rsid w:val="75431AF8"/>
    <w:rsid w:val="755C32D8"/>
    <w:rsid w:val="757B75BC"/>
    <w:rsid w:val="75893D8D"/>
    <w:rsid w:val="75CD5A54"/>
    <w:rsid w:val="75FD3979"/>
    <w:rsid w:val="76895BC2"/>
    <w:rsid w:val="7698749F"/>
    <w:rsid w:val="76A21D47"/>
    <w:rsid w:val="76A665D3"/>
    <w:rsid w:val="78BD1F9D"/>
    <w:rsid w:val="79201CE1"/>
    <w:rsid w:val="79B14724"/>
    <w:rsid w:val="79B33414"/>
    <w:rsid w:val="79D11580"/>
    <w:rsid w:val="7B3E0A41"/>
    <w:rsid w:val="7C323980"/>
    <w:rsid w:val="7D493D82"/>
    <w:rsid w:val="7DE41B0A"/>
    <w:rsid w:val="7E703C2F"/>
    <w:rsid w:val="7EBD47AD"/>
    <w:rsid w:val="7F0821C1"/>
    <w:rsid w:val="7F4F235A"/>
    <w:rsid w:val="7F6E13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31"/>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2"/>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3"/>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4"/>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1"/>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List Bullet"/>
    <w:basedOn w:val="1"/>
    <w:semiHidden/>
    <w:unhideWhenUsed/>
    <w:qFormat/>
    <w:uiPriority w:val="99"/>
    <w:pPr>
      <w:numPr>
        <w:ilvl w:val="0"/>
        <w:numId w:val="1"/>
      </w:numPr>
    </w:pPr>
  </w:style>
  <w:style w:type="paragraph" w:styleId="8">
    <w:name w:val="Document Map"/>
    <w:basedOn w:val="1"/>
    <w:link w:val="35"/>
    <w:qFormat/>
    <w:uiPriority w:val="99"/>
    <w:rPr>
      <w:rFonts w:ascii="宋体"/>
      <w:sz w:val="18"/>
      <w:szCs w:val="18"/>
    </w:rPr>
  </w:style>
  <w:style w:type="paragraph" w:styleId="9">
    <w:name w:val="annotation text"/>
    <w:basedOn w:val="1"/>
    <w:link w:val="36"/>
    <w:qFormat/>
    <w:uiPriority w:val="99"/>
    <w:pPr>
      <w:jc w:val="left"/>
    </w:pPr>
  </w:style>
  <w:style w:type="paragraph" w:styleId="10">
    <w:name w:val="Body Text"/>
    <w:basedOn w:val="1"/>
    <w:next w:val="11"/>
    <w:link w:val="37"/>
    <w:qFormat/>
    <w:uiPriority w:val="99"/>
    <w:pPr>
      <w:spacing w:after="120"/>
    </w:pPr>
  </w:style>
  <w:style w:type="paragraph" w:styleId="11">
    <w:name w:val="Body Text First Indent"/>
    <w:basedOn w:val="10"/>
    <w:link w:val="41"/>
    <w:qFormat/>
    <w:uiPriority w:val="99"/>
    <w:pPr>
      <w:widowControl/>
      <w:ind w:firstLine="420" w:firstLineChars="100"/>
    </w:pPr>
    <w:rPr>
      <w:rFonts w:ascii="Calibri" w:hAnsi="Calibri" w:cs="宋体"/>
      <w:szCs w:val="22"/>
    </w:rPr>
  </w:style>
  <w:style w:type="paragraph" w:styleId="12">
    <w:name w:val="Body Text Indent"/>
    <w:basedOn w:val="1"/>
    <w:qFormat/>
    <w:uiPriority w:val="0"/>
    <w:pPr>
      <w:autoSpaceDE/>
      <w:autoSpaceDN/>
      <w:adjustRightInd/>
      <w:ind w:left="567" w:leftChars="270"/>
      <w:jc w:val="both"/>
    </w:pPr>
    <w:rPr>
      <w:rFonts w:ascii="Times New Roman"/>
      <w:kern w:val="2"/>
      <w:sz w:val="21"/>
      <w:szCs w:val="20"/>
    </w:rPr>
  </w:style>
  <w:style w:type="paragraph" w:styleId="13">
    <w:name w:val="Plain Text"/>
    <w:basedOn w:val="1"/>
    <w:link w:val="53"/>
    <w:qFormat/>
    <w:uiPriority w:val="99"/>
    <w:pPr>
      <w:tabs>
        <w:tab w:val="left" w:pos="-105"/>
      </w:tabs>
      <w:spacing w:line="440" w:lineRule="exact"/>
      <w:ind w:right="-147" w:rightChars="-70"/>
      <w:outlineLvl w:val="2"/>
    </w:pPr>
    <w:rPr>
      <w:rFonts w:ascii="宋体" w:hAnsi="Courier New"/>
      <w:sz w:val="24"/>
      <w:szCs w:val="21"/>
    </w:rPr>
  </w:style>
  <w:style w:type="paragraph" w:styleId="14">
    <w:name w:val="Balloon Text"/>
    <w:basedOn w:val="1"/>
    <w:link w:val="38"/>
    <w:qFormat/>
    <w:uiPriority w:val="99"/>
    <w:rPr>
      <w:sz w:val="18"/>
      <w:szCs w:val="18"/>
    </w:rPr>
  </w:style>
  <w:style w:type="paragraph" w:styleId="15">
    <w:name w:val="footer"/>
    <w:basedOn w:val="1"/>
    <w:link w:val="39"/>
    <w:qFormat/>
    <w:uiPriority w:val="99"/>
    <w:pPr>
      <w:tabs>
        <w:tab w:val="center" w:pos="4153"/>
        <w:tab w:val="right" w:pos="8306"/>
      </w:tabs>
      <w:snapToGrid w:val="0"/>
      <w:jc w:val="left"/>
    </w:pPr>
    <w:rPr>
      <w:sz w:val="18"/>
      <w:szCs w:val="18"/>
    </w:rPr>
  </w:style>
  <w:style w:type="paragraph" w:styleId="16">
    <w:name w:val="header"/>
    <w:basedOn w:val="1"/>
    <w:link w:val="40"/>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qFormat/>
    <w:locked/>
    <w:uiPriority w:val="0"/>
    <w:pPr>
      <w:spacing w:before="240" w:after="60"/>
      <w:jc w:val="center"/>
      <w:outlineLvl w:val="0"/>
    </w:pPr>
    <w:rPr>
      <w:rFonts w:ascii="Cambria" w:hAnsi="Cambria"/>
      <w:b/>
      <w:bCs/>
      <w:sz w:val="32"/>
      <w:szCs w:val="32"/>
    </w:rPr>
  </w:style>
  <w:style w:type="paragraph" w:styleId="21">
    <w:name w:val="annotation subject"/>
    <w:basedOn w:val="9"/>
    <w:next w:val="9"/>
    <w:link w:val="58"/>
    <w:semiHidden/>
    <w:qFormat/>
    <w:uiPriority w:val="99"/>
    <w:rPr>
      <w:b/>
      <w:bCs/>
    </w:rPr>
  </w:style>
  <w:style w:type="paragraph" w:styleId="22">
    <w:name w:val="Body Text First Indent 2"/>
    <w:basedOn w:val="12"/>
    <w:qFormat/>
    <w:uiPriority w:val="0"/>
    <w:pPr>
      <w:ind w:firstLine="420" w:firstLineChars="200"/>
    </w:pPr>
    <w:rPr>
      <w:color w:val="000000"/>
    </w:rPr>
  </w:style>
  <w:style w:type="table" w:styleId="24">
    <w:name w:val="Table Grid"/>
    <w:basedOn w:val="23"/>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locked/>
    <w:uiPriority w:val="0"/>
    <w:rPr>
      <w:b/>
      <w:bCs/>
    </w:rPr>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paragraph" w:customStyle="1" w:styleId="29">
    <w:name w:val="正文2"/>
    <w:basedOn w:val="6"/>
    <w:qFormat/>
    <w:uiPriority w:val="0"/>
    <w:pPr>
      <w:jc w:val="both"/>
    </w:pPr>
    <w:rPr>
      <w:rFonts w:ascii="Times New Roman" w:hAnsi="Times New Roman" w:eastAsia="宋体" w:cs="Times New Roman"/>
      <w:kern w:val="2"/>
      <w:sz w:val="21"/>
      <w:szCs w:val="21"/>
      <w:lang w:val="en-US" w:eastAsia="zh-CN" w:bidi="ar-SA"/>
    </w:rPr>
  </w:style>
  <w:style w:type="paragraph" w:customStyle="1" w:styleId="30">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1">
    <w:name w:val="标题 1 Char"/>
    <w:basedOn w:val="25"/>
    <w:link w:val="3"/>
    <w:qFormat/>
    <w:locked/>
    <w:uiPriority w:val="99"/>
    <w:rPr>
      <w:rFonts w:ascii="Times New Roman" w:hAnsi="Times New Roman" w:eastAsia="宋体" w:cs="Times New Roman"/>
      <w:b/>
      <w:bCs/>
      <w:kern w:val="44"/>
      <w:sz w:val="44"/>
      <w:szCs w:val="44"/>
    </w:rPr>
  </w:style>
  <w:style w:type="character" w:customStyle="1" w:styleId="32">
    <w:name w:val="标题 2 Char"/>
    <w:basedOn w:val="25"/>
    <w:link w:val="2"/>
    <w:qFormat/>
    <w:locked/>
    <w:uiPriority w:val="99"/>
    <w:rPr>
      <w:rFonts w:ascii="Cambria" w:hAnsi="Cambria" w:eastAsia="宋体" w:cs="Times New Roman"/>
      <w:b/>
      <w:bCs/>
      <w:kern w:val="2"/>
      <w:sz w:val="32"/>
      <w:szCs w:val="32"/>
    </w:rPr>
  </w:style>
  <w:style w:type="character" w:customStyle="1" w:styleId="33">
    <w:name w:val="标题 3 Char"/>
    <w:basedOn w:val="25"/>
    <w:link w:val="4"/>
    <w:qFormat/>
    <w:locked/>
    <w:uiPriority w:val="99"/>
    <w:rPr>
      <w:rFonts w:eastAsia="宋体" w:cs="Times New Roman"/>
      <w:b/>
      <w:sz w:val="32"/>
    </w:rPr>
  </w:style>
  <w:style w:type="character" w:customStyle="1" w:styleId="34">
    <w:name w:val="标题 4 Char"/>
    <w:basedOn w:val="25"/>
    <w:link w:val="5"/>
    <w:qFormat/>
    <w:locked/>
    <w:uiPriority w:val="99"/>
    <w:rPr>
      <w:rFonts w:ascii="Arial" w:hAnsi="Arial" w:eastAsia="黑体" w:cs="Times New Roman"/>
      <w:b/>
      <w:bCs/>
      <w:kern w:val="2"/>
      <w:sz w:val="28"/>
      <w:szCs w:val="28"/>
    </w:rPr>
  </w:style>
  <w:style w:type="character" w:customStyle="1" w:styleId="35">
    <w:name w:val="文档结构图 Char"/>
    <w:basedOn w:val="25"/>
    <w:link w:val="8"/>
    <w:qFormat/>
    <w:locked/>
    <w:uiPriority w:val="99"/>
    <w:rPr>
      <w:rFonts w:ascii="宋体" w:hAnsi="Times New Roman" w:eastAsia="宋体" w:cs="Times New Roman"/>
      <w:kern w:val="2"/>
      <w:sz w:val="18"/>
      <w:szCs w:val="18"/>
    </w:rPr>
  </w:style>
  <w:style w:type="character" w:customStyle="1" w:styleId="36">
    <w:name w:val="批注文字 Char"/>
    <w:basedOn w:val="25"/>
    <w:link w:val="9"/>
    <w:qFormat/>
    <w:locked/>
    <w:uiPriority w:val="99"/>
    <w:rPr>
      <w:rFonts w:ascii="Times New Roman" w:hAnsi="Times New Roman" w:cs="Times New Roman"/>
      <w:kern w:val="2"/>
      <w:sz w:val="21"/>
    </w:rPr>
  </w:style>
  <w:style w:type="character" w:customStyle="1" w:styleId="37">
    <w:name w:val="正文文本 Char"/>
    <w:basedOn w:val="25"/>
    <w:link w:val="10"/>
    <w:qFormat/>
    <w:locked/>
    <w:uiPriority w:val="99"/>
    <w:rPr>
      <w:rFonts w:ascii="Times New Roman" w:hAnsi="Times New Roman" w:eastAsia="宋体" w:cs="Times New Roman"/>
      <w:sz w:val="20"/>
      <w:szCs w:val="20"/>
    </w:rPr>
  </w:style>
  <w:style w:type="character" w:customStyle="1" w:styleId="38">
    <w:name w:val="批注框文本 Char"/>
    <w:basedOn w:val="25"/>
    <w:link w:val="14"/>
    <w:qFormat/>
    <w:locked/>
    <w:uiPriority w:val="99"/>
    <w:rPr>
      <w:rFonts w:ascii="Times New Roman" w:hAnsi="Times New Roman" w:eastAsia="宋体" w:cs="Times New Roman"/>
      <w:kern w:val="2"/>
      <w:sz w:val="18"/>
      <w:szCs w:val="18"/>
    </w:rPr>
  </w:style>
  <w:style w:type="character" w:customStyle="1" w:styleId="39">
    <w:name w:val="页脚 Char"/>
    <w:basedOn w:val="25"/>
    <w:link w:val="15"/>
    <w:qFormat/>
    <w:locked/>
    <w:uiPriority w:val="99"/>
    <w:rPr>
      <w:rFonts w:ascii="Times New Roman" w:hAnsi="Times New Roman" w:eastAsia="宋体" w:cs="Times New Roman"/>
      <w:sz w:val="18"/>
      <w:szCs w:val="18"/>
    </w:rPr>
  </w:style>
  <w:style w:type="character" w:customStyle="1" w:styleId="40">
    <w:name w:val="页眉 Char"/>
    <w:basedOn w:val="25"/>
    <w:link w:val="16"/>
    <w:qFormat/>
    <w:locked/>
    <w:uiPriority w:val="99"/>
    <w:rPr>
      <w:rFonts w:ascii="Times New Roman" w:hAnsi="Times New Roman" w:eastAsia="宋体" w:cs="Times New Roman"/>
      <w:sz w:val="18"/>
      <w:szCs w:val="18"/>
    </w:rPr>
  </w:style>
  <w:style w:type="character" w:customStyle="1" w:styleId="41">
    <w:name w:val="正文首行缩进 Char"/>
    <w:basedOn w:val="37"/>
    <w:link w:val="11"/>
    <w:qFormat/>
    <w:locked/>
    <w:uiPriority w:val="99"/>
    <w:rPr>
      <w:rFonts w:ascii="Times New Roman" w:hAnsi="Times New Roman" w:eastAsia="宋体" w:cs="Times New Roman"/>
      <w:sz w:val="20"/>
      <w:szCs w:val="20"/>
    </w:rPr>
  </w:style>
  <w:style w:type="character" w:customStyle="1" w:styleId="42">
    <w:name w:val="正文缩进2格 Char"/>
    <w:link w:val="43"/>
    <w:qFormat/>
    <w:locked/>
    <w:uiPriority w:val="99"/>
    <w:rPr>
      <w:rFonts w:ascii="仿宋_GB2312" w:hAnsi="宋体" w:eastAsia="仿宋_GB2312"/>
      <w:sz w:val="31"/>
    </w:rPr>
  </w:style>
  <w:style w:type="paragraph" w:customStyle="1" w:styleId="43">
    <w:name w:val="正文缩进2格"/>
    <w:basedOn w:val="1"/>
    <w:link w:val="42"/>
    <w:qFormat/>
    <w:uiPriority w:val="99"/>
    <w:pPr>
      <w:spacing w:line="600" w:lineRule="exact"/>
      <w:ind w:firstLine="639" w:firstLineChars="206"/>
    </w:pPr>
    <w:rPr>
      <w:rFonts w:ascii="仿宋_GB2312" w:hAnsi="宋体" w:eastAsia="仿宋_GB2312"/>
      <w:kern w:val="0"/>
      <w:sz w:val="31"/>
      <w:szCs w:val="31"/>
    </w:rPr>
  </w:style>
  <w:style w:type="paragraph" w:customStyle="1" w:styleId="44">
    <w:name w:val="列出段落1"/>
    <w:basedOn w:val="1"/>
    <w:qFormat/>
    <w:uiPriority w:val="99"/>
    <w:pPr>
      <w:ind w:firstLine="420" w:firstLineChars="200"/>
    </w:pPr>
  </w:style>
  <w:style w:type="paragraph" w:customStyle="1" w:styleId="45">
    <w:name w:val="列出段落2"/>
    <w:basedOn w:val="1"/>
    <w:qFormat/>
    <w:uiPriority w:val="99"/>
    <w:pPr>
      <w:ind w:firstLine="420" w:firstLineChars="200"/>
    </w:pPr>
  </w:style>
  <w:style w:type="paragraph" w:styleId="46">
    <w:name w:val="List Paragraph"/>
    <w:basedOn w:val="1"/>
    <w:qFormat/>
    <w:uiPriority w:val="99"/>
    <w:pPr>
      <w:ind w:firstLine="420" w:firstLineChars="200"/>
    </w:pPr>
  </w:style>
  <w:style w:type="character" w:customStyle="1" w:styleId="47">
    <w:name w:val="fontstyle01"/>
    <w:basedOn w:val="25"/>
    <w:qFormat/>
    <w:uiPriority w:val="99"/>
    <w:rPr>
      <w:rFonts w:ascii="仿宋" w:hAnsi="仿宋" w:eastAsia="仿宋" w:cs="Times New Roman"/>
      <w:color w:val="000000"/>
      <w:sz w:val="28"/>
      <w:szCs w:val="28"/>
    </w:rPr>
  </w:style>
  <w:style w:type="character" w:customStyle="1" w:styleId="48">
    <w:name w:val="！正文 Char"/>
    <w:link w:val="49"/>
    <w:qFormat/>
    <w:locked/>
    <w:uiPriority w:val="99"/>
    <w:rPr>
      <w:rFonts w:ascii="Arial" w:hAnsi="Arial"/>
      <w:sz w:val="24"/>
    </w:rPr>
  </w:style>
  <w:style w:type="paragraph" w:customStyle="1" w:styleId="49">
    <w:name w:val="！正文"/>
    <w:basedOn w:val="1"/>
    <w:link w:val="48"/>
    <w:qFormat/>
    <w:uiPriority w:val="99"/>
    <w:pPr>
      <w:spacing w:line="360" w:lineRule="auto"/>
      <w:ind w:firstLine="200" w:firstLineChars="200"/>
    </w:pPr>
    <w:rPr>
      <w:rFonts w:ascii="Arial" w:hAnsi="Arial" w:eastAsia="等线"/>
      <w:kern w:val="0"/>
      <w:sz w:val="24"/>
      <w:szCs w:val="24"/>
    </w:rPr>
  </w:style>
  <w:style w:type="paragraph" w:customStyle="1" w:styleId="50">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1">
    <w:name w:val="正文缩进 Char"/>
    <w:link w:val="6"/>
    <w:qFormat/>
    <w:locked/>
    <w:uiPriority w:val="99"/>
    <w:rPr>
      <w:sz w:val="24"/>
    </w:rPr>
  </w:style>
  <w:style w:type="paragraph" w:customStyle="1" w:styleId="52">
    <w:name w:val="标准书脚_奇数页"/>
    <w:qFormat/>
    <w:uiPriority w:val="99"/>
    <w:pPr>
      <w:numPr>
        <w:ilvl w:val="0"/>
        <w:numId w:val="2"/>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3">
    <w:name w:val="纯文本 Char"/>
    <w:basedOn w:val="25"/>
    <w:link w:val="13"/>
    <w:qFormat/>
    <w:locked/>
    <w:uiPriority w:val="99"/>
    <w:rPr>
      <w:rFonts w:ascii="宋体" w:hAnsi="Courier New" w:eastAsia="宋体" w:cs="Times New Roman"/>
      <w:kern w:val="2"/>
      <w:sz w:val="21"/>
      <w:szCs w:val="21"/>
    </w:rPr>
  </w:style>
  <w:style w:type="character" w:customStyle="1" w:styleId="54">
    <w:name w:val="未处理的提及1"/>
    <w:basedOn w:val="25"/>
    <w:semiHidden/>
    <w:qFormat/>
    <w:uiPriority w:val="99"/>
    <w:rPr>
      <w:rFonts w:cs="Times New Roman"/>
      <w:color w:val="605E5C"/>
      <w:shd w:val="clear" w:color="auto" w:fill="E1DFDD"/>
    </w:rPr>
  </w:style>
  <w:style w:type="paragraph" w:customStyle="1" w:styleId="55">
    <w:name w:val="样式"/>
    <w:basedOn w:val="1"/>
    <w:next w:val="46"/>
    <w:qFormat/>
    <w:uiPriority w:val="99"/>
    <w:pPr>
      <w:ind w:firstLine="420" w:firstLineChars="200"/>
    </w:pPr>
    <w:rPr>
      <w:rFonts w:ascii="Calibri" w:hAnsi="Calibri"/>
      <w:szCs w:val="22"/>
    </w:rPr>
  </w:style>
  <w:style w:type="character" w:customStyle="1" w:styleId="56">
    <w:name w:val="Body Text Indent 2 Char Char"/>
    <w:link w:val="57"/>
    <w:qFormat/>
    <w:locked/>
    <w:uiPriority w:val="99"/>
  </w:style>
  <w:style w:type="paragraph" w:customStyle="1" w:styleId="57">
    <w:name w:val="正文文本缩进 21"/>
    <w:basedOn w:val="1"/>
    <w:link w:val="56"/>
    <w:qFormat/>
    <w:uiPriority w:val="99"/>
    <w:pPr>
      <w:adjustRightInd w:val="0"/>
      <w:spacing w:line="480" w:lineRule="auto"/>
      <w:ind w:firstLine="540"/>
    </w:pPr>
    <w:rPr>
      <w:rFonts w:ascii="Calibri" w:hAnsi="Calibri" w:eastAsia="等线"/>
      <w:kern w:val="0"/>
      <w:sz w:val="20"/>
    </w:rPr>
  </w:style>
  <w:style w:type="character" w:customStyle="1" w:styleId="58">
    <w:name w:val="批注主题 Char"/>
    <w:basedOn w:val="36"/>
    <w:link w:val="21"/>
    <w:semiHidden/>
    <w:qFormat/>
    <w:locked/>
    <w:uiPriority w:val="99"/>
    <w:rPr>
      <w:rFonts w:ascii="Times New Roman" w:hAnsi="Times New Roman" w:eastAsia="宋体" w:cs="Times New Roman"/>
      <w:b/>
      <w:bCs/>
      <w:kern w:val="2"/>
      <w:sz w:val="21"/>
    </w:rPr>
  </w:style>
  <w:style w:type="character" w:customStyle="1" w:styleId="59">
    <w:name w:val="标题 4 字符"/>
    <w:basedOn w:val="25"/>
    <w:semiHidden/>
    <w:qFormat/>
    <w:uiPriority w:val="99"/>
    <w:rPr>
      <w:rFonts w:ascii="Cambria" w:hAnsi="Cambria" w:eastAsia="宋体" w:cs="Times New Roman"/>
      <w:b/>
      <w:bCs/>
      <w:kern w:val="2"/>
      <w:sz w:val="28"/>
      <w:szCs w:val="28"/>
    </w:rPr>
  </w:style>
  <w:style w:type="paragraph" w:customStyle="1" w:styleId="60">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1">
    <w:name w:val="致远要点"/>
    <w:basedOn w:val="46"/>
    <w:link w:val="62"/>
    <w:qFormat/>
    <w:uiPriority w:val="99"/>
    <w:pPr>
      <w:numPr>
        <w:ilvl w:val="0"/>
        <w:numId w:val="3"/>
      </w:numPr>
      <w:spacing w:before="120" w:after="120" w:line="360" w:lineRule="auto"/>
      <w:ind w:firstLine="0" w:firstLineChars="0"/>
    </w:pPr>
    <w:rPr>
      <w:rFonts w:ascii="黑体" w:hAnsi="黑体" w:eastAsia="黑体" w:cs="宋体"/>
      <w:sz w:val="24"/>
      <w:szCs w:val="22"/>
    </w:rPr>
  </w:style>
  <w:style w:type="character" w:customStyle="1" w:styleId="62">
    <w:name w:val="致远要点 字符"/>
    <w:basedOn w:val="25"/>
    <w:link w:val="61"/>
    <w:qFormat/>
    <w:locked/>
    <w:uiPriority w:val="99"/>
    <w:rPr>
      <w:rFonts w:ascii="黑体" w:hAnsi="黑体" w:eastAsia="黑体" w:cs="宋体"/>
      <w:kern w:val="2"/>
      <w:sz w:val="22"/>
      <w:szCs w:val="22"/>
    </w:rPr>
  </w:style>
  <w:style w:type="paragraph" w:customStyle="1" w:styleId="63">
    <w:name w:val="SANGFOR_6_正文"/>
    <w:basedOn w:val="1"/>
    <w:qFormat/>
    <w:uiPriority w:val="99"/>
    <w:pPr>
      <w:spacing w:line="360" w:lineRule="auto"/>
    </w:pPr>
    <w:rPr>
      <w:szCs w:val="24"/>
    </w:rPr>
  </w:style>
  <w:style w:type="paragraph" w:customStyle="1" w:styleId="64">
    <w:name w:val="_Style 2"/>
    <w:basedOn w:val="1"/>
    <w:qFormat/>
    <w:uiPriority w:val="0"/>
    <w:pPr>
      <w:spacing w:line="360" w:lineRule="auto"/>
      <w:ind w:firstLine="420" w:firstLineChars="200"/>
    </w:pPr>
    <w:rPr>
      <w:rFonts w:ascii="Calibri" w:hAnsi="Calibri"/>
      <w:szCs w:val="22"/>
    </w:rPr>
  </w:style>
  <w:style w:type="paragraph" w:customStyle="1" w:styleId="65">
    <w:name w:val="纯文本1"/>
    <w:basedOn w:val="1"/>
    <w:qFormat/>
    <w:uiPriority w:val="0"/>
    <w:rPr>
      <w:rFonts w:ascii="宋体" w:hAnsi="Courier New"/>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30</Pages>
  <Words>12475</Words>
  <Characters>13905</Characters>
  <Lines>5</Lines>
  <Paragraphs>8</Paragraphs>
  <TotalTime>22</TotalTime>
  <ScaleCrop>false</ScaleCrop>
  <LinksUpToDate>false</LinksUpToDate>
  <CharactersWithSpaces>16163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Administrator</dc:creator>
  <cp:lastModifiedBy>卢真</cp:lastModifiedBy>
  <cp:lastPrinted>2025-10-27T02:43:00Z</cp:lastPrinted>
  <dcterms:modified xsi:type="dcterms:W3CDTF">2025-10-27T07:31:50Z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559B6026C1604CC9BE489F2220821CEF_13</vt:lpwstr>
  </property>
  <property fmtid="{D5CDD505-2E9C-101B-9397-08002B2CF9AE}" pid="4" name="KSOTemplateDocerSaveRecord">
    <vt:lpwstr>eyJoZGlkIjoiNGVkZTViMWJhOWY5ZTA5YzZlNGQ4YmNjMGZlYmZjOTAiLCJ1c2VySWQiOiIzNTY4MTMwNzYifQ==</vt:lpwstr>
  </property>
</Properties>
</file>