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150B7D">
      <w:pPr>
        <w:spacing w:line="360" w:lineRule="auto"/>
        <w:rPr>
          <w:rFonts w:ascii="Times New Roman" w:hAnsi="Times New Roman" w:eastAsia="方正小标宋简体" w:cs="Times New Roman"/>
          <w:sz w:val="36"/>
          <w:szCs w:val="36"/>
        </w:rPr>
      </w:pPr>
      <w:r>
        <w:rPr>
          <w:rFonts w:hint="eastAsia" w:ascii="Times New Roman" w:hAnsi="Times New Roman" w:eastAsia="方正小标宋简体" w:cs="Times New Roman"/>
          <w:sz w:val="36"/>
          <w:szCs w:val="36"/>
        </w:rPr>
        <w:t>附件：</w:t>
      </w:r>
    </w:p>
    <w:p w14:paraId="2FF10BE8">
      <w:pPr>
        <w:spacing w:line="360" w:lineRule="auto"/>
        <w:jc w:val="center"/>
        <w:rPr>
          <w:rFonts w:ascii="Times New Roman" w:hAnsi="Times New Roman" w:eastAsia="方正小标宋简体" w:cs="Times New Roman"/>
          <w:sz w:val="52"/>
          <w:szCs w:val="52"/>
        </w:rPr>
      </w:pPr>
    </w:p>
    <w:p w14:paraId="4A0781C7">
      <w:pPr>
        <w:spacing w:line="360" w:lineRule="auto"/>
        <w:jc w:val="center"/>
        <w:rPr>
          <w:rFonts w:hint="eastAsia" w:ascii="Times New Roman" w:hAnsi="Times New Roman" w:eastAsia="方正小标宋简体" w:cs="Times New Roman"/>
          <w:sz w:val="52"/>
          <w:szCs w:val="52"/>
          <w:lang w:val="en-US" w:eastAsia="zh-CN"/>
        </w:rPr>
      </w:pPr>
      <w:r>
        <w:rPr>
          <w:rFonts w:hint="eastAsia" w:ascii="Times New Roman" w:hAnsi="Times New Roman" w:eastAsia="方正小标宋简体" w:cs="Times New Roman"/>
          <w:sz w:val="52"/>
          <w:szCs w:val="52"/>
        </w:rPr>
        <w:t>麻涌环保热电厂</w:t>
      </w:r>
      <w:r>
        <w:rPr>
          <w:rFonts w:hint="eastAsia" w:ascii="Times New Roman" w:hAnsi="Times New Roman" w:eastAsia="方正小标宋简体" w:cs="Times New Roman"/>
          <w:sz w:val="52"/>
          <w:szCs w:val="52"/>
          <w:lang w:val="en-US" w:eastAsia="zh-CN"/>
        </w:rPr>
        <w:t>飞灰暂存库修缮</w:t>
      </w:r>
    </w:p>
    <w:p w14:paraId="235EFC94">
      <w:pPr>
        <w:spacing w:line="360" w:lineRule="auto"/>
        <w:jc w:val="center"/>
        <w:rPr>
          <w:rFonts w:hint="eastAsia" w:ascii="Times New Roman" w:hAnsi="Times New Roman" w:eastAsia="方正小标宋简体" w:cs="Times New Roman"/>
          <w:sz w:val="52"/>
          <w:szCs w:val="52"/>
          <w:lang w:val="en-US" w:eastAsia="zh-CN"/>
        </w:rPr>
      </w:pPr>
      <w:r>
        <w:rPr>
          <w:rFonts w:hint="eastAsia" w:ascii="Times New Roman" w:hAnsi="Times New Roman" w:eastAsia="方正小标宋简体" w:cs="Times New Roman"/>
          <w:sz w:val="52"/>
          <w:szCs w:val="52"/>
          <w:lang w:val="en-US" w:eastAsia="zh-CN"/>
        </w:rPr>
        <w:t>项目</w:t>
      </w:r>
    </w:p>
    <w:p w14:paraId="7C78E681">
      <w:pPr>
        <w:spacing w:line="360" w:lineRule="auto"/>
        <w:jc w:val="center"/>
        <w:rPr>
          <w:rFonts w:hint="eastAsia" w:ascii="Times New Roman" w:hAnsi="Times New Roman" w:eastAsia="方正小标宋简体" w:cs="Times New Roman"/>
          <w:sz w:val="52"/>
          <w:szCs w:val="52"/>
          <w:lang w:val="en-US" w:eastAsia="zh-CN"/>
        </w:rPr>
      </w:pPr>
    </w:p>
    <w:p w14:paraId="03D601D3">
      <w:pPr>
        <w:spacing w:line="360" w:lineRule="auto"/>
        <w:jc w:val="center"/>
        <w:rPr>
          <w:rFonts w:hint="eastAsia" w:ascii="Times New Roman" w:hAnsi="Times New Roman" w:eastAsia="方正小标宋简体" w:cs="Times New Roman"/>
          <w:sz w:val="52"/>
          <w:szCs w:val="52"/>
        </w:rPr>
      </w:pPr>
      <w:r>
        <w:rPr>
          <w:rFonts w:hint="eastAsia" w:ascii="Times New Roman" w:hAnsi="Times New Roman" w:eastAsia="方正小标宋简体" w:cs="Times New Roman"/>
          <w:sz w:val="52"/>
          <w:szCs w:val="52"/>
        </w:rPr>
        <w:t>技</w:t>
      </w:r>
    </w:p>
    <w:p w14:paraId="2237681E">
      <w:pPr>
        <w:spacing w:line="360" w:lineRule="auto"/>
        <w:jc w:val="center"/>
        <w:rPr>
          <w:rFonts w:hint="eastAsia" w:ascii="Times New Roman" w:hAnsi="Times New Roman" w:eastAsia="方正小标宋简体" w:cs="Times New Roman"/>
          <w:sz w:val="52"/>
          <w:szCs w:val="52"/>
        </w:rPr>
      </w:pPr>
    </w:p>
    <w:p w14:paraId="458A78E4">
      <w:pPr>
        <w:spacing w:line="360" w:lineRule="auto"/>
        <w:jc w:val="center"/>
        <w:rPr>
          <w:rFonts w:hint="eastAsia" w:ascii="Times New Roman" w:hAnsi="Times New Roman" w:eastAsia="方正小标宋简体" w:cs="Times New Roman"/>
          <w:sz w:val="52"/>
          <w:szCs w:val="52"/>
        </w:rPr>
      </w:pPr>
      <w:r>
        <w:rPr>
          <w:rFonts w:hint="eastAsia" w:ascii="Times New Roman" w:hAnsi="Times New Roman" w:eastAsia="方正小标宋简体" w:cs="Times New Roman"/>
          <w:sz w:val="52"/>
          <w:szCs w:val="52"/>
        </w:rPr>
        <w:t>术</w:t>
      </w:r>
    </w:p>
    <w:p w14:paraId="1199AAD9">
      <w:pPr>
        <w:spacing w:line="360" w:lineRule="auto"/>
        <w:jc w:val="center"/>
        <w:rPr>
          <w:rFonts w:hint="eastAsia" w:ascii="Times New Roman" w:hAnsi="Times New Roman" w:eastAsia="方正小标宋简体" w:cs="Times New Roman"/>
          <w:sz w:val="52"/>
          <w:szCs w:val="52"/>
        </w:rPr>
      </w:pPr>
    </w:p>
    <w:p w14:paraId="51C9B353">
      <w:pPr>
        <w:spacing w:line="360" w:lineRule="auto"/>
        <w:jc w:val="center"/>
        <w:rPr>
          <w:rFonts w:hint="eastAsia" w:ascii="Times New Roman" w:hAnsi="Times New Roman" w:eastAsia="方正小标宋简体" w:cs="Times New Roman"/>
          <w:sz w:val="52"/>
          <w:szCs w:val="52"/>
        </w:rPr>
      </w:pPr>
      <w:r>
        <w:rPr>
          <w:rFonts w:hint="eastAsia" w:ascii="Times New Roman" w:hAnsi="Times New Roman" w:eastAsia="方正小标宋简体" w:cs="Times New Roman"/>
          <w:sz w:val="52"/>
          <w:szCs w:val="52"/>
        </w:rPr>
        <w:t>需</w:t>
      </w:r>
    </w:p>
    <w:p w14:paraId="5752579C">
      <w:pPr>
        <w:spacing w:line="360" w:lineRule="auto"/>
        <w:jc w:val="center"/>
        <w:rPr>
          <w:rFonts w:hint="eastAsia" w:ascii="Times New Roman" w:hAnsi="Times New Roman" w:eastAsia="方正小标宋简体" w:cs="Times New Roman"/>
          <w:sz w:val="52"/>
          <w:szCs w:val="52"/>
        </w:rPr>
      </w:pPr>
    </w:p>
    <w:p w14:paraId="6282A0B8">
      <w:pPr>
        <w:spacing w:line="360" w:lineRule="auto"/>
        <w:jc w:val="center"/>
        <w:rPr>
          <w:rFonts w:hint="eastAsia" w:ascii="Times New Roman" w:hAnsi="Times New Roman" w:eastAsia="方正小标宋简体" w:cs="Times New Roman"/>
          <w:sz w:val="52"/>
          <w:szCs w:val="52"/>
        </w:rPr>
      </w:pPr>
      <w:r>
        <w:rPr>
          <w:rFonts w:hint="eastAsia" w:ascii="Times New Roman" w:hAnsi="Times New Roman" w:eastAsia="方正小标宋简体" w:cs="Times New Roman"/>
          <w:sz w:val="52"/>
          <w:szCs w:val="52"/>
        </w:rPr>
        <w:t>求</w:t>
      </w:r>
    </w:p>
    <w:p w14:paraId="4C9A87D2">
      <w:pPr>
        <w:spacing w:line="360" w:lineRule="auto"/>
        <w:jc w:val="center"/>
        <w:rPr>
          <w:rFonts w:hint="eastAsia" w:ascii="Times New Roman" w:hAnsi="Times New Roman" w:eastAsia="方正小标宋简体" w:cs="Times New Roman"/>
          <w:sz w:val="52"/>
          <w:szCs w:val="52"/>
        </w:rPr>
      </w:pPr>
    </w:p>
    <w:p w14:paraId="02CA11D1">
      <w:pPr>
        <w:spacing w:line="360" w:lineRule="auto"/>
        <w:jc w:val="center"/>
        <w:rPr>
          <w:rFonts w:ascii="Times New Roman" w:hAnsi="Times New Roman" w:eastAsia="方正小标宋简体" w:cs="Times New Roman"/>
          <w:sz w:val="52"/>
          <w:szCs w:val="52"/>
        </w:rPr>
      </w:pPr>
      <w:r>
        <w:rPr>
          <w:rFonts w:hint="eastAsia" w:ascii="Times New Roman" w:hAnsi="Times New Roman" w:eastAsia="方正小标宋简体" w:cs="Times New Roman"/>
          <w:sz w:val="52"/>
          <w:szCs w:val="52"/>
        </w:rPr>
        <w:t>书</w:t>
      </w:r>
    </w:p>
    <w:p w14:paraId="3DA1E19C">
      <w:pPr>
        <w:spacing w:line="500" w:lineRule="exact"/>
        <w:jc w:val="center"/>
        <w:rPr>
          <w:rFonts w:ascii="Times New Roman" w:hAnsi="Times New Roman" w:eastAsia="仿宋" w:cs="Times New Roman"/>
          <w:sz w:val="52"/>
          <w:szCs w:val="52"/>
        </w:rPr>
      </w:pPr>
    </w:p>
    <w:p w14:paraId="0D30AB64">
      <w:pPr>
        <w:spacing w:line="500" w:lineRule="exact"/>
        <w:jc w:val="center"/>
        <w:rPr>
          <w:rFonts w:ascii="Times New Roman" w:hAnsi="Times New Roman" w:eastAsia="方正小标宋简体" w:cs="Times New Roman"/>
          <w:sz w:val="52"/>
          <w:szCs w:val="52"/>
        </w:rPr>
      </w:pPr>
    </w:p>
    <w:p w14:paraId="6001C881">
      <w:pPr>
        <w:spacing w:line="500" w:lineRule="exact"/>
        <w:rPr>
          <w:rFonts w:ascii="Times New Roman" w:hAnsi="Times New Roman" w:eastAsia="仿宋" w:cs="Times New Roman"/>
          <w:sz w:val="52"/>
          <w:szCs w:val="52"/>
        </w:rPr>
      </w:pPr>
    </w:p>
    <w:p w14:paraId="482AECFA">
      <w:pPr>
        <w:spacing w:line="5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采购人：</w:t>
      </w:r>
      <w:r>
        <w:rPr>
          <w:rFonts w:hint="eastAsia" w:ascii="Times New Roman" w:hAnsi="Times New Roman" w:eastAsia="仿宋" w:cs="Times New Roman"/>
          <w:sz w:val="28"/>
          <w:szCs w:val="28"/>
          <w:lang w:eastAsia="zh-CN"/>
        </w:rPr>
        <w:t>广东东实环境股份</w:t>
      </w:r>
      <w:r>
        <w:rPr>
          <w:rFonts w:ascii="Times New Roman" w:hAnsi="Times New Roman" w:eastAsia="仿宋" w:cs="Times New Roman"/>
          <w:sz w:val="28"/>
          <w:szCs w:val="28"/>
        </w:rPr>
        <w:t>有限公司</w:t>
      </w:r>
    </w:p>
    <w:p w14:paraId="256980C0">
      <w:pPr>
        <w:spacing w:line="500" w:lineRule="exact"/>
        <w:ind w:firstLine="1680" w:firstLineChars="600"/>
        <w:rPr>
          <w:rFonts w:ascii="Times New Roman" w:hAnsi="Times New Roman" w:eastAsia="仿宋" w:cs="Times New Roman"/>
          <w:sz w:val="28"/>
          <w:szCs w:val="28"/>
        </w:rPr>
      </w:pPr>
      <w:r>
        <w:rPr>
          <w:rFonts w:ascii="Times New Roman" w:hAnsi="Times New Roman" w:eastAsia="仿宋" w:cs="Times New Roman"/>
          <w:sz w:val="28"/>
          <w:szCs w:val="28"/>
        </w:rPr>
        <w:t xml:space="preserve"> </w:t>
      </w:r>
    </w:p>
    <w:p w14:paraId="7EC6B124">
      <w:pPr>
        <w:widowControl/>
        <w:jc w:val="left"/>
        <w:rPr>
          <w:rFonts w:ascii="Times New Roman" w:hAnsi="Times New Roman" w:eastAsia="黑体" w:cs="Times New Roman"/>
          <w:b/>
          <w:bCs/>
          <w:sz w:val="28"/>
          <w:szCs w:val="28"/>
        </w:rPr>
      </w:pPr>
      <w:bookmarkStart w:id="0" w:name="_Toc525009547"/>
      <w:bookmarkStart w:id="1" w:name="_Toc513261354"/>
      <w:bookmarkStart w:id="2" w:name="_Toc525012817"/>
      <w:r>
        <w:rPr>
          <w:rFonts w:ascii="Times New Roman" w:hAnsi="Times New Roman" w:eastAsia="黑体" w:cs="Times New Roman"/>
          <w:b/>
          <w:bCs/>
          <w:sz w:val="28"/>
          <w:szCs w:val="28"/>
        </w:rPr>
        <w:br w:type="page"/>
      </w:r>
    </w:p>
    <w:p w14:paraId="05067536">
      <w:pPr>
        <w:numPr>
          <w:ilvl w:val="0"/>
          <w:numId w:val="3"/>
        </w:numPr>
        <w:spacing w:line="500" w:lineRule="exact"/>
        <w:rPr>
          <w:rFonts w:ascii="Times New Roman" w:hAnsi="Times New Roman" w:eastAsia="黑体" w:cs="Times New Roman"/>
          <w:b/>
          <w:bCs/>
          <w:sz w:val="28"/>
          <w:szCs w:val="28"/>
        </w:rPr>
      </w:pPr>
      <w:r>
        <w:rPr>
          <w:rFonts w:ascii="Times New Roman" w:hAnsi="Times New Roman" w:eastAsia="黑体" w:cs="Times New Roman"/>
          <w:b/>
          <w:bCs/>
          <w:sz w:val="28"/>
          <w:szCs w:val="28"/>
        </w:rPr>
        <w:t>总则</w:t>
      </w:r>
      <w:bookmarkEnd w:id="0"/>
      <w:bookmarkEnd w:id="1"/>
      <w:bookmarkEnd w:id="2"/>
    </w:p>
    <w:p w14:paraId="76785692">
      <w:pPr>
        <w:spacing w:line="5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1.1  本技术需求书适用于</w:t>
      </w:r>
      <w:r>
        <w:rPr>
          <w:rFonts w:hint="eastAsia" w:ascii="Times New Roman" w:hAnsi="Times New Roman" w:eastAsia="仿宋_GB2312" w:cs="Times New Roman"/>
          <w:sz w:val="28"/>
          <w:szCs w:val="28"/>
          <w:lang w:val="en-US" w:eastAsia="zh-CN"/>
        </w:rPr>
        <w:t>广东东实环境股份有限公司麻涌环保热电厂飞灰暂存库修缮服务项目所需</w:t>
      </w:r>
      <w:r>
        <w:rPr>
          <w:rFonts w:ascii="Times New Roman" w:hAnsi="Times New Roman" w:eastAsia="仿宋_GB2312" w:cs="Times New Roman"/>
          <w:sz w:val="28"/>
          <w:szCs w:val="28"/>
        </w:rPr>
        <w:t>的材料</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辅料</w:t>
      </w:r>
      <w:r>
        <w:rPr>
          <w:rFonts w:hint="eastAsia" w:ascii="Times New Roman" w:hAnsi="Times New Roman" w:eastAsia="仿宋_GB2312" w:cs="Times New Roman"/>
          <w:sz w:val="28"/>
          <w:szCs w:val="28"/>
          <w:lang w:eastAsia="zh-CN"/>
        </w:rPr>
        <w:t>）</w:t>
      </w:r>
      <w:r>
        <w:rPr>
          <w:rFonts w:ascii="Times New Roman" w:hAnsi="Times New Roman" w:eastAsia="仿宋_GB2312" w:cs="Times New Roman"/>
          <w:sz w:val="28"/>
          <w:szCs w:val="28"/>
        </w:rPr>
        <w:t>、人工、</w:t>
      </w:r>
      <w:r>
        <w:rPr>
          <w:rFonts w:hint="eastAsia" w:ascii="Times New Roman" w:hAnsi="Times New Roman" w:eastAsia="仿宋_GB2312" w:cs="Times New Roman"/>
          <w:sz w:val="28"/>
          <w:szCs w:val="28"/>
        </w:rPr>
        <w:t>钢材运输费</w:t>
      </w:r>
      <w:r>
        <w:rPr>
          <w:rFonts w:hint="eastAsia" w:ascii="Times New Roman" w:hAnsi="Times New Roman" w:eastAsia="仿宋_GB2312" w:cs="Times New Roman"/>
          <w:sz w:val="28"/>
          <w:szCs w:val="28"/>
          <w:lang w:eastAsia="zh-CN"/>
        </w:rPr>
        <w:t>、</w:t>
      </w:r>
      <w:r>
        <w:rPr>
          <w:rFonts w:ascii="Times New Roman" w:hAnsi="Times New Roman" w:eastAsia="仿宋_GB2312" w:cs="Times New Roman"/>
          <w:sz w:val="28"/>
          <w:szCs w:val="28"/>
        </w:rPr>
        <w:t>安装</w:t>
      </w:r>
      <w:r>
        <w:rPr>
          <w:rFonts w:hint="eastAsia" w:ascii="Times New Roman" w:hAnsi="Times New Roman" w:eastAsia="仿宋_GB2312" w:cs="Times New Roman"/>
          <w:sz w:val="28"/>
          <w:szCs w:val="28"/>
          <w:lang w:eastAsia="zh-CN"/>
        </w:rPr>
        <w:t>（安全措施费、机器吊机费）</w:t>
      </w:r>
      <w:r>
        <w:rPr>
          <w:rFonts w:hint="eastAsia" w:ascii="Times New Roman" w:hAnsi="Times New Roman" w:eastAsia="仿宋_GB2312" w:cs="Times New Roman"/>
          <w:sz w:val="28"/>
          <w:szCs w:val="28"/>
          <w:lang w:val="en-US" w:eastAsia="zh-CN"/>
        </w:rPr>
        <w:t>等范围的</w:t>
      </w:r>
      <w:r>
        <w:rPr>
          <w:rFonts w:hint="eastAsia" w:ascii="Times New Roman" w:hAnsi="Times New Roman" w:eastAsia="仿宋_GB2312" w:cs="Times New Roman"/>
          <w:sz w:val="28"/>
          <w:szCs w:val="28"/>
        </w:rPr>
        <w:t>采购</w:t>
      </w:r>
      <w:r>
        <w:rPr>
          <w:rFonts w:ascii="Times New Roman" w:hAnsi="Times New Roman" w:eastAsia="仿宋_GB2312" w:cs="Times New Roman"/>
          <w:sz w:val="28"/>
          <w:szCs w:val="28"/>
        </w:rPr>
        <w:t>。</w:t>
      </w:r>
    </w:p>
    <w:p w14:paraId="7FF19A0C">
      <w:pPr>
        <w:spacing w:line="5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1.2  采购人在本技术规范中提出了最低限度的技术要求，</w:t>
      </w:r>
      <w:r>
        <w:rPr>
          <w:rFonts w:hint="eastAsia" w:ascii="Times New Roman" w:hAnsi="Times New Roman" w:eastAsia="仿宋_GB2312" w:cs="Times New Roman"/>
          <w:sz w:val="28"/>
          <w:szCs w:val="28"/>
        </w:rPr>
        <w:t>并未对一切技术细节做出规定，也未充分引述有关标准和规范的条文，报价</w:t>
      </w:r>
      <w:r>
        <w:rPr>
          <w:rFonts w:hint="eastAsia" w:ascii="Times New Roman" w:hAnsi="Times New Roman" w:eastAsia="仿宋_GB2312" w:cs="Times New Roman"/>
          <w:sz w:val="28"/>
          <w:szCs w:val="28"/>
          <w:lang w:val="en-US" w:eastAsia="zh-CN"/>
        </w:rPr>
        <w:t>人</w:t>
      </w:r>
      <w:r>
        <w:rPr>
          <w:rFonts w:hint="eastAsia" w:ascii="Times New Roman" w:hAnsi="Times New Roman" w:eastAsia="仿宋_GB2312" w:cs="Times New Roman"/>
          <w:sz w:val="28"/>
          <w:szCs w:val="28"/>
        </w:rPr>
        <w:t>应保证提供</w:t>
      </w:r>
      <w:r>
        <w:rPr>
          <w:rFonts w:hint="eastAsia" w:ascii="Times New Roman" w:hAnsi="Times New Roman" w:eastAsia="仿宋_GB2312" w:cs="Times New Roman"/>
          <w:sz w:val="28"/>
          <w:szCs w:val="28"/>
          <w:lang w:val="en-US" w:eastAsia="zh-CN"/>
        </w:rPr>
        <w:t>的</w:t>
      </w:r>
      <w:r>
        <w:rPr>
          <w:rFonts w:hint="eastAsia" w:ascii="Times New Roman" w:hAnsi="Times New Roman" w:eastAsia="仿宋_GB2312" w:cs="Times New Roman"/>
          <w:sz w:val="28"/>
          <w:szCs w:val="28"/>
        </w:rPr>
        <w:t>产品及其相应服务</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rPr>
        <w:t>满足国家有关安全、环保等强制性标准和规范的要求。</w:t>
      </w:r>
    </w:p>
    <w:p w14:paraId="71CDA24E">
      <w:pPr>
        <w:spacing w:line="5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1.3  报价人如对本技术规范有偏差(无论多少或微小)都必须清楚地表示在报价文件中。否则采购人将认为报价人完全接受和同意本技术规范的要求。</w:t>
      </w:r>
    </w:p>
    <w:p w14:paraId="338E784E">
      <w:pPr>
        <w:spacing w:line="5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1.4 </w:t>
      </w:r>
      <w:r>
        <w:rPr>
          <w:rFonts w:hint="eastAsia" w:ascii="Times New Roman" w:hAnsi="Times New Roman" w:eastAsia="仿宋_GB2312" w:cs="Times New Roman"/>
          <w:sz w:val="28"/>
          <w:szCs w:val="28"/>
          <w:lang w:val="en-US" w:eastAsia="zh-CN"/>
        </w:rPr>
        <w:t xml:space="preserve"> </w:t>
      </w:r>
      <w:r>
        <w:rPr>
          <w:rFonts w:ascii="Times New Roman" w:hAnsi="Times New Roman" w:eastAsia="仿宋_GB2312" w:cs="Times New Roman"/>
          <w:sz w:val="28"/>
          <w:szCs w:val="28"/>
        </w:rPr>
        <w:t>本技术规范书经买卖双方确认后作为合同的技术附件, 与合同正文具有同等的法律效力。</w:t>
      </w:r>
    </w:p>
    <w:p w14:paraId="5EBFFE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1.5  工程量基于图纸计算，需现场复核</w:t>
      </w:r>
      <w:bookmarkStart w:id="10" w:name="_GoBack"/>
      <w:bookmarkEnd w:id="10"/>
      <w:r>
        <w:rPr>
          <w:rFonts w:hint="eastAsia" w:ascii="Times New Roman" w:hAnsi="Times New Roman" w:eastAsia="仿宋_GB2312" w:cs="Times New Roman"/>
          <w:sz w:val="28"/>
          <w:szCs w:val="28"/>
          <w:lang w:val="en-US" w:eastAsia="zh-CN"/>
        </w:rPr>
        <w:t>。</w:t>
      </w:r>
      <w:r>
        <w:rPr>
          <w:rFonts w:ascii="Times New Roman" w:hAnsi="Times New Roman" w:eastAsia="仿宋_GB2312" w:cs="Times New Roman"/>
          <w:sz w:val="28"/>
          <w:szCs w:val="28"/>
        </w:rPr>
        <w:t>本技术规范书未尽事宜，由买卖双方协商确定。</w:t>
      </w:r>
    </w:p>
    <w:p w14:paraId="1037C417">
      <w:pPr>
        <w:spacing w:line="5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1.</w:t>
      </w:r>
      <w:r>
        <w:rPr>
          <w:rFonts w:hint="eastAsia" w:ascii="Times New Roman" w:hAnsi="Times New Roman" w:eastAsia="仿宋_GB2312" w:cs="Times New Roman"/>
          <w:sz w:val="28"/>
          <w:szCs w:val="28"/>
          <w:lang w:val="en-US" w:eastAsia="zh-CN"/>
        </w:rPr>
        <w:t>6</w:t>
      </w:r>
      <w:r>
        <w:rPr>
          <w:rFonts w:ascii="Times New Roman" w:hAnsi="Times New Roman" w:eastAsia="仿宋_GB2312" w:cs="Times New Roman"/>
          <w:sz w:val="28"/>
          <w:szCs w:val="28"/>
        </w:rPr>
        <w:t xml:space="preserve">  成交人在入场施工前必须提供完整的施工方案和施工时间计划至采购人，内容经采购人审核无误后方可入场施工。</w:t>
      </w:r>
    </w:p>
    <w:p w14:paraId="27C7B12D">
      <w:pPr>
        <w:numPr>
          <w:ilvl w:val="0"/>
          <w:numId w:val="3"/>
        </w:numPr>
        <w:spacing w:line="500" w:lineRule="exact"/>
        <w:rPr>
          <w:rFonts w:ascii="Times New Roman" w:hAnsi="Times New Roman" w:eastAsia="黑体" w:cs="Times New Roman"/>
          <w:b/>
          <w:bCs/>
          <w:sz w:val="28"/>
          <w:szCs w:val="28"/>
        </w:rPr>
      </w:pPr>
      <w:bookmarkStart w:id="3" w:name="_Toc525012818"/>
      <w:r>
        <w:rPr>
          <w:rFonts w:hint="eastAsia" w:ascii="Times New Roman" w:hAnsi="Times New Roman" w:eastAsia="黑体" w:cs="Times New Roman"/>
          <w:b/>
          <w:bCs/>
          <w:sz w:val="28"/>
          <w:szCs w:val="28"/>
          <w:lang w:val="en-US" w:eastAsia="zh-CN"/>
        </w:rPr>
        <w:t>项目</w:t>
      </w:r>
      <w:r>
        <w:rPr>
          <w:rFonts w:ascii="Times New Roman" w:hAnsi="Times New Roman" w:eastAsia="黑体" w:cs="Times New Roman"/>
          <w:b/>
          <w:bCs/>
          <w:sz w:val="28"/>
          <w:szCs w:val="28"/>
        </w:rPr>
        <w:t>概况</w:t>
      </w:r>
      <w:bookmarkEnd w:id="3"/>
    </w:p>
    <w:p w14:paraId="1F64D081">
      <w:pPr>
        <w:pStyle w:val="24"/>
        <w:ind w:firstLine="0" w:firstLineChars="0"/>
        <w:rPr>
          <w:rFonts w:eastAsia="仿宋_GB2312"/>
          <w:sz w:val="28"/>
          <w:szCs w:val="28"/>
        </w:rPr>
      </w:pPr>
      <w:bookmarkStart w:id="4" w:name="_Toc513261356"/>
      <w:bookmarkStart w:id="5" w:name="_Toc513001934"/>
      <w:bookmarkStart w:id="6" w:name="_Toc525009549"/>
      <w:bookmarkStart w:id="7" w:name="_Toc525012819"/>
      <w:bookmarkStart w:id="8" w:name="_Toc513199111"/>
      <w:r>
        <w:rPr>
          <w:rFonts w:eastAsia="仿宋_GB2312"/>
          <w:sz w:val="28"/>
          <w:szCs w:val="28"/>
        </w:rPr>
        <w:t>2.1项目名称：</w:t>
      </w:r>
      <w:r>
        <w:rPr>
          <w:rFonts w:hint="eastAsia" w:eastAsia="仿宋_GB2312"/>
          <w:sz w:val="28"/>
          <w:szCs w:val="28"/>
        </w:rPr>
        <w:t>麻涌环保热电厂飞灰暂存库修缮项目</w:t>
      </w:r>
      <w:r>
        <w:rPr>
          <w:rFonts w:eastAsia="仿宋_GB2312"/>
          <w:sz w:val="28"/>
          <w:szCs w:val="28"/>
        </w:rPr>
        <w:t>。</w:t>
      </w:r>
    </w:p>
    <w:p w14:paraId="157876B2">
      <w:pPr>
        <w:pStyle w:val="24"/>
        <w:ind w:firstLine="0" w:firstLineChars="0"/>
        <w:rPr>
          <w:rFonts w:eastAsia="仿宋_GB2312"/>
          <w:sz w:val="28"/>
          <w:szCs w:val="28"/>
        </w:rPr>
      </w:pPr>
      <w:r>
        <w:rPr>
          <w:rFonts w:eastAsia="仿宋_GB2312"/>
          <w:sz w:val="28"/>
          <w:szCs w:val="28"/>
        </w:rPr>
        <w:t>2.2项目甲方：</w:t>
      </w:r>
      <w:r>
        <w:rPr>
          <w:rFonts w:hint="eastAsia" w:eastAsia="仿宋_GB2312"/>
          <w:sz w:val="28"/>
          <w:szCs w:val="28"/>
          <w:lang w:eastAsia="zh-CN"/>
        </w:rPr>
        <w:t>广东东实环境股份</w:t>
      </w:r>
      <w:r>
        <w:rPr>
          <w:rFonts w:eastAsia="仿宋_GB2312"/>
          <w:sz w:val="28"/>
          <w:szCs w:val="28"/>
        </w:rPr>
        <w:t>有限公司。</w:t>
      </w:r>
    </w:p>
    <w:p w14:paraId="55C546BB">
      <w:pPr>
        <w:pStyle w:val="24"/>
        <w:ind w:firstLine="0" w:firstLineChars="0"/>
        <w:rPr>
          <w:rFonts w:eastAsia="仿宋_GB2312"/>
          <w:sz w:val="28"/>
          <w:szCs w:val="28"/>
        </w:rPr>
      </w:pPr>
      <w:r>
        <w:rPr>
          <w:rFonts w:eastAsia="仿宋_GB2312"/>
          <w:sz w:val="28"/>
          <w:szCs w:val="28"/>
        </w:rPr>
        <w:t>2.3项目地址：东莞市麻涌镇大步村海心沙</w:t>
      </w:r>
      <w:r>
        <w:rPr>
          <w:rFonts w:hint="eastAsia" w:eastAsia="仿宋_GB2312"/>
          <w:sz w:val="28"/>
          <w:szCs w:val="28"/>
          <w:lang w:val="en-US" w:eastAsia="zh-CN"/>
        </w:rPr>
        <w:t>路1号</w:t>
      </w:r>
      <w:r>
        <w:rPr>
          <w:rFonts w:eastAsia="仿宋_GB2312"/>
          <w:sz w:val="28"/>
          <w:szCs w:val="28"/>
        </w:rPr>
        <w:t>。</w:t>
      </w:r>
    </w:p>
    <w:p w14:paraId="21A42C88">
      <w:pPr>
        <w:pStyle w:val="24"/>
        <w:ind w:firstLine="0" w:firstLineChars="0"/>
        <w:rPr>
          <w:rFonts w:hint="eastAsia" w:eastAsia="仿宋_GB2312"/>
          <w:sz w:val="28"/>
          <w:szCs w:val="28"/>
          <w:lang w:val="en-US" w:eastAsia="zh-CN"/>
        </w:rPr>
      </w:pPr>
      <w:bookmarkStart w:id="9" w:name="_Toc375666667"/>
      <w:r>
        <w:rPr>
          <w:rFonts w:eastAsia="仿宋_GB2312"/>
          <w:sz w:val="28"/>
          <w:szCs w:val="28"/>
        </w:rPr>
        <w:t>2.4背景：</w:t>
      </w:r>
      <w:r>
        <w:rPr>
          <w:rFonts w:hint="eastAsia" w:eastAsia="仿宋_GB2312"/>
          <w:sz w:val="28"/>
          <w:szCs w:val="28"/>
        </w:rPr>
        <w:t>飞灰暂存库自2018年7月正式投运，2021年进行二次改造扩容</w:t>
      </w:r>
      <w:r>
        <w:rPr>
          <w:rFonts w:hint="eastAsia" w:eastAsia="仿宋_GB2312"/>
          <w:sz w:val="28"/>
          <w:szCs w:val="28"/>
          <w:lang w:eastAsia="zh-CN"/>
        </w:rPr>
        <w:t>，</w:t>
      </w:r>
      <w:r>
        <w:rPr>
          <w:rFonts w:hint="eastAsia" w:eastAsia="仿宋_GB2312"/>
          <w:sz w:val="28"/>
          <w:szCs w:val="28"/>
        </w:rPr>
        <w:t>已运行7年，存在侧墙、屋面老化、漏雨问题</w:t>
      </w:r>
      <w:r>
        <w:rPr>
          <w:rFonts w:hint="eastAsia" w:eastAsia="仿宋_GB2312"/>
          <w:sz w:val="28"/>
          <w:szCs w:val="28"/>
          <w:lang w:eastAsia="zh-CN"/>
        </w:rPr>
        <w:t>，</w:t>
      </w:r>
      <w:r>
        <w:rPr>
          <w:rFonts w:hint="eastAsia" w:eastAsia="仿宋_GB2312"/>
          <w:sz w:val="28"/>
          <w:szCs w:val="28"/>
        </w:rPr>
        <w:t>拟对屋面与侧墙问题进行</w:t>
      </w:r>
      <w:r>
        <w:rPr>
          <w:rFonts w:hint="eastAsia" w:eastAsia="仿宋_GB2312"/>
          <w:sz w:val="28"/>
          <w:szCs w:val="28"/>
          <w:lang w:val="en-US" w:eastAsia="zh-CN"/>
        </w:rPr>
        <w:t>修缮</w:t>
      </w:r>
      <w:r>
        <w:rPr>
          <w:rFonts w:hint="eastAsia" w:eastAsia="仿宋_GB2312"/>
          <w:sz w:val="28"/>
          <w:szCs w:val="28"/>
        </w:rPr>
        <w:t>，以满足GB 18597—2023的要求。</w:t>
      </w:r>
      <w:r>
        <w:rPr>
          <w:rFonts w:hint="eastAsia" w:eastAsia="仿宋_GB2312"/>
          <w:sz w:val="28"/>
          <w:szCs w:val="28"/>
          <w:lang w:val="en-US" w:eastAsia="zh-CN"/>
        </w:rPr>
        <w:t>现场情况如图示，结构详见附件CAD图。</w:t>
      </w:r>
    </w:p>
    <w:p w14:paraId="25B0D0E1">
      <w:pPr>
        <w:pStyle w:val="24"/>
        <w:ind w:firstLine="0" w:firstLineChars="0"/>
        <w:rPr>
          <w:rFonts w:hint="eastAsia" w:eastAsia="仿宋_GB2312"/>
          <w:sz w:val="28"/>
          <w:szCs w:val="28"/>
          <w:lang w:eastAsia="zh-CN"/>
        </w:rPr>
      </w:pPr>
    </w:p>
    <w:p w14:paraId="41FDDA92">
      <w:pPr>
        <w:pStyle w:val="24"/>
        <w:ind w:firstLine="0" w:firstLineChars="0"/>
        <w:rPr>
          <w:rFonts w:hint="eastAsia" w:eastAsia="仿宋_GB2312"/>
          <w:sz w:val="28"/>
          <w:szCs w:val="28"/>
          <w:lang w:eastAsia="zh-CN"/>
        </w:rPr>
      </w:pPr>
    </w:p>
    <w:p w14:paraId="2F302305">
      <w:pPr>
        <w:pStyle w:val="24"/>
        <w:ind w:firstLine="0" w:firstLineChars="0"/>
        <w:rPr>
          <w:rFonts w:hint="eastAsia" w:eastAsia="仿宋_GB2312"/>
          <w:sz w:val="28"/>
          <w:szCs w:val="28"/>
          <w:lang w:eastAsia="zh-CN"/>
        </w:rPr>
      </w:pPr>
      <w:r>
        <w:rPr>
          <w:rFonts w:hint="eastAsia" w:eastAsia="仿宋_GB2312"/>
          <w:sz w:val="28"/>
          <w:szCs w:val="28"/>
          <w:lang w:eastAsia="zh-CN"/>
        </w:rPr>
        <w:drawing>
          <wp:anchor distT="0" distB="0" distL="114300" distR="114300" simplePos="0" relativeHeight="251659264" behindDoc="0" locked="0" layoutInCell="1" allowOverlap="1">
            <wp:simplePos x="0" y="0"/>
            <wp:positionH relativeFrom="column">
              <wp:posOffset>2663825</wp:posOffset>
            </wp:positionH>
            <wp:positionV relativeFrom="paragraph">
              <wp:posOffset>35560</wp:posOffset>
            </wp:positionV>
            <wp:extent cx="2622550" cy="1867535"/>
            <wp:effectExtent l="0" t="0" r="6350" b="18415"/>
            <wp:wrapNone/>
            <wp:docPr id="3" name="图片 3" descr="9e4184cc77c3fb013c910d91f2c31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e4184cc77c3fb013c910d91f2c31382"/>
                    <pic:cNvPicPr>
                      <a:picLocks noChangeAspect="1"/>
                    </pic:cNvPicPr>
                  </pic:nvPicPr>
                  <pic:blipFill>
                    <a:blip r:embed="rId4"/>
                    <a:stretch>
                      <a:fillRect/>
                    </a:stretch>
                  </pic:blipFill>
                  <pic:spPr>
                    <a:xfrm>
                      <a:off x="0" y="0"/>
                      <a:ext cx="2622550" cy="1867535"/>
                    </a:xfrm>
                    <a:prstGeom prst="rect">
                      <a:avLst/>
                    </a:prstGeom>
                  </pic:spPr>
                </pic:pic>
              </a:graphicData>
            </a:graphic>
          </wp:anchor>
        </w:drawing>
      </w:r>
      <w:r>
        <w:rPr>
          <w:rFonts w:hint="eastAsia" w:eastAsia="仿宋_GB2312"/>
          <w:sz w:val="28"/>
          <w:szCs w:val="28"/>
          <w:lang w:eastAsia="zh-CN"/>
        </w:rPr>
        <w:drawing>
          <wp:anchor distT="0" distB="0" distL="114300" distR="114300" simplePos="0" relativeHeight="251660288" behindDoc="0" locked="0" layoutInCell="1" allowOverlap="1">
            <wp:simplePos x="0" y="0"/>
            <wp:positionH relativeFrom="column">
              <wp:posOffset>17780</wp:posOffset>
            </wp:positionH>
            <wp:positionV relativeFrom="paragraph">
              <wp:posOffset>35560</wp:posOffset>
            </wp:positionV>
            <wp:extent cx="2623820" cy="1876425"/>
            <wp:effectExtent l="0" t="0" r="5080" b="9525"/>
            <wp:wrapNone/>
            <wp:docPr id="1" name="图片 1" descr="8faca6b3a80b90e3ec015ab6b27d33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faca6b3a80b90e3ec015ab6b27d332c"/>
                    <pic:cNvPicPr>
                      <a:picLocks noChangeAspect="1"/>
                    </pic:cNvPicPr>
                  </pic:nvPicPr>
                  <pic:blipFill>
                    <a:blip r:embed="rId5"/>
                    <a:stretch>
                      <a:fillRect/>
                    </a:stretch>
                  </pic:blipFill>
                  <pic:spPr>
                    <a:xfrm>
                      <a:off x="0" y="0"/>
                      <a:ext cx="2623820" cy="1876425"/>
                    </a:xfrm>
                    <a:prstGeom prst="rect">
                      <a:avLst/>
                    </a:prstGeom>
                  </pic:spPr>
                </pic:pic>
              </a:graphicData>
            </a:graphic>
          </wp:anchor>
        </w:drawing>
      </w:r>
    </w:p>
    <w:p w14:paraId="19F079A9">
      <w:pPr>
        <w:pStyle w:val="24"/>
        <w:ind w:firstLine="0" w:firstLineChars="0"/>
        <w:rPr>
          <w:rFonts w:hint="eastAsia" w:eastAsia="仿宋_GB2312"/>
          <w:sz w:val="28"/>
          <w:szCs w:val="28"/>
          <w:lang w:eastAsia="zh-CN"/>
        </w:rPr>
      </w:pPr>
    </w:p>
    <w:p w14:paraId="58282637">
      <w:pPr>
        <w:pStyle w:val="24"/>
        <w:ind w:firstLine="0" w:firstLineChars="0"/>
        <w:rPr>
          <w:rFonts w:hint="eastAsia" w:eastAsia="仿宋_GB2312"/>
          <w:sz w:val="28"/>
          <w:szCs w:val="28"/>
          <w:lang w:eastAsia="zh-CN"/>
        </w:rPr>
      </w:pPr>
    </w:p>
    <w:p w14:paraId="6E3ACDBF">
      <w:pPr>
        <w:pStyle w:val="24"/>
        <w:ind w:firstLine="0" w:firstLineChars="0"/>
        <w:rPr>
          <w:rFonts w:hint="eastAsia" w:eastAsia="仿宋_GB2312"/>
          <w:sz w:val="28"/>
          <w:szCs w:val="28"/>
          <w:lang w:eastAsia="zh-CN"/>
        </w:rPr>
      </w:pPr>
    </w:p>
    <w:p w14:paraId="6AC79F26">
      <w:pPr>
        <w:pStyle w:val="24"/>
        <w:ind w:firstLine="0" w:firstLineChars="0"/>
        <w:rPr>
          <w:rFonts w:hint="eastAsia" w:eastAsia="仿宋_GB2312"/>
          <w:sz w:val="28"/>
          <w:szCs w:val="28"/>
          <w:lang w:eastAsia="zh-CN"/>
        </w:rPr>
      </w:pPr>
      <w:r>
        <w:rPr>
          <w:rFonts w:hint="eastAsia" w:ascii="Times New Roman" w:hAnsi="Times New Roman" w:eastAsia="仿宋_GB2312" w:cs="Times New Roman"/>
          <w:sz w:val="28"/>
          <w:szCs w:val="28"/>
          <w:lang w:val="en-US" w:eastAsia="zh-CN"/>
        </w:rPr>
        <w:drawing>
          <wp:anchor distT="0" distB="0" distL="114300" distR="114300" simplePos="0" relativeHeight="251661312" behindDoc="0" locked="0" layoutInCell="1" allowOverlap="1">
            <wp:simplePos x="0" y="0"/>
            <wp:positionH relativeFrom="column">
              <wp:posOffset>8890</wp:posOffset>
            </wp:positionH>
            <wp:positionV relativeFrom="paragraph">
              <wp:posOffset>375285</wp:posOffset>
            </wp:positionV>
            <wp:extent cx="2630805" cy="1851660"/>
            <wp:effectExtent l="0" t="0" r="17145" b="15240"/>
            <wp:wrapNone/>
            <wp:docPr id="7" name="图片 7" descr="15b978679403bc54d7b9f32375694d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5b978679403bc54d7b9f32375694d0b"/>
                    <pic:cNvPicPr>
                      <a:picLocks noChangeAspect="1"/>
                    </pic:cNvPicPr>
                  </pic:nvPicPr>
                  <pic:blipFill>
                    <a:blip r:embed="rId6"/>
                    <a:stretch>
                      <a:fillRect/>
                    </a:stretch>
                  </pic:blipFill>
                  <pic:spPr>
                    <a:xfrm>
                      <a:off x="0" y="0"/>
                      <a:ext cx="2630805" cy="1851660"/>
                    </a:xfrm>
                    <a:prstGeom prst="rect">
                      <a:avLst/>
                    </a:prstGeom>
                  </pic:spPr>
                </pic:pic>
              </a:graphicData>
            </a:graphic>
          </wp:anchor>
        </w:drawing>
      </w:r>
      <w:r>
        <w:rPr>
          <w:rFonts w:hint="eastAsia" w:ascii="Times New Roman" w:hAnsi="Times New Roman" w:eastAsia="仿宋_GB2312" w:cs="Times New Roman"/>
          <w:sz w:val="28"/>
          <w:szCs w:val="28"/>
          <w:lang w:val="en-US" w:eastAsia="zh-CN"/>
        </w:rPr>
        <w:drawing>
          <wp:anchor distT="0" distB="0" distL="114300" distR="114300" simplePos="0" relativeHeight="251662336" behindDoc="0" locked="0" layoutInCell="1" allowOverlap="1">
            <wp:simplePos x="0" y="0"/>
            <wp:positionH relativeFrom="column">
              <wp:posOffset>2684145</wp:posOffset>
            </wp:positionH>
            <wp:positionV relativeFrom="paragraph">
              <wp:posOffset>380365</wp:posOffset>
            </wp:positionV>
            <wp:extent cx="2607310" cy="1833245"/>
            <wp:effectExtent l="0" t="0" r="2540" b="14605"/>
            <wp:wrapNone/>
            <wp:docPr id="9" name="图片 9" descr="748f58b62ff95bd3476752f35df440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48f58b62ff95bd3476752f35df440c5"/>
                    <pic:cNvPicPr>
                      <a:picLocks noChangeAspect="1"/>
                    </pic:cNvPicPr>
                  </pic:nvPicPr>
                  <pic:blipFill>
                    <a:blip r:embed="rId7"/>
                    <a:stretch>
                      <a:fillRect/>
                    </a:stretch>
                  </pic:blipFill>
                  <pic:spPr>
                    <a:xfrm>
                      <a:off x="0" y="0"/>
                      <a:ext cx="2607310" cy="1833245"/>
                    </a:xfrm>
                    <a:prstGeom prst="rect">
                      <a:avLst/>
                    </a:prstGeom>
                  </pic:spPr>
                </pic:pic>
              </a:graphicData>
            </a:graphic>
          </wp:anchor>
        </w:drawing>
      </w:r>
    </w:p>
    <w:p w14:paraId="3F91C863">
      <w:pPr>
        <w:pStyle w:val="24"/>
        <w:ind w:firstLine="0" w:firstLineChars="0"/>
        <w:rPr>
          <w:rFonts w:hint="eastAsia" w:eastAsia="仿宋_GB2312"/>
          <w:sz w:val="28"/>
          <w:szCs w:val="28"/>
          <w:lang w:eastAsia="zh-CN"/>
        </w:rPr>
      </w:pPr>
    </w:p>
    <w:p w14:paraId="45A40EBA">
      <w:pPr>
        <w:pStyle w:val="24"/>
        <w:ind w:firstLine="0" w:firstLineChars="0"/>
        <w:rPr>
          <w:rFonts w:hint="eastAsia" w:eastAsia="仿宋_GB2312"/>
          <w:sz w:val="28"/>
          <w:szCs w:val="28"/>
          <w:lang w:eastAsia="zh-CN"/>
        </w:rPr>
      </w:pPr>
    </w:p>
    <w:p w14:paraId="008500E4">
      <w:pPr>
        <w:pStyle w:val="24"/>
        <w:ind w:firstLine="0" w:firstLineChars="0"/>
        <w:rPr>
          <w:rFonts w:hint="eastAsia" w:eastAsia="仿宋_GB2312"/>
          <w:sz w:val="28"/>
          <w:szCs w:val="28"/>
          <w:lang w:eastAsia="zh-CN"/>
        </w:rPr>
      </w:pPr>
    </w:p>
    <w:p w14:paraId="01676E7F">
      <w:pPr>
        <w:pStyle w:val="24"/>
        <w:ind w:firstLine="0" w:firstLineChars="0"/>
        <w:rPr>
          <w:rFonts w:hint="eastAsia" w:eastAsia="仿宋_GB2312"/>
          <w:sz w:val="28"/>
          <w:szCs w:val="28"/>
          <w:lang w:eastAsia="zh-CN"/>
        </w:rPr>
      </w:pPr>
    </w:p>
    <w:p w14:paraId="5708BCE2">
      <w:pPr>
        <w:pStyle w:val="24"/>
        <w:ind w:firstLine="0" w:firstLineChars="0"/>
        <w:rPr>
          <w:rFonts w:hint="eastAsia" w:eastAsia="仿宋_GB2312"/>
          <w:sz w:val="28"/>
          <w:szCs w:val="28"/>
          <w:lang w:eastAsia="zh-CN"/>
        </w:rPr>
      </w:pPr>
    </w:p>
    <w:p w14:paraId="5C4CEE0A">
      <w:pPr>
        <w:numPr>
          <w:ilvl w:val="0"/>
          <w:numId w:val="3"/>
        </w:numPr>
        <w:spacing w:line="500" w:lineRule="exact"/>
        <w:rPr>
          <w:rFonts w:hint="eastAsia" w:ascii="Times New Roman" w:hAnsi="Times New Roman" w:eastAsia="仿宋_GB2312" w:cs="Times New Roman"/>
          <w:sz w:val="28"/>
          <w:szCs w:val="28"/>
          <w:lang w:val="en-US" w:eastAsia="zh-CN"/>
        </w:rPr>
      </w:pPr>
      <w:r>
        <w:rPr>
          <w:rFonts w:hint="default" w:ascii="Times New Roman" w:hAnsi="Times New Roman" w:eastAsia="黑体" w:cs="Times New Roman"/>
          <w:b/>
          <w:bCs/>
          <w:sz w:val="28"/>
          <w:szCs w:val="28"/>
          <w:lang w:val="en-US" w:eastAsia="zh-CN"/>
        </w:rPr>
        <w:t>修缮内容及技术要求</w:t>
      </w:r>
    </w:p>
    <w:p w14:paraId="1E9B0EA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（一）彩钢瓦更换</w:t>
      </w:r>
    </w:p>
    <w:p w14:paraId="47018BE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 材料要求</w:t>
      </w:r>
    </w:p>
    <w:p w14:paraId="6B72ED0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1.1 规格：0.5mm厚彩钢板（型号参考“840型”，有效覆盖宽度840mm），镀锌量≥250g/m²，涂层为聚酯涂层（干膜厚度≥20μm），颜色（天蓝色）。</w:t>
      </w:r>
    </w:p>
    <w:p w14:paraId="5579A3E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1.2 辅材：不锈钢自攻钉（带防水胶垫，规格M5×25mm）、耐候硅酮密封胶（防水等级IPX7）、屋脊盖板（0.5mm厚彩钢板）。</w:t>
      </w:r>
    </w:p>
    <w:p w14:paraId="21015BF9">
      <w:pPr>
        <w:keepNext w:val="0"/>
        <w:keepLines w:val="0"/>
        <w:pageBreakBefore w:val="0"/>
        <w:widowControl w:val="0"/>
        <w:numPr>
          <w:ilvl w:val="0"/>
          <w:numId w:val="4"/>
        </w:numPr>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施工要求</w:t>
      </w:r>
    </w:p>
    <w:p w14:paraId="07EF80B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2.1拆除：人工拆除旧彩钢瓦，分类回收废料，避免损伤檩条及结构构件。</w:t>
      </w:r>
    </w:p>
    <w:p w14:paraId="42F3843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2.2安装：从檐口向屋脊方向铺设，横向搭接≥100mm（自攻钉间距≤300mm），纵向搭接≥200mm（密封胶满打）；屋脊、檐口增设收边件，与屋面间隙用密封胶填充，接缝处敷设防水胶带（宽度≥100mm）。</w:t>
      </w:r>
    </w:p>
    <w:p w14:paraId="0B58371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（二）采光瓦更换</w:t>
      </w:r>
    </w:p>
    <w:p w14:paraId="64E303B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 材料要求</w:t>
      </w:r>
    </w:p>
    <w:p w14:paraId="0BCC0F7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1.1 规格：1.5mm厚采光瓦（型号参考“840型”，有效覆盖宽度840mm），FRP材质（玻璃纤维增强聚酯），性能符合GB/T 14206-2005。</w:t>
      </w:r>
    </w:p>
    <w:p w14:paraId="5EC7853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1.2 辅材：不锈钢自攻钉（带防水胶垫，规格M5×25mm）、耐候硅酮密封胶（防水等级IPX7）、屋脊盖板（0.5mm厚彩钢板）。</w:t>
      </w:r>
    </w:p>
    <w:p w14:paraId="23AE6A6F">
      <w:pPr>
        <w:keepNext w:val="0"/>
        <w:keepLines w:val="0"/>
        <w:pageBreakBefore w:val="0"/>
        <w:widowControl w:val="0"/>
        <w:numPr>
          <w:ilvl w:val="0"/>
          <w:numId w:val="4"/>
        </w:numPr>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施工要求</w:t>
      </w:r>
    </w:p>
    <w:p w14:paraId="0E5A53F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2.1拆除：人工拆除旧彩钢瓦，分类回收废料，避免损伤檩条及结构构件。</w:t>
      </w:r>
    </w:p>
    <w:p w14:paraId="57C5505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2.2安装：从檐口向屋脊方向铺设，横向搭接≥100mm（自攻钉间距≤300mm），纵向搭接≥200mm（密封胶满打）；屋脊、檐口增设收边件，与屋面间隙用密封胶填充，接缝处敷设防水胶带（宽度≥100mm）。</w:t>
      </w:r>
    </w:p>
    <w:p w14:paraId="60EBE66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（三）檩条更换</w:t>
      </w:r>
    </w:p>
    <w:p w14:paraId="6139589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 材料要求</w:t>
      </w:r>
    </w:p>
    <w:p w14:paraId="23AC5A1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1.1规格：Q235B冷弯薄壁型钢檩条（C型钢，型号C160×102×20×2.0mm，根据屋面檩条布置图材料表），热镀锌处理（锌层厚度≥85μm）。</w:t>
      </w:r>
    </w:p>
    <w:p w14:paraId="2302641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1.2连接：8.8级高强螺栓（M10×30mm），配套镀锌螺母及防松垫圈。</w:t>
      </w:r>
    </w:p>
    <w:p w14:paraId="1CFABB2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 施工要求</w:t>
      </w:r>
    </w:p>
    <w:p w14:paraId="3D1BF7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2.1拆除：对锈蚀严重（截面损失率≥10%）或变形的檩条整体更换，保留可修复构件（除锈后补涂环氧富锌底漆）。</w:t>
      </w:r>
    </w:p>
    <w:p w14:paraId="744F5E6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2.2安装：檩条间距1.5m（沿厂房长度方向布置），与刚架梁螺栓连接，安装后水平度偏差≤5mm/2m，挠度≤L/200（L为檩条跨度）。</w:t>
      </w:r>
    </w:p>
    <w:p w14:paraId="10B869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（四）轻质砖墙围挡修复</w:t>
      </w:r>
    </w:p>
    <w:p w14:paraId="124C118A">
      <w:pPr>
        <w:numPr>
          <w:ilvl w:val="0"/>
          <w:numId w:val="3"/>
        </w:numPr>
        <w:spacing w:line="500" w:lineRule="exact"/>
        <w:rPr>
          <w:rFonts w:hint="eastAsia" w:ascii="Times New Roman" w:hAnsi="Times New Roman" w:eastAsia="黑体" w:cs="Times New Roman"/>
          <w:b/>
          <w:bCs/>
          <w:sz w:val="28"/>
          <w:szCs w:val="28"/>
          <w:lang w:val="en-US" w:eastAsia="zh-CN"/>
        </w:rPr>
      </w:pPr>
      <w:r>
        <w:rPr>
          <w:rFonts w:hint="eastAsia" w:ascii="Times New Roman" w:hAnsi="Times New Roman" w:eastAsia="黑体" w:cs="Times New Roman"/>
          <w:b/>
          <w:bCs/>
          <w:sz w:val="28"/>
          <w:szCs w:val="28"/>
          <w:lang w:val="en-US" w:eastAsia="zh-CN"/>
        </w:rPr>
        <w:t>工程量计算</w:t>
      </w:r>
    </w:p>
    <w:p w14:paraId="121633D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1、彩钢瓦面积</w:t>
      </w:r>
    </w:p>
    <w:p w14:paraId="16CD180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1.1屋面水平投影面积：</w:t>
      </w:r>
    </w:p>
    <w:p w14:paraId="4D3174A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跨度×总长度 = 15.0m×32m =480㎡</w:t>
      </w:r>
    </w:p>
    <w:p w14:paraId="01BD45C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1.2屋面斜面积（含坡度系数）：</w:t>
      </w:r>
    </w:p>
    <w:p w14:paraId="33CE46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坡度1:10，坡度系数=√(1+0.1²)=1.005，斜面积=480㎡×1.005≈482.4㎡</w:t>
      </w:r>
    </w:p>
    <w:p w14:paraId="3071ED8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1.3墙面面积：</w:t>
      </w:r>
    </w:p>
    <w:p w14:paraId="632282A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总长度×高度度 = 32m×4.5m×2 +15m*4.5m=355.5㎡</w:t>
      </w:r>
    </w:p>
    <w:p w14:paraId="1EA2874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1.4工程量（含5%损耗、含包边条等）：</w:t>
      </w:r>
    </w:p>
    <w:p w14:paraId="54ABF36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（482.4㎡+355.5㎡）×1.05≈880㎡。</w:t>
      </w:r>
    </w:p>
    <w:p w14:paraId="2AE1884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2、屋面檩条数量</w:t>
      </w:r>
    </w:p>
    <w:p w14:paraId="14A8EB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2.1檩条间距：1.5m（沿15.0m长度方向布置，参考常规设计及材料表）</w:t>
      </w:r>
    </w:p>
    <w:p w14:paraId="78A67B6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2.2根数：</w:t>
      </w:r>
    </w:p>
    <w:p w14:paraId="6CE8201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总长度÷间距 + 1 = 15.0m÷1.5m +1=11根</w:t>
      </w:r>
    </w:p>
    <w:p w14:paraId="0999654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2.3单根长度：厂房跨度16.5m（含两端支座延伸500mm），单根长度=17.0m</w:t>
      </w:r>
    </w:p>
    <w:p w14:paraId="743A325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2.4总长度：11根×17.0m=187.0m</w:t>
      </w:r>
    </w:p>
    <w:p w14:paraId="26CAF0E0">
      <w:pPr>
        <w:keepNext w:val="0"/>
        <w:keepLines w:val="0"/>
        <w:pageBreakBefore w:val="0"/>
        <w:widowControl w:val="0"/>
        <w:numPr>
          <w:ilvl w:val="0"/>
          <w:numId w:val="5"/>
        </w:numPr>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采光瓦数量：12条，长度根据现场情况定制。</w:t>
      </w:r>
    </w:p>
    <w:p w14:paraId="4A8BD9C2">
      <w:pPr>
        <w:keepNext w:val="0"/>
        <w:keepLines w:val="0"/>
        <w:pageBreakBefore w:val="0"/>
        <w:widowControl w:val="0"/>
        <w:numPr>
          <w:ilvl w:val="0"/>
          <w:numId w:val="5"/>
        </w:numPr>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轻质砖墙围挡修复：32m*2+15m=≈80m。</w:t>
      </w:r>
    </w:p>
    <w:p w14:paraId="7DA0303E">
      <w:pPr>
        <w:numPr>
          <w:ilvl w:val="0"/>
          <w:numId w:val="3"/>
        </w:numPr>
        <w:spacing w:line="500" w:lineRule="exact"/>
        <w:rPr>
          <w:rFonts w:hint="eastAsia" w:ascii="Times New Roman" w:hAnsi="Times New Roman" w:eastAsia="黑体" w:cs="Times New Roman"/>
          <w:b/>
          <w:bCs/>
          <w:sz w:val="28"/>
          <w:szCs w:val="28"/>
          <w:lang w:val="en-US" w:eastAsia="zh-CN"/>
        </w:rPr>
      </w:pPr>
      <w:r>
        <w:rPr>
          <w:rFonts w:hint="eastAsia" w:ascii="Times New Roman" w:hAnsi="Times New Roman" w:eastAsia="黑体" w:cs="Times New Roman"/>
          <w:b/>
          <w:bCs/>
          <w:sz w:val="28"/>
          <w:szCs w:val="28"/>
          <w:lang w:val="en-US" w:eastAsia="zh-CN"/>
        </w:rPr>
        <w:t>施工注意事项</w:t>
      </w:r>
    </w:p>
    <w:p w14:paraId="7901C04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1.材料验收</w:t>
      </w:r>
    </w:p>
    <w:p w14:paraId="38CFF3B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彩钢瓦需提供镀锌量检测报告（≥250g/m²）及涂层厚度检测报告（干膜≥20μm）；檩条需提供力学性能报告及镀锌层附着力检测（GB/T 5210标准2级）。</w:t>
      </w:r>
    </w:p>
    <w:p w14:paraId="4781F76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2.安装精度</w:t>
      </w:r>
    </w:p>
    <w:p w14:paraId="527496F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2.1彩钢瓦搭接缝平整无褶皱，自攻钉垂直板面（钉帽密封胶直径≥15mm）；屋脊盖板与屋面间隙用密封胶填充，宽度≥50mm。</w:t>
      </w:r>
    </w:p>
    <w:p w14:paraId="2B9CD8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2.2檩条安装后用拉线法检查直线度，偏差≤10mm/10m，螺栓扭矩值符合设计要求（8.8级高强螺栓预拉力≥40kN）。</w:t>
      </w:r>
    </w:p>
    <w:p w14:paraId="2C39B44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3.防水处理</w:t>
      </w:r>
    </w:p>
    <w:p w14:paraId="03E14B1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3.1天沟（如有）清理后涂刷2遍聚氨酯防水涂料（干膜厚度≥1.5mm），落水管安装坡度≥2%；钢雨棚与屋面交接处增设1.2mm厚丁基橡胶防水胶带（宽度≥150mm）。</w:t>
      </w:r>
    </w:p>
    <w:p w14:paraId="5A9AD8DF">
      <w:pPr>
        <w:numPr>
          <w:ilvl w:val="0"/>
          <w:numId w:val="3"/>
        </w:numPr>
        <w:spacing w:line="500" w:lineRule="exact"/>
        <w:rPr>
          <w:rFonts w:hint="eastAsia" w:ascii="Times New Roman" w:hAnsi="Times New Roman" w:eastAsia="黑体" w:cs="Times New Roman"/>
          <w:b/>
          <w:bCs/>
          <w:sz w:val="28"/>
          <w:szCs w:val="28"/>
          <w:lang w:val="en-US" w:eastAsia="zh-CN"/>
        </w:rPr>
      </w:pPr>
      <w:r>
        <w:rPr>
          <w:rFonts w:hint="eastAsia" w:ascii="Times New Roman" w:hAnsi="Times New Roman" w:eastAsia="黑体" w:cs="Times New Roman"/>
          <w:b/>
          <w:bCs/>
          <w:sz w:val="28"/>
          <w:szCs w:val="28"/>
          <w:lang w:val="en-US" w:eastAsia="zh-CN"/>
        </w:rPr>
        <w:t>安全要求及措施</w:t>
      </w:r>
    </w:p>
    <w:p w14:paraId="3EA60A9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（一）人员资质</w:t>
      </w:r>
    </w:p>
    <w:p w14:paraId="532F562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高空作业人员（檐口高度4.5m）需持登高作业证，吊装作业人员持特种作业操作证（吊装），焊工持金属焊接与热切割作业证书。</w:t>
      </w:r>
    </w:p>
    <w:p w14:paraId="791C51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（二）高空作业防护</w:t>
      </w:r>
    </w:p>
    <w:p w14:paraId="729A2E7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作业人员佩戴双钩安全带（高挂低用），严禁在无防护情况下行走。</w:t>
      </w:r>
    </w:p>
    <w:p w14:paraId="05DA1DC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（三）动火作业管理</w:t>
      </w:r>
    </w:p>
    <w:p w14:paraId="5075867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焊接作业前清理周边易燃物（半径≥5m），配备2具4kg干粉灭火器及接火斗；办理动火许可证，设专人监火，作业后确认无火源方可离开。</w:t>
      </w:r>
    </w:p>
    <w:p w14:paraId="695E0FD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（四）临时用电</w:t>
      </w:r>
    </w:p>
    <w:p w14:paraId="3976F57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施工用电采用“三级配电两级保护”，配电箱接地电阻≤4Ω，电动工具配备漏电保护器（动作电流≤30mA，动作时间≤0.1s）。</w:t>
      </w:r>
    </w:p>
    <w:p w14:paraId="22872004">
      <w:pPr>
        <w:numPr>
          <w:ilvl w:val="0"/>
          <w:numId w:val="3"/>
        </w:numPr>
        <w:spacing w:line="500" w:lineRule="exact"/>
        <w:rPr>
          <w:rFonts w:hint="eastAsia" w:ascii="Times New Roman" w:hAnsi="Times New Roman" w:eastAsia="黑体" w:cs="Times New Roman"/>
          <w:b/>
          <w:bCs/>
          <w:sz w:val="28"/>
          <w:szCs w:val="28"/>
          <w:lang w:val="en-US" w:eastAsia="zh-CN"/>
        </w:rPr>
      </w:pPr>
      <w:r>
        <w:rPr>
          <w:rFonts w:hint="eastAsia" w:ascii="Times New Roman" w:hAnsi="Times New Roman" w:eastAsia="黑体" w:cs="Times New Roman"/>
          <w:b/>
          <w:bCs/>
          <w:sz w:val="28"/>
          <w:szCs w:val="28"/>
          <w:lang w:val="en-US" w:eastAsia="zh-CN"/>
        </w:rPr>
        <w:t>验收标准</w:t>
      </w:r>
    </w:p>
    <w:p w14:paraId="71893E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1.防水验收：完工后进行2小时淋水试验，屋面、雨棚及节点处无渗漏，天沟排水畅通。</w:t>
      </w:r>
    </w:p>
    <w:p w14:paraId="7B80CD9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2.资料提交：材料合格证、检测报告、隐蔽工程验收记录（含檩条除锈、螺栓扭矩检测）。</w:t>
      </w:r>
    </w:p>
    <w:bookmarkEnd w:id="4"/>
    <w:bookmarkEnd w:id="5"/>
    <w:bookmarkEnd w:id="6"/>
    <w:bookmarkEnd w:id="7"/>
    <w:bookmarkEnd w:id="8"/>
    <w:bookmarkEnd w:id="9"/>
    <w:p w14:paraId="0E597C95">
      <w:pPr>
        <w:numPr>
          <w:ilvl w:val="0"/>
          <w:numId w:val="3"/>
        </w:numPr>
        <w:spacing w:line="500" w:lineRule="exact"/>
        <w:rPr>
          <w:rFonts w:hint="default" w:ascii="Times New Roman" w:hAnsi="Times New Roman" w:eastAsia="黑体" w:cs="Times New Roman"/>
          <w:b/>
          <w:bCs/>
          <w:sz w:val="28"/>
          <w:szCs w:val="28"/>
          <w:lang w:val="en-US" w:eastAsia="zh-CN"/>
        </w:rPr>
      </w:pPr>
      <w:r>
        <w:rPr>
          <w:rFonts w:hint="eastAsia" w:ascii="Times New Roman" w:hAnsi="Times New Roman" w:eastAsia="黑体" w:cs="Times New Roman"/>
          <w:b/>
          <w:bCs/>
          <w:sz w:val="28"/>
          <w:szCs w:val="28"/>
          <w:lang w:val="en-US" w:eastAsia="zh-CN"/>
        </w:rPr>
        <w:t>工期</w:t>
      </w:r>
      <w:r>
        <w:rPr>
          <w:rFonts w:hint="default" w:ascii="Times New Roman" w:hAnsi="Times New Roman" w:eastAsia="黑体" w:cs="Times New Roman"/>
          <w:b/>
          <w:bCs/>
          <w:sz w:val="28"/>
          <w:szCs w:val="28"/>
          <w:lang w:val="en-US" w:eastAsia="zh-CN"/>
        </w:rPr>
        <w:t>目标</w:t>
      </w:r>
    </w:p>
    <w:p w14:paraId="4F815DE3">
      <w:pPr>
        <w:spacing w:line="360" w:lineRule="auto"/>
        <w:ind w:firstLine="560" w:firstLineChars="200"/>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采购人发出结果确认函后，以采购人</w:t>
      </w:r>
      <w:r>
        <w:rPr>
          <w:rFonts w:hint="eastAsia" w:ascii="Times New Roman" w:hAnsi="Times New Roman" w:eastAsia="仿宋_GB2312" w:cs="Times New Roman"/>
          <w:sz w:val="28"/>
          <w:szCs w:val="28"/>
          <w:lang w:val="en-US" w:eastAsia="zh-CN"/>
        </w:rPr>
        <w:t>书面通知</w:t>
      </w:r>
      <w:r>
        <w:rPr>
          <w:rFonts w:ascii="Times New Roman" w:hAnsi="Times New Roman" w:eastAsia="仿宋_GB2312" w:cs="Times New Roman"/>
          <w:sz w:val="28"/>
          <w:szCs w:val="28"/>
        </w:rPr>
        <w:t>开始计算，</w:t>
      </w:r>
      <w:r>
        <w:rPr>
          <w:rFonts w:hint="eastAsia" w:ascii="Times New Roman" w:hAnsi="Times New Roman" w:eastAsia="仿宋_GB2312" w:cs="Times New Roman"/>
          <w:sz w:val="28"/>
          <w:szCs w:val="28"/>
          <w:lang w:val="en-US" w:eastAsia="zh-CN"/>
        </w:rPr>
        <w:t>所有工作</w:t>
      </w:r>
      <w:r>
        <w:rPr>
          <w:rFonts w:ascii="Times New Roman" w:hAnsi="Times New Roman" w:eastAsia="仿宋_GB2312" w:cs="Times New Roman"/>
          <w:sz w:val="28"/>
          <w:szCs w:val="28"/>
        </w:rPr>
        <w:t>必须在保证质量的前提下</w:t>
      </w:r>
      <w:r>
        <w:rPr>
          <w:rFonts w:hint="eastAsia" w:ascii="Times New Roman" w:hAnsi="Times New Roman" w:eastAsia="仿宋_GB2312" w:cs="Times New Roman"/>
          <w:sz w:val="28"/>
          <w:szCs w:val="28"/>
          <w:lang w:val="en-US" w:eastAsia="zh-CN"/>
        </w:rPr>
        <w:t>于30日内</w:t>
      </w:r>
      <w:r>
        <w:rPr>
          <w:rFonts w:ascii="Times New Roman" w:hAnsi="Times New Roman" w:eastAsia="仿宋_GB2312" w:cs="Times New Roman"/>
          <w:sz w:val="28"/>
          <w:szCs w:val="28"/>
        </w:rPr>
        <w:t>完成。</w:t>
      </w:r>
    </w:p>
    <w:p w14:paraId="77EB5AEF">
      <w:pPr>
        <w:numPr>
          <w:ilvl w:val="0"/>
          <w:numId w:val="3"/>
        </w:numPr>
        <w:spacing w:line="500" w:lineRule="exact"/>
        <w:rPr>
          <w:rFonts w:hint="eastAsia" w:ascii="Times New Roman" w:hAnsi="Times New Roman" w:eastAsia="黑体" w:cs="Times New Roman"/>
          <w:b/>
          <w:bCs/>
          <w:sz w:val="28"/>
          <w:szCs w:val="28"/>
          <w:lang w:val="en-US" w:eastAsia="zh-CN"/>
        </w:rPr>
      </w:pPr>
      <w:r>
        <w:rPr>
          <w:rFonts w:hint="eastAsia" w:ascii="Times New Roman" w:hAnsi="Times New Roman" w:eastAsia="黑体" w:cs="Times New Roman"/>
          <w:b/>
          <w:bCs/>
          <w:sz w:val="28"/>
          <w:szCs w:val="28"/>
          <w:lang w:val="en-US" w:eastAsia="zh-CN"/>
        </w:rPr>
        <w:t>质保：</w:t>
      </w:r>
    </w:p>
    <w:p w14:paraId="27585683">
      <w:pPr>
        <w:spacing w:line="360" w:lineRule="auto"/>
        <w:ind w:firstLine="560" w:firstLineChars="200"/>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本项目</w:t>
      </w:r>
      <w:r>
        <w:rPr>
          <w:rFonts w:hint="eastAsia" w:ascii="Times New Roman" w:hAnsi="Times New Roman" w:eastAsia="仿宋_GB2312" w:cs="Times New Roman"/>
          <w:sz w:val="28"/>
          <w:szCs w:val="28"/>
          <w:lang w:val="en-US" w:eastAsia="zh-CN"/>
        </w:rPr>
        <w:t>质保期</w:t>
      </w:r>
      <w:r>
        <w:rPr>
          <w:rFonts w:ascii="Times New Roman" w:hAnsi="Times New Roman" w:eastAsia="仿宋_GB2312" w:cs="Times New Roman"/>
          <w:sz w:val="28"/>
          <w:szCs w:val="28"/>
        </w:rPr>
        <w:t>自</w:t>
      </w:r>
      <w:r>
        <w:rPr>
          <w:rFonts w:hint="eastAsia" w:ascii="Times New Roman" w:hAnsi="Times New Roman" w:eastAsia="仿宋_GB2312" w:cs="Times New Roman"/>
          <w:sz w:val="28"/>
          <w:szCs w:val="28"/>
          <w:lang w:val="en-US" w:eastAsia="zh-CN"/>
        </w:rPr>
        <w:t>采购人验收之日起12个月不漏雨、无锈蚀</w:t>
      </w:r>
      <w:r>
        <w:rPr>
          <w:rFonts w:ascii="Times New Roman" w:hAnsi="Times New Roman" w:eastAsia="仿宋_GB2312" w:cs="Times New Roman"/>
          <w:sz w:val="28"/>
          <w:szCs w:val="28"/>
        </w:rPr>
        <w:t>。</w:t>
      </w:r>
    </w:p>
    <w:p w14:paraId="15CCC38A">
      <w:pPr>
        <w:spacing w:line="360" w:lineRule="auto"/>
        <w:ind w:firstLine="560" w:firstLineChars="200"/>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在质保期内，如采购人发现属于成交人施工或</w:t>
      </w:r>
      <w:r>
        <w:rPr>
          <w:rFonts w:hint="eastAsia" w:ascii="Times New Roman" w:hAnsi="Times New Roman" w:eastAsia="仿宋_GB2312" w:cs="Times New Roman"/>
          <w:sz w:val="28"/>
          <w:szCs w:val="28"/>
        </w:rPr>
        <w:t>产品</w:t>
      </w:r>
      <w:r>
        <w:rPr>
          <w:rFonts w:ascii="Times New Roman" w:hAnsi="Times New Roman" w:eastAsia="仿宋_GB2312" w:cs="Times New Roman"/>
          <w:sz w:val="28"/>
          <w:szCs w:val="28"/>
        </w:rPr>
        <w:t>质量问题，自采购人发出通知之日起48小时内，成交人应积极配合，到达现场予以处理。</w:t>
      </w:r>
    </w:p>
    <w:p w14:paraId="1D188BD3">
      <w:pPr>
        <w:spacing w:line="360" w:lineRule="auto"/>
        <w:ind w:firstLine="560" w:firstLineChars="200"/>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在质保期内如无质量服务问题，则在质保期满后由成交人提出质保验收申请，采购人按照公司制度给予办理相关手续。</w:t>
      </w:r>
    </w:p>
    <w:sectPr>
      <w:pgSz w:w="11906" w:h="16838"/>
      <w:pgMar w:top="1440" w:right="14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3B46481-59EF-42BD-92D0-BA6A25747A6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Noto Sans CJK JP Regular">
    <w:altName w:val="Arial"/>
    <w:panose1 w:val="00000000000000000000"/>
    <w:charset w:val="00"/>
    <w:family w:val="swiss"/>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方正小标宋简体">
    <w:panose1 w:val="03000509000000000000"/>
    <w:charset w:val="86"/>
    <w:family w:val="script"/>
    <w:pitch w:val="default"/>
    <w:sig w:usb0="00000001" w:usb1="080E0000" w:usb2="00000000" w:usb3="00000000" w:csb0="00040000" w:csb1="00000000"/>
    <w:embedRegular r:id="rId2" w:fontKey="{8B72C467-2783-4341-A620-421A01573A49}"/>
  </w:font>
  <w:font w:name="仿宋">
    <w:panose1 w:val="02010609060101010101"/>
    <w:charset w:val="86"/>
    <w:family w:val="modern"/>
    <w:pitch w:val="default"/>
    <w:sig w:usb0="800002BF" w:usb1="38CF7CFA" w:usb2="00000016" w:usb3="00000000" w:csb0="00040001" w:csb1="00000000"/>
    <w:embedRegular r:id="rId3" w:fontKey="{16B8AE62-401C-46A2-B1DA-7DEFC8287234}"/>
  </w:font>
  <w:font w:name="仿宋_GB2312">
    <w:panose1 w:val="02010609030101010101"/>
    <w:charset w:val="86"/>
    <w:family w:val="modern"/>
    <w:pitch w:val="default"/>
    <w:sig w:usb0="00000001" w:usb1="080E0000" w:usb2="00000000" w:usb3="00000000" w:csb0="00040000" w:csb1="00000000"/>
    <w:embedRegular r:id="rId4" w:fontKey="{7B6D6D56-336A-4B2C-B3A6-D60E7520B98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EAEA99"/>
    <w:multiLevelType w:val="singleLevel"/>
    <w:tmpl w:val="02EAEA99"/>
    <w:lvl w:ilvl="0" w:tentative="0">
      <w:start w:val="3"/>
      <w:numFmt w:val="decimal"/>
      <w:suff w:val="nothing"/>
      <w:lvlText w:val="%1、"/>
      <w:lvlJc w:val="left"/>
    </w:lvl>
  </w:abstractNum>
  <w:abstractNum w:abstractNumId="1">
    <w:nsid w:val="19D83C27"/>
    <w:multiLevelType w:val="multilevel"/>
    <w:tmpl w:val="19D83C27"/>
    <w:lvl w:ilvl="0" w:tentative="0">
      <w:start w:val="1"/>
      <w:numFmt w:val="decimal"/>
      <w:pStyle w:val="2"/>
      <w:isLgl/>
      <w:suff w:val="space"/>
      <w:lvlText w:val="%1."/>
      <w:lvlJc w:val="left"/>
      <w:pPr>
        <w:ind w:left="425" w:hanging="425"/>
      </w:pPr>
      <w:rPr>
        <w:rFonts w:hint="eastAsia" w:cs="Times New Roman"/>
      </w:rPr>
    </w:lvl>
    <w:lvl w:ilvl="1" w:tentative="0">
      <w:start w:val="1"/>
      <w:numFmt w:val="decimal"/>
      <w:isLgl/>
      <w:suff w:val="space"/>
      <w:lvlText w:val="%1.%2."/>
      <w:lvlJc w:val="left"/>
      <w:pPr>
        <w:ind w:left="567" w:hanging="567"/>
      </w:pPr>
      <w:rPr>
        <w:rFonts w:hint="eastAsia" w:cs="Times New Roman"/>
      </w:rPr>
    </w:lvl>
    <w:lvl w:ilvl="2" w:tentative="0">
      <w:start w:val="1"/>
      <w:numFmt w:val="decimal"/>
      <w:isLgl/>
      <w:suff w:val="space"/>
      <w:lvlText w:val="%1.%2.%3."/>
      <w:lvlJc w:val="left"/>
      <w:pPr>
        <w:ind w:left="709" w:hanging="709"/>
      </w:pPr>
      <w:rPr>
        <w:rFonts w:hint="eastAsia" w:cs="Times New Roman"/>
      </w:rPr>
    </w:lvl>
    <w:lvl w:ilvl="3" w:tentative="0">
      <w:start w:val="1"/>
      <w:numFmt w:val="decimal"/>
      <w:isLgl/>
      <w:suff w:val="space"/>
      <w:lvlText w:val="%1.%2.%3.%4."/>
      <w:lvlJc w:val="left"/>
      <w:pPr>
        <w:ind w:left="851" w:hanging="851"/>
      </w:pPr>
      <w:rPr>
        <w:rFonts w:hint="eastAsia" w:cs="Times New Roman"/>
      </w:rPr>
    </w:lvl>
    <w:lvl w:ilvl="4" w:tentative="0">
      <w:start w:val="1"/>
      <w:numFmt w:val="decimal"/>
      <w:isLgl/>
      <w:lvlText w:val="%1.%2.%3.%4.%5."/>
      <w:lvlJc w:val="left"/>
      <w:pPr>
        <w:tabs>
          <w:tab w:val="left" w:pos="992"/>
        </w:tabs>
        <w:ind w:left="992" w:hanging="992"/>
      </w:pPr>
      <w:rPr>
        <w:rFonts w:hint="eastAsia" w:cs="Times New Roman"/>
      </w:rPr>
    </w:lvl>
    <w:lvl w:ilvl="5" w:tentative="0">
      <w:start w:val="1"/>
      <w:numFmt w:val="decimal"/>
      <w:isLg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
    <w:nsid w:val="44BD77AB"/>
    <w:multiLevelType w:val="singleLevel"/>
    <w:tmpl w:val="44BD77AB"/>
    <w:lvl w:ilvl="0" w:tentative="0">
      <w:start w:val="2"/>
      <w:numFmt w:val="decimal"/>
      <w:suff w:val="space"/>
      <w:lvlText w:val="%1."/>
      <w:lvlJc w:val="left"/>
    </w:lvl>
  </w:abstractNum>
  <w:abstractNum w:abstractNumId="3">
    <w:nsid w:val="4E490B2B"/>
    <w:multiLevelType w:val="multilevel"/>
    <w:tmpl w:val="4E490B2B"/>
    <w:lvl w:ilvl="0" w:tentative="0">
      <w:start w:val="1"/>
      <w:numFmt w:val="decimal"/>
      <w:lvlText w:val="%1"/>
      <w:lvlJc w:val="left"/>
      <w:pPr>
        <w:tabs>
          <w:tab w:val="left" w:pos="425"/>
        </w:tabs>
        <w:ind w:left="425" w:hanging="425"/>
      </w:pPr>
      <w:rPr>
        <w:rFonts w:hint="eastAsia" w:cs="Times New Roman"/>
        <w:b/>
        <w:i w:val="0"/>
        <w:sz w:val="28"/>
        <w:szCs w:val="28"/>
      </w:rPr>
    </w:lvl>
    <w:lvl w:ilvl="1" w:tentative="0">
      <w:start w:val="1"/>
      <w:numFmt w:val="decimal"/>
      <w:lvlText w:val="%1.%2."/>
      <w:lvlJc w:val="left"/>
      <w:pPr>
        <w:tabs>
          <w:tab w:val="left" w:pos="567"/>
        </w:tabs>
        <w:ind w:left="567" w:hanging="567"/>
      </w:pPr>
      <w:rPr>
        <w:rFonts w:hint="default" w:ascii="Times New Roman" w:hAnsi="Times New Roman" w:cs="Times New Roman"/>
        <w:b/>
        <w:i w:val="0"/>
        <w:sz w:val="24"/>
        <w:szCs w:val="24"/>
      </w:rPr>
    </w:lvl>
    <w:lvl w:ilvl="2" w:tentative="0">
      <w:start w:val="1"/>
      <w:numFmt w:val="decimal"/>
      <w:lvlText w:val="%1.%2.%3."/>
      <w:lvlJc w:val="left"/>
      <w:pPr>
        <w:tabs>
          <w:tab w:val="left" w:pos="709"/>
        </w:tabs>
        <w:ind w:left="709" w:hanging="709"/>
      </w:pPr>
      <w:rPr>
        <w:rFonts w:hint="default" w:ascii="Times New Roman" w:hAnsi="Times New Roman" w:cs="Times New Roman"/>
        <w:b w:val="0"/>
        <w:i w:val="0"/>
        <w:sz w:val="24"/>
        <w:szCs w:val="24"/>
      </w:rPr>
    </w:lvl>
    <w:lvl w:ilvl="3" w:tentative="0">
      <w:start w:val="1"/>
      <w:numFmt w:val="decimal"/>
      <w:lvlText w:val="%1.%2.%3.%4."/>
      <w:lvlJc w:val="left"/>
      <w:pPr>
        <w:tabs>
          <w:tab w:val="left" w:pos="851"/>
        </w:tabs>
        <w:ind w:left="851" w:hanging="851"/>
      </w:pPr>
      <w:rPr>
        <w:rFonts w:hint="eastAsia" w:cs="Times New Roman"/>
        <w:b w:val="0"/>
        <w:i w:val="0"/>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Restart w:val="0"/>
      <w:lvlText w:val="%1.%2.%3.%4.%5.%6.%7."/>
      <w:lvlJc w:val="left"/>
      <w:pPr>
        <w:tabs>
          <w:tab w:val="left" w:pos="1276"/>
        </w:tabs>
        <w:ind w:left="1276" w:hanging="1276"/>
      </w:pPr>
      <w:rPr>
        <w:rFonts w:hint="eastAsia" w:cs="Times New Roman"/>
      </w:rPr>
    </w:lvl>
    <w:lvl w:ilvl="7" w:tentative="0">
      <w:start w:val="1"/>
      <w:numFmt w:val="decimal"/>
      <w:lvlRestart w:val="0"/>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4">
    <w:nsid w:val="5069211C"/>
    <w:multiLevelType w:val="multilevel"/>
    <w:tmpl w:val="5069211C"/>
    <w:lvl w:ilvl="0" w:tentative="0">
      <w:start w:val="1"/>
      <w:numFmt w:val="koreanDigital2"/>
      <w:lvlText w:val="第%1章"/>
      <w:lvlJc w:val="left"/>
      <w:pPr>
        <w:ind w:left="0" w:firstLine="0"/>
      </w:pPr>
      <w:rPr>
        <w:rFonts w:hint="eastAsia"/>
        <w:lang w:val="en-US"/>
      </w:rPr>
    </w:lvl>
    <w:lvl w:ilvl="1" w:tentative="0">
      <w:start w:val="1"/>
      <w:numFmt w:val="decimal"/>
      <w:lvlText w:val="%2  "/>
      <w:lvlJc w:val="left"/>
      <w:pPr>
        <w:ind w:left="0" w:firstLine="0"/>
      </w:pPr>
      <w:rPr>
        <w:rFonts w:hint="eastAsia"/>
        <w:b/>
        <w:i w:val="0"/>
        <w:sz w:val="21"/>
        <w:szCs w:val="21"/>
      </w:rPr>
    </w:lvl>
    <w:lvl w:ilvl="2" w:tentative="0">
      <w:start w:val="1"/>
      <w:numFmt w:val="decimal"/>
      <w:pStyle w:val="33"/>
      <w:lvlText w:val="%2.%3"/>
      <w:lvlJc w:val="left"/>
      <w:pPr>
        <w:ind w:left="0" w:firstLine="0"/>
      </w:pPr>
      <w:rPr>
        <w:rFonts w:hint="eastAsia" w:eastAsia="宋体"/>
        <w:b/>
        <w:i w:val="0"/>
        <w:sz w:val="24"/>
      </w:rPr>
    </w:lvl>
    <w:lvl w:ilvl="3" w:tentative="0">
      <w:start w:val="1"/>
      <w:numFmt w:val="decimal"/>
      <w:lvlText w:val="%2.%3.%4"/>
      <w:lvlJc w:val="left"/>
      <w:pPr>
        <w:ind w:left="141" w:firstLine="0"/>
      </w:pPr>
      <w:rPr>
        <w:rFonts w:hint="eastAsia" w:ascii="宋体" w:hAnsi="宋体" w:eastAsia="宋体"/>
        <w:b/>
        <w:i w:val="0"/>
      </w:rPr>
    </w:lvl>
    <w:lvl w:ilvl="4" w:tentative="0">
      <w:start w:val="1"/>
      <w:numFmt w:val="decimal"/>
      <w:lvlText w:val="%2.%3.%4.%5"/>
      <w:lvlJc w:val="left"/>
      <w:pPr>
        <w:ind w:left="0" w:firstLine="0"/>
      </w:pPr>
      <w:rPr>
        <w:rFonts w:hint="eastAsia" w:eastAsia="宋体"/>
        <w:b/>
        <w:i w:val="0"/>
        <w:sz w:val="24"/>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3041A7"/>
    <w:rsid w:val="00021888"/>
    <w:rsid w:val="00025327"/>
    <w:rsid w:val="00032F53"/>
    <w:rsid w:val="00035557"/>
    <w:rsid w:val="00040ACC"/>
    <w:rsid w:val="000419DD"/>
    <w:rsid w:val="0004544F"/>
    <w:rsid w:val="0004666A"/>
    <w:rsid w:val="00073892"/>
    <w:rsid w:val="00074555"/>
    <w:rsid w:val="00077E89"/>
    <w:rsid w:val="00080295"/>
    <w:rsid w:val="00080FB0"/>
    <w:rsid w:val="0008176A"/>
    <w:rsid w:val="00092FA7"/>
    <w:rsid w:val="000A6A21"/>
    <w:rsid w:val="000C4A3F"/>
    <w:rsid w:val="000D0A6E"/>
    <w:rsid w:val="000F7E96"/>
    <w:rsid w:val="00112417"/>
    <w:rsid w:val="00113370"/>
    <w:rsid w:val="00116CCB"/>
    <w:rsid w:val="00121E63"/>
    <w:rsid w:val="00122FE4"/>
    <w:rsid w:val="0013004F"/>
    <w:rsid w:val="00140DC7"/>
    <w:rsid w:val="0014204B"/>
    <w:rsid w:val="00142C11"/>
    <w:rsid w:val="00142F41"/>
    <w:rsid w:val="00180A9B"/>
    <w:rsid w:val="001923F8"/>
    <w:rsid w:val="0019512E"/>
    <w:rsid w:val="00195E87"/>
    <w:rsid w:val="00197C64"/>
    <w:rsid w:val="001A1C28"/>
    <w:rsid w:val="001A1F06"/>
    <w:rsid w:val="001A3B2F"/>
    <w:rsid w:val="001B0277"/>
    <w:rsid w:val="001C2479"/>
    <w:rsid w:val="001D1EF2"/>
    <w:rsid w:val="001D2E93"/>
    <w:rsid w:val="001E0A1B"/>
    <w:rsid w:val="001E58CD"/>
    <w:rsid w:val="001E7FAB"/>
    <w:rsid w:val="002072FC"/>
    <w:rsid w:val="00212873"/>
    <w:rsid w:val="00215ADA"/>
    <w:rsid w:val="00215CE8"/>
    <w:rsid w:val="00216BAC"/>
    <w:rsid w:val="002350BB"/>
    <w:rsid w:val="00236B9B"/>
    <w:rsid w:val="002601EF"/>
    <w:rsid w:val="0026283E"/>
    <w:rsid w:val="002629FD"/>
    <w:rsid w:val="0027600C"/>
    <w:rsid w:val="00284575"/>
    <w:rsid w:val="00287E94"/>
    <w:rsid w:val="00292144"/>
    <w:rsid w:val="002C7CBC"/>
    <w:rsid w:val="002E4294"/>
    <w:rsid w:val="002E45BE"/>
    <w:rsid w:val="002E6D9F"/>
    <w:rsid w:val="002F1706"/>
    <w:rsid w:val="003041A7"/>
    <w:rsid w:val="00321AB6"/>
    <w:rsid w:val="00322C84"/>
    <w:rsid w:val="003251E6"/>
    <w:rsid w:val="00336B0B"/>
    <w:rsid w:val="00355002"/>
    <w:rsid w:val="00365ACB"/>
    <w:rsid w:val="00376E10"/>
    <w:rsid w:val="0039737C"/>
    <w:rsid w:val="00397A81"/>
    <w:rsid w:val="003A0735"/>
    <w:rsid w:val="003A146B"/>
    <w:rsid w:val="003A3156"/>
    <w:rsid w:val="003C396C"/>
    <w:rsid w:val="003D7548"/>
    <w:rsid w:val="003E6941"/>
    <w:rsid w:val="003F3073"/>
    <w:rsid w:val="00407BEB"/>
    <w:rsid w:val="0041693B"/>
    <w:rsid w:val="00420B4C"/>
    <w:rsid w:val="004314AE"/>
    <w:rsid w:val="0044294E"/>
    <w:rsid w:val="0044456D"/>
    <w:rsid w:val="004623E0"/>
    <w:rsid w:val="00466DFE"/>
    <w:rsid w:val="00483FAD"/>
    <w:rsid w:val="00484057"/>
    <w:rsid w:val="004A68B8"/>
    <w:rsid w:val="004B2192"/>
    <w:rsid w:val="004B5B6C"/>
    <w:rsid w:val="004D02FD"/>
    <w:rsid w:val="004D1647"/>
    <w:rsid w:val="004D289E"/>
    <w:rsid w:val="004F27E5"/>
    <w:rsid w:val="00502935"/>
    <w:rsid w:val="005125B6"/>
    <w:rsid w:val="0051608B"/>
    <w:rsid w:val="005274D4"/>
    <w:rsid w:val="00533932"/>
    <w:rsid w:val="005340FF"/>
    <w:rsid w:val="0054036B"/>
    <w:rsid w:val="005445E6"/>
    <w:rsid w:val="00547326"/>
    <w:rsid w:val="0056290D"/>
    <w:rsid w:val="00564BF9"/>
    <w:rsid w:val="005657A7"/>
    <w:rsid w:val="00572880"/>
    <w:rsid w:val="005770C2"/>
    <w:rsid w:val="005813A5"/>
    <w:rsid w:val="0058364F"/>
    <w:rsid w:val="00590FB8"/>
    <w:rsid w:val="005931B7"/>
    <w:rsid w:val="005A1831"/>
    <w:rsid w:val="005B09A5"/>
    <w:rsid w:val="005B101A"/>
    <w:rsid w:val="005B1963"/>
    <w:rsid w:val="005B3699"/>
    <w:rsid w:val="005B4CFB"/>
    <w:rsid w:val="005D3794"/>
    <w:rsid w:val="005E2A1C"/>
    <w:rsid w:val="006001A0"/>
    <w:rsid w:val="00605F12"/>
    <w:rsid w:val="00611EC2"/>
    <w:rsid w:val="0061209B"/>
    <w:rsid w:val="00616B43"/>
    <w:rsid w:val="00627F27"/>
    <w:rsid w:val="00630CF4"/>
    <w:rsid w:val="00631292"/>
    <w:rsid w:val="00633027"/>
    <w:rsid w:val="0063547E"/>
    <w:rsid w:val="006650E5"/>
    <w:rsid w:val="00675CDC"/>
    <w:rsid w:val="00676242"/>
    <w:rsid w:val="00682876"/>
    <w:rsid w:val="00691B25"/>
    <w:rsid w:val="0069310B"/>
    <w:rsid w:val="006967EA"/>
    <w:rsid w:val="006B73FD"/>
    <w:rsid w:val="006C13BB"/>
    <w:rsid w:val="006C1C6B"/>
    <w:rsid w:val="006C1C74"/>
    <w:rsid w:val="006C1EEB"/>
    <w:rsid w:val="006C668F"/>
    <w:rsid w:val="006C79C5"/>
    <w:rsid w:val="006D376A"/>
    <w:rsid w:val="006D4960"/>
    <w:rsid w:val="006D7CFF"/>
    <w:rsid w:val="006E28B4"/>
    <w:rsid w:val="006F69FC"/>
    <w:rsid w:val="00722EC7"/>
    <w:rsid w:val="00723EA0"/>
    <w:rsid w:val="00730BF3"/>
    <w:rsid w:val="00750FE2"/>
    <w:rsid w:val="007553F6"/>
    <w:rsid w:val="00756690"/>
    <w:rsid w:val="00760353"/>
    <w:rsid w:val="007657A7"/>
    <w:rsid w:val="00765D0A"/>
    <w:rsid w:val="00772A1F"/>
    <w:rsid w:val="00777A77"/>
    <w:rsid w:val="00791B2B"/>
    <w:rsid w:val="00791DC1"/>
    <w:rsid w:val="00793B41"/>
    <w:rsid w:val="00795054"/>
    <w:rsid w:val="007A16CB"/>
    <w:rsid w:val="007A52F9"/>
    <w:rsid w:val="007A6A2D"/>
    <w:rsid w:val="007B7692"/>
    <w:rsid w:val="007B7E91"/>
    <w:rsid w:val="007C1C77"/>
    <w:rsid w:val="007C300E"/>
    <w:rsid w:val="007C44AE"/>
    <w:rsid w:val="007C5448"/>
    <w:rsid w:val="007C680E"/>
    <w:rsid w:val="007D0544"/>
    <w:rsid w:val="007D162A"/>
    <w:rsid w:val="007D5005"/>
    <w:rsid w:val="007E1DE6"/>
    <w:rsid w:val="0080635A"/>
    <w:rsid w:val="008108A8"/>
    <w:rsid w:val="0081242C"/>
    <w:rsid w:val="00813B38"/>
    <w:rsid w:val="00814C33"/>
    <w:rsid w:val="0082127A"/>
    <w:rsid w:val="008302B4"/>
    <w:rsid w:val="00840E97"/>
    <w:rsid w:val="00843B88"/>
    <w:rsid w:val="00860C5C"/>
    <w:rsid w:val="00873525"/>
    <w:rsid w:val="00887B83"/>
    <w:rsid w:val="0089372F"/>
    <w:rsid w:val="008971AC"/>
    <w:rsid w:val="008A45AB"/>
    <w:rsid w:val="008B1316"/>
    <w:rsid w:val="008B291D"/>
    <w:rsid w:val="008C0352"/>
    <w:rsid w:val="008C1F9C"/>
    <w:rsid w:val="008C23DF"/>
    <w:rsid w:val="008C5653"/>
    <w:rsid w:val="008D52C2"/>
    <w:rsid w:val="008F2460"/>
    <w:rsid w:val="00912ADC"/>
    <w:rsid w:val="00920157"/>
    <w:rsid w:val="00922958"/>
    <w:rsid w:val="00926D67"/>
    <w:rsid w:val="0093083B"/>
    <w:rsid w:val="00932440"/>
    <w:rsid w:val="00944089"/>
    <w:rsid w:val="00945FF7"/>
    <w:rsid w:val="00960445"/>
    <w:rsid w:val="009660BE"/>
    <w:rsid w:val="0096766E"/>
    <w:rsid w:val="009843F1"/>
    <w:rsid w:val="009844B1"/>
    <w:rsid w:val="009868CE"/>
    <w:rsid w:val="00995B88"/>
    <w:rsid w:val="0099737D"/>
    <w:rsid w:val="009A0976"/>
    <w:rsid w:val="009A5EB7"/>
    <w:rsid w:val="009B6BB0"/>
    <w:rsid w:val="009C03B2"/>
    <w:rsid w:val="009C372F"/>
    <w:rsid w:val="009C7451"/>
    <w:rsid w:val="009D13E0"/>
    <w:rsid w:val="009E3C76"/>
    <w:rsid w:val="009F05C5"/>
    <w:rsid w:val="009F64DF"/>
    <w:rsid w:val="00A12C7E"/>
    <w:rsid w:val="00A24812"/>
    <w:rsid w:val="00A26B06"/>
    <w:rsid w:val="00A32575"/>
    <w:rsid w:val="00A331A3"/>
    <w:rsid w:val="00A3529F"/>
    <w:rsid w:val="00A37AD8"/>
    <w:rsid w:val="00A627F6"/>
    <w:rsid w:val="00A62F91"/>
    <w:rsid w:val="00A64C80"/>
    <w:rsid w:val="00A6698A"/>
    <w:rsid w:val="00A707A2"/>
    <w:rsid w:val="00A724E6"/>
    <w:rsid w:val="00A74DD3"/>
    <w:rsid w:val="00A75634"/>
    <w:rsid w:val="00A75B75"/>
    <w:rsid w:val="00A77CD4"/>
    <w:rsid w:val="00A8479E"/>
    <w:rsid w:val="00A85EB2"/>
    <w:rsid w:val="00AA14F2"/>
    <w:rsid w:val="00AA309D"/>
    <w:rsid w:val="00AC3E37"/>
    <w:rsid w:val="00AC4604"/>
    <w:rsid w:val="00AC6416"/>
    <w:rsid w:val="00AC65A6"/>
    <w:rsid w:val="00AD3D97"/>
    <w:rsid w:val="00AD5F4C"/>
    <w:rsid w:val="00B03E8D"/>
    <w:rsid w:val="00B10665"/>
    <w:rsid w:val="00B16085"/>
    <w:rsid w:val="00B34E95"/>
    <w:rsid w:val="00B43920"/>
    <w:rsid w:val="00B455D0"/>
    <w:rsid w:val="00B50508"/>
    <w:rsid w:val="00B55921"/>
    <w:rsid w:val="00B61225"/>
    <w:rsid w:val="00B7098C"/>
    <w:rsid w:val="00B7319B"/>
    <w:rsid w:val="00B76CA8"/>
    <w:rsid w:val="00B80C52"/>
    <w:rsid w:val="00B81B93"/>
    <w:rsid w:val="00B81D56"/>
    <w:rsid w:val="00B910D2"/>
    <w:rsid w:val="00B93D2D"/>
    <w:rsid w:val="00B970EE"/>
    <w:rsid w:val="00B97D35"/>
    <w:rsid w:val="00BA1451"/>
    <w:rsid w:val="00BC64AF"/>
    <w:rsid w:val="00BD01B4"/>
    <w:rsid w:val="00BD320C"/>
    <w:rsid w:val="00BD620A"/>
    <w:rsid w:val="00BF3815"/>
    <w:rsid w:val="00BF5936"/>
    <w:rsid w:val="00C01B2F"/>
    <w:rsid w:val="00C100BD"/>
    <w:rsid w:val="00C16608"/>
    <w:rsid w:val="00C3088B"/>
    <w:rsid w:val="00C3155D"/>
    <w:rsid w:val="00C37FAC"/>
    <w:rsid w:val="00C52A4F"/>
    <w:rsid w:val="00C60A11"/>
    <w:rsid w:val="00C91628"/>
    <w:rsid w:val="00C966E2"/>
    <w:rsid w:val="00CA284C"/>
    <w:rsid w:val="00CB39A1"/>
    <w:rsid w:val="00CB39F2"/>
    <w:rsid w:val="00CB6EA3"/>
    <w:rsid w:val="00CC1EFA"/>
    <w:rsid w:val="00CE0F6F"/>
    <w:rsid w:val="00CE44A6"/>
    <w:rsid w:val="00CE7A0A"/>
    <w:rsid w:val="00D0300F"/>
    <w:rsid w:val="00D06608"/>
    <w:rsid w:val="00D07A60"/>
    <w:rsid w:val="00D222D1"/>
    <w:rsid w:val="00D4029D"/>
    <w:rsid w:val="00D41CEE"/>
    <w:rsid w:val="00D478F4"/>
    <w:rsid w:val="00D53216"/>
    <w:rsid w:val="00D57973"/>
    <w:rsid w:val="00D60E36"/>
    <w:rsid w:val="00D62507"/>
    <w:rsid w:val="00D77744"/>
    <w:rsid w:val="00D86415"/>
    <w:rsid w:val="00D95597"/>
    <w:rsid w:val="00DB3C3E"/>
    <w:rsid w:val="00DB7073"/>
    <w:rsid w:val="00DC0F8B"/>
    <w:rsid w:val="00DD4E6C"/>
    <w:rsid w:val="00E11E79"/>
    <w:rsid w:val="00E37E6E"/>
    <w:rsid w:val="00E43CDA"/>
    <w:rsid w:val="00E4661D"/>
    <w:rsid w:val="00E669DE"/>
    <w:rsid w:val="00E6795F"/>
    <w:rsid w:val="00E72C3A"/>
    <w:rsid w:val="00E757A9"/>
    <w:rsid w:val="00E84459"/>
    <w:rsid w:val="00E850EC"/>
    <w:rsid w:val="00EA2CE6"/>
    <w:rsid w:val="00EC0D65"/>
    <w:rsid w:val="00EC142D"/>
    <w:rsid w:val="00EC1BF5"/>
    <w:rsid w:val="00EC68F7"/>
    <w:rsid w:val="00ED1AB0"/>
    <w:rsid w:val="00ED2FD4"/>
    <w:rsid w:val="00ED631E"/>
    <w:rsid w:val="00EE08F8"/>
    <w:rsid w:val="00EE1421"/>
    <w:rsid w:val="00EE205D"/>
    <w:rsid w:val="00EE52E5"/>
    <w:rsid w:val="00F12684"/>
    <w:rsid w:val="00F156BA"/>
    <w:rsid w:val="00F20073"/>
    <w:rsid w:val="00F207C6"/>
    <w:rsid w:val="00F22D6A"/>
    <w:rsid w:val="00F36899"/>
    <w:rsid w:val="00F510CD"/>
    <w:rsid w:val="00F62B63"/>
    <w:rsid w:val="00F6494D"/>
    <w:rsid w:val="00F64AD1"/>
    <w:rsid w:val="00FA000B"/>
    <w:rsid w:val="00FA7647"/>
    <w:rsid w:val="00FB6357"/>
    <w:rsid w:val="00FB70EC"/>
    <w:rsid w:val="00FD7FA0"/>
    <w:rsid w:val="00FE3E7A"/>
    <w:rsid w:val="00FF0F11"/>
    <w:rsid w:val="00FF466C"/>
    <w:rsid w:val="01FD65F9"/>
    <w:rsid w:val="03353615"/>
    <w:rsid w:val="05C10187"/>
    <w:rsid w:val="07272049"/>
    <w:rsid w:val="08955281"/>
    <w:rsid w:val="0A1E4E03"/>
    <w:rsid w:val="0AB4355E"/>
    <w:rsid w:val="0BBC48D3"/>
    <w:rsid w:val="0E0205FE"/>
    <w:rsid w:val="11703059"/>
    <w:rsid w:val="16B9038D"/>
    <w:rsid w:val="17EA3584"/>
    <w:rsid w:val="1A694841"/>
    <w:rsid w:val="1AFA66D4"/>
    <w:rsid w:val="1E09549F"/>
    <w:rsid w:val="1E3F15FF"/>
    <w:rsid w:val="1EE943C4"/>
    <w:rsid w:val="22E12867"/>
    <w:rsid w:val="2650413E"/>
    <w:rsid w:val="27643359"/>
    <w:rsid w:val="289E1E5B"/>
    <w:rsid w:val="29910295"/>
    <w:rsid w:val="2E7927B2"/>
    <w:rsid w:val="2EB50F84"/>
    <w:rsid w:val="2F081A5A"/>
    <w:rsid w:val="35A06B3A"/>
    <w:rsid w:val="37C62713"/>
    <w:rsid w:val="3B5062A6"/>
    <w:rsid w:val="3C306A4A"/>
    <w:rsid w:val="3C7D7AB1"/>
    <w:rsid w:val="3C7F519B"/>
    <w:rsid w:val="3ED36EA1"/>
    <w:rsid w:val="40E610E3"/>
    <w:rsid w:val="4A0D74B7"/>
    <w:rsid w:val="4AA21BB2"/>
    <w:rsid w:val="4BBC5C1B"/>
    <w:rsid w:val="4E686E91"/>
    <w:rsid w:val="51A0624B"/>
    <w:rsid w:val="521B55DA"/>
    <w:rsid w:val="52770B21"/>
    <w:rsid w:val="544E5B9B"/>
    <w:rsid w:val="55B55F10"/>
    <w:rsid w:val="57821FCB"/>
    <w:rsid w:val="58003366"/>
    <w:rsid w:val="5BB26726"/>
    <w:rsid w:val="5E3D4525"/>
    <w:rsid w:val="60B151FE"/>
    <w:rsid w:val="60C3622F"/>
    <w:rsid w:val="6246103C"/>
    <w:rsid w:val="62C57B7C"/>
    <w:rsid w:val="64C061E0"/>
    <w:rsid w:val="65B07B1F"/>
    <w:rsid w:val="66E15CB0"/>
    <w:rsid w:val="69073569"/>
    <w:rsid w:val="6FAB4110"/>
    <w:rsid w:val="74D17337"/>
    <w:rsid w:val="74F518B3"/>
    <w:rsid w:val="7F543F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330" w:line="240" w:lineRule="auto"/>
      <w:ind w:left="0" w:firstLine="0" w:firstLineChars="0"/>
      <w:outlineLvl w:val="0"/>
    </w:pPr>
    <w:rPr>
      <w:b/>
      <w:bCs/>
      <w:kern w:val="0"/>
      <w:sz w:val="36"/>
      <w:szCs w:val="44"/>
    </w:rPr>
  </w:style>
  <w:style w:type="paragraph" w:styleId="3">
    <w:name w:val="heading 2"/>
    <w:basedOn w:val="1"/>
    <w:next w:val="4"/>
    <w:semiHidden/>
    <w:unhideWhenUsed/>
    <w:qFormat/>
    <w:uiPriority w:val="9"/>
    <w:pPr>
      <w:spacing w:beforeAutospacing="1" w:afterAutospacing="1"/>
      <w:jc w:val="left"/>
      <w:outlineLvl w:val="1"/>
    </w:pPr>
    <w:rPr>
      <w:rFonts w:hint="eastAsia" w:ascii="宋体" w:hAnsi="宋体" w:eastAsia="宋体" w:cs="Times New Roman"/>
      <w:b/>
      <w:kern w:val="0"/>
      <w:sz w:val="36"/>
      <w:szCs w:val="36"/>
    </w:rPr>
  </w:style>
  <w:style w:type="paragraph" w:styleId="5">
    <w:name w:val="heading 3"/>
    <w:basedOn w:val="1"/>
    <w:next w:val="4"/>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30"/>
    <w:semiHidden/>
    <w:unhideWhenUsed/>
    <w:qFormat/>
    <w:uiPriority w:val="99"/>
    <w:pPr>
      <w:autoSpaceDE w:val="0"/>
      <w:autoSpaceDN w:val="0"/>
      <w:spacing w:after="120" w:line="360" w:lineRule="auto"/>
      <w:jc w:val="left"/>
    </w:pPr>
    <w:rPr>
      <w:rFonts w:ascii="Noto Sans CJK JP Regular" w:hAnsi="Noto Sans CJK JP Regular" w:eastAsia="Noto Sans CJK JP Regular" w:cs="Noto Sans CJK JP Regular"/>
      <w:kern w:val="0"/>
      <w:sz w:val="24"/>
      <w:lang w:eastAsia="en-US"/>
    </w:rPr>
  </w:style>
  <w:style w:type="paragraph" w:styleId="6">
    <w:name w:val="Normal Indent"/>
    <w:basedOn w:val="1"/>
    <w:qFormat/>
    <w:uiPriority w:val="0"/>
    <w:pPr>
      <w:adjustRightInd w:val="0"/>
      <w:spacing w:line="410" w:lineRule="atLeast"/>
      <w:ind w:firstLine="420"/>
      <w:jc w:val="left"/>
      <w:textAlignment w:val="baseline"/>
    </w:pPr>
    <w:rPr>
      <w:rFonts w:ascii="宋体"/>
      <w:kern w:val="0"/>
      <w:sz w:val="24"/>
      <w:szCs w:val="20"/>
    </w:rPr>
  </w:style>
  <w:style w:type="paragraph" w:styleId="7">
    <w:name w:val="annotation text"/>
    <w:basedOn w:val="1"/>
    <w:link w:val="28"/>
    <w:semiHidden/>
    <w:unhideWhenUsed/>
    <w:qFormat/>
    <w:uiPriority w:val="99"/>
    <w:pPr>
      <w:jc w:val="left"/>
    </w:pPr>
  </w:style>
  <w:style w:type="paragraph" w:styleId="8">
    <w:name w:val="Balloon Text"/>
    <w:basedOn w:val="1"/>
    <w:link w:val="32"/>
    <w:semiHidden/>
    <w:unhideWhenUsed/>
    <w:qFormat/>
    <w:uiPriority w:val="99"/>
    <w:rPr>
      <w:sz w:val="18"/>
      <w:szCs w:val="18"/>
    </w:rPr>
  </w:style>
  <w:style w:type="paragraph" w:styleId="9">
    <w:name w:val="footer"/>
    <w:basedOn w:val="1"/>
    <w:link w:val="27"/>
    <w:unhideWhenUsed/>
    <w:qFormat/>
    <w:uiPriority w:val="99"/>
    <w:pPr>
      <w:tabs>
        <w:tab w:val="center" w:pos="4153"/>
        <w:tab w:val="right" w:pos="8306"/>
      </w:tabs>
      <w:snapToGrid w:val="0"/>
      <w:jc w:val="left"/>
    </w:pPr>
    <w:rPr>
      <w:sz w:val="18"/>
      <w:szCs w:val="18"/>
    </w:rPr>
  </w:style>
  <w:style w:type="paragraph" w:styleId="10">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2">
    <w:name w:val="Title"/>
    <w:basedOn w:val="1"/>
    <w:next w:val="1"/>
    <w:qFormat/>
    <w:uiPriority w:val="0"/>
    <w:pPr>
      <w:widowControl w:val="0"/>
      <w:adjustRightInd w:val="0"/>
      <w:spacing w:before="240" w:after="120" w:line="364" w:lineRule="exact"/>
      <w:jc w:val="center"/>
      <w:outlineLvl w:val="0"/>
    </w:pPr>
    <w:rPr>
      <w:rFonts w:ascii="Arial" w:hAnsi="Arial" w:eastAsia="MS Gothic"/>
      <w:sz w:val="32"/>
      <w:lang w:eastAsia="ja-JP"/>
    </w:rPr>
  </w:style>
  <w:style w:type="paragraph" w:styleId="13">
    <w:name w:val="annotation subject"/>
    <w:basedOn w:val="7"/>
    <w:next w:val="7"/>
    <w:link w:val="29"/>
    <w:semiHidden/>
    <w:unhideWhenUsed/>
    <w:qFormat/>
    <w:uiPriority w:val="99"/>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rPr>
  </w:style>
  <w:style w:type="character" w:styleId="18">
    <w:name w:val="Emphasis"/>
    <w:basedOn w:val="16"/>
    <w:qFormat/>
    <w:uiPriority w:val="20"/>
    <w:rPr>
      <w:i/>
    </w:rPr>
  </w:style>
  <w:style w:type="character" w:styleId="19">
    <w:name w:val="Hyperlink"/>
    <w:basedOn w:val="16"/>
    <w:semiHidden/>
    <w:unhideWhenUsed/>
    <w:qFormat/>
    <w:uiPriority w:val="99"/>
    <w:rPr>
      <w:color w:val="0000FF"/>
      <w:u w:val="single"/>
    </w:rPr>
  </w:style>
  <w:style w:type="character" w:styleId="20">
    <w:name w:val="annotation reference"/>
    <w:basedOn w:val="16"/>
    <w:semiHidden/>
    <w:unhideWhenUsed/>
    <w:qFormat/>
    <w:uiPriority w:val="99"/>
    <w:rPr>
      <w:sz w:val="21"/>
      <w:szCs w:val="21"/>
    </w:rPr>
  </w:style>
  <w:style w:type="paragraph" w:styleId="21">
    <w:name w:val="List Paragraph"/>
    <w:basedOn w:val="1"/>
    <w:qFormat/>
    <w:uiPriority w:val="34"/>
    <w:pPr>
      <w:ind w:firstLine="420" w:firstLineChars="200"/>
    </w:pPr>
  </w:style>
  <w:style w:type="character" w:customStyle="1" w:styleId="22">
    <w:name w:val="font11"/>
    <w:basedOn w:val="16"/>
    <w:qFormat/>
    <w:uiPriority w:val="0"/>
    <w:rPr>
      <w:rFonts w:hint="eastAsia" w:ascii="宋体" w:hAnsi="宋体" w:eastAsia="宋体" w:cs="宋体"/>
      <w:color w:val="000000"/>
      <w:sz w:val="24"/>
      <w:szCs w:val="24"/>
      <w:u w:val="none"/>
    </w:rPr>
  </w:style>
  <w:style w:type="character" w:customStyle="1" w:styleId="23">
    <w:name w:val="font01"/>
    <w:basedOn w:val="16"/>
    <w:qFormat/>
    <w:uiPriority w:val="0"/>
    <w:rPr>
      <w:rFonts w:hint="eastAsia" w:ascii="宋体" w:hAnsi="宋体" w:eastAsia="宋体" w:cs="宋体"/>
      <w:color w:val="000000"/>
      <w:sz w:val="24"/>
      <w:szCs w:val="24"/>
      <w:u w:val="none"/>
      <w:vertAlign w:val="superscript"/>
    </w:rPr>
  </w:style>
  <w:style w:type="paragraph" w:customStyle="1" w:styleId="24">
    <w:name w:val="投标正文"/>
    <w:basedOn w:val="1"/>
    <w:link w:val="25"/>
    <w:qFormat/>
    <w:uiPriority w:val="0"/>
    <w:pPr>
      <w:spacing w:line="360" w:lineRule="auto"/>
      <w:ind w:firstLine="480" w:firstLineChars="200"/>
    </w:pPr>
    <w:rPr>
      <w:rFonts w:ascii="Times New Roman" w:hAnsi="Times New Roman" w:eastAsia="宋体" w:cs="Times New Roman"/>
      <w:sz w:val="24"/>
      <w:szCs w:val="20"/>
    </w:rPr>
  </w:style>
  <w:style w:type="character" w:customStyle="1" w:styleId="25">
    <w:name w:val="投标正文 Char"/>
    <w:link w:val="24"/>
    <w:qFormat/>
    <w:uiPriority w:val="0"/>
    <w:rPr>
      <w:kern w:val="2"/>
      <w:sz w:val="24"/>
    </w:rPr>
  </w:style>
  <w:style w:type="character" w:customStyle="1" w:styleId="26">
    <w:name w:val="页眉 字符"/>
    <w:basedOn w:val="16"/>
    <w:link w:val="10"/>
    <w:qFormat/>
    <w:uiPriority w:val="99"/>
    <w:rPr>
      <w:rFonts w:asciiTheme="minorHAnsi" w:hAnsiTheme="minorHAnsi" w:eastAsiaTheme="minorEastAsia" w:cstheme="minorBidi"/>
      <w:kern w:val="2"/>
      <w:sz w:val="18"/>
      <w:szCs w:val="18"/>
    </w:rPr>
  </w:style>
  <w:style w:type="character" w:customStyle="1" w:styleId="27">
    <w:name w:val="页脚 字符"/>
    <w:basedOn w:val="16"/>
    <w:link w:val="9"/>
    <w:qFormat/>
    <w:uiPriority w:val="99"/>
    <w:rPr>
      <w:rFonts w:asciiTheme="minorHAnsi" w:hAnsiTheme="minorHAnsi" w:eastAsiaTheme="minorEastAsia" w:cstheme="minorBidi"/>
      <w:kern w:val="2"/>
      <w:sz w:val="18"/>
      <w:szCs w:val="18"/>
    </w:rPr>
  </w:style>
  <w:style w:type="character" w:customStyle="1" w:styleId="28">
    <w:name w:val="批注文字 字符"/>
    <w:basedOn w:val="16"/>
    <w:link w:val="7"/>
    <w:semiHidden/>
    <w:qFormat/>
    <w:uiPriority w:val="99"/>
    <w:rPr>
      <w:rFonts w:asciiTheme="minorHAnsi" w:hAnsiTheme="minorHAnsi" w:eastAsiaTheme="minorEastAsia" w:cstheme="minorBidi"/>
      <w:kern w:val="2"/>
      <w:sz w:val="21"/>
      <w:szCs w:val="22"/>
    </w:rPr>
  </w:style>
  <w:style w:type="character" w:customStyle="1" w:styleId="29">
    <w:name w:val="批注主题 字符"/>
    <w:basedOn w:val="28"/>
    <w:link w:val="13"/>
    <w:semiHidden/>
    <w:qFormat/>
    <w:uiPriority w:val="99"/>
    <w:rPr>
      <w:rFonts w:asciiTheme="minorHAnsi" w:hAnsiTheme="minorHAnsi" w:eastAsiaTheme="minorEastAsia" w:cstheme="minorBidi"/>
      <w:b/>
      <w:bCs/>
      <w:kern w:val="2"/>
      <w:sz w:val="21"/>
      <w:szCs w:val="22"/>
    </w:rPr>
  </w:style>
  <w:style w:type="character" w:customStyle="1" w:styleId="30">
    <w:name w:val="正文文本 字符"/>
    <w:basedOn w:val="16"/>
    <w:link w:val="4"/>
    <w:semiHidden/>
    <w:qFormat/>
    <w:uiPriority w:val="99"/>
    <w:rPr>
      <w:rFonts w:ascii="Noto Sans CJK JP Regular" w:hAnsi="Noto Sans CJK JP Regular" w:eastAsia="Noto Sans CJK JP Regular" w:cs="Noto Sans CJK JP Regular"/>
      <w:sz w:val="24"/>
      <w:szCs w:val="22"/>
      <w:lang w:eastAsia="en-US"/>
    </w:rPr>
  </w:style>
  <w:style w:type="paragraph" w:customStyle="1" w:styleId="31">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2">
    <w:name w:val="批注框文本 字符"/>
    <w:basedOn w:val="16"/>
    <w:link w:val="8"/>
    <w:semiHidden/>
    <w:qFormat/>
    <w:uiPriority w:val="99"/>
    <w:rPr>
      <w:rFonts w:asciiTheme="minorHAnsi" w:hAnsiTheme="minorHAnsi" w:eastAsiaTheme="minorEastAsia" w:cstheme="minorBidi"/>
      <w:kern w:val="2"/>
      <w:sz w:val="18"/>
      <w:szCs w:val="18"/>
    </w:rPr>
  </w:style>
  <w:style w:type="paragraph" w:customStyle="1" w:styleId="33">
    <w:name w:val="小节"/>
    <w:basedOn w:val="1"/>
    <w:qFormat/>
    <w:uiPriority w:val="0"/>
    <w:pPr>
      <w:numPr>
        <w:ilvl w:val="2"/>
        <w:numId w:val="2"/>
      </w:numPr>
      <w:adjustRightInd w:val="0"/>
      <w:snapToGrid w:val="0"/>
      <w:spacing w:beforeLines="50"/>
    </w:pPr>
    <w:rPr>
      <w:rFonts w:ascii="宋体" w:hAnsi="宋体"/>
      <w:b/>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C50FFD-40EA-4064-BAE8-1FFBBDC704B8}">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2314</Words>
  <Characters>2728</Characters>
  <Lines>20</Lines>
  <Paragraphs>5</Paragraphs>
  <TotalTime>11</TotalTime>
  <ScaleCrop>false</ScaleCrop>
  <LinksUpToDate>false</LinksUpToDate>
  <CharactersWithSpaces>2764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2021-10-20T07:41:00Z</dcterms:created>
  <dc:creator>zc wu</dc:creator>
  <cp:lastModifiedBy>罗铭斯</cp:lastModifiedBy>
  <dcterms:modified xsi:type="dcterms:W3CDTF">2025-10-15T01:32:48Z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7AF2E90E736649AAB69192FDB18290EB_13</vt:lpwstr>
  </property>
  <property fmtid="{D5CDD505-2E9C-101B-9397-08002B2CF9AE}" pid="4" name="KSOTemplateDocerSaveRecord">
    <vt:lpwstr>eyJoZGlkIjoiN2Y5YTU0YjcwZTQyNmM2NDVkOWQ2OTIwYWU1OWE4YTQiLCJ1c2VySWQiOiIxNTg0NTIwOTQ3In0=</vt:lpwstr>
  </property>
</Properties>
</file>