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1AB337">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竞争性磋商文件</w:t>
      </w:r>
    </w:p>
    <w:p w14:paraId="185A0B6A">
      <w:pPr>
        <w:spacing w:line="56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u w:val="single"/>
        </w:rPr>
        <w:t>东莞市东实旗云投资有限公司</w:t>
      </w:r>
      <w:r>
        <w:rPr>
          <w:rFonts w:hint="eastAsia" w:eastAsia="仿宋_GB2312"/>
          <w:color w:val="auto"/>
          <w:sz w:val="32"/>
          <w:szCs w:val="32"/>
          <w:highlight w:val="none"/>
        </w:rPr>
        <w:t>需采购一家</w:t>
      </w:r>
      <w:r>
        <w:rPr>
          <w:rFonts w:hint="eastAsia" w:eastAsia="仿宋_GB2312"/>
          <w:color w:val="auto"/>
          <w:sz w:val="32"/>
          <w:szCs w:val="32"/>
          <w:highlight w:val="none"/>
          <w:u w:val="single"/>
        </w:rPr>
        <w:t>审计服务</w:t>
      </w:r>
      <w:r>
        <w:rPr>
          <w:rFonts w:hint="eastAsia" w:eastAsia="仿宋_GB2312"/>
          <w:color w:val="auto"/>
          <w:sz w:val="32"/>
          <w:szCs w:val="32"/>
          <w:highlight w:val="none"/>
        </w:rPr>
        <w:t>单位，现将相关情况介绍如下：</w:t>
      </w:r>
    </w:p>
    <w:p w14:paraId="5174B175">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04C8A814">
      <w:pPr>
        <w:adjustRightInd w:val="0"/>
        <w:snapToGrid w:val="0"/>
        <w:spacing w:line="56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bookmarkStart w:id="0" w:name="OLE_LINK1"/>
      <w:bookmarkStart w:id="1" w:name="OLE_LINK2"/>
      <w:r>
        <w:rPr>
          <w:rFonts w:hint="eastAsia" w:eastAsia="仿宋_GB2312"/>
          <w:color w:val="auto"/>
          <w:sz w:val="32"/>
          <w:szCs w:val="32"/>
          <w:highlight w:val="none"/>
          <w:u w:val="single"/>
        </w:rPr>
        <w:t>2025WR005地块购地资金来源审计服务</w:t>
      </w:r>
      <w:bookmarkEnd w:id="0"/>
      <w:bookmarkEnd w:id="1"/>
      <w:r>
        <w:rPr>
          <w:rFonts w:hint="eastAsia" w:eastAsia="仿宋_GB2312"/>
          <w:color w:val="auto"/>
          <w:sz w:val="32"/>
          <w:szCs w:val="32"/>
          <w:highlight w:val="none"/>
          <w:u w:val="single"/>
        </w:rPr>
        <w:t>；</w:t>
      </w:r>
    </w:p>
    <w:p w14:paraId="20E4C130">
      <w:pPr>
        <w:adjustRightInd w:val="0"/>
        <w:snapToGrid w:val="0"/>
        <w:spacing w:line="56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rPr>
        <w:t>为2025WR005地块招拍挂工作出具资金审计报告，报告内容包括但不限于</w:t>
      </w:r>
      <w:r>
        <w:rPr>
          <w:rFonts w:hint="eastAsia" w:eastAsia="仿宋_GB2312"/>
          <w:color w:val="auto"/>
          <w:sz w:val="32"/>
          <w:szCs w:val="32"/>
          <w:highlight w:val="none"/>
          <w:u w:val="single"/>
          <w:lang w:val="en-US" w:eastAsia="zh-CN"/>
        </w:rPr>
        <w:t>被审计单位</w:t>
      </w:r>
      <w:r>
        <w:rPr>
          <w:rFonts w:hint="eastAsia" w:eastAsia="仿宋_GB2312"/>
          <w:color w:val="auto"/>
          <w:sz w:val="32"/>
          <w:szCs w:val="32"/>
          <w:highlight w:val="none"/>
          <w:u w:val="single"/>
        </w:rPr>
        <w:t>基本情况（包括控股股东、资金最终关联方基本情况），承诺并实际核查甲方按照市自然资源局的要求提交的《土地购置资金来源情况申报表》及附件证明材料，穿透核查</w:t>
      </w:r>
      <w:r>
        <w:rPr>
          <w:rFonts w:hint="eastAsia" w:eastAsia="仿宋_GB2312"/>
          <w:color w:val="auto"/>
          <w:sz w:val="32"/>
          <w:szCs w:val="32"/>
          <w:highlight w:val="none"/>
          <w:u w:val="single"/>
          <w:lang w:val="en-US" w:eastAsia="zh-CN"/>
        </w:rPr>
        <w:t>被审计单位</w:t>
      </w:r>
      <w:r>
        <w:rPr>
          <w:rFonts w:hint="eastAsia" w:eastAsia="仿宋_GB2312"/>
          <w:color w:val="auto"/>
          <w:sz w:val="32"/>
          <w:szCs w:val="32"/>
          <w:highlight w:val="none"/>
          <w:u w:val="single"/>
        </w:rPr>
        <w:t>及控股股东、资金最终关联方的资金来源（明确说明</w:t>
      </w:r>
      <w:r>
        <w:rPr>
          <w:rFonts w:hint="eastAsia" w:eastAsia="仿宋_GB2312"/>
          <w:color w:val="auto"/>
          <w:sz w:val="32"/>
          <w:szCs w:val="32"/>
          <w:highlight w:val="none"/>
          <w:u w:val="single"/>
          <w:lang w:val="en-US" w:eastAsia="zh-CN"/>
        </w:rPr>
        <w:t>被审计单位</w:t>
      </w:r>
      <w:r>
        <w:rPr>
          <w:rFonts w:hint="eastAsia" w:eastAsia="仿宋_GB2312"/>
          <w:color w:val="auto"/>
          <w:sz w:val="32"/>
          <w:szCs w:val="32"/>
          <w:highlight w:val="none"/>
          <w:u w:val="single"/>
        </w:rPr>
        <w:t>的实际资金来源），针对“竞买企业股东是否违规对其提供借款、转贷、担保或其他相关融资便利等，购地资金是否直接或间接使用金融机构各类融资资金，购地资金是否使用房地产产业链上下游关联企业借款或预付款，购地资金是否使用其他自然人、法人、非法人组织的借款，购地资金是否使用参与竞买企业控制的非房地产企业融资等”作出结论；</w:t>
      </w:r>
    </w:p>
    <w:p w14:paraId="02D41194">
      <w:pPr>
        <w:adjustRightInd w:val="0"/>
        <w:snapToGrid w:val="0"/>
        <w:spacing w:line="56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东莞市；</w:t>
      </w:r>
    </w:p>
    <w:p w14:paraId="4FE8E078">
      <w:pPr>
        <w:adjustRightInd w:val="0"/>
        <w:snapToGrid w:val="0"/>
        <w:spacing w:line="560" w:lineRule="exact"/>
        <w:ind w:firstLine="640" w:firstLineChars="200"/>
        <w:outlineLvl w:val="1"/>
        <w:rPr>
          <w:rFonts w:hint="eastAsia" w:ascii="Times New Roman" w:hAnsi="Times New Roman" w:eastAsia="仿宋_GB2312" w:cs="Times New Roman"/>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r>
        <w:rPr>
          <w:rFonts w:hint="eastAsia" w:ascii="Times New Roman" w:hAnsi="Times New Roman" w:eastAsia="仿宋_GB2312" w:cs="Times New Roman"/>
          <w:color w:val="auto"/>
          <w:sz w:val="32"/>
          <w:szCs w:val="32"/>
          <w:highlight w:val="none"/>
        </w:rPr>
        <w:t>应于被审计单位提供审计所需的全部资料后三个工作日之内完成审计工作，出具资金审计报告初稿，最终竟得地块后出具正式报告。</w:t>
      </w:r>
    </w:p>
    <w:p w14:paraId="298C8CA7">
      <w:pPr>
        <w:adjustRightInd w:val="0"/>
        <w:snapToGrid w:val="0"/>
        <w:spacing w:line="560" w:lineRule="exact"/>
        <w:ind w:firstLine="640" w:firstLineChars="200"/>
        <w:rPr>
          <w:rFonts w:eastAsia="仿宋_GB2312"/>
          <w:color w:val="auto"/>
          <w:sz w:val="32"/>
          <w:szCs w:val="32"/>
          <w:highlight w:val="none"/>
          <w:u w:val="single"/>
        </w:rPr>
      </w:pPr>
    </w:p>
    <w:p w14:paraId="4B315127">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3E032E85">
      <w:pPr>
        <w:adjustRightInd w:val="0"/>
        <w:snapToGrid w:val="0"/>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1B1C66A1">
      <w:pPr>
        <w:adjustRightInd w:val="0"/>
        <w:snapToGrid w:val="0"/>
        <w:spacing w:line="56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2B99FED0">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1、响应人必须是具有独立承担民事责任能力的企业或事业单位法人或其它组织。【提供《营业执照》复印件（加盖公章）或《事业单位法人证书》复印件（加盖公章）或其他主体证书复印件（加盖公章）】。</w:t>
      </w:r>
    </w:p>
    <w:p w14:paraId="4DD1409D">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2、响应人须具有财政部门颁发的</w:t>
      </w:r>
      <w:r>
        <w:rPr>
          <w:rFonts w:hint="eastAsia" w:ascii="仿宋" w:hAnsi="仿宋" w:eastAsia="仿宋"/>
          <w:color w:val="auto"/>
          <w:sz w:val="32"/>
          <w:szCs w:val="32"/>
          <w:highlight w:val="none"/>
          <w:u w:val="single"/>
        </w:rPr>
        <w:t>会计师事务所执业证书</w:t>
      </w:r>
      <w:r>
        <w:rPr>
          <w:rFonts w:hint="eastAsia" w:ascii="仿宋" w:hAnsi="仿宋" w:eastAsia="仿宋"/>
          <w:color w:val="auto"/>
          <w:sz w:val="32"/>
          <w:szCs w:val="32"/>
          <w:highlight w:val="none"/>
        </w:rPr>
        <w:t>。【须提供证书复印件，证书须在有效期内】。</w:t>
      </w:r>
    </w:p>
    <w:p w14:paraId="159A1B2C">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3、业绩要求：具备  </w:t>
      </w:r>
      <w:r>
        <w:rPr>
          <w:rFonts w:hint="default" w:ascii="仿宋" w:hAnsi="仿宋" w:eastAsia="仿宋"/>
          <w:color w:val="auto"/>
          <w:sz w:val="32"/>
          <w:szCs w:val="32"/>
          <w:highlight w:val="none"/>
          <w:lang w:val="en-US" w:eastAsia="zh-CN"/>
        </w:rPr>
        <w:t>/</w:t>
      </w:r>
      <w:r>
        <w:rPr>
          <w:rFonts w:hint="eastAsia" w:ascii="仿宋" w:hAnsi="仿宋" w:eastAsia="仿宋"/>
          <w:color w:val="auto"/>
          <w:sz w:val="32"/>
          <w:szCs w:val="32"/>
          <w:highlight w:val="none"/>
        </w:rPr>
        <w:t xml:space="preserve"> 项目经验，要求</w:t>
      </w:r>
      <w:r>
        <w:rPr>
          <w:rFonts w:hint="eastAsia"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hint="eastAsia"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 xml:space="preserve">年 </w:t>
      </w:r>
      <w:r>
        <w:rPr>
          <w:rFonts w:hint="eastAsia"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hint="eastAsia"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 xml:space="preserve">月 </w:t>
      </w:r>
      <w:r>
        <w:rPr>
          <w:rFonts w:hint="default" w:ascii="仿宋" w:hAnsi="仿宋" w:eastAsia="仿宋"/>
          <w:color w:val="auto"/>
          <w:sz w:val="32"/>
          <w:szCs w:val="32"/>
          <w:highlight w:val="none"/>
          <w:u w:val="single"/>
          <w:lang w:val="en-US"/>
        </w:rPr>
        <w:t>/</w:t>
      </w:r>
      <w:r>
        <w:rPr>
          <w:rFonts w:hint="eastAsia"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 xml:space="preserve">日起至 </w:t>
      </w:r>
      <w:r>
        <w:rPr>
          <w:rFonts w:hint="default" w:ascii="仿宋" w:hAnsi="仿宋" w:eastAsia="仿宋"/>
          <w:color w:val="auto"/>
          <w:sz w:val="32"/>
          <w:szCs w:val="32"/>
          <w:highlight w:val="none"/>
          <w:u w:val="single"/>
          <w:lang w:val="en-US"/>
        </w:rPr>
        <w:t>/</w:t>
      </w:r>
      <w:r>
        <w:rPr>
          <w:rFonts w:hint="eastAsia" w:ascii="仿宋" w:hAnsi="仿宋" w:eastAsia="仿宋"/>
          <w:color w:val="auto"/>
          <w:sz w:val="32"/>
          <w:szCs w:val="32"/>
          <w:highlight w:val="none"/>
        </w:rPr>
        <w:t xml:space="preserve"> 年 </w:t>
      </w:r>
      <w:r>
        <w:rPr>
          <w:rFonts w:hint="default" w:ascii="仿宋" w:hAnsi="仿宋" w:eastAsia="仿宋"/>
          <w:color w:val="auto"/>
          <w:sz w:val="32"/>
          <w:szCs w:val="32"/>
          <w:highlight w:val="none"/>
          <w:u w:val="single"/>
          <w:lang w:val="en-US"/>
        </w:rPr>
        <w:t>/</w:t>
      </w:r>
      <w:r>
        <w:rPr>
          <w:rFonts w:hint="eastAsia" w:ascii="仿宋" w:hAnsi="仿宋" w:eastAsia="仿宋"/>
          <w:color w:val="auto"/>
          <w:sz w:val="32"/>
          <w:szCs w:val="32"/>
          <w:highlight w:val="none"/>
        </w:rPr>
        <w:t xml:space="preserve"> 月 </w:t>
      </w:r>
      <w:r>
        <w:rPr>
          <w:rFonts w:hint="default" w:ascii="仿宋" w:hAnsi="仿宋" w:eastAsia="仿宋"/>
          <w:color w:val="auto"/>
          <w:sz w:val="32"/>
          <w:szCs w:val="32"/>
          <w:highlight w:val="none"/>
          <w:u w:val="single"/>
          <w:lang w:val="en-US"/>
        </w:rPr>
        <w:t>/</w:t>
      </w:r>
      <w:r>
        <w:rPr>
          <w:rFonts w:hint="eastAsia"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日，完成至少1个</w:t>
      </w:r>
      <w:r>
        <w:rPr>
          <w:rFonts w:hint="default" w:ascii="仿宋" w:hAnsi="仿宋" w:eastAsia="仿宋"/>
          <w:color w:val="auto"/>
          <w:sz w:val="32"/>
          <w:szCs w:val="32"/>
          <w:highlight w:val="none"/>
          <w:u w:val="single"/>
          <w:lang w:val="en-US"/>
        </w:rPr>
        <w:t xml:space="preserve">  /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7793230C">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4、人员要求：响应人拟派项目负责人须具备</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rPr>
        <w:t>。响应人拟派项目专职人员须</w:t>
      </w:r>
      <w:r>
        <w:rPr>
          <w:rFonts w:hint="eastAsia" w:ascii="仿宋" w:hAnsi="仿宋" w:eastAsia="仿宋"/>
          <w:color w:val="auto"/>
          <w:sz w:val="32"/>
          <w:szCs w:val="32"/>
          <w:highlight w:val="none"/>
          <w:u w:val="single"/>
        </w:rPr>
        <w:t xml:space="preserve">  / </w:t>
      </w:r>
      <w:r>
        <w:rPr>
          <w:rFonts w:hint="eastAsia" w:ascii="仿宋" w:hAnsi="仿宋" w:eastAsia="仿宋"/>
          <w:color w:val="auto"/>
          <w:sz w:val="32"/>
          <w:szCs w:val="32"/>
          <w:highlight w:val="none"/>
        </w:rPr>
        <w:t xml:space="preserve">。【提供 </w:t>
      </w:r>
      <w:r>
        <w:rPr>
          <w:rFonts w:hint="eastAsia" w:ascii="仿宋" w:hAnsi="仿宋" w:eastAsia="仿宋"/>
          <w:color w:val="auto"/>
          <w:sz w:val="32"/>
          <w:szCs w:val="32"/>
          <w:highlight w:val="none"/>
          <w:lang w:val="en-US" w:eastAsia="zh-CN"/>
        </w:rPr>
        <w:t>职称</w:t>
      </w:r>
      <w:r>
        <w:rPr>
          <w:rFonts w:hint="eastAsia" w:ascii="仿宋" w:hAnsi="仿宋" w:eastAsia="仿宋"/>
          <w:color w:val="auto"/>
          <w:sz w:val="32"/>
          <w:szCs w:val="32"/>
          <w:highlight w:val="none"/>
        </w:rPr>
        <w:t xml:space="preserve">  证书复印件（加盖公章）】</w:t>
      </w:r>
    </w:p>
    <w:p w14:paraId="71109542">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5</w:t>
      </w:r>
      <w:r>
        <w:rPr>
          <w:rFonts w:hint="eastAsia" w:ascii="仿宋" w:hAnsi="仿宋" w:eastAsia="仿宋"/>
          <w:color w:val="auto"/>
          <w:sz w:val="32"/>
          <w:szCs w:val="32"/>
          <w:highlight w:val="none"/>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32BB208F">
      <w:pPr>
        <w:adjustRightInd w:val="0"/>
        <w:snapToGrid w:val="0"/>
        <w:spacing w:line="560" w:lineRule="exact"/>
        <w:ind w:firstLine="640" w:firstLineChars="200"/>
        <w:outlineLvl w:val="9"/>
        <w:rPr>
          <w:rFonts w:eastAsia="黑体"/>
          <w:color w:val="auto"/>
          <w:sz w:val="32"/>
          <w:szCs w:val="32"/>
          <w:highlight w:val="none"/>
        </w:rPr>
      </w:pPr>
      <w:r>
        <w:rPr>
          <w:rFonts w:hint="eastAsia" w:eastAsia="黑体"/>
          <w:color w:val="auto"/>
          <w:sz w:val="32"/>
          <w:szCs w:val="32"/>
          <w:highlight w:val="none"/>
        </w:rPr>
        <w:t>四、采购内容及要求</w:t>
      </w:r>
    </w:p>
    <w:p w14:paraId="6B730985">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具体要求详见本磋商文件《用户需求书》</w:t>
      </w:r>
      <w:r>
        <w:rPr>
          <w:rFonts w:hint="eastAsia" w:eastAsia="仿宋_GB2312"/>
          <w:color w:val="auto"/>
          <w:sz w:val="32"/>
          <w:szCs w:val="32"/>
          <w:highlight w:val="none"/>
        </w:rPr>
        <w:t>。响应人须仔细阅读本用户需求书，因未详细了解本用户需求书造成报价项目遗漏，由响应人自行负责。</w:t>
      </w:r>
    </w:p>
    <w:p w14:paraId="37412EB9">
      <w:pPr>
        <w:adjustRightInd w:val="0"/>
        <w:snapToGrid w:val="0"/>
        <w:spacing w:line="560" w:lineRule="exact"/>
        <w:ind w:firstLine="640" w:firstLineChars="200"/>
        <w:outlineLvl w:val="1"/>
        <w:rPr>
          <w:rFonts w:hint="eastAsia" w:eastAsia="黑体"/>
          <w:color w:val="auto"/>
          <w:sz w:val="32"/>
          <w:szCs w:val="32"/>
          <w:highlight w:val="none"/>
        </w:rPr>
      </w:pPr>
      <w:r>
        <w:rPr>
          <w:rFonts w:hint="eastAsia" w:eastAsia="黑体"/>
          <w:color w:val="auto"/>
          <w:sz w:val="32"/>
          <w:szCs w:val="32"/>
          <w:highlight w:val="none"/>
        </w:rPr>
        <w:t>五、完成时间</w:t>
      </w:r>
    </w:p>
    <w:p w14:paraId="46FDCBF2">
      <w:pPr>
        <w:keepNext w:val="0"/>
        <w:keepLines w:val="0"/>
        <w:pageBreakBefore w:val="0"/>
        <w:kinsoku/>
        <w:wordWrap/>
        <w:overflowPunct/>
        <w:topLinePunct w:val="0"/>
        <w:autoSpaceDE/>
        <w:autoSpaceDN/>
        <w:bidi w:val="0"/>
        <w:spacing w:line="276" w:lineRule="auto"/>
        <w:ind w:firstLine="640" w:firstLineChars="200"/>
        <w:textAlignment w:val="auto"/>
        <w:rPr>
          <w:rFonts w:eastAsia="仿宋_GB2312"/>
          <w:sz w:val="32"/>
          <w:szCs w:val="32"/>
          <w:highlight w:val="none"/>
        </w:rPr>
      </w:pPr>
      <w:bookmarkStart w:id="2" w:name="_Hlk38897553"/>
      <w:r>
        <w:rPr>
          <w:rFonts w:hint="eastAsia" w:eastAsia="仿宋_GB2312"/>
          <w:sz w:val="32"/>
          <w:szCs w:val="32"/>
          <w:highlight w:val="none"/>
          <w:u w:val="single"/>
        </w:rPr>
        <w:t>详见</w:t>
      </w:r>
      <w:r>
        <w:rPr>
          <w:rFonts w:hint="eastAsia" w:eastAsia="仿宋_GB2312"/>
          <w:sz w:val="32"/>
          <w:szCs w:val="32"/>
          <w:highlight w:val="none"/>
          <w:u w:val="single"/>
          <w:lang w:val="en-US" w:eastAsia="zh-CN"/>
        </w:rPr>
        <w:t>磋商文件</w:t>
      </w:r>
      <w:r>
        <w:rPr>
          <w:rFonts w:hint="eastAsia" w:eastAsia="仿宋_GB2312"/>
          <w:sz w:val="32"/>
          <w:szCs w:val="32"/>
          <w:highlight w:val="none"/>
          <w:u w:val="single"/>
          <w:lang w:eastAsia="zh-CN"/>
        </w:rPr>
        <w:t>第三部分《</w:t>
      </w:r>
      <w:r>
        <w:rPr>
          <w:rFonts w:hint="eastAsia" w:eastAsia="仿宋_GB2312"/>
          <w:sz w:val="32"/>
          <w:szCs w:val="32"/>
          <w:highlight w:val="none"/>
          <w:u w:val="single"/>
        </w:rPr>
        <w:t>合同文本</w:t>
      </w:r>
      <w:r>
        <w:rPr>
          <w:rFonts w:hint="eastAsia" w:eastAsia="仿宋_GB2312"/>
          <w:sz w:val="32"/>
          <w:szCs w:val="32"/>
          <w:highlight w:val="none"/>
          <w:u w:val="single"/>
          <w:lang w:eastAsia="zh-CN"/>
        </w:rPr>
        <w:t>》</w:t>
      </w:r>
      <w:r>
        <w:rPr>
          <w:rFonts w:hint="eastAsia" w:eastAsia="仿宋_GB2312"/>
          <w:sz w:val="32"/>
          <w:szCs w:val="32"/>
          <w:highlight w:val="none"/>
        </w:rPr>
        <w:t>。</w:t>
      </w:r>
      <w:bookmarkEnd w:id="2"/>
    </w:p>
    <w:p w14:paraId="52B2982B">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5A87F54C">
      <w:pPr>
        <w:adjustRightInd w:val="0"/>
        <w:snapToGrid w:val="0"/>
        <w:spacing w:line="560" w:lineRule="exact"/>
        <w:ind w:firstLine="640" w:firstLineChars="200"/>
        <w:outlineLvl w:val="1"/>
        <w:rPr>
          <w:rFonts w:ascii="Times New Roman" w:hAnsi="Times New Roman" w:eastAsia="仿宋_GB2312"/>
          <w:color w:val="auto"/>
          <w:sz w:val="32"/>
          <w:szCs w:val="32"/>
          <w:highlight w:val="none"/>
          <w:u w:val="single"/>
        </w:rPr>
      </w:pPr>
      <w:r>
        <w:rPr>
          <w:rFonts w:hint="eastAsia" w:ascii="Times New Roman" w:hAnsi="Times New Roman" w:eastAsia="仿宋_GB2312"/>
          <w:color w:val="auto"/>
          <w:sz w:val="32"/>
          <w:szCs w:val="32"/>
          <w:highlight w:val="none"/>
          <w:u w:val="single"/>
        </w:rPr>
        <w:t>甲方应于乙方出具正式《资金审计报告》、完成</w:t>
      </w:r>
      <w:r>
        <w:rPr>
          <w:rFonts w:hint="eastAsia" w:ascii="Times New Roman" w:hAnsi="Times New Roman" w:eastAsia="仿宋_GB2312"/>
          <w:bCs w:val="0"/>
          <w:color w:val="auto"/>
          <w:sz w:val="32"/>
          <w:szCs w:val="32"/>
          <w:highlight w:val="none"/>
          <w:u w:val="single"/>
        </w:rPr>
        <w:t>《土地购置资金来源情况申报表》审查单位签章，且收到等额增值</w:t>
      </w:r>
      <w:r>
        <w:rPr>
          <w:rFonts w:hint="eastAsia" w:ascii="Times New Roman" w:hAnsi="Times New Roman" w:eastAsia="仿宋_GB2312"/>
          <w:color w:val="auto"/>
          <w:sz w:val="32"/>
          <w:szCs w:val="32"/>
          <w:highlight w:val="none"/>
          <w:u w:val="single"/>
        </w:rPr>
        <w:t>税专用发票后十个工作日内支付</w:t>
      </w:r>
      <w:r>
        <w:rPr>
          <w:rFonts w:ascii="Times New Roman" w:hAnsi="Times New Roman" w:eastAsia="仿宋_GB2312"/>
          <w:color w:val="auto"/>
          <w:sz w:val="32"/>
          <w:szCs w:val="32"/>
          <w:highlight w:val="none"/>
          <w:u w:val="single"/>
        </w:rPr>
        <w:t>100%的审计费用。</w:t>
      </w:r>
    </w:p>
    <w:p w14:paraId="7E8059DD">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D04707E">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42000.00 </w:t>
      </w:r>
      <w:r>
        <w:rPr>
          <w:rFonts w:hint="eastAsia" w:eastAsia="仿宋_GB2312"/>
          <w:color w:val="auto"/>
          <w:sz w:val="32"/>
          <w:szCs w:val="32"/>
          <w:highlight w:val="none"/>
        </w:rPr>
        <w:t>元（含税）。</w:t>
      </w:r>
    </w:p>
    <w:p w14:paraId="4E5C5954">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14:paraId="47DBD743">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八、评标、定标</w:t>
      </w:r>
    </w:p>
    <w:p w14:paraId="57DE06D2">
      <w:pPr>
        <w:spacing w:line="56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1、开标：采购人代表主持，各响应人现场参与（磋商小组回避）。</w:t>
      </w:r>
    </w:p>
    <w:p w14:paraId="2AC5BC98">
      <w:pPr>
        <w:spacing w:line="560" w:lineRule="exact"/>
        <w:ind w:firstLine="640" w:firstLineChars="200"/>
        <w:rPr>
          <w:rFonts w:eastAsia="仿宋_GB2312"/>
          <w:sz w:val="32"/>
          <w:szCs w:val="32"/>
          <w:highlight w:val="none"/>
          <w:u w:val="single"/>
        </w:rPr>
      </w:pPr>
      <w:r>
        <w:rPr>
          <w:rFonts w:hint="eastAsia" w:eastAsia="仿宋_GB2312"/>
          <w:sz w:val="32"/>
          <w:szCs w:val="32"/>
          <w:highlight w:val="none"/>
          <w:u w:val="single"/>
        </w:rPr>
        <w: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t>
      </w:r>
    </w:p>
    <w:p w14:paraId="02A33B4C">
      <w:pPr>
        <w:spacing w:line="560" w:lineRule="exact"/>
        <w:ind w:firstLine="640" w:firstLineChars="200"/>
        <w:rPr>
          <w:rFonts w:eastAsia="仿宋_GB2312"/>
          <w:sz w:val="32"/>
          <w:szCs w:val="32"/>
          <w:highlight w:val="none"/>
          <w:u w:val="single"/>
        </w:rPr>
      </w:pPr>
      <w:r>
        <w:rPr>
          <w:rFonts w:hint="eastAsia" w:eastAsia="仿宋_GB2312"/>
          <w:sz w:val="32"/>
          <w:szCs w:val="32"/>
          <w:highlight w:val="none"/>
          <w:u w:val="single"/>
        </w:rPr>
        <w: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t>
      </w:r>
    </w:p>
    <w:p w14:paraId="4E65A7E7">
      <w:pPr>
        <w:spacing w:line="560" w:lineRule="exact"/>
        <w:ind w:firstLine="640" w:firstLineChars="200"/>
        <w:rPr>
          <w:rFonts w:eastAsia="仿宋_GB2312"/>
          <w:sz w:val="32"/>
          <w:szCs w:val="32"/>
          <w:highlight w:val="none"/>
          <w:u w:val="single"/>
        </w:rPr>
      </w:pPr>
      <w:r>
        <w:rPr>
          <w:rFonts w:hint="eastAsia" w:eastAsia="仿宋_GB2312"/>
          <w:sz w:val="32"/>
          <w:szCs w:val="32"/>
          <w:highlight w:val="none"/>
          <w:u w:val="single"/>
        </w:rPr>
        <w:t>磋商完成后，招标采购工作小组将相关磋商情况按程序审批并确定成交人。</w:t>
      </w:r>
    </w:p>
    <w:p w14:paraId="1F15D4D7">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2392ECD0">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合同签订的依据为磋商文件、响应文件及补充说明等。确定成交人后，成交人在</w:t>
      </w:r>
      <w:r>
        <w:rPr>
          <w:rFonts w:hint="eastAsia" w:eastAsia="仿宋_GB2312"/>
          <w:color w:val="auto"/>
          <w:sz w:val="32"/>
          <w:szCs w:val="32"/>
          <w:highlight w:val="none"/>
          <w:u w:val="single"/>
        </w:rPr>
        <w:t>3</w:t>
      </w:r>
      <w:r>
        <w:rPr>
          <w:rFonts w:eastAsia="仿宋_GB2312"/>
          <w:color w:val="auto"/>
          <w:sz w:val="32"/>
          <w:szCs w:val="32"/>
          <w:highlight w:val="none"/>
          <w:u w:val="single"/>
        </w:rPr>
        <w:t>0</w:t>
      </w:r>
      <w:r>
        <w:rPr>
          <w:rFonts w:hint="eastAsia" w:eastAsia="仿宋_GB2312"/>
          <w:color w:val="auto"/>
          <w:sz w:val="32"/>
          <w:szCs w:val="32"/>
          <w:highlight w:val="none"/>
        </w:rPr>
        <w:t>天内与采购人签订合同。</w:t>
      </w:r>
    </w:p>
    <w:p w14:paraId="56939D96">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成交人收款前需向采购人提供请款材料和开具合法有效等额的增值税专用发票，否则采购人有权拒绝付款。</w:t>
      </w:r>
    </w:p>
    <w:p w14:paraId="78115BE8">
      <w:pPr>
        <w:adjustRightInd w:val="0"/>
        <w:snapToGrid w:val="0"/>
        <w:spacing w:line="56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0BDA224C">
      <w:pPr>
        <w:keepNext w:val="0"/>
        <w:keepLines w:val="0"/>
        <w:pageBreakBefore w:val="0"/>
        <w:numPr>
          <w:ilvl w:val="0"/>
          <w:numId w:val="3"/>
        </w:numPr>
        <w:kinsoku/>
        <w:wordWrap/>
        <w:overflowPunct/>
        <w:topLinePunct w:val="0"/>
        <w:autoSpaceDE/>
        <w:autoSpaceDN/>
        <w:bidi w:val="0"/>
        <w:spacing w:line="276" w:lineRule="auto"/>
        <w:ind w:firstLine="640" w:firstLineChars="200"/>
        <w:textAlignment w:val="auto"/>
        <w:rPr>
          <w:rFonts w:eastAsia="仿宋_GB2312"/>
          <w:sz w:val="32"/>
          <w:szCs w:val="32"/>
          <w:highlight w:val="none"/>
        </w:rPr>
      </w:pPr>
      <w:r>
        <w:rPr>
          <w:rFonts w:hint="eastAsia" w:eastAsia="仿宋_GB2312"/>
          <w:sz w:val="32"/>
          <w:szCs w:val="32"/>
          <w:highlight w:val="none"/>
          <w:lang w:eastAsia="zh-CN"/>
        </w:rPr>
        <w:t>价格部分（</w:t>
      </w:r>
      <w:r>
        <w:rPr>
          <w:rFonts w:hint="eastAsia" w:eastAsia="仿宋_GB2312"/>
          <w:sz w:val="32"/>
          <w:szCs w:val="32"/>
          <w:highlight w:val="none"/>
        </w:rPr>
        <w:t>报价函（模板）</w:t>
      </w:r>
      <w:r>
        <w:rPr>
          <w:rFonts w:hint="eastAsia" w:eastAsia="仿宋_GB2312"/>
          <w:sz w:val="32"/>
          <w:szCs w:val="32"/>
          <w:highlight w:val="none"/>
          <w:lang w:eastAsia="zh-CN"/>
        </w:rPr>
        <w:t>）</w:t>
      </w:r>
      <w:r>
        <w:rPr>
          <w:rFonts w:hint="eastAsia" w:eastAsia="仿宋_GB2312"/>
          <w:sz w:val="32"/>
          <w:szCs w:val="32"/>
          <w:highlight w:val="none"/>
        </w:rPr>
        <w:t>；</w:t>
      </w:r>
    </w:p>
    <w:p w14:paraId="098FB9C5">
      <w:pPr>
        <w:numPr>
          <w:ilvl w:val="0"/>
          <w:numId w:val="3"/>
        </w:numPr>
        <w:spacing w:line="312" w:lineRule="auto"/>
        <w:ind w:firstLine="640" w:firstLineChars="200"/>
        <w:rPr>
          <w:rFonts w:eastAsia="仿宋_GB2312"/>
          <w:color w:val="auto"/>
          <w:sz w:val="32"/>
          <w:szCs w:val="32"/>
          <w:highlight w:val="none"/>
        </w:rPr>
      </w:pPr>
      <w:r>
        <w:rPr>
          <w:rFonts w:hint="eastAsia" w:eastAsia="仿宋_GB2312"/>
          <w:color w:val="auto"/>
          <w:sz w:val="32"/>
          <w:szCs w:val="32"/>
          <w:highlight w:val="none"/>
        </w:rPr>
        <w:t>商务部分（相关要求详见第二部分评分标准要求）；</w:t>
      </w:r>
    </w:p>
    <w:p w14:paraId="69D66247">
      <w:pPr>
        <w:numPr>
          <w:ilvl w:val="0"/>
          <w:numId w:val="3"/>
        </w:numPr>
        <w:spacing w:line="312"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技术部分（相关要求详见第二部分评分标准要求）；</w:t>
      </w:r>
    </w:p>
    <w:p w14:paraId="608521F8">
      <w:pPr>
        <w:numPr>
          <w:ilvl w:val="0"/>
          <w:numId w:val="3"/>
        </w:numPr>
        <w:spacing w:line="312"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法人证明（模板）以及法人身份证复印件；</w:t>
      </w:r>
    </w:p>
    <w:p w14:paraId="6E7521AD">
      <w:pPr>
        <w:spacing w:line="312" w:lineRule="auto"/>
        <w:ind w:firstLine="640" w:firstLineChars="200"/>
        <w:rPr>
          <w:rFonts w:eastAsia="仿宋_GB2312"/>
          <w:color w:val="auto"/>
          <w:sz w:val="32"/>
          <w:szCs w:val="32"/>
          <w:highlight w:val="none"/>
        </w:rPr>
      </w:pPr>
      <w:r>
        <w:rPr>
          <w:rFonts w:hint="eastAsia" w:eastAsia="仿宋_GB2312"/>
          <w:color w:val="auto"/>
          <w:sz w:val="32"/>
          <w:szCs w:val="32"/>
          <w:highlight w:val="none"/>
        </w:rPr>
        <w:t>5、法人授权书（模板）及被委托人身份证复印件；</w:t>
      </w:r>
    </w:p>
    <w:p w14:paraId="1E99C9FC">
      <w:pPr>
        <w:spacing w:line="312" w:lineRule="auto"/>
        <w:ind w:firstLine="640" w:firstLineChars="200"/>
        <w:rPr>
          <w:rFonts w:eastAsia="仿宋_GB2312"/>
          <w:color w:val="auto"/>
          <w:sz w:val="32"/>
          <w:szCs w:val="32"/>
          <w:highlight w:val="none"/>
        </w:rPr>
      </w:pPr>
      <w:r>
        <w:rPr>
          <w:rFonts w:hint="eastAsia" w:eastAsia="仿宋_GB2312"/>
          <w:color w:val="auto"/>
          <w:sz w:val="32"/>
          <w:szCs w:val="32"/>
          <w:highlight w:val="none"/>
        </w:rPr>
        <w:t>6、承诺函（模板）；</w:t>
      </w:r>
    </w:p>
    <w:p w14:paraId="0CE67DD3">
      <w:pPr>
        <w:spacing w:line="312" w:lineRule="auto"/>
        <w:ind w:firstLine="640" w:firstLineChars="200"/>
        <w:rPr>
          <w:rFonts w:eastAsia="仿宋_GB2312"/>
          <w:color w:val="auto"/>
          <w:sz w:val="32"/>
          <w:szCs w:val="32"/>
          <w:highlight w:val="none"/>
        </w:rPr>
      </w:pPr>
      <w:r>
        <w:rPr>
          <w:rFonts w:hint="eastAsia" w:eastAsia="仿宋_GB2312"/>
          <w:color w:val="auto"/>
          <w:sz w:val="32"/>
          <w:szCs w:val="32"/>
          <w:highlight w:val="none"/>
        </w:rPr>
        <w:t>7、响应人认为需要提供的其他资料。</w:t>
      </w:r>
    </w:p>
    <w:p w14:paraId="0175C0C0">
      <w:pPr>
        <w:spacing w:line="312" w:lineRule="auto"/>
        <w:ind w:firstLine="640" w:firstLineChars="200"/>
        <w:rPr>
          <w:rFonts w:hint="eastAsia" w:eastAsia="仿宋_GB2312"/>
          <w:b/>
          <w:bCs/>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响应人须严格按照采购人提供的表单格式报价，响应文件必须装订完整，于骑缝处加盖投标单位企业公章。装有响应文件的文件袋须贴有密封条，于骑缝处加盖企业公章。</w:t>
      </w:r>
      <w:r>
        <w:rPr>
          <w:rFonts w:hint="eastAsia" w:eastAsia="仿宋_GB2312"/>
          <w:b/>
          <w:bCs/>
          <w:color w:val="auto"/>
          <w:sz w:val="32"/>
          <w:szCs w:val="32"/>
          <w:highlight w:val="none"/>
        </w:rPr>
        <w:t>价格部分、商务部分、技术部分必须单独密封（按以上密封要求执行），否则按密封性不符合要求处理，采购人将拒绝接收响应文件。</w:t>
      </w:r>
    </w:p>
    <w:p w14:paraId="1D7048F7">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16D95C71">
      <w:pPr>
        <w:spacing w:line="276"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正本一份，并提供响应文件扫描件（盖章版）电子版（U盘）。</w:t>
      </w:r>
    </w:p>
    <w:p w14:paraId="2F34B093">
      <w:pPr>
        <w:spacing w:line="312" w:lineRule="auto"/>
        <w:ind w:firstLine="640" w:firstLineChars="200"/>
        <w:rPr>
          <w:rFonts w:eastAsia="黑体"/>
          <w:color w:val="auto"/>
          <w:sz w:val="32"/>
          <w:szCs w:val="32"/>
          <w:highlight w:val="none"/>
        </w:rPr>
      </w:pPr>
      <w:r>
        <w:rPr>
          <w:rFonts w:hint="eastAsia" w:eastAsia="黑体"/>
          <w:color w:val="auto"/>
          <w:sz w:val="32"/>
          <w:szCs w:val="32"/>
          <w:highlight w:val="none"/>
        </w:rPr>
        <w:t>十二、开标时间及地址</w:t>
      </w:r>
    </w:p>
    <w:p w14:paraId="1366D690">
      <w:pPr>
        <w:spacing w:line="56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25</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10</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28</w:t>
      </w:r>
      <w:r>
        <w:rPr>
          <w:rFonts w:hint="eastAsia" w:eastAsia="仿宋_GB2312"/>
          <w:b/>
          <w:color w:val="auto"/>
          <w:sz w:val="32"/>
          <w:szCs w:val="32"/>
          <w:highlight w:val="none"/>
        </w:rPr>
        <w:t>日（星期</w:t>
      </w:r>
      <w:r>
        <w:rPr>
          <w:rFonts w:hint="eastAsia" w:eastAsia="仿宋_GB2312"/>
          <w:b/>
          <w:color w:val="auto"/>
          <w:sz w:val="32"/>
          <w:szCs w:val="32"/>
          <w:highlight w:val="none"/>
          <w:u w:val="single"/>
          <w:lang w:val="en-US" w:eastAsia="zh-CN"/>
        </w:rPr>
        <w:t>二</w:t>
      </w:r>
      <w:r>
        <w:rPr>
          <w:rFonts w:hint="eastAsia" w:eastAsia="仿宋_GB2312"/>
          <w:b/>
          <w:color w:val="auto"/>
          <w:sz w:val="32"/>
          <w:szCs w:val="32"/>
          <w:highlight w:val="none"/>
        </w:rPr>
        <w:t>）</w:t>
      </w:r>
      <w:r>
        <w:rPr>
          <w:rFonts w:hint="eastAsia" w:eastAsia="仿宋_GB2312"/>
          <w:b/>
          <w:color w:val="auto"/>
          <w:sz w:val="32"/>
          <w:szCs w:val="32"/>
          <w:highlight w:val="none"/>
          <w:lang w:val="en-US" w:eastAsia="zh-CN"/>
        </w:rPr>
        <w:t>下</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15</w:t>
      </w:r>
      <w:r>
        <w:rPr>
          <w:rFonts w:hint="eastAsia" w:eastAsia="仿宋_GB2312"/>
          <w:b/>
          <w:color w:val="auto"/>
          <w:sz w:val="32"/>
          <w:szCs w:val="32"/>
          <w:highlight w:val="none"/>
          <w:u w:val="single"/>
        </w:rPr>
        <w:t>:00</w:t>
      </w:r>
      <w:r>
        <w:rPr>
          <w:rFonts w:hint="eastAsia" w:eastAsia="仿宋_GB2312"/>
          <w:b/>
          <w:color w:val="auto"/>
          <w:sz w:val="32"/>
          <w:szCs w:val="32"/>
          <w:highlight w:val="none"/>
        </w:rPr>
        <w:t>。</w:t>
      </w:r>
    </w:p>
    <w:p w14:paraId="6B422003">
      <w:pPr>
        <w:spacing w:line="56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hint="eastAsia" w:eastAsia="仿宋_GB2312"/>
          <w:b/>
          <w:color w:val="auto"/>
          <w:sz w:val="32"/>
          <w:szCs w:val="32"/>
          <w:highlight w:val="none"/>
          <w:u w:val="single"/>
        </w:rPr>
        <w:t>东莞市东城区八一路1号机关二号大院9号楼103室</w:t>
      </w:r>
    </w:p>
    <w:p w14:paraId="52EC003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rPr>
        <w:t>联系人：</w:t>
      </w:r>
      <w:r>
        <w:rPr>
          <w:rFonts w:hint="eastAsia" w:eastAsia="仿宋_GB2312"/>
          <w:color w:val="auto"/>
          <w:sz w:val="32"/>
          <w:szCs w:val="32"/>
          <w:highlight w:val="none"/>
          <w:u w:val="single"/>
        </w:rPr>
        <w:t xml:space="preserve">吴先生   </w:t>
      </w:r>
    </w:p>
    <w:p w14:paraId="42D0CF84">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rPr>
        <w:t>联系电话：</w:t>
      </w:r>
      <w:r>
        <w:rPr>
          <w:rFonts w:hint="eastAsia" w:eastAsia="仿宋_GB2312"/>
          <w:color w:val="auto"/>
          <w:sz w:val="32"/>
          <w:szCs w:val="32"/>
          <w:highlight w:val="none"/>
          <w:u w:val="single"/>
        </w:rPr>
        <w:t>18126818023</w:t>
      </w:r>
    </w:p>
    <w:p w14:paraId="6BDFF684">
      <w:pPr>
        <w:spacing w:line="600" w:lineRule="exact"/>
        <w:ind w:firstLine="640" w:firstLineChars="200"/>
        <w:rPr>
          <w:rFonts w:hint="eastAsia" w:eastAsia="仿宋_GB2312"/>
          <w:color w:val="auto"/>
          <w:sz w:val="32"/>
          <w:szCs w:val="32"/>
          <w:highlight w:val="none"/>
          <w:u w:val="single"/>
        </w:rPr>
      </w:pPr>
      <w:bookmarkStart w:id="22" w:name="_GoBack"/>
      <w:bookmarkEnd w:id="22"/>
    </w:p>
    <w:p w14:paraId="0A4A6F09">
      <w:pPr>
        <w:adjustRightInd w:val="0"/>
        <w:snapToGrid w:val="0"/>
        <w:spacing w:line="56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十三、注意事项</w:t>
      </w:r>
    </w:p>
    <w:p w14:paraId="6492680F">
      <w:pPr>
        <w:spacing w:line="560" w:lineRule="exact"/>
        <w:ind w:firstLine="640" w:firstLineChars="200"/>
        <w:rPr>
          <w:rFonts w:eastAsia="仿宋_GB2312"/>
          <w:color w:val="auto"/>
          <w:sz w:val="32"/>
          <w:szCs w:val="32"/>
          <w:highlight w:val="none"/>
        </w:rPr>
      </w:pPr>
      <w:bookmarkStart w:id="3"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FAF05B4">
      <w:pPr>
        <w:spacing w:line="56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587AA6B3">
      <w:pPr>
        <w:spacing w:line="56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3"/>
    </w:p>
    <w:p w14:paraId="745A18D6">
      <w:pPr>
        <w:widowControl/>
        <w:spacing w:line="56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3F77B497">
      <w:pPr>
        <w:widowControl/>
        <w:spacing w:line="600" w:lineRule="exact"/>
        <w:ind w:firstLine="640" w:firstLineChars="200"/>
        <w:jc w:val="left"/>
        <w:rPr>
          <w:rFonts w:eastAsia="仿宋_GB2312"/>
          <w:color w:val="auto"/>
          <w:sz w:val="32"/>
          <w:szCs w:val="32"/>
          <w:highlight w:val="none"/>
        </w:rPr>
      </w:pPr>
    </w:p>
    <w:p w14:paraId="6E57DF97">
      <w:pPr>
        <w:widowControl/>
        <w:spacing w:line="600" w:lineRule="exact"/>
        <w:jc w:val="left"/>
        <w:rPr>
          <w:rFonts w:eastAsia="仿宋_GB2312"/>
          <w:color w:val="auto"/>
          <w:sz w:val="32"/>
          <w:szCs w:val="32"/>
          <w:highlight w:val="none"/>
        </w:rPr>
      </w:pPr>
    </w:p>
    <w:p w14:paraId="3C29A2C9">
      <w:pPr>
        <w:spacing w:line="600" w:lineRule="exact"/>
        <w:ind w:firstLine="640" w:firstLineChars="200"/>
        <w:jc w:val="right"/>
        <w:rPr>
          <w:rFonts w:eastAsia="仿宋_GB2312"/>
          <w:color w:val="auto"/>
          <w:sz w:val="32"/>
          <w:szCs w:val="32"/>
          <w:highlight w:val="none"/>
          <w:u w:val="single"/>
        </w:rPr>
      </w:pPr>
      <w:r>
        <w:rPr>
          <w:rFonts w:hint="eastAsia" w:eastAsia="仿宋_GB2312"/>
          <w:color w:val="auto"/>
          <w:sz w:val="32"/>
          <w:szCs w:val="32"/>
          <w:highlight w:val="none"/>
          <w:u w:val="single"/>
        </w:rPr>
        <w:t>东莞市东实旗云投资有限公司</w:t>
      </w:r>
    </w:p>
    <w:p w14:paraId="2456C779">
      <w:pPr>
        <w:wordWrap w:val="0"/>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rPr>
        <w:t>25</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10</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22</w:t>
      </w:r>
      <w:r>
        <w:rPr>
          <w:rFonts w:hint="eastAsia" w:eastAsia="仿宋_GB2312"/>
          <w:color w:val="auto"/>
          <w:sz w:val="32"/>
          <w:szCs w:val="32"/>
          <w:highlight w:val="none"/>
        </w:rPr>
        <w:t>日</w:t>
      </w:r>
    </w:p>
    <w:p w14:paraId="71268C58">
      <w:pPr>
        <w:widowControl/>
        <w:spacing w:line="600" w:lineRule="exact"/>
        <w:ind w:firstLine="640" w:firstLineChars="200"/>
        <w:jc w:val="left"/>
        <w:rPr>
          <w:rFonts w:eastAsia="仿宋_GB2312"/>
          <w:color w:val="auto"/>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59C30581">
      <w:pPr>
        <w:pStyle w:val="37"/>
        <w:ind w:firstLine="0" w:firstLineChars="0"/>
        <w:jc w:val="center"/>
        <w:outlineLvl w:val="1"/>
        <w:rPr>
          <w:rFonts w:eastAsia="黑体"/>
          <w:color w:val="auto"/>
          <w:sz w:val="32"/>
          <w:szCs w:val="48"/>
          <w:highlight w:val="none"/>
        </w:rPr>
      </w:pPr>
      <w:r>
        <w:rPr>
          <w:rFonts w:hint="eastAsia" w:eastAsia="黑体"/>
          <w:color w:val="auto"/>
          <w:sz w:val="32"/>
          <w:szCs w:val="48"/>
          <w:highlight w:val="none"/>
        </w:rPr>
        <w:t>第一部分 投标须知</w:t>
      </w:r>
    </w:p>
    <w:p w14:paraId="29B70254">
      <w:pPr>
        <w:pStyle w:val="37"/>
        <w:ind w:firstLine="880"/>
        <w:jc w:val="center"/>
        <w:outlineLvl w:val="1"/>
        <w:rPr>
          <w:rFonts w:eastAsia="华文中宋"/>
          <w:color w:val="auto"/>
          <w:sz w:val="44"/>
          <w:szCs w:val="44"/>
          <w:highlight w:val="none"/>
        </w:rPr>
      </w:pPr>
      <w:r>
        <w:rPr>
          <w:rFonts w:hint="eastAsia" w:eastAsia="华文中宋"/>
          <w:color w:val="auto"/>
          <w:sz w:val="44"/>
          <w:szCs w:val="44"/>
          <w:highlight w:val="none"/>
        </w:rPr>
        <w:t>投标须知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6819EE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CE10989">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1037AF61">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434FD136">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1828DF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5E2045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0ACE863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3000577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2025WR005地块购地资金来源审计服务</w:t>
            </w:r>
          </w:p>
        </w:tc>
      </w:tr>
      <w:tr w14:paraId="31B462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3150434">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084F32E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615FC278">
            <w:pPr>
              <w:spacing w:line="360" w:lineRule="auto"/>
              <w:rPr>
                <w:rFonts w:eastAsia="仿宋_GB2312"/>
                <w:color w:val="auto"/>
                <w:sz w:val="32"/>
                <w:szCs w:val="32"/>
                <w:highlight w:val="none"/>
              </w:rPr>
            </w:pPr>
            <w:r>
              <w:rPr>
                <w:rFonts w:eastAsia="仿宋_GB2312"/>
                <w:color w:val="auto"/>
                <w:sz w:val="32"/>
                <w:szCs w:val="32"/>
                <w:highlight w:val="none"/>
              </w:rPr>
              <w:t>东莞市</w:t>
            </w:r>
          </w:p>
        </w:tc>
      </w:tr>
      <w:tr w14:paraId="681558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352604">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14:paraId="4200582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vAlign w:val="center"/>
          </w:tcPr>
          <w:p w14:paraId="2242647A">
            <w:pPr>
              <w:spacing w:line="360" w:lineRule="auto"/>
              <w:rPr>
                <w:rFonts w:eastAsia="仿宋_GB2312"/>
                <w:color w:val="auto"/>
                <w:sz w:val="32"/>
                <w:szCs w:val="32"/>
                <w:highlight w:val="none"/>
              </w:rPr>
            </w:pPr>
            <w:r>
              <w:rPr>
                <w:rFonts w:hint="eastAsia" w:eastAsia="仿宋_GB2312"/>
                <w:color w:val="auto"/>
                <w:sz w:val="32"/>
                <w:szCs w:val="32"/>
                <w:highlight w:val="none"/>
              </w:rPr>
              <w:t>/</w:t>
            </w:r>
          </w:p>
        </w:tc>
      </w:tr>
      <w:tr w14:paraId="269647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EDA7E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594F617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555B31E7">
            <w:pPr>
              <w:spacing w:line="360" w:lineRule="auto"/>
              <w:rPr>
                <w:rFonts w:eastAsia="仿宋_GB2312"/>
                <w:color w:val="auto"/>
                <w:sz w:val="32"/>
                <w:szCs w:val="32"/>
                <w:highlight w:val="none"/>
              </w:rPr>
            </w:pPr>
            <w:r>
              <w:rPr>
                <w:rFonts w:hint="eastAsia" w:eastAsia="仿宋_GB2312"/>
                <w:color w:val="auto"/>
                <w:sz w:val="32"/>
                <w:szCs w:val="32"/>
                <w:highlight w:val="none"/>
              </w:rPr>
              <w:t>固定总价包干</w:t>
            </w:r>
          </w:p>
        </w:tc>
      </w:tr>
      <w:tr w14:paraId="426D4E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E48B31A">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14:paraId="760BE4E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vAlign w:val="center"/>
          </w:tcPr>
          <w:p w14:paraId="415A5B4C">
            <w:pPr>
              <w:jc w:val="left"/>
              <w:rPr>
                <w:rFonts w:eastAsia="仿宋"/>
                <w:color w:val="auto"/>
                <w:sz w:val="32"/>
                <w:szCs w:val="32"/>
                <w:highlight w:val="none"/>
              </w:rPr>
            </w:pPr>
            <w:r>
              <w:rPr>
                <w:rFonts w:eastAsia="仿宋"/>
                <w:color w:val="auto"/>
                <w:sz w:val="32"/>
                <w:szCs w:val="32"/>
                <w:highlight w:val="none"/>
              </w:rPr>
              <w:t>详见</w:t>
            </w:r>
            <w:r>
              <w:rPr>
                <w:rFonts w:hint="eastAsia" w:eastAsia="仿宋"/>
                <w:color w:val="auto"/>
                <w:sz w:val="32"/>
                <w:szCs w:val="32"/>
                <w:highlight w:val="none"/>
              </w:rPr>
              <w:t>《用户需求书》</w:t>
            </w:r>
          </w:p>
        </w:tc>
      </w:tr>
      <w:tr w14:paraId="1ECC6B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66B25D3">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07970F1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492B5799">
            <w:pPr>
              <w:spacing w:line="500" w:lineRule="exact"/>
              <w:jc w:val="left"/>
              <w:rPr>
                <w:rFonts w:eastAsia="仿宋_GB2312"/>
                <w:color w:val="auto"/>
                <w:sz w:val="32"/>
                <w:szCs w:val="32"/>
                <w:highlight w:val="none"/>
              </w:rPr>
            </w:pPr>
            <w:r>
              <w:rPr>
                <w:rFonts w:hint="eastAsia" w:eastAsia="仿宋_GB2312"/>
                <w:color w:val="auto"/>
                <w:sz w:val="32"/>
                <w:szCs w:val="32"/>
                <w:highlight w:val="none"/>
              </w:rPr>
              <w:t>详见第三部分《合同文本》</w:t>
            </w:r>
          </w:p>
        </w:tc>
      </w:tr>
      <w:tr w14:paraId="60D345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34FEABE">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14:paraId="4BED4401">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6856B10E">
            <w:pPr>
              <w:adjustRightInd w:val="0"/>
              <w:snapToGrid w:val="0"/>
              <w:spacing w:line="560" w:lineRule="exact"/>
              <w:rPr>
                <w:rFonts w:eastAsia="仿宋_GB2312"/>
                <w:b/>
                <w:color w:val="auto"/>
                <w:sz w:val="32"/>
                <w:szCs w:val="32"/>
                <w:highlight w:val="none"/>
              </w:rPr>
            </w:pPr>
            <w:r>
              <w:rPr>
                <w:rFonts w:hint="eastAsia" w:eastAsia="仿宋_GB2312"/>
                <w:color w:val="auto"/>
                <w:sz w:val="32"/>
                <w:szCs w:val="32"/>
                <w:highlight w:val="none"/>
              </w:rPr>
              <w:t>响应人须具有</w:t>
            </w:r>
            <w:r>
              <w:rPr>
                <w:rFonts w:hint="eastAsia" w:eastAsia="仿宋_GB2312"/>
                <w:color w:val="auto"/>
                <w:sz w:val="32"/>
                <w:szCs w:val="32"/>
                <w:highlight w:val="none"/>
                <w:u w:val="single"/>
              </w:rPr>
              <w:t>财政部门颁发的会计师事务所执业证书</w:t>
            </w:r>
          </w:p>
        </w:tc>
      </w:tr>
      <w:tr w14:paraId="030E15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4310E4C">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08FE381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报价保证金</w:t>
            </w:r>
          </w:p>
        </w:tc>
        <w:tc>
          <w:tcPr>
            <w:tcW w:w="5942" w:type="dxa"/>
            <w:vAlign w:val="center"/>
          </w:tcPr>
          <w:p w14:paraId="1BBB03A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1、响应人应按磋商文件规定的金额和期限交纳报价保证金，报价保证金作为响应文件的组成部分。响应人与交款人名称必须一致，非响应人缴纳的报价保证金无效。</w:t>
            </w:r>
          </w:p>
          <w:p w14:paraId="7087FF1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2、报价保证金金额：人民币840元。</w:t>
            </w:r>
          </w:p>
          <w:p w14:paraId="3CFF96B8">
            <w:pPr>
              <w:adjustRightInd w:val="0"/>
              <w:snapToGrid w:val="0"/>
              <w:spacing w:line="560" w:lineRule="exact"/>
              <w:rPr>
                <w:rFonts w:hint="eastAsia" w:eastAsia="仿宋_GB2312"/>
                <w:sz w:val="32"/>
                <w:szCs w:val="32"/>
                <w:highlight w:val="none"/>
              </w:rPr>
            </w:pPr>
            <w:r>
              <w:rPr>
                <w:rFonts w:hint="eastAsia" w:eastAsia="仿宋_GB2312"/>
                <w:sz w:val="32"/>
                <w:szCs w:val="32"/>
                <w:highlight w:val="none"/>
              </w:rPr>
              <w:t>3、报价保证金缴纳期限：响应文件递交截止时间前（报价保证金汇错账号、迟到或不足额均作无效处理）。</w:t>
            </w:r>
          </w:p>
          <w:p w14:paraId="07E4B017">
            <w:pPr>
              <w:adjustRightInd w:val="0"/>
              <w:snapToGrid w:val="0"/>
              <w:jc w:val="left"/>
              <w:outlineLvl w:val="0"/>
              <w:rPr>
                <w:highlight w:val="none"/>
              </w:rPr>
            </w:pPr>
            <w:r>
              <w:rPr>
                <w:rFonts w:hint="eastAsia" w:ascii="Times New Roman" w:hAnsi="Times New Roman" w:eastAsia="仿宋_GB2312" w:cs="Times New Roman"/>
                <w:color w:val="000000"/>
                <w:sz w:val="32"/>
                <w:szCs w:val="32"/>
                <w:highlight w:val="none"/>
                <w:lang w:val="en-US" w:eastAsia="zh-CN"/>
              </w:rPr>
              <w:t>4、</w:t>
            </w:r>
            <w:r>
              <w:rPr>
                <w:rFonts w:hint="eastAsia" w:ascii="Times New Roman" w:hAnsi="Times New Roman" w:eastAsia="仿宋_GB2312" w:cs="Times New Roman"/>
                <w:color w:val="000000"/>
                <w:sz w:val="32"/>
                <w:szCs w:val="32"/>
                <w:highlight w:val="none"/>
              </w:rPr>
              <w:t>投标保证金缴纳方式：转帐</w:t>
            </w:r>
            <w:r>
              <w:rPr>
                <w:rFonts w:hint="eastAsia" w:ascii="Times New Roman" w:hAnsi="Times New Roman" w:eastAsia="仿宋_GB2312" w:cs="Times New Roman"/>
                <w:color w:val="000000"/>
                <w:sz w:val="32"/>
                <w:szCs w:val="32"/>
                <w:highlight w:val="none"/>
                <w:lang w:eastAsia="zh-CN"/>
              </w:rPr>
              <w:t>。</w:t>
            </w:r>
          </w:p>
          <w:p w14:paraId="4816A2F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、报价保证金收款账户信息：</w:t>
            </w:r>
          </w:p>
          <w:p w14:paraId="2777257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账户名称：东莞市东实旗云投资有限公司。</w:t>
            </w:r>
          </w:p>
          <w:p w14:paraId="20E60FF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银行账号：</w:t>
            </w:r>
            <w:r>
              <w:rPr>
                <w:rFonts w:eastAsia="仿宋_GB2312"/>
                <w:color w:val="auto"/>
                <w:sz w:val="32"/>
                <w:szCs w:val="32"/>
                <w:highlight w:val="none"/>
              </w:rPr>
              <w:t>4405 0177 8986 0000 0445</w:t>
            </w:r>
          </w:p>
          <w:p w14:paraId="3500461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开户银行：中国建设银行股份有限公司东莞石龙支行</w:t>
            </w:r>
          </w:p>
          <w:p w14:paraId="668E7AE8">
            <w:pPr>
              <w:adjustRightInd w:val="0"/>
              <w:snapToGrid w:val="0"/>
              <w:spacing w:line="560" w:lineRule="exact"/>
              <w:rPr>
                <w:rFonts w:eastAsia="仿宋_GB2312"/>
                <w:color w:val="auto"/>
                <w:sz w:val="32"/>
                <w:szCs w:val="32"/>
                <w:highlight w:val="none"/>
              </w:rPr>
            </w:pPr>
            <w:r>
              <w:rPr>
                <w:rFonts w:hint="eastAsia" w:ascii="Times New Roman" w:hAnsi="Times New Roman" w:eastAsia="仿宋_GB2312" w:cs="Times New Roman"/>
                <w:sz w:val="32"/>
                <w:szCs w:val="32"/>
                <w:highlight w:val="none"/>
                <w:lang w:val="en-US" w:eastAsia="zh-CN"/>
              </w:rPr>
              <w:t>6、</w:t>
            </w:r>
            <w:r>
              <w:rPr>
                <w:rFonts w:hint="eastAsia" w:ascii="Times New Roman" w:hAnsi="Times New Roman" w:eastAsia="仿宋_GB2312" w:cs="Times New Roman"/>
                <w:sz w:val="32"/>
                <w:szCs w:val="32"/>
                <w:highlight w:val="none"/>
              </w:rPr>
              <w:t>未成交的响应人报价保证金在开标结</w:t>
            </w:r>
            <w:r>
              <w:rPr>
                <w:rFonts w:hint="eastAsia" w:eastAsia="仿宋_GB2312"/>
                <w:sz w:val="32"/>
                <w:szCs w:val="32"/>
                <w:highlight w:val="none"/>
              </w:rPr>
              <w:t>束后无息退还。成交人缴纳的报价保证金不退还，在双方签订合同后转为履约保证金，作为成交人在履约过程中违约金或罚款的扣罚来源之一。履约保证金申请返还时间为采购人</w:t>
            </w:r>
            <w:r>
              <w:rPr>
                <w:rFonts w:hint="eastAsia" w:eastAsia="仿宋_GB2312"/>
                <w:sz w:val="32"/>
                <w:szCs w:val="32"/>
                <w:highlight w:val="none"/>
                <w:lang w:eastAsia="zh-CN"/>
              </w:rPr>
              <w:t>完成服务结算</w:t>
            </w:r>
            <w:r>
              <w:rPr>
                <w:rFonts w:hint="eastAsia" w:eastAsia="仿宋_GB2312"/>
                <w:sz w:val="32"/>
                <w:szCs w:val="32"/>
                <w:highlight w:val="none"/>
              </w:rPr>
              <w:t>之日，成交人没有任何违约的情况下由成交人提交退款申请，收到成交人申请后30个日历日内，采购人一次性无息退回。</w:t>
            </w:r>
          </w:p>
        </w:tc>
      </w:tr>
      <w:tr w14:paraId="0A24B8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E5086EB">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0254B81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响应有效期</w:t>
            </w:r>
          </w:p>
        </w:tc>
        <w:tc>
          <w:tcPr>
            <w:tcW w:w="5942" w:type="dxa"/>
            <w:vAlign w:val="center"/>
          </w:tcPr>
          <w:p w14:paraId="07274F9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190BD4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D877D2">
            <w:pPr>
              <w:spacing w:line="360" w:lineRule="auto"/>
              <w:jc w:val="center"/>
              <w:rPr>
                <w:rFonts w:eastAsia="仿宋_GB2312"/>
                <w:color w:val="auto"/>
                <w:sz w:val="32"/>
                <w:szCs w:val="32"/>
                <w:highlight w:val="none"/>
              </w:rPr>
            </w:pPr>
          </w:p>
        </w:tc>
        <w:tc>
          <w:tcPr>
            <w:tcW w:w="2275" w:type="dxa"/>
            <w:vAlign w:val="center"/>
          </w:tcPr>
          <w:p w14:paraId="3479824B">
            <w:pPr>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3488436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6A8D825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51CDC32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DC4ABE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D04672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CF55A7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B9D772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2F0014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）竞争性磋商文件规定的其他情形：见竞争性磋商公告或竞争性磋商响应须知前附表。</w:t>
            </w:r>
          </w:p>
          <w:p w14:paraId="6C6E0E4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、响应人在竞争性磋商活动中有下列行为之一的，应视情节轻重，暂停或取消其参与采购人及东实集团旗下采购项目的资格：</w:t>
            </w:r>
          </w:p>
          <w:p w14:paraId="5525D16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）响应人之间相互串通、或与采购人、代理机构、评审委员会成员串通磋商，损害采购人或者其他响应人的合法权益的；</w:t>
            </w:r>
            <w:r>
              <w:rPr>
                <w:rFonts w:eastAsia="仿宋_GB2312"/>
                <w:color w:val="auto"/>
                <w:sz w:val="32"/>
                <w:szCs w:val="32"/>
                <w:highlight w:val="none"/>
              </w:rPr>
              <w:t xml:space="preserve"> </w:t>
            </w:r>
          </w:p>
          <w:p w14:paraId="26DFCED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730DCC5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）以他人名义磋商或以其他方式弄虚作假，骗取成交的；</w:t>
            </w:r>
            <w:r>
              <w:rPr>
                <w:rFonts w:eastAsia="仿宋_GB2312"/>
                <w:color w:val="auto"/>
                <w:sz w:val="32"/>
                <w:szCs w:val="32"/>
                <w:highlight w:val="none"/>
              </w:rPr>
              <w:t xml:space="preserve"> </w:t>
            </w:r>
          </w:p>
          <w:p w14:paraId="73650A1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0640B7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）成交人无正当理由不与采购人订立合同，在签订合同时向采购人提出附加条件，或者不按照竞争性磋商文件要求提交履约担保的；</w:t>
            </w:r>
          </w:p>
          <w:p w14:paraId="7BD7E3C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244B0F6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6E99E94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21966DD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、有下列情形之一的，视为响应人串通磋商，其响应无效：</w:t>
            </w:r>
          </w:p>
          <w:p w14:paraId="23004AB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5D3FFDA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7AF2534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3D715DF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412F067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4185B2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756E938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、使用通过受让或者租借等方式获取的资格、资质证书响应的，属于以他人名义磋商，其响应无效：</w:t>
            </w:r>
          </w:p>
          <w:p w14:paraId="2E1F8FF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0BE3E2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4069EA6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3A52B2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118B82F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302BB3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1790BA7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p>
          <w:p w14:paraId="264F3A9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887328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（二）竞争性磋商活动前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年内与其存在劳动关系，担任其董事、监事，是其控股股东或实际控制人，或存在其他经济利益关系，可能影响竞争性磋商活动公平公正的；</w:t>
            </w:r>
          </w:p>
          <w:p w14:paraId="05AB55E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（三）其他可能影响竞争性磋商活动公平、公正进行的关系。</w:t>
            </w:r>
          </w:p>
        </w:tc>
      </w:tr>
    </w:tbl>
    <w:p w14:paraId="75D72725">
      <w:pPr>
        <w:spacing w:line="360" w:lineRule="auto"/>
        <w:ind w:firstLine="640" w:firstLineChars="200"/>
        <w:jc w:val="center"/>
        <w:rPr>
          <w:rFonts w:ascii="仿宋_GB2312" w:hAnsi="仿宋_GB2312" w:eastAsia="仿宋_GB2312" w:cs="仿宋_GB2312"/>
          <w:b/>
          <w:bCs/>
          <w:color w:val="auto"/>
          <w:kern w:val="0"/>
          <w:sz w:val="32"/>
          <w:szCs w:val="32"/>
          <w:highlight w:val="none"/>
        </w:rPr>
      </w:pPr>
    </w:p>
    <w:p w14:paraId="5A05B91D">
      <w:pPr>
        <w:spacing w:line="360" w:lineRule="auto"/>
        <w:ind w:firstLine="640" w:firstLineChars="200"/>
        <w:jc w:val="center"/>
        <w:rPr>
          <w:rFonts w:ascii="仿宋_GB2312" w:hAnsi="仿宋_GB2312" w:eastAsia="仿宋_GB2312" w:cs="仿宋_GB2312"/>
          <w:b/>
          <w:bCs/>
          <w:color w:val="auto"/>
          <w:kern w:val="0"/>
          <w:sz w:val="32"/>
          <w:szCs w:val="32"/>
          <w:highlight w:val="none"/>
        </w:rPr>
      </w:pPr>
    </w:p>
    <w:p w14:paraId="289B8559">
      <w:pPr>
        <w:spacing w:line="360" w:lineRule="auto"/>
        <w:ind w:firstLine="640" w:firstLineChars="200"/>
        <w:jc w:val="center"/>
        <w:rPr>
          <w:rFonts w:ascii="仿宋_GB2312" w:hAnsi="仿宋_GB2312" w:eastAsia="仿宋_GB2312" w:cs="仿宋_GB2312"/>
          <w:b/>
          <w:bCs/>
          <w:color w:val="auto"/>
          <w:kern w:val="0"/>
          <w:sz w:val="32"/>
          <w:szCs w:val="32"/>
          <w:highlight w:val="none"/>
        </w:rPr>
      </w:pPr>
    </w:p>
    <w:p w14:paraId="71576BD0">
      <w:pPr>
        <w:spacing w:line="360" w:lineRule="auto"/>
        <w:ind w:firstLine="640" w:firstLineChars="200"/>
        <w:jc w:val="center"/>
        <w:rPr>
          <w:rFonts w:ascii="仿宋_GB2312" w:hAnsi="仿宋_GB2312" w:eastAsia="仿宋_GB2312" w:cs="仿宋_GB2312"/>
          <w:b/>
          <w:bCs/>
          <w:color w:val="auto"/>
          <w:kern w:val="0"/>
          <w:sz w:val="32"/>
          <w:szCs w:val="32"/>
          <w:highlight w:val="none"/>
        </w:rPr>
      </w:pPr>
    </w:p>
    <w:p w14:paraId="41D00B84">
      <w:pPr>
        <w:spacing w:line="360" w:lineRule="auto"/>
        <w:ind w:firstLine="640" w:firstLineChars="200"/>
        <w:jc w:val="center"/>
        <w:rPr>
          <w:rFonts w:ascii="仿宋_GB2312" w:hAnsi="仿宋_GB2312" w:eastAsia="仿宋_GB2312" w:cs="仿宋_GB2312"/>
          <w:b/>
          <w:bCs/>
          <w:color w:val="auto"/>
          <w:kern w:val="0"/>
          <w:sz w:val="32"/>
          <w:szCs w:val="32"/>
          <w:highlight w:val="none"/>
        </w:rPr>
      </w:pPr>
    </w:p>
    <w:p w14:paraId="46741D59">
      <w:pPr>
        <w:pStyle w:val="37"/>
        <w:ind w:firstLine="640"/>
        <w:jc w:val="center"/>
        <w:outlineLvl w:val="1"/>
        <w:rPr>
          <w:rFonts w:eastAsia="黑体"/>
          <w:color w:val="auto"/>
          <w:sz w:val="28"/>
          <w:szCs w:val="44"/>
          <w:highlight w:val="none"/>
        </w:rPr>
      </w:pPr>
      <w:r>
        <w:rPr>
          <w:rFonts w:hint="eastAsia" w:eastAsia="黑体"/>
          <w:color w:val="auto"/>
          <w:sz w:val="32"/>
          <w:szCs w:val="48"/>
          <w:highlight w:val="none"/>
        </w:rPr>
        <w:t>第二部分 评分标准</w:t>
      </w:r>
    </w:p>
    <w:tbl>
      <w:tblPr>
        <w:tblStyle w:val="18"/>
        <w:tblW w:w="851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56"/>
        <w:gridCol w:w="2122"/>
        <w:gridCol w:w="2168"/>
        <w:gridCol w:w="2168"/>
      </w:tblGrid>
      <w:tr w14:paraId="021211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2056" w:type="dxa"/>
            <w:vAlign w:val="center"/>
          </w:tcPr>
          <w:p w14:paraId="6F96AE9B">
            <w:pPr>
              <w:jc w:val="center"/>
              <w:rPr>
                <w:rFonts w:ascii="仿宋_GB2312" w:hAnsi="仿宋_GB2312" w:cs="仿宋_GB2312"/>
                <w:color w:val="auto"/>
                <w:sz w:val="24"/>
                <w:szCs w:val="22"/>
                <w:highlight w:val="none"/>
              </w:rPr>
            </w:pPr>
            <w:r>
              <w:rPr>
                <w:rFonts w:hint="eastAsia" w:ascii="仿宋_GB2312" w:hAnsi="仿宋_GB2312" w:cs="仿宋_GB2312"/>
                <w:color w:val="auto"/>
                <w:sz w:val="24"/>
                <w:szCs w:val="22"/>
                <w:highlight w:val="none"/>
              </w:rPr>
              <w:t>评分项目</w:t>
            </w:r>
          </w:p>
        </w:tc>
        <w:tc>
          <w:tcPr>
            <w:tcW w:w="2122" w:type="dxa"/>
            <w:vAlign w:val="center"/>
          </w:tcPr>
          <w:p w14:paraId="02B550E5">
            <w:pPr>
              <w:jc w:val="center"/>
              <w:rPr>
                <w:rFonts w:ascii="仿宋_GB2312" w:hAnsi="仿宋_GB2312" w:cs="仿宋_GB2312"/>
                <w:color w:val="auto"/>
                <w:sz w:val="24"/>
                <w:szCs w:val="22"/>
                <w:highlight w:val="none"/>
              </w:rPr>
            </w:pPr>
            <w:r>
              <w:rPr>
                <w:rFonts w:hint="eastAsia" w:ascii="仿宋_GB2312" w:hAnsi="仿宋_GB2312" w:cs="仿宋_GB2312"/>
                <w:color w:val="auto"/>
                <w:sz w:val="24"/>
                <w:szCs w:val="22"/>
                <w:highlight w:val="none"/>
              </w:rPr>
              <w:t>价格部分</w:t>
            </w:r>
          </w:p>
        </w:tc>
        <w:tc>
          <w:tcPr>
            <w:tcW w:w="2168" w:type="dxa"/>
            <w:vAlign w:val="center"/>
          </w:tcPr>
          <w:p w14:paraId="00ED19EB">
            <w:pPr>
              <w:jc w:val="center"/>
              <w:rPr>
                <w:rFonts w:ascii="仿宋_GB2312" w:hAnsi="仿宋_GB2312" w:cs="仿宋_GB2312"/>
                <w:color w:val="auto"/>
                <w:sz w:val="24"/>
                <w:szCs w:val="22"/>
                <w:highlight w:val="none"/>
              </w:rPr>
            </w:pPr>
            <w:r>
              <w:rPr>
                <w:rFonts w:hint="eastAsia" w:ascii="仿宋_GB2312" w:hAnsi="仿宋_GB2312" w:cs="仿宋_GB2312"/>
                <w:color w:val="auto"/>
                <w:sz w:val="24"/>
                <w:szCs w:val="22"/>
                <w:highlight w:val="none"/>
              </w:rPr>
              <w:t>商务部分</w:t>
            </w:r>
          </w:p>
        </w:tc>
        <w:tc>
          <w:tcPr>
            <w:tcW w:w="2168" w:type="dxa"/>
            <w:vAlign w:val="center"/>
          </w:tcPr>
          <w:p w14:paraId="2307ECBF">
            <w:pPr>
              <w:jc w:val="center"/>
              <w:rPr>
                <w:rFonts w:ascii="仿宋_GB2312" w:hAnsi="仿宋_GB2312" w:cs="仿宋_GB2312"/>
                <w:color w:val="auto"/>
                <w:sz w:val="24"/>
                <w:szCs w:val="22"/>
                <w:highlight w:val="none"/>
              </w:rPr>
            </w:pPr>
            <w:r>
              <w:rPr>
                <w:rFonts w:hint="eastAsia" w:ascii="仿宋_GB2312" w:hAnsi="仿宋_GB2312" w:cs="仿宋_GB2312"/>
                <w:color w:val="auto"/>
                <w:sz w:val="24"/>
                <w:szCs w:val="22"/>
                <w:highlight w:val="none"/>
              </w:rPr>
              <w:t>技术部分</w:t>
            </w:r>
          </w:p>
        </w:tc>
      </w:tr>
      <w:tr w14:paraId="79A20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2056" w:type="dxa"/>
            <w:vAlign w:val="center"/>
          </w:tcPr>
          <w:p w14:paraId="0A3567ED">
            <w:pPr>
              <w:jc w:val="center"/>
              <w:rPr>
                <w:rFonts w:ascii="仿宋_GB2312" w:hAnsi="仿宋_GB2312" w:cs="仿宋_GB2312"/>
                <w:color w:val="auto"/>
                <w:sz w:val="24"/>
                <w:szCs w:val="22"/>
                <w:highlight w:val="none"/>
              </w:rPr>
            </w:pPr>
            <w:r>
              <w:rPr>
                <w:rFonts w:hint="eastAsia" w:ascii="仿宋_GB2312" w:hAnsi="仿宋_GB2312" w:cs="仿宋_GB2312"/>
                <w:color w:val="auto"/>
                <w:sz w:val="24"/>
                <w:szCs w:val="22"/>
                <w:highlight w:val="none"/>
              </w:rPr>
              <w:t>权重（</w:t>
            </w:r>
            <w:r>
              <w:rPr>
                <w:rFonts w:ascii="仿宋_GB2312" w:hAnsi="仿宋_GB2312" w:cs="仿宋_GB2312"/>
                <w:color w:val="auto"/>
                <w:sz w:val="24"/>
                <w:szCs w:val="22"/>
                <w:highlight w:val="none"/>
              </w:rPr>
              <w:t>%）</w:t>
            </w:r>
          </w:p>
        </w:tc>
        <w:tc>
          <w:tcPr>
            <w:tcW w:w="2122" w:type="dxa"/>
            <w:vAlign w:val="center"/>
          </w:tcPr>
          <w:p w14:paraId="3DE0AED4">
            <w:pPr>
              <w:jc w:val="center"/>
              <w:rPr>
                <w:rFonts w:ascii="仿宋_GB2312" w:hAnsi="仿宋_GB2312" w:cs="仿宋_GB2312"/>
                <w:color w:val="auto"/>
                <w:sz w:val="24"/>
                <w:szCs w:val="22"/>
                <w:highlight w:val="none"/>
              </w:rPr>
            </w:pPr>
            <w:r>
              <w:rPr>
                <w:rFonts w:ascii="仿宋_GB2312" w:hAnsi="仿宋_GB2312" w:cs="仿宋_GB2312"/>
                <w:color w:val="auto"/>
                <w:sz w:val="24"/>
                <w:szCs w:val="22"/>
                <w:highlight w:val="none"/>
              </w:rPr>
              <w:t>40</w:t>
            </w:r>
          </w:p>
        </w:tc>
        <w:tc>
          <w:tcPr>
            <w:tcW w:w="2168" w:type="dxa"/>
            <w:vAlign w:val="center"/>
          </w:tcPr>
          <w:p w14:paraId="6F9FC4EC">
            <w:pPr>
              <w:jc w:val="center"/>
              <w:rPr>
                <w:rFonts w:ascii="仿宋_GB2312" w:hAnsi="仿宋_GB2312" w:cs="仿宋_GB2312"/>
                <w:color w:val="auto"/>
                <w:sz w:val="24"/>
                <w:szCs w:val="22"/>
                <w:highlight w:val="none"/>
              </w:rPr>
            </w:pPr>
            <w:r>
              <w:rPr>
                <w:rFonts w:ascii="仿宋_GB2312" w:hAnsi="仿宋_GB2312" w:cs="仿宋_GB2312"/>
                <w:color w:val="auto"/>
                <w:sz w:val="24"/>
                <w:szCs w:val="22"/>
                <w:highlight w:val="none"/>
              </w:rPr>
              <w:t>20</w:t>
            </w:r>
          </w:p>
        </w:tc>
        <w:tc>
          <w:tcPr>
            <w:tcW w:w="2168" w:type="dxa"/>
            <w:vAlign w:val="center"/>
          </w:tcPr>
          <w:p w14:paraId="5F5276BC">
            <w:pPr>
              <w:jc w:val="center"/>
              <w:rPr>
                <w:rFonts w:ascii="仿宋_GB2312" w:hAnsi="仿宋_GB2312" w:cs="仿宋_GB2312"/>
                <w:color w:val="auto"/>
                <w:sz w:val="24"/>
                <w:szCs w:val="22"/>
                <w:highlight w:val="none"/>
              </w:rPr>
            </w:pPr>
            <w:r>
              <w:rPr>
                <w:rFonts w:ascii="仿宋_GB2312" w:hAnsi="仿宋_GB2312" w:cs="仿宋_GB2312"/>
                <w:color w:val="auto"/>
                <w:sz w:val="24"/>
                <w:szCs w:val="22"/>
                <w:highlight w:val="none"/>
              </w:rPr>
              <w:t>40</w:t>
            </w:r>
          </w:p>
        </w:tc>
      </w:tr>
    </w:tbl>
    <w:p w14:paraId="579F2C00">
      <w:pPr>
        <w:pStyle w:val="57"/>
        <w:numPr>
          <w:ilvl w:val="0"/>
          <w:numId w:val="4"/>
        </w:numPr>
        <w:spacing w:before="166" w:beforeLines="50" w:line="360" w:lineRule="auto"/>
        <w:ind w:firstLineChars="0"/>
        <w:rPr>
          <w:rFonts w:ascii="仿宋_GB2312" w:hAnsi="仿宋_GB2312" w:cs="仿宋_GB2312"/>
          <w:bCs/>
          <w:color w:val="auto"/>
          <w:szCs w:val="21"/>
          <w:highlight w:val="none"/>
        </w:rPr>
      </w:pPr>
      <w:r>
        <w:rPr>
          <w:rFonts w:hint="eastAsia" w:ascii="仿宋_GB2312" w:hAnsi="仿宋_GB2312" w:cs="仿宋_GB2312"/>
          <w:bCs/>
          <w:color w:val="auto"/>
          <w:szCs w:val="21"/>
          <w:highlight w:val="none"/>
        </w:rPr>
        <w:t>综合得分＝价格得分＋商务得分+技术得分</w:t>
      </w:r>
    </w:p>
    <w:tbl>
      <w:tblPr>
        <w:tblStyle w:val="18"/>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12"/>
        <w:gridCol w:w="1449"/>
        <w:gridCol w:w="44"/>
        <w:gridCol w:w="627"/>
        <w:gridCol w:w="131"/>
        <w:gridCol w:w="6095"/>
      </w:tblGrid>
      <w:tr w14:paraId="2CC99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dxa"/>
            <w:gridSpan w:val="2"/>
            <w:vAlign w:val="center"/>
          </w:tcPr>
          <w:p w14:paraId="1067DBD6">
            <w:pPr>
              <w:pStyle w:val="36"/>
              <w:spacing w:line="360" w:lineRule="auto"/>
              <w:ind w:firstLine="0" w:firstLineChars="0"/>
              <w:jc w:val="center"/>
              <w:rPr>
                <w:rFonts w:hAnsi="仿宋_GB2312" w:cs="仿宋_GB2312"/>
                <w:b/>
                <w:color w:val="auto"/>
                <w:sz w:val="21"/>
                <w:szCs w:val="21"/>
                <w:highlight w:val="none"/>
              </w:rPr>
            </w:pPr>
            <w:r>
              <w:rPr>
                <w:rFonts w:hint="eastAsia" w:hAnsi="仿宋_GB2312" w:cs="仿宋_GB2312"/>
                <w:b/>
                <w:color w:val="auto"/>
                <w:sz w:val="21"/>
                <w:szCs w:val="21"/>
                <w:highlight w:val="none"/>
              </w:rPr>
              <w:t>序号</w:t>
            </w:r>
          </w:p>
        </w:tc>
        <w:tc>
          <w:tcPr>
            <w:tcW w:w="1449" w:type="dxa"/>
            <w:vAlign w:val="center"/>
          </w:tcPr>
          <w:p w14:paraId="7B69606E">
            <w:pPr>
              <w:pStyle w:val="36"/>
              <w:spacing w:line="360" w:lineRule="auto"/>
              <w:ind w:firstLine="0" w:firstLineChars="0"/>
              <w:jc w:val="center"/>
              <w:rPr>
                <w:rFonts w:hAnsi="仿宋_GB2312" w:cs="仿宋_GB2312"/>
                <w:b/>
                <w:color w:val="auto"/>
                <w:sz w:val="21"/>
                <w:szCs w:val="21"/>
                <w:highlight w:val="none"/>
              </w:rPr>
            </w:pPr>
            <w:r>
              <w:rPr>
                <w:rFonts w:hint="eastAsia" w:hAnsi="仿宋_GB2312" w:cs="仿宋_GB2312"/>
                <w:b/>
                <w:color w:val="auto"/>
                <w:sz w:val="21"/>
                <w:szCs w:val="21"/>
                <w:highlight w:val="none"/>
              </w:rPr>
              <w:t>评分内容</w:t>
            </w:r>
          </w:p>
        </w:tc>
        <w:tc>
          <w:tcPr>
            <w:tcW w:w="671" w:type="dxa"/>
            <w:gridSpan w:val="2"/>
            <w:vAlign w:val="center"/>
          </w:tcPr>
          <w:p w14:paraId="14A544F0">
            <w:pPr>
              <w:pStyle w:val="36"/>
              <w:spacing w:line="360" w:lineRule="auto"/>
              <w:ind w:firstLine="0" w:firstLineChars="0"/>
              <w:jc w:val="center"/>
              <w:rPr>
                <w:rFonts w:hAnsi="仿宋_GB2312" w:cs="仿宋_GB2312"/>
                <w:b/>
                <w:color w:val="auto"/>
                <w:sz w:val="21"/>
                <w:szCs w:val="21"/>
                <w:highlight w:val="none"/>
              </w:rPr>
            </w:pPr>
            <w:r>
              <w:rPr>
                <w:rFonts w:hint="eastAsia" w:hAnsi="仿宋_GB2312" w:cs="仿宋_GB2312"/>
                <w:b/>
                <w:color w:val="auto"/>
                <w:sz w:val="21"/>
                <w:szCs w:val="21"/>
                <w:highlight w:val="none"/>
              </w:rPr>
              <w:t>分值</w:t>
            </w:r>
          </w:p>
        </w:tc>
        <w:tc>
          <w:tcPr>
            <w:tcW w:w="6226" w:type="dxa"/>
            <w:gridSpan w:val="2"/>
            <w:vAlign w:val="center"/>
          </w:tcPr>
          <w:p w14:paraId="23527119">
            <w:pPr>
              <w:pStyle w:val="36"/>
              <w:spacing w:line="360" w:lineRule="auto"/>
              <w:ind w:firstLine="0" w:firstLineChars="0"/>
              <w:jc w:val="center"/>
              <w:rPr>
                <w:rFonts w:hAnsi="仿宋_GB2312" w:cs="仿宋_GB2312"/>
                <w:b/>
                <w:color w:val="auto"/>
                <w:sz w:val="21"/>
                <w:szCs w:val="21"/>
                <w:highlight w:val="none"/>
              </w:rPr>
            </w:pPr>
            <w:r>
              <w:rPr>
                <w:rFonts w:hint="eastAsia" w:hAnsi="仿宋_GB2312" w:cs="仿宋_GB2312"/>
                <w:b/>
                <w:color w:val="auto"/>
                <w:sz w:val="21"/>
                <w:szCs w:val="21"/>
                <w:highlight w:val="none"/>
              </w:rPr>
              <w:t>评审标准</w:t>
            </w:r>
          </w:p>
        </w:tc>
      </w:tr>
      <w:tr w14:paraId="0A30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1" w:type="dxa"/>
            <w:gridSpan w:val="7"/>
            <w:vAlign w:val="center"/>
          </w:tcPr>
          <w:p w14:paraId="4BE42374">
            <w:pPr>
              <w:pStyle w:val="36"/>
              <w:spacing w:line="360" w:lineRule="auto"/>
              <w:ind w:firstLine="0" w:firstLineChars="0"/>
              <w:jc w:val="center"/>
              <w:rPr>
                <w:rFonts w:hAnsi="仿宋_GB2312" w:cs="仿宋_GB2312"/>
                <w:b/>
                <w:color w:val="auto"/>
                <w:sz w:val="21"/>
                <w:szCs w:val="21"/>
                <w:highlight w:val="none"/>
              </w:rPr>
            </w:pPr>
            <w:r>
              <w:rPr>
                <w:rFonts w:hint="eastAsia" w:cs="宋体"/>
                <w:b/>
                <w:color w:val="auto"/>
                <w:sz w:val="21"/>
                <w:szCs w:val="21"/>
                <w:highlight w:val="none"/>
              </w:rPr>
              <w:t>价格评分（</w:t>
            </w:r>
            <w:r>
              <w:rPr>
                <w:rFonts w:cs="宋体"/>
                <w:b/>
                <w:color w:val="auto"/>
                <w:sz w:val="21"/>
                <w:szCs w:val="21"/>
                <w:highlight w:val="none"/>
              </w:rPr>
              <w:t>4</w:t>
            </w:r>
            <w:r>
              <w:rPr>
                <w:rFonts w:hint="eastAsia" w:cs="宋体"/>
                <w:b/>
                <w:color w:val="auto"/>
                <w:sz w:val="21"/>
                <w:szCs w:val="21"/>
                <w:highlight w:val="none"/>
              </w:rPr>
              <w:t>0分）</w:t>
            </w:r>
          </w:p>
        </w:tc>
      </w:tr>
      <w:tr w14:paraId="0D168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dxa"/>
            <w:gridSpan w:val="2"/>
            <w:vAlign w:val="center"/>
          </w:tcPr>
          <w:p w14:paraId="1378F243">
            <w:pPr>
              <w:pStyle w:val="36"/>
              <w:spacing w:line="360" w:lineRule="auto"/>
              <w:ind w:firstLine="0" w:firstLineChars="0"/>
              <w:jc w:val="center"/>
              <w:rPr>
                <w:rFonts w:hAnsi="仿宋_GB2312" w:cs="仿宋_GB2312"/>
                <w:color w:val="auto"/>
                <w:sz w:val="21"/>
                <w:szCs w:val="21"/>
                <w:highlight w:val="none"/>
              </w:rPr>
            </w:pPr>
            <w:r>
              <w:rPr>
                <w:rFonts w:hint="eastAsia" w:hAnsi="仿宋_GB2312" w:cs="仿宋_GB2312"/>
                <w:color w:val="auto"/>
                <w:sz w:val="21"/>
                <w:szCs w:val="21"/>
                <w:highlight w:val="none"/>
              </w:rPr>
              <w:t>1</w:t>
            </w:r>
          </w:p>
        </w:tc>
        <w:tc>
          <w:tcPr>
            <w:tcW w:w="1449" w:type="dxa"/>
            <w:vAlign w:val="center"/>
          </w:tcPr>
          <w:p w14:paraId="21F2BB60">
            <w:pPr>
              <w:pStyle w:val="15"/>
              <w:jc w:val="center"/>
              <w:rPr>
                <w:color w:val="auto"/>
                <w:kern w:val="2"/>
                <w:sz w:val="21"/>
                <w:szCs w:val="21"/>
                <w:highlight w:val="none"/>
              </w:rPr>
            </w:pPr>
            <w:r>
              <w:rPr>
                <w:rFonts w:hint="eastAsia"/>
                <w:color w:val="auto"/>
                <w:kern w:val="2"/>
                <w:sz w:val="21"/>
                <w:szCs w:val="21"/>
                <w:highlight w:val="none"/>
              </w:rPr>
              <w:t>价格</w:t>
            </w:r>
          </w:p>
        </w:tc>
        <w:tc>
          <w:tcPr>
            <w:tcW w:w="671" w:type="dxa"/>
            <w:gridSpan w:val="2"/>
            <w:vAlign w:val="center"/>
          </w:tcPr>
          <w:p w14:paraId="780B0CD7">
            <w:pPr>
              <w:pStyle w:val="15"/>
              <w:jc w:val="center"/>
              <w:rPr>
                <w:color w:val="auto"/>
                <w:kern w:val="2"/>
                <w:sz w:val="21"/>
                <w:szCs w:val="21"/>
                <w:highlight w:val="none"/>
              </w:rPr>
            </w:pPr>
            <w:r>
              <w:rPr>
                <w:color w:val="auto"/>
                <w:kern w:val="2"/>
                <w:sz w:val="21"/>
                <w:szCs w:val="21"/>
                <w:highlight w:val="none"/>
              </w:rPr>
              <w:t>40</w:t>
            </w:r>
            <w:r>
              <w:rPr>
                <w:rFonts w:hint="eastAsia"/>
                <w:color w:val="auto"/>
                <w:kern w:val="2"/>
                <w:sz w:val="21"/>
                <w:szCs w:val="21"/>
                <w:highlight w:val="none"/>
              </w:rPr>
              <w:t>分</w:t>
            </w:r>
          </w:p>
        </w:tc>
        <w:tc>
          <w:tcPr>
            <w:tcW w:w="6226" w:type="dxa"/>
            <w:gridSpan w:val="2"/>
            <w:vAlign w:val="center"/>
          </w:tcPr>
          <w:p w14:paraId="5AF8926F">
            <w:pPr>
              <w:rPr>
                <w:rFonts w:ascii="宋体" w:hAnsi="宋体" w:cs="宋体"/>
                <w:color w:val="auto"/>
                <w:szCs w:val="21"/>
                <w:highlight w:val="none"/>
              </w:rPr>
            </w:pPr>
            <w:r>
              <w:rPr>
                <w:rFonts w:hint="eastAsia" w:ascii="宋体" w:hAnsi="宋体" w:cs="宋体"/>
                <w:color w:val="auto"/>
                <w:szCs w:val="21"/>
                <w:highlight w:val="none"/>
              </w:rPr>
              <w:t>价格分计算方法：满足磋商文件要求且磋商价格（含税报价）最低的磋商报价为评标基准价，其价格分为满分。其他供应商的价格分统一按照下列公式计算：磋商报价得分=(评标基准价／磋商报价)×价格权重×100。</w:t>
            </w:r>
          </w:p>
        </w:tc>
      </w:tr>
      <w:tr w14:paraId="4C1B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1" w:type="dxa"/>
            <w:gridSpan w:val="7"/>
            <w:vAlign w:val="center"/>
          </w:tcPr>
          <w:p w14:paraId="3595BA60">
            <w:pPr>
              <w:spacing w:line="360" w:lineRule="auto"/>
              <w:jc w:val="center"/>
              <w:rPr>
                <w:rFonts w:ascii="宋体" w:cs="宋体"/>
                <w:b/>
                <w:color w:val="auto"/>
                <w:szCs w:val="21"/>
                <w:highlight w:val="none"/>
              </w:rPr>
            </w:pPr>
            <w:r>
              <w:rPr>
                <w:rFonts w:hint="eastAsia" w:hAnsi="宋体"/>
                <w:b/>
                <w:color w:val="auto"/>
                <w:szCs w:val="21"/>
                <w:highlight w:val="none"/>
              </w:rPr>
              <w:t>商务评分（</w:t>
            </w:r>
            <w:r>
              <w:rPr>
                <w:rFonts w:hAnsi="宋体"/>
                <w:b/>
                <w:color w:val="auto"/>
                <w:szCs w:val="21"/>
                <w:highlight w:val="none"/>
              </w:rPr>
              <w:t>2</w:t>
            </w:r>
            <w:r>
              <w:rPr>
                <w:rFonts w:hint="eastAsia" w:hAnsi="宋体"/>
                <w:b/>
                <w:color w:val="auto"/>
                <w:szCs w:val="21"/>
                <w:highlight w:val="none"/>
              </w:rPr>
              <w:t>0分）</w:t>
            </w:r>
          </w:p>
        </w:tc>
      </w:tr>
      <w:tr w14:paraId="74215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563" w:type="dxa"/>
            <w:vAlign w:val="center"/>
          </w:tcPr>
          <w:p w14:paraId="2399642F">
            <w:pPr>
              <w:spacing w:line="360" w:lineRule="auto"/>
              <w:jc w:val="center"/>
              <w:rPr>
                <w:rFonts w:ascii="仿宋_GB2312" w:hAnsi="仿宋_GB2312" w:cs="仿宋_GB2312"/>
                <w:color w:val="auto"/>
                <w:szCs w:val="21"/>
                <w:highlight w:val="none"/>
              </w:rPr>
            </w:pPr>
            <w:r>
              <w:rPr>
                <w:rFonts w:hint="eastAsia" w:hAnsi="宋体"/>
                <w:color w:val="auto"/>
                <w:szCs w:val="21"/>
                <w:highlight w:val="none"/>
              </w:rPr>
              <w:t>2</w:t>
            </w:r>
          </w:p>
        </w:tc>
        <w:tc>
          <w:tcPr>
            <w:tcW w:w="1605" w:type="dxa"/>
            <w:gridSpan w:val="3"/>
            <w:vAlign w:val="center"/>
          </w:tcPr>
          <w:p w14:paraId="4EA53385">
            <w:pPr>
              <w:jc w:val="center"/>
              <w:rPr>
                <w:rFonts w:ascii="宋体" w:hAnsi="宋体" w:cs="宋体"/>
                <w:color w:val="auto"/>
                <w:szCs w:val="21"/>
                <w:highlight w:val="none"/>
              </w:rPr>
            </w:pPr>
            <w:r>
              <w:rPr>
                <w:rFonts w:hint="eastAsia" w:ascii="宋体" w:hAnsi="宋体" w:cs="宋体"/>
                <w:color w:val="auto"/>
                <w:szCs w:val="21"/>
                <w:highlight w:val="none"/>
              </w:rPr>
              <w:t>业绩情况</w:t>
            </w:r>
          </w:p>
        </w:tc>
        <w:tc>
          <w:tcPr>
            <w:tcW w:w="758" w:type="dxa"/>
            <w:gridSpan w:val="2"/>
            <w:vAlign w:val="center"/>
          </w:tcPr>
          <w:p w14:paraId="32B643FE">
            <w:pPr>
              <w:widowControl/>
              <w:spacing w:line="360" w:lineRule="auto"/>
              <w:jc w:val="center"/>
              <w:rPr>
                <w:rFonts w:hAnsi="宋体" w:cs="宋体"/>
                <w:color w:val="auto"/>
                <w:szCs w:val="21"/>
                <w:highlight w:val="none"/>
              </w:rPr>
            </w:pPr>
            <w:r>
              <w:rPr>
                <w:rFonts w:hint="eastAsia" w:hAnsi="宋体" w:cs="宋体"/>
                <w:color w:val="auto"/>
                <w:szCs w:val="21"/>
                <w:highlight w:val="none"/>
              </w:rPr>
              <w:t>12分</w:t>
            </w:r>
          </w:p>
        </w:tc>
        <w:tc>
          <w:tcPr>
            <w:tcW w:w="6095" w:type="dxa"/>
            <w:vAlign w:val="center"/>
          </w:tcPr>
          <w:p w14:paraId="155B367A">
            <w:pPr>
              <w:rPr>
                <w:rFonts w:ascii="宋体" w:hAnsi="宋体" w:cs="宋体"/>
                <w:color w:val="auto"/>
                <w:szCs w:val="21"/>
                <w:highlight w:val="none"/>
              </w:rPr>
            </w:pPr>
            <w:r>
              <w:rPr>
                <w:rFonts w:hint="eastAsia" w:ascii="宋体" w:hAnsi="宋体" w:cs="宋体"/>
                <w:color w:val="auto"/>
                <w:szCs w:val="21"/>
                <w:highlight w:val="none"/>
              </w:rPr>
              <w:t>（1）根据</w:t>
            </w:r>
            <w:r>
              <w:rPr>
                <w:rFonts w:hint="eastAsia" w:hAnsi="宋体" w:cs="宋体"/>
                <w:color w:val="auto"/>
                <w:szCs w:val="21"/>
                <w:highlight w:val="none"/>
              </w:rPr>
              <w:t>供应商</w:t>
            </w:r>
            <w:r>
              <w:rPr>
                <w:rFonts w:hint="eastAsia" w:ascii="宋体" w:hAnsi="宋体" w:cs="宋体"/>
                <w:color w:val="auto"/>
                <w:szCs w:val="21"/>
                <w:highlight w:val="none"/>
              </w:rPr>
              <w:t>提供自2020年10月1日至响应截止日前（以合同签订时间为准）承接资金来源审计服务的业绩情况进行评审，每提供一项得</w:t>
            </w:r>
            <w:r>
              <w:rPr>
                <w:rFonts w:ascii="宋体" w:hAnsi="宋体" w:cs="宋体"/>
                <w:color w:val="auto"/>
                <w:szCs w:val="21"/>
                <w:highlight w:val="none"/>
              </w:rPr>
              <w:t>3</w:t>
            </w:r>
            <w:r>
              <w:rPr>
                <w:rFonts w:hint="eastAsia" w:ascii="宋体" w:hAnsi="宋体" w:cs="宋体"/>
                <w:color w:val="auto"/>
                <w:szCs w:val="21"/>
                <w:highlight w:val="none"/>
              </w:rPr>
              <w:t>分，本项最高得12分。</w:t>
            </w:r>
          </w:p>
          <w:p w14:paraId="67459992">
            <w:pPr>
              <w:rPr>
                <w:rFonts w:ascii="宋体" w:hAnsi="宋体" w:cs="宋体"/>
                <w:color w:val="auto"/>
                <w:szCs w:val="21"/>
                <w:highlight w:val="none"/>
              </w:rPr>
            </w:pPr>
            <w:r>
              <w:rPr>
                <w:rFonts w:hint="eastAsia" w:ascii="宋体" w:hAnsi="宋体" w:cs="宋体"/>
                <w:b/>
                <w:bCs/>
                <w:color w:val="auto"/>
                <w:szCs w:val="21"/>
                <w:highlight w:val="none"/>
              </w:rPr>
              <w:t>注：须同时提供以下证明材料加盖供应商公章：1)合同主要页复印件；2）与项目相关的发票材料（张数不限）；3）同一项目的业绩不能重复计分。</w:t>
            </w:r>
          </w:p>
        </w:tc>
      </w:tr>
      <w:tr w14:paraId="0E367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vAlign w:val="center"/>
          </w:tcPr>
          <w:p w14:paraId="3E66AC60">
            <w:pPr>
              <w:spacing w:line="360" w:lineRule="auto"/>
              <w:jc w:val="center"/>
              <w:rPr>
                <w:color w:val="auto"/>
                <w:szCs w:val="21"/>
                <w:highlight w:val="none"/>
              </w:rPr>
            </w:pPr>
            <w:r>
              <w:rPr>
                <w:rFonts w:hint="eastAsia" w:hAnsi="宋体"/>
                <w:color w:val="auto"/>
                <w:szCs w:val="21"/>
                <w:highlight w:val="none"/>
              </w:rPr>
              <w:t>3</w:t>
            </w:r>
          </w:p>
        </w:tc>
        <w:tc>
          <w:tcPr>
            <w:tcW w:w="1605" w:type="dxa"/>
            <w:gridSpan w:val="3"/>
            <w:vAlign w:val="center"/>
          </w:tcPr>
          <w:p w14:paraId="03EFAC21">
            <w:pPr>
              <w:jc w:val="center"/>
              <w:rPr>
                <w:rFonts w:ascii="宋体" w:hAnsi="宋体" w:cs="宋体"/>
                <w:color w:val="auto"/>
                <w:szCs w:val="21"/>
                <w:highlight w:val="none"/>
              </w:rPr>
            </w:pPr>
            <w:r>
              <w:rPr>
                <w:rFonts w:hint="eastAsia" w:ascii="宋体" w:hAnsi="宋体" w:cs="宋体"/>
                <w:color w:val="auto"/>
                <w:szCs w:val="21"/>
                <w:highlight w:val="none"/>
              </w:rPr>
              <w:t>拟投入本项目主要人员配置</w:t>
            </w:r>
          </w:p>
        </w:tc>
        <w:tc>
          <w:tcPr>
            <w:tcW w:w="758" w:type="dxa"/>
            <w:gridSpan w:val="2"/>
            <w:vAlign w:val="center"/>
          </w:tcPr>
          <w:p w14:paraId="1CAB2BE2">
            <w:pPr>
              <w:spacing w:line="360" w:lineRule="auto"/>
              <w:jc w:val="center"/>
              <w:rPr>
                <w:rFonts w:hAnsi="宋体" w:cs="宋体"/>
                <w:color w:val="auto"/>
                <w:szCs w:val="21"/>
                <w:highlight w:val="none"/>
              </w:rPr>
            </w:pPr>
            <w:r>
              <w:rPr>
                <w:rFonts w:hint="eastAsia" w:hAnsi="宋体" w:cs="宋体"/>
                <w:color w:val="auto"/>
                <w:szCs w:val="21"/>
                <w:highlight w:val="none"/>
              </w:rPr>
              <w:t>8分</w:t>
            </w:r>
          </w:p>
        </w:tc>
        <w:tc>
          <w:tcPr>
            <w:tcW w:w="6095" w:type="dxa"/>
            <w:vAlign w:val="center"/>
          </w:tcPr>
          <w:p w14:paraId="6DBF31EC">
            <w:pPr>
              <w:rPr>
                <w:rFonts w:hAnsi="宋体"/>
                <w:color w:val="auto"/>
                <w:szCs w:val="21"/>
                <w:highlight w:val="none"/>
              </w:rPr>
            </w:pPr>
            <w:r>
              <w:rPr>
                <w:rFonts w:hint="eastAsia" w:hAnsi="宋体"/>
                <w:color w:val="auto"/>
                <w:szCs w:val="21"/>
                <w:highlight w:val="none"/>
              </w:rPr>
              <w:t>供应商拟</w:t>
            </w:r>
            <w:r>
              <w:rPr>
                <w:rFonts w:hint="eastAsia" w:ascii="宋体" w:hAnsi="宋体" w:cs="宋体"/>
                <w:color w:val="auto"/>
                <w:szCs w:val="21"/>
                <w:highlight w:val="none"/>
              </w:rPr>
              <w:t>投入本项目主要人员</w:t>
            </w:r>
            <w:r>
              <w:rPr>
                <w:rFonts w:hint="eastAsia" w:hAnsi="宋体"/>
                <w:color w:val="auto"/>
                <w:szCs w:val="21"/>
                <w:highlight w:val="none"/>
              </w:rPr>
              <w:t>：</w:t>
            </w:r>
          </w:p>
          <w:p w14:paraId="5AEB2D1C">
            <w:pPr>
              <w:rPr>
                <w:rFonts w:hAnsi="宋体" w:cs="宋体"/>
                <w:color w:val="auto"/>
                <w:szCs w:val="21"/>
                <w:highlight w:val="none"/>
              </w:rPr>
            </w:pPr>
            <w:r>
              <w:rPr>
                <w:rFonts w:hint="eastAsia" w:hAnsi="宋体"/>
                <w:color w:val="auto"/>
                <w:szCs w:val="21"/>
                <w:highlight w:val="none"/>
              </w:rPr>
              <w:t>具有注册会计师资格的</w:t>
            </w:r>
            <w:r>
              <w:rPr>
                <w:rFonts w:hint="eastAsia" w:hAnsi="宋体" w:cs="宋体"/>
                <w:color w:val="auto"/>
                <w:szCs w:val="21"/>
                <w:highlight w:val="none"/>
              </w:rPr>
              <w:t>每个得2分，本项最高得8分。</w:t>
            </w:r>
          </w:p>
          <w:p w14:paraId="0B2E671D">
            <w:pPr>
              <w:rPr>
                <w:rFonts w:ascii="宋体" w:hAnsi="宋体" w:cs="宋体"/>
                <w:color w:val="auto"/>
                <w:szCs w:val="21"/>
                <w:highlight w:val="none"/>
              </w:rPr>
            </w:pPr>
            <w:r>
              <w:rPr>
                <w:rFonts w:hint="eastAsia" w:ascii="宋体" w:hAnsi="宋体" w:cs="宋体"/>
                <w:b/>
                <w:bCs/>
                <w:color w:val="auto"/>
                <w:kern w:val="0"/>
                <w:szCs w:val="21"/>
                <w:highlight w:val="none"/>
              </w:rPr>
              <w:t>注：</w:t>
            </w:r>
            <w:r>
              <w:rPr>
                <w:rFonts w:hint="eastAsia" w:hAnsi="宋体"/>
                <w:b/>
                <w:color w:val="auto"/>
                <w:szCs w:val="21"/>
                <w:highlight w:val="none"/>
              </w:rPr>
              <w:t>须提供以上人员的相关证书及供应商连续为其缴纳的社保证明文件（社保证明应为响应文件递交截止日前半年时间内连续不少于三个月的有效证明材料，可以是在供应商总公司或分公司的社保缴纳证明文件，可以是原件或复印件，社保缴纳证明文件应具备社保管理机构印章）复印件加盖公章</w:t>
            </w:r>
            <w:r>
              <w:rPr>
                <w:rFonts w:hint="eastAsia" w:ascii="宋体" w:hAnsi="宋体" w:cs="宋体"/>
                <w:b/>
                <w:bCs/>
                <w:color w:val="auto"/>
                <w:szCs w:val="21"/>
                <w:highlight w:val="none"/>
              </w:rPr>
              <w:t>。</w:t>
            </w:r>
          </w:p>
        </w:tc>
      </w:tr>
      <w:tr w14:paraId="0ED15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21" w:type="dxa"/>
            <w:gridSpan w:val="7"/>
            <w:vAlign w:val="center"/>
          </w:tcPr>
          <w:p w14:paraId="59C5A82B">
            <w:pPr>
              <w:spacing w:line="360" w:lineRule="auto"/>
              <w:jc w:val="center"/>
              <w:rPr>
                <w:rFonts w:ascii="宋体" w:hAnsi="宋体" w:cs="宋体"/>
                <w:color w:val="auto"/>
                <w:szCs w:val="21"/>
                <w:highlight w:val="none"/>
              </w:rPr>
            </w:pPr>
            <w:r>
              <w:rPr>
                <w:rFonts w:hint="eastAsia" w:hAnsi="宋体"/>
                <w:b/>
                <w:color w:val="auto"/>
                <w:szCs w:val="21"/>
                <w:highlight w:val="none"/>
              </w:rPr>
              <w:t>技术评分（40分）</w:t>
            </w:r>
          </w:p>
        </w:tc>
      </w:tr>
      <w:tr w14:paraId="0E932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vAlign w:val="center"/>
          </w:tcPr>
          <w:p w14:paraId="0F50897B">
            <w:pPr>
              <w:jc w:val="center"/>
              <w:rPr>
                <w:color w:val="auto"/>
                <w:szCs w:val="21"/>
                <w:highlight w:val="none"/>
              </w:rPr>
            </w:pPr>
            <w:r>
              <w:rPr>
                <w:rFonts w:hint="eastAsia" w:hAnsi="宋体"/>
                <w:color w:val="auto"/>
                <w:szCs w:val="21"/>
                <w:highlight w:val="none"/>
              </w:rPr>
              <w:t>1</w:t>
            </w:r>
          </w:p>
        </w:tc>
        <w:tc>
          <w:tcPr>
            <w:tcW w:w="1605" w:type="dxa"/>
            <w:gridSpan w:val="3"/>
            <w:vAlign w:val="center"/>
          </w:tcPr>
          <w:p w14:paraId="1FB6FE2A">
            <w:pPr>
              <w:jc w:val="center"/>
              <w:rPr>
                <w:rFonts w:ascii="宋体" w:hAnsi="宋体" w:cs="宋体"/>
                <w:color w:val="auto"/>
                <w:szCs w:val="21"/>
                <w:highlight w:val="none"/>
              </w:rPr>
            </w:pPr>
            <w:r>
              <w:rPr>
                <w:rFonts w:hint="eastAsia" w:ascii="宋体" w:hAnsi="宋体" w:cs="宋体"/>
                <w:color w:val="auto"/>
                <w:szCs w:val="21"/>
                <w:highlight w:val="none"/>
              </w:rPr>
              <w:t>对本项目的理解</w:t>
            </w:r>
          </w:p>
        </w:tc>
        <w:tc>
          <w:tcPr>
            <w:tcW w:w="758" w:type="dxa"/>
            <w:gridSpan w:val="2"/>
            <w:vAlign w:val="center"/>
          </w:tcPr>
          <w:p w14:paraId="4A4159DD">
            <w:pPr>
              <w:jc w:val="center"/>
              <w:rPr>
                <w:rFonts w:ascii="宋体" w:hAnsi="宋体" w:cs="宋体"/>
                <w:color w:val="auto"/>
                <w:szCs w:val="21"/>
                <w:highlight w:val="none"/>
              </w:rPr>
            </w:pPr>
            <w:r>
              <w:rPr>
                <w:rFonts w:hAnsi="宋体" w:cs="宋体"/>
                <w:color w:val="auto"/>
                <w:szCs w:val="21"/>
                <w:highlight w:val="none"/>
              </w:rPr>
              <w:t>5</w:t>
            </w:r>
            <w:r>
              <w:rPr>
                <w:rFonts w:hint="eastAsia" w:hAnsi="宋体" w:cs="宋体"/>
                <w:color w:val="auto"/>
                <w:szCs w:val="21"/>
                <w:highlight w:val="none"/>
              </w:rPr>
              <w:t>分</w:t>
            </w:r>
          </w:p>
        </w:tc>
        <w:tc>
          <w:tcPr>
            <w:tcW w:w="6095" w:type="dxa"/>
            <w:vAlign w:val="center"/>
          </w:tcPr>
          <w:p w14:paraId="48214D80">
            <w:pPr>
              <w:rPr>
                <w:rFonts w:ascii="宋体" w:hAnsi="宋体" w:cs="宋体"/>
                <w:color w:val="auto"/>
                <w:szCs w:val="21"/>
                <w:highlight w:val="none"/>
              </w:rPr>
            </w:pPr>
            <w:r>
              <w:rPr>
                <w:rFonts w:hint="eastAsia" w:ascii="宋体" w:hAnsi="宋体" w:cs="宋体"/>
                <w:color w:val="auto"/>
                <w:szCs w:val="21"/>
                <w:highlight w:val="none"/>
              </w:rPr>
              <w:t>根据供应商对项目的认识、了解、理解是否深刻，对项目的初步分析、关键点分析是否准确，是否对项目的要求做出响应等进行综合评审。</w:t>
            </w:r>
          </w:p>
          <w:p w14:paraId="40A6F5A7">
            <w:pPr>
              <w:rPr>
                <w:rFonts w:ascii="宋体" w:hAnsi="宋体" w:cs="宋体"/>
                <w:color w:val="auto"/>
                <w:szCs w:val="21"/>
                <w:highlight w:val="none"/>
              </w:rPr>
            </w:pPr>
            <w:r>
              <w:rPr>
                <w:rFonts w:hint="eastAsia" w:ascii="宋体" w:hAnsi="宋体" w:cs="宋体"/>
                <w:color w:val="auto"/>
                <w:szCs w:val="21"/>
                <w:highlight w:val="none"/>
              </w:rPr>
              <w:t>优：对本项目理解透彻，工作要点理解清晰准确，具有系统性及可操作性得</w:t>
            </w:r>
            <w:r>
              <w:rPr>
                <w:rFonts w:ascii="宋体" w:hAnsi="宋体" w:cs="宋体"/>
                <w:color w:val="auto"/>
                <w:szCs w:val="21"/>
                <w:highlight w:val="none"/>
              </w:rPr>
              <w:t>5</w:t>
            </w:r>
            <w:r>
              <w:rPr>
                <w:rFonts w:hint="eastAsia" w:ascii="宋体" w:hAnsi="宋体" w:cs="宋体"/>
                <w:color w:val="auto"/>
                <w:szCs w:val="21"/>
                <w:highlight w:val="none"/>
              </w:rPr>
              <w:t>分；</w:t>
            </w:r>
          </w:p>
          <w:p w14:paraId="602ACC73">
            <w:pPr>
              <w:rPr>
                <w:rFonts w:ascii="宋体" w:hAnsi="宋体" w:cs="宋体"/>
                <w:color w:val="auto"/>
                <w:szCs w:val="21"/>
                <w:highlight w:val="none"/>
              </w:rPr>
            </w:pPr>
            <w:r>
              <w:rPr>
                <w:rFonts w:hint="eastAsia" w:ascii="宋体" w:hAnsi="宋体" w:cs="宋体"/>
                <w:color w:val="auto"/>
                <w:szCs w:val="21"/>
                <w:highlight w:val="none"/>
              </w:rPr>
              <w:t>中：对本项目理解一般，工作要求理解一般，操作性一般，得3分；</w:t>
            </w:r>
          </w:p>
          <w:p w14:paraId="64F24E3D">
            <w:pPr>
              <w:rPr>
                <w:rFonts w:ascii="宋体" w:hAnsi="宋体" w:cs="宋体"/>
                <w:color w:val="auto"/>
                <w:szCs w:val="21"/>
                <w:highlight w:val="none"/>
              </w:rPr>
            </w:pPr>
            <w:r>
              <w:rPr>
                <w:rFonts w:hint="eastAsia" w:ascii="宋体" w:hAnsi="宋体" w:cs="宋体"/>
                <w:color w:val="auto"/>
                <w:szCs w:val="21"/>
                <w:highlight w:val="none"/>
              </w:rPr>
              <w:t>差：对本项目理解不够透彻，工作要求理解不够清晰准确，操作性不强得1分；</w:t>
            </w:r>
          </w:p>
          <w:p w14:paraId="3EB05AAB">
            <w:pPr>
              <w:rPr>
                <w:rFonts w:hAnsi="宋体" w:cs="宋体"/>
                <w:color w:val="auto"/>
                <w:szCs w:val="21"/>
                <w:highlight w:val="none"/>
              </w:rPr>
            </w:pPr>
            <w:r>
              <w:rPr>
                <w:rFonts w:hint="eastAsia" w:ascii="宋体" w:hAnsi="宋体" w:cs="宋体"/>
                <w:color w:val="auto"/>
                <w:szCs w:val="21"/>
                <w:highlight w:val="none"/>
              </w:rPr>
              <w:t>无提供不得分。</w:t>
            </w:r>
          </w:p>
        </w:tc>
      </w:tr>
      <w:tr w14:paraId="55FE9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vAlign w:val="center"/>
          </w:tcPr>
          <w:p w14:paraId="3EC55125">
            <w:pPr>
              <w:jc w:val="center"/>
              <w:rPr>
                <w:color w:val="auto"/>
                <w:szCs w:val="21"/>
                <w:highlight w:val="none"/>
              </w:rPr>
            </w:pPr>
            <w:r>
              <w:rPr>
                <w:rFonts w:hint="eastAsia" w:hAnsi="宋体"/>
                <w:color w:val="auto"/>
                <w:szCs w:val="21"/>
                <w:highlight w:val="none"/>
              </w:rPr>
              <w:t>2</w:t>
            </w:r>
          </w:p>
        </w:tc>
        <w:tc>
          <w:tcPr>
            <w:tcW w:w="1605" w:type="dxa"/>
            <w:gridSpan w:val="3"/>
            <w:vAlign w:val="center"/>
          </w:tcPr>
          <w:p w14:paraId="32C6C1A6">
            <w:pPr>
              <w:jc w:val="center"/>
              <w:rPr>
                <w:rFonts w:ascii="宋体" w:hAnsi="宋体" w:cs="宋体"/>
                <w:color w:val="auto"/>
                <w:szCs w:val="21"/>
                <w:highlight w:val="none"/>
              </w:rPr>
            </w:pPr>
            <w:r>
              <w:rPr>
                <w:rFonts w:hint="eastAsia" w:ascii="宋体" w:hAnsi="宋体" w:cs="宋体"/>
                <w:color w:val="auto"/>
                <w:szCs w:val="21"/>
                <w:highlight w:val="none"/>
              </w:rPr>
              <w:t>服务方案</w:t>
            </w:r>
          </w:p>
        </w:tc>
        <w:tc>
          <w:tcPr>
            <w:tcW w:w="758" w:type="dxa"/>
            <w:gridSpan w:val="2"/>
            <w:vAlign w:val="center"/>
          </w:tcPr>
          <w:p w14:paraId="0DFFC28B">
            <w:pPr>
              <w:jc w:val="center"/>
              <w:rPr>
                <w:rFonts w:ascii="宋体" w:hAnsi="宋体" w:cs="宋体"/>
                <w:color w:val="auto"/>
                <w:szCs w:val="21"/>
                <w:highlight w:val="none"/>
              </w:rPr>
            </w:pPr>
            <w:r>
              <w:rPr>
                <w:rFonts w:hAnsi="宋体" w:cs="宋体"/>
                <w:color w:val="auto"/>
                <w:szCs w:val="21"/>
                <w:highlight w:val="none"/>
              </w:rPr>
              <w:t>15</w:t>
            </w:r>
            <w:r>
              <w:rPr>
                <w:rFonts w:hint="eastAsia" w:hAnsi="宋体" w:cs="宋体"/>
                <w:color w:val="auto"/>
                <w:szCs w:val="21"/>
                <w:highlight w:val="none"/>
              </w:rPr>
              <w:t>分</w:t>
            </w:r>
          </w:p>
        </w:tc>
        <w:tc>
          <w:tcPr>
            <w:tcW w:w="6095" w:type="dxa"/>
            <w:vAlign w:val="center"/>
          </w:tcPr>
          <w:p w14:paraId="27D6FBAE">
            <w:pPr>
              <w:rPr>
                <w:rFonts w:hAnsi="宋体" w:cs="宋体"/>
                <w:color w:val="auto"/>
                <w:szCs w:val="21"/>
                <w:highlight w:val="none"/>
              </w:rPr>
            </w:pPr>
            <w:r>
              <w:rPr>
                <w:rFonts w:hint="eastAsia" w:hAnsi="宋体" w:cs="宋体"/>
                <w:color w:val="auto"/>
                <w:szCs w:val="21"/>
                <w:highlight w:val="none"/>
                <w:lang w:bidi="ar"/>
              </w:rPr>
              <w:t>根据供应商</w:t>
            </w:r>
            <w:r>
              <w:rPr>
                <w:rFonts w:hint="eastAsia" w:hAnsi="宋体" w:cs="宋体"/>
                <w:color w:val="auto"/>
                <w:szCs w:val="21"/>
                <w:highlight w:val="none"/>
              </w:rPr>
              <w:t>提出的服务方案进行综合评价：</w:t>
            </w:r>
          </w:p>
          <w:p w14:paraId="7D8209FD">
            <w:pPr>
              <w:rPr>
                <w:rFonts w:hAnsi="宋体" w:cs="宋体"/>
                <w:color w:val="auto"/>
                <w:szCs w:val="21"/>
                <w:highlight w:val="none"/>
              </w:rPr>
            </w:pPr>
            <w:r>
              <w:rPr>
                <w:rFonts w:hint="eastAsia" w:hAnsi="宋体" w:cs="宋体"/>
                <w:color w:val="auto"/>
                <w:szCs w:val="21"/>
                <w:highlight w:val="none"/>
              </w:rPr>
              <w:t>优：方案详细具体，针对性强，完全满足并优于用户需求的，得1</w:t>
            </w:r>
            <w:r>
              <w:rPr>
                <w:rFonts w:hAnsi="宋体" w:cs="宋体"/>
                <w:color w:val="auto"/>
                <w:szCs w:val="21"/>
                <w:highlight w:val="none"/>
              </w:rPr>
              <w:t>5</w:t>
            </w:r>
            <w:r>
              <w:rPr>
                <w:rFonts w:hint="eastAsia" w:hAnsi="宋体" w:cs="宋体"/>
                <w:color w:val="auto"/>
                <w:szCs w:val="21"/>
                <w:highlight w:val="none"/>
              </w:rPr>
              <w:t>分；</w:t>
            </w:r>
          </w:p>
          <w:p w14:paraId="00C62F91">
            <w:pPr>
              <w:rPr>
                <w:rFonts w:hAnsi="宋体" w:cs="宋体"/>
                <w:color w:val="auto"/>
                <w:szCs w:val="21"/>
                <w:highlight w:val="none"/>
              </w:rPr>
            </w:pPr>
            <w:r>
              <w:rPr>
                <w:rFonts w:hint="eastAsia" w:hAnsi="宋体" w:cs="宋体"/>
                <w:color w:val="auto"/>
                <w:szCs w:val="21"/>
                <w:highlight w:val="none"/>
              </w:rPr>
              <w:t>良：方案较详细具体，针对性较强，完全满足用户需求的，得</w:t>
            </w:r>
            <w:r>
              <w:rPr>
                <w:rFonts w:hAnsi="宋体" w:cs="宋体"/>
                <w:color w:val="auto"/>
                <w:szCs w:val="21"/>
                <w:highlight w:val="none"/>
              </w:rPr>
              <w:t>10</w:t>
            </w:r>
            <w:r>
              <w:rPr>
                <w:rFonts w:hint="eastAsia" w:hAnsi="宋体" w:cs="宋体"/>
                <w:color w:val="auto"/>
                <w:szCs w:val="21"/>
                <w:highlight w:val="none"/>
              </w:rPr>
              <w:t xml:space="preserve">分； </w:t>
            </w:r>
          </w:p>
          <w:p w14:paraId="4E1B7C81">
            <w:pPr>
              <w:rPr>
                <w:rFonts w:hAnsi="宋体" w:cs="宋体"/>
                <w:color w:val="auto"/>
                <w:szCs w:val="21"/>
                <w:highlight w:val="none"/>
              </w:rPr>
            </w:pPr>
            <w:r>
              <w:rPr>
                <w:rFonts w:hint="eastAsia" w:hAnsi="宋体" w:cs="宋体"/>
                <w:color w:val="auto"/>
                <w:szCs w:val="21"/>
                <w:highlight w:val="none"/>
              </w:rPr>
              <w:t>中：方案具体，针对性一般，基本满足用户需求的，得</w:t>
            </w:r>
            <w:r>
              <w:rPr>
                <w:rFonts w:hAnsi="宋体" w:cs="宋体"/>
                <w:color w:val="auto"/>
                <w:szCs w:val="21"/>
                <w:highlight w:val="none"/>
              </w:rPr>
              <w:t>5</w:t>
            </w:r>
            <w:r>
              <w:rPr>
                <w:rFonts w:hint="eastAsia" w:hAnsi="宋体" w:cs="宋体"/>
                <w:color w:val="auto"/>
                <w:szCs w:val="21"/>
                <w:highlight w:val="none"/>
              </w:rPr>
              <w:t xml:space="preserve">分； </w:t>
            </w:r>
          </w:p>
          <w:p w14:paraId="0F844EDD">
            <w:pPr>
              <w:rPr>
                <w:rFonts w:hAnsi="宋体" w:cs="宋体"/>
                <w:color w:val="auto"/>
                <w:szCs w:val="21"/>
                <w:highlight w:val="none"/>
              </w:rPr>
            </w:pPr>
            <w:r>
              <w:rPr>
                <w:rFonts w:hint="eastAsia" w:hAnsi="宋体" w:cs="宋体"/>
                <w:color w:val="auto"/>
                <w:szCs w:val="21"/>
                <w:highlight w:val="none"/>
              </w:rPr>
              <w:t>差：方案具体，针对性一般，不能完全满足用户需求的，得1分；</w:t>
            </w:r>
          </w:p>
          <w:p w14:paraId="61D225BC">
            <w:pPr>
              <w:rPr>
                <w:rFonts w:hAnsi="宋体" w:cs="宋体"/>
                <w:color w:val="auto"/>
                <w:szCs w:val="21"/>
                <w:highlight w:val="none"/>
              </w:rPr>
            </w:pPr>
            <w:r>
              <w:rPr>
                <w:rFonts w:hint="eastAsia" w:ascii="宋体" w:hAnsi="宋体" w:cs="宋体"/>
                <w:color w:val="auto"/>
                <w:szCs w:val="21"/>
                <w:highlight w:val="none"/>
              </w:rPr>
              <w:t>无提供不得分。</w:t>
            </w:r>
          </w:p>
        </w:tc>
      </w:tr>
      <w:tr w14:paraId="5C950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vAlign w:val="center"/>
          </w:tcPr>
          <w:p w14:paraId="234090EF">
            <w:pPr>
              <w:jc w:val="center"/>
              <w:rPr>
                <w:rFonts w:hAnsi="宋体"/>
                <w:color w:val="auto"/>
                <w:szCs w:val="21"/>
                <w:highlight w:val="none"/>
              </w:rPr>
            </w:pPr>
            <w:r>
              <w:rPr>
                <w:rFonts w:hint="eastAsia" w:hAnsi="宋体"/>
                <w:color w:val="auto"/>
                <w:szCs w:val="21"/>
                <w:highlight w:val="none"/>
              </w:rPr>
              <w:t>3</w:t>
            </w:r>
          </w:p>
        </w:tc>
        <w:tc>
          <w:tcPr>
            <w:tcW w:w="1605" w:type="dxa"/>
            <w:gridSpan w:val="3"/>
            <w:vAlign w:val="center"/>
          </w:tcPr>
          <w:p w14:paraId="7F04E4EE">
            <w:pPr>
              <w:jc w:val="center"/>
              <w:rPr>
                <w:rFonts w:ascii="宋体" w:hAnsi="宋体" w:cs="宋体"/>
                <w:color w:val="auto"/>
                <w:szCs w:val="21"/>
                <w:highlight w:val="none"/>
              </w:rPr>
            </w:pPr>
            <w:r>
              <w:rPr>
                <w:rFonts w:hint="eastAsia" w:ascii="宋体" w:hAnsi="宋体" w:cs="宋体"/>
                <w:color w:val="auto"/>
                <w:szCs w:val="21"/>
                <w:highlight w:val="none"/>
              </w:rPr>
              <w:t>进度计划</w:t>
            </w:r>
          </w:p>
        </w:tc>
        <w:tc>
          <w:tcPr>
            <w:tcW w:w="758" w:type="dxa"/>
            <w:gridSpan w:val="2"/>
            <w:vAlign w:val="center"/>
          </w:tcPr>
          <w:p w14:paraId="79CF82EE">
            <w:pPr>
              <w:jc w:val="center"/>
              <w:rPr>
                <w:rFonts w:hAnsi="宋体" w:cs="宋体"/>
                <w:color w:val="auto"/>
                <w:szCs w:val="21"/>
                <w:highlight w:val="none"/>
              </w:rPr>
            </w:pPr>
            <w:r>
              <w:rPr>
                <w:rFonts w:hAnsi="宋体" w:cs="宋体"/>
                <w:color w:val="auto"/>
                <w:szCs w:val="21"/>
                <w:highlight w:val="none"/>
              </w:rPr>
              <w:t>12</w:t>
            </w:r>
            <w:r>
              <w:rPr>
                <w:rFonts w:hint="eastAsia" w:hAnsi="宋体" w:cs="宋体"/>
                <w:color w:val="auto"/>
                <w:szCs w:val="21"/>
                <w:highlight w:val="none"/>
              </w:rPr>
              <w:t>分</w:t>
            </w:r>
          </w:p>
        </w:tc>
        <w:tc>
          <w:tcPr>
            <w:tcW w:w="6095" w:type="dxa"/>
            <w:vAlign w:val="center"/>
          </w:tcPr>
          <w:p w14:paraId="28DEEA0F">
            <w:pPr>
              <w:widowControl/>
              <w:jc w:val="left"/>
              <w:rPr>
                <w:rFonts w:hAnsi="宋体" w:cs="宋体"/>
                <w:color w:val="auto"/>
                <w:szCs w:val="21"/>
                <w:highlight w:val="none"/>
                <w:lang w:bidi="ar"/>
              </w:rPr>
            </w:pPr>
            <w:r>
              <w:rPr>
                <w:rFonts w:hint="eastAsia" w:hAnsi="宋体" w:cs="宋体"/>
                <w:color w:val="auto"/>
                <w:szCs w:val="21"/>
                <w:highlight w:val="none"/>
                <w:lang w:bidi="ar"/>
              </w:rPr>
              <w:t>根据供应商制定的进度计划进行综合评价：</w:t>
            </w:r>
          </w:p>
          <w:p w14:paraId="0AC61632">
            <w:pPr>
              <w:widowControl/>
              <w:numPr>
                <w:ilvl w:val="255"/>
                <w:numId w:val="0"/>
              </w:numPr>
              <w:jc w:val="left"/>
              <w:rPr>
                <w:rFonts w:hAnsi="宋体" w:cs="宋体"/>
                <w:color w:val="auto"/>
                <w:szCs w:val="21"/>
                <w:highlight w:val="none"/>
                <w:lang w:bidi="ar"/>
              </w:rPr>
            </w:pPr>
            <w:r>
              <w:rPr>
                <w:rFonts w:hint="eastAsia" w:hAnsi="宋体" w:cs="宋体"/>
                <w:color w:val="auto"/>
                <w:szCs w:val="21"/>
                <w:highlight w:val="none"/>
                <w:lang w:bidi="ar"/>
              </w:rPr>
              <w:t>优：对本项目进度计划详细可行、合理，进度保证措施完善得</w:t>
            </w:r>
            <w:r>
              <w:rPr>
                <w:rFonts w:hAnsi="宋体" w:cs="宋体"/>
                <w:color w:val="auto"/>
                <w:szCs w:val="21"/>
                <w:highlight w:val="none"/>
                <w:lang w:bidi="ar"/>
              </w:rPr>
              <w:t>12</w:t>
            </w:r>
            <w:r>
              <w:rPr>
                <w:rFonts w:hint="eastAsia" w:hAnsi="宋体" w:cs="宋体"/>
                <w:color w:val="auto"/>
                <w:szCs w:val="21"/>
                <w:highlight w:val="none"/>
                <w:lang w:bidi="ar"/>
              </w:rPr>
              <w:t>分；</w:t>
            </w:r>
          </w:p>
          <w:p w14:paraId="6C4E4059">
            <w:pPr>
              <w:widowControl/>
              <w:numPr>
                <w:ilvl w:val="255"/>
                <w:numId w:val="0"/>
              </w:numPr>
              <w:jc w:val="left"/>
              <w:rPr>
                <w:rFonts w:hAnsi="宋体" w:cs="宋体"/>
                <w:color w:val="auto"/>
                <w:szCs w:val="21"/>
                <w:highlight w:val="none"/>
                <w:lang w:bidi="ar"/>
              </w:rPr>
            </w:pPr>
            <w:r>
              <w:rPr>
                <w:rFonts w:hint="eastAsia" w:hAnsi="宋体" w:cs="宋体"/>
                <w:color w:val="auto"/>
                <w:szCs w:val="21"/>
                <w:highlight w:val="none"/>
                <w:lang w:bidi="ar"/>
              </w:rPr>
              <w:t xml:space="preserve"> 良：对本项目进度计划较为详细，进度保证措施较为完善得</w:t>
            </w:r>
            <w:r>
              <w:rPr>
                <w:rFonts w:hAnsi="宋体" w:cs="宋体"/>
                <w:color w:val="auto"/>
                <w:szCs w:val="21"/>
                <w:highlight w:val="none"/>
                <w:lang w:bidi="ar"/>
              </w:rPr>
              <w:t>8</w:t>
            </w:r>
            <w:r>
              <w:rPr>
                <w:rFonts w:hint="eastAsia" w:hAnsi="宋体" w:cs="宋体"/>
                <w:color w:val="auto"/>
                <w:szCs w:val="21"/>
                <w:highlight w:val="none"/>
                <w:lang w:bidi="ar"/>
              </w:rPr>
              <w:t xml:space="preserve">分； </w:t>
            </w:r>
          </w:p>
          <w:p w14:paraId="11077B6A">
            <w:pPr>
              <w:widowControl/>
              <w:numPr>
                <w:ilvl w:val="255"/>
                <w:numId w:val="0"/>
              </w:numPr>
              <w:jc w:val="left"/>
              <w:rPr>
                <w:rFonts w:hAnsi="宋体" w:cs="宋体"/>
                <w:color w:val="auto"/>
                <w:szCs w:val="21"/>
                <w:highlight w:val="none"/>
                <w:lang w:bidi="ar"/>
              </w:rPr>
            </w:pPr>
            <w:r>
              <w:rPr>
                <w:rFonts w:hint="eastAsia" w:hAnsi="宋体" w:cs="宋体"/>
                <w:color w:val="auto"/>
                <w:szCs w:val="21"/>
                <w:highlight w:val="none"/>
                <w:lang w:bidi="ar"/>
              </w:rPr>
              <w:t>中：对本项目进度计划一般，进度保证措施一般得</w:t>
            </w:r>
            <w:r>
              <w:rPr>
                <w:rFonts w:hAnsi="宋体" w:cs="宋体"/>
                <w:color w:val="auto"/>
                <w:szCs w:val="21"/>
                <w:highlight w:val="none"/>
                <w:lang w:bidi="ar"/>
              </w:rPr>
              <w:t>4</w:t>
            </w:r>
            <w:r>
              <w:rPr>
                <w:rFonts w:hint="eastAsia" w:hAnsi="宋体" w:cs="宋体"/>
                <w:color w:val="auto"/>
                <w:szCs w:val="21"/>
                <w:highlight w:val="none"/>
                <w:lang w:bidi="ar"/>
              </w:rPr>
              <w:t>分；</w:t>
            </w:r>
          </w:p>
          <w:p w14:paraId="67164655">
            <w:pPr>
              <w:widowControl/>
              <w:jc w:val="left"/>
              <w:rPr>
                <w:rFonts w:ascii="宋体" w:hAnsi="宋体" w:cs="宋体"/>
                <w:color w:val="auto"/>
                <w:szCs w:val="21"/>
                <w:highlight w:val="none"/>
              </w:rPr>
            </w:pPr>
            <w:r>
              <w:rPr>
                <w:rFonts w:hint="eastAsia" w:hAnsi="宋体" w:cs="宋体"/>
                <w:color w:val="auto"/>
                <w:szCs w:val="21"/>
                <w:highlight w:val="none"/>
                <w:lang w:bidi="ar"/>
              </w:rPr>
              <w:t xml:space="preserve"> 差：对本项目进度计划不够详细，进度保证措施不够完善得1分； 无提供不得分。</w:t>
            </w:r>
          </w:p>
        </w:tc>
      </w:tr>
      <w:tr w14:paraId="0F4DF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vAlign w:val="center"/>
          </w:tcPr>
          <w:p w14:paraId="5C3634C4">
            <w:pPr>
              <w:jc w:val="center"/>
              <w:rPr>
                <w:rFonts w:hAnsi="宋体"/>
                <w:color w:val="auto"/>
                <w:szCs w:val="21"/>
                <w:highlight w:val="none"/>
              </w:rPr>
            </w:pPr>
            <w:r>
              <w:rPr>
                <w:rFonts w:hint="eastAsia" w:hAnsi="宋体"/>
                <w:color w:val="auto"/>
                <w:szCs w:val="21"/>
                <w:highlight w:val="none"/>
              </w:rPr>
              <w:t>4</w:t>
            </w:r>
          </w:p>
        </w:tc>
        <w:tc>
          <w:tcPr>
            <w:tcW w:w="1605" w:type="dxa"/>
            <w:gridSpan w:val="3"/>
            <w:vAlign w:val="center"/>
          </w:tcPr>
          <w:p w14:paraId="2693182C">
            <w:pPr>
              <w:jc w:val="center"/>
              <w:rPr>
                <w:rFonts w:ascii="宋体" w:hAnsi="宋体" w:cs="宋体"/>
                <w:color w:val="auto"/>
                <w:szCs w:val="21"/>
                <w:highlight w:val="none"/>
              </w:rPr>
            </w:pPr>
            <w:r>
              <w:rPr>
                <w:rFonts w:hint="eastAsia" w:ascii="宋体" w:hAnsi="宋体" w:cs="宋体"/>
                <w:color w:val="auto"/>
                <w:szCs w:val="21"/>
                <w:highlight w:val="none"/>
              </w:rPr>
              <w:t>服务保障措施</w:t>
            </w:r>
          </w:p>
        </w:tc>
        <w:tc>
          <w:tcPr>
            <w:tcW w:w="758" w:type="dxa"/>
            <w:gridSpan w:val="2"/>
            <w:vAlign w:val="center"/>
          </w:tcPr>
          <w:p w14:paraId="74132912">
            <w:pPr>
              <w:jc w:val="center"/>
              <w:rPr>
                <w:rFonts w:hAnsi="宋体" w:cs="宋体"/>
                <w:color w:val="auto"/>
                <w:szCs w:val="21"/>
                <w:highlight w:val="none"/>
              </w:rPr>
            </w:pPr>
            <w:r>
              <w:rPr>
                <w:rFonts w:hAnsi="宋体" w:cs="宋体"/>
                <w:color w:val="auto"/>
                <w:szCs w:val="21"/>
                <w:highlight w:val="none"/>
              </w:rPr>
              <w:t>8</w:t>
            </w:r>
            <w:r>
              <w:rPr>
                <w:rFonts w:hint="eastAsia" w:hAnsi="宋体" w:cs="宋体"/>
                <w:color w:val="auto"/>
                <w:szCs w:val="21"/>
                <w:highlight w:val="none"/>
              </w:rPr>
              <w:t>分</w:t>
            </w:r>
          </w:p>
        </w:tc>
        <w:tc>
          <w:tcPr>
            <w:tcW w:w="6095" w:type="dxa"/>
            <w:vAlign w:val="center"/>
          </w:tcPr>
          <w:p w14:paraId="1E1B969F">
            <w:pPr>
              <w:widowControl/>
              <w:jc w:val="left"/>
              <w:rPr>
                <w:rFonts w:hAnsi="宋体" w:cs="宋体"/>
                <w:color w:val="auto"/>
                <w:szCs w:val="21"/>
                <w:highlight w:val="none"/>
                <w:lang w:bidi="ar"/>
              </w:rPr>
            </w:pPr>
            <w:r>
              <w:rPr>
                <w:rFonts w:hint="eastAsia" w:hAnsi="宋体" w:cs="宋体"/>
                <w:color w:val="auto"/>
                <w:szCs w:val="21"/>
                <w:highlight w:val="none"/>
                <w:lang w:bidi="ar"/>
              </w:rPr>
              <w:t>根据供应商提供的</w:t>
            </w:r>
            <w:r>
              <w:rPr>
                <w:rFonts w:hint="eastAsia" w:hAnsi="宋体" w:cs="宋体"/>
                <w:color w:val="auto"/>
                <w:szCs w:val="21"/>
                <w:highlight w:val="none"/>
              </w:rPr>
              <w:t>服务保证措施</w:t>
            </w:r>
            <w:r>
              <w:rPr>
                <w:rFonts w:hint="eastAsia" w:hAnsi="宋体" w:cs="宋体"/>
                <w:color w:val="auto"/>
                <w:szCs w:val="21"/>
                <w:highlight w:val="none"/>
                <w:lang w:bidi="ar"/>
              </w:rPr>
              <w:t>进行综合评价：</w:t>
            </w:r>
          </w:p>
          <w:p w14:paraId="236E07A3">
            <w:pPr>
              <w:widowControl/>
              <w:numPr>
                <w:ilvl w:val="255"/>
                <w:numId w:val="0"/>
              </w:numPr>
              <w:jc w:val="left"/>
              <w:rPr>
                <w:rFonts w:hAnsi="宋体" w:cs="宋体"/>
                <w:color w:val="auto"/>
                <w:szCs w:val="21"/>
                <w:highlight w:val="none"/>
                <w:lang w:bidi="ar"/>
              </w:rPr>
            </w:pPr>
            <w:r>
              <w:rPr>
                <w:rFonts w:hint="eastAsia" w:hAnsi="宋体" w:cs="宋体"/>
                <w:color w:val="auto"/>
                <w:szCs w:val="21"/>
                <w:highlight w:val="none"/>
                <w:lang w:bidi="ar"/>
              </w:rPr>
              <w:t>优：服务保证措施详细、完善、可行性高，非常有保障的，得</w:t>
            </w:r>
            <w:r>
              <w:rPr>
                <w:rFonts w:hAnsi="宋体" w:cs="宋体"/>
                <w:color w:val="auto"/>
                <w:szCs w:val="21"/>
                <w:highlight w:val="none"/>
                <w:lang w:bidi="ar"/>
              </w:rPr>
              <w:t>8</w:t>
            </w:r>
            <w:r>
              <w:rPr>
                <w:rFonts w:hint="eastAsia" w:hAnsi="宋体" w:cs="宋体"/>
                <w:color w:val="auto"/>
                <w:szCs w:val="21"/>
                <w:highlight w:val="none"/>
                <w:lang w:bidi="ar"/>
              </w:rPr>
              <w:t xml:space="preserve">分； </w:t>
            </w:r>
          </w:p>
          <w:p w14:paraId="4F27C2B1">
            <w:pPr>
              <w:widowControl/>
              <w:jc w:val="left"/>
              <w:rPr>
                <w:color w:val="auto"/>
                <w:highlight w:val="none"/>
              </w:rPr>
            </w:pPr>
            <w:r>
              <w:rPr>
                <w:rFonts w:hint="eastAsia" w:hAnsi="宋体" w:cs="宋体"/>
                <w:color w:val="auto"/>
                <w:szCs w:val="21"/>
                <w:highlight w:val="none"/>
                <w:lang w:bidi="ar"/>
              </w:rPr>
              <w:t>良：服务保证措施较为详细、合理可行，较有保障的，得</w:t>
            </w:r>
            <w:r>
              <w:rPr>
                <w:rFonts w:hAnsi="宋体" w:cs="宋体"/>
                <w:color w:val="auto"/>
                <w:szCs w:val="21"/>
                <w:highlight w:val="none"/>
                <w:lang w:bidi="ar"/>
              </w:rPr>
              <w:t>5</w:t>
            </w:r>
            <w:r>
              <w:rPr>
                <w:rFonts w:hint="eastAsia" w:hAnsi="宋体" w:cs="宋体"/>
                <w:color w:val="auto"/>
                <w:szCs w:val="21"/>
                <w:highlight w:val="none"/>
                <w:lang w:bidi="ar"/>
              </w:rPr>
              <w:t>分；</w:t>
            </w:r>
          </w:p>
          <w:p w14:paraId="4364EF45">
            <w:pPr>
              <w:widowControl/>
              <w:numPr>
                <w:ilvl w:val="255"/>
                <w:numId w:val="0"/>
              </w:numPr>
              <w:jc w:val="left"/>
              <w:rPr>
                <w:rFonts w:hAnsi="宋体" w:cs="宋体"/>
                <w:color w:val="auto"/>
                <w:szCs w:val="21"/>
                <w:highlight w:val="none"/>
                <w:lang w:bidi="ar"/>
              </w:rPr>
            </w:pPr>
            <w:r>
              <w:rPr>
                <w:rFonts w:hint="eastAsia" w:hAnsi="宋体" w:cs="宋体"/>
                <w:color w:val="auto"/>
                <w:szCs w:val="21"/>
                <w:highlight w:val="none"/>
                <w:lang w:bidi="ar"/>
              </w:rPr>
              <w:t>中：</w:t>
            </w:r>
            <w:r>
              <w:rPr>
                <w:rFonts w:hint="eastAsia" w:hAnsi="宋体" w:cs="宋体"/>
                <w:color w:val="auto"/>
                <w:szCs w:val="21"/>
                <w:highlight w:val="none"/>
              </w:rPr>
              <w:t>服务保证措施</w:t>
            </w:r>
            <w:r>
              <w:rPr>
                <w:rFonts w:hint="eastAsia" w:hAnsi="宋体" w:cs="宋体"/>
                <w:color w:val="auto"/>
                <w:szCs w:val="21"/>
                <w:highlight w:val="none"/>
                <w:lang w:bidi="ar"/>
              </w:rPr>
              <w:t>一般、基本合理可行，有保障的，得</w:t>
            </w:r>
            <w:r>
              <w:rPr>
                <w:rFonts w:hAnsi="宋体" w:cs="宋体"/>
                <w:color w:val="auto"/>
                <w:szCs w:val="21"/>
                <w:highlight w:val="none"/>
                <w:lang w:bidi="ar"/>
              </w:rPr>
              <w:t>3</w:t>
            </w:r>
            <w:r>
              <w:rPr>
                <w:rFonts w:hint="eastAsia" w:hAnsi="宋体" w:cs="宋体"/>
                <w:color w:val="auto"/>
                <w:szCs w:val="21"/>
                <w:highlight w:val="none"/>
                <w:lang w:bidi="ar"/>
              </w:rPr>
              <w:t>分；</w:t>
            </w:r>
          </w:p>
          <w:p w14:paraId="123C0448">
            <w:pPr>
              <w:widowControl/>
              <w:numPr>
                <w:ilvl w:val="255"/>
                <w:numId w:val="0"/>
              </w:numPr>
              <w:jc w:val="left"/>
              <w:rPr>
                <w:rFonts w:hAnsi="宋体" w:cs="宋体"/>
                <w:color w:val="auto"/>
                <w:szCs w:val="21"/>
                <w:highlight w:val="none"/>
                <w:lang w:bidi="ar"/>
              </w:rPr>
            </w:pPr>
            <w:r>
              <w:rPr>
                <w:rFonts w:hint="eastAsia" w:hAnsi="宋体" w:cs="宋体"/>
                <w:color w:val="auto"/>
                <w:szCs w:val="21"/>
                <w:highlight w:val="none"/>
                <w:lang w:bidi="ar"/>
              </w:rPr>
              <w:t>差：</w:t>
            </w:r>
            <w:r>
              <w:rPr>
                <w:rFonts w:hint="eastAsia" w:hAnsi="宋体" w:cs="宋体"/>
                <w:color w:val="auto"/>
                <w:szCs w:val="21"/>
                <w:highlight w:val="none"/>
              </w:rPr>
              <w:t>服务保证措施</w:t>
            </w:r>
            <w:r>
              <w:rPr>
                <w:rFonts w:hint="eastAsia" w:hAnsi="宋体" w:cs="宋体"/>
                <w:color w:val="auto"/>
                <w:szCs w:val="21"/>
                <w:highlight w:val="none"/>
                <w:lang w:bidi="ar"/>
              </w:rPr>
              <w:t>不够详细、不够合理可行，缺乏保障的，得1分；</w:t>
            </w:r>
          </w:p>
          <w:p w14:paraId="237D0C4F">
            <w:pPr>
              <w:widowControl/>
              <w:jc w:val="left"/>
              <w:rPr>
                <w:rFonts w:ascii="宋体" w:hAnsi="宋体" w:cs="宋体"/>
                <w:color w:val="auto"/>
                <w:szCs w:val="21"/>
                <w:highlight w:val="none"/>
              </w:rPr>
            </w:pPr>
            <w:r>
              <w:rPr>
                <w:rFonts w:hint="eastAsia" w:ascii="宋体" w:hAnsi="宋体" w:cs="宋体"/>
                <w:color w:val="auto"/>
                <w:szCs w:val="21"/>
                <w:highlight w:val="none"/>
              </w:rPr>
              <w:t>无提供不得分。</w:t>
            </w:r>
          </w:p>
        </w:tc>
      </w:tr>
    </w:tbl>
    <w:p w14:paraId="3D1C2025">
      <w:pPr>
        <w:pStyle w:val="37"/>
        <w:ind w:firstLine="640"/>
        <w:jc w:val="center"/>
        <w:outlineLvl w:val="1"/>
        <w:rPr>
          <w:rFonts w:eastAsia="黑体"/>
          <w:color w:val="auto"/>
          <w:sz w:val="32"/>
          <w:szCs w:val="48"/>
          <w:highlight w:val="none"/>
        </w:rPr>
      </w:pPr>
    </w:p>
    <w:p w14:paraId="7B0A0BF2">
      <w:pPr>
        <w:pStyle w:val="3"/>
        <w:rPr>
          <w:color w:val="auto"/>
          <w:highlight w:val="none"/>
        </w:rPr>
      </w:pPr>
      <w:r>
        <w:rPr>
          <w:color w:val="auto"/>
          <w:highlight w:val="none"/>
        </w:rPr>
        <w:br w:type="page"/>
      </w:r>
    </w:p>
    <w:p w14:paraId="4B794151">
      <w:pPr>
        <w:pStyle w:val="37"/>
        <w:ind w:firstLine="640"/>
        <w:jc w:val="center"/>
        <w:outlineLvl w:val="1"/>
        <w:rPr>
          <w:rFonts w:eastAsia="黑体"/>
          <w:color w:val="auto"/>
          <w:sz w:val="28"/>
          <w:szCs w:val="44"/>
          <w:highlight w:val="none"/>
        </w:rPr>
      </w:pPr>
      <w:r>
        <w:rPr>
          <w:rFonts w:hint="eastAsia" w:eastAsia="黑体"/>
          <w:color w:val="auto"/>
          <w:sz w:val="32"/>
          <w:szCs w:val="48"/>
          <w:highlight w:val="none"/>
        </w:rPr>
        <w:t>第三部分 合同条款</w:t>
      </w:r>
    </w:p>
    <w:p w14:paraId="05CBAAC1">
      <w:pPr>
        <w:snapToGrid w:val="0"/>
        <w:spacing w:line="360" w:lineRule="auto"/>
        <w:jc w:val="center"/>
        <w:rPr>
          <w:rFonts w:eastAsia="黑体"/>
          <w:color w:val="auto"/>
          <w:sz w:val="28"/>
          <w:szCs w:val="44"/>
          <w:highlight w:val="none"/>
        </w:rPr>
      </w:pPr>
      <w:bookmarkStart w:id="4" w:name="_Hlk524442005"/>
    </w:p>
    <w:p w14:paraId="407F96D9">
      <w:pPr>
        <w:pStyle w:val="10"/>
        <w:spacing w:before="332" w:beforeLines="100" w:line="360" w:lineRule="auto"/>
        <w:jc w:val="center"/>
        <w:rPr>
          <w:rFonts w:hAnsi="宋体"/>
          <w:bCs/>
          <w:color w:val="auto"/>
          <w:highlight w:val="none"/>
        </w:rPr>
      </w:pPr>
      <w:bookmarkStart w:id="5" w:name="OLE_LINK3"/>
      <w:bookmarkStart w:id="6" w:name="OLE_LINK4"/>
      <w:r>
        <w:rPr>
          <w:rFonts w:hint="eastAsia" w:ascii="隶书" w:hAnsi="宋体" w:eastAsia="隶书"/>
          <w:bCs/>
          <w:color w:val="auto"/>
          <w:sz w:val="48"/>
          <w:szCs w:val="48"/>
          <w:highlight w:val="none"/>
        </w:rPr>
        <w:t>专项财务审计业务约定书</w:t>
      </w:r>
    </w:p>
    <w:bookmarkEnd w:id="5"/>
    <w:bookmarkEnd w:id="6"/>
    <w:p w14:paraId="22849A8B">
      <w:pPr>
        <w:spacing w:line="360" w:lineRule="auto"/>
        <w:rPr>
          <w:color w:val="auto"/>
          <w:highlight w:val="none"/>
        </w:rPr>
      </w:pPr>
    </w:p>
    <w:p w14:paraId="1D4C95BC">
      <w:pPr>
        <w:spacing w:line="360" w:lineRule="auto"/>
        <w:rPr>
          <w:color w:val="auto"/>
          <w:highlight w:val="none"/>
        </w:rPr>
      </w:pPr>
    </w:p>
    <w:p w14:paraId="6BC958EC">
      <w:pPr>
        <w:adjustRightInd w:val="0"/>
        <w:snapToGrid w:val="0"/>
        <w:spacing w:line="360" w:lineRule="auto"/>
        <w:jc w:val="left"/>
        <w:rPr>
          <w:rFonts w:ascii="宋体" w:hAnsi="宋体"/>
          <w:b/>
          <w:color w:val="auto"/>
          <w:sz w:val="28"/>
          <w:szCs w:val="28"/>
          <w:highlight w:val="none"/>
        </w:rPr>
      </w:pPr>
      <w:r>
        <w:rPr>
          <w:rFonts w:hint="eastAsia" w:ascii="宋体" w:hAnsi="宋体"/>
          <w:b/>
          <w:color w:val="auto"/>
          <w:sz w:val="28"/>
          <w:szCs w:val="28"/>
          <w:highlight w:val="none"/>
        </w:rPr>
        <w:t>甲方：东莞市东实旗云投资有限公司</w:t>
      </w:r>
    </w:p>
    <w:p w14:paraId="30F9E9E9">
      <w:pPr>
        <w:adjustRightInd w:val="0"/>
        <w:snapToGrid w:val="0"/>
        <w:spacing w:line="360" w:lineRule="auto"/>
        <w:jc w:val="left"/>
        <w:rPr>
          <w:rFonts w:ascii="宋体" w:hAnsi="宋体"/>
          <w:b/>
          <w:color w:val="auto"/>
          <w:sz w:val="28"/>
          <w:szCs w:val="28"/>
          <w:highlight w:val="none"/>
        </w:rPr>
      </w:pPr>
      <w:r>
        <w:rPr>
          <w:rFonts w:hint="eastAsia" w:ascii="宋体" w:hAnsi="宋体"/>
          <w:b/>
          <w:color w:val="auto"/>
          <w:sz w:val="28"/>
          <w:szCs w:val="28"/>
          <w:highlight w:val="none"/>
        </w:rPr>
        <w:t xml:space="preserve">乙方：                          </w:t>
      </w:r>
    </w:p>
    <w:p w14:paraId="1C03F3E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甲乙双方经友好协商达成以下约定： </w:t>
      </w:r>
    </w:p>
    <w:p w14:paraId="7532DDE5">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一、业务范围与审计目标 </w:t>
      </w:r>
    </w:p>
    <w:p w14:paraId="184A3955">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乙方接受甲方委托，对东莞市东实旗云投资有限公司（以下简称被审计单位）截止      年     月     日（审验基准日）对宗地编号</w:t>
      </w:r>
      <w:r>
        <w:rPr>
          <w:rFonts w:hint="eastAsia" w:ascii="宋体" w:hAnsi="宋体"/>
          <w:bCs/>
          <w:color w:val="auto"/>
          <w:sz w:val="24"/>
          <w:highlight w:val="none"/>
          <w:u w:val="single"/>
        </w:rPr>
        <w:t xml:space="preserve">               </w:t>
      </w:r>
      <w:r>
        <w:rPr>
          <w:rFonts w:ascii="宋体" w:hAnsi="宋体"/>
          <w:bCs/>
          <w:color w:val="auto"/>
          <w:sz w:val="24"/>
          <w:highlight w:val="none"/>
          <w:u w:val="single"/>
        </w:rPr>
        <w:t xml:space="preserve"> </w:t>
      </w:r>
      <w:r>
        <w:rPr>
          <w:rFonts w:hint="eastAsia" w:ascii="宋体" w:hAnsi="宋体"/>
          <w:bCs/>
          <w:color w:val="auto"/>
          <w:sz w:val="24"/>
          <w:highlight w:val="none"/>
        </w:rPr>
        <w:t>购地资金来源情况进行审计。</w:t>
      </w:r>
    </w:p>
    <w:p w14:paraId="2A8D7432">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出具资金审计报告，具体列明以下内容：</w:t>
      </w:r>
    </w:p>
    <w:p w14:paraId="3BBF3B9C">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（1）</w:t>
      </w:r>
      <w:r>
        <w:rPr>
          <w:rFonts w:hint="eastAsia" w:ascii="宋体" w:hAnsi="宋体"/>
          <w:bCs/>
          <w:color w:val="auto"/>
          <w:sz w:val="24"/>
          <w:highlight w:val="none"/>
        </w:rPr>
        <w:tab/>
      </w:r>
      <w:r>
        <w:rPr>
          <w:rFonts w:hint="eastAsia" w:ascii="宋体" w:hAnsi="宋体"/>
          <w:bCs/>
          <w:color w:val="auto"/>
          <w:sz w:val="24"/>
          <w:highlight w:val="none"/>
        </w:rPr>
        <w:t>甲方基本情况，包括控股股东、资金最终关联方基本情况；</w:t>
      </w:r>
    </w:p>
    <w:p w14:paraId="7B019AC3">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（2）</w:t>
      </w:r>
      <w:r>
        <w:rPr>
          <w:rFonts w:hint="eastAsia" w:ascii="宋体" w:hAnsi="宋体"/>
          <w:bCs/>
          <w:color w:val="auto"/>
          <w:sz w:val="24"/>
          <w:highlight w:val="none"/>
        </w:rPr>
        <w:tab/>
      </w:r>
      <w:r>
        <w:rPr>
          <w:rFonts w:hint="eastAsia" w:ascii="宋体" w:hAnsi="宋体"/>
          <w:bCs/>
          <w:color w:val="auto"/>
          <w:sz w:val="24"/>
          <w:highlight w:val="none"/>
        </w:rPr>
        <w:t>承诺并实际核查甲方按照市自然资源局的要求提交的《土地购置资金来源情况申报表》及附件证明材料，并在《土地购置资金来源情况申报表》的审查单位处签章；</w:t>
      </w:r>
    </w:p>
    <w:p w14:paraId="5CD5F2E2">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（3）</w:t>
      </w:r>
      <w:r>
        <w:rPr>
          <w:rFonts w:hint="eastAsia" w:ascii="宋体" w:hAnsi="宋体"/>
          <w:bCs/>
          <w:color w:val="auto"/>
          <w:sz w:val="24"/>
          <w:highlight w:val="none"/>
        </w:rPr>
        <w:tab/>
      </w:r>
      <w:r>
        <w:rPr>
          <w:rFonts w:hint="eastAsia" w:ascii="宋体" w:hAnsi="宋体"/>
          <w:bCs/>
          <w:color w:val="auto"/>
          <w:sz w:val="24"/>
          <w:highlight w:val="none"/>
        </w:rPr>
        <w:t>穿透核查甲方及控股股东、资金最终关联方的资金来源，明确说明甲方的实际资金来源（如涉及关联方，要说明最终关联方的资金来源类型）；</w:t>
      </w:r>
    </w:p>
    <w:p w14:paraId="433594AB">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（4）</w:t>
      </w:r>
      <w:r>
        <w:rPr>
          <w:rFonts w:hint="eastAsia" w:ascii="宋体" w:hAnsi="宋体"/>
          <w:bCs/>
          <w:color w:val="auto"/>
          <w:sz w:val="24"/>
          <w:highlight w:val="none"/>
        </w:rPr>
        <w:tab/>
      </w:r>
      <w:r>
        <w:rPr>
          <w:rFonts w:hint="eastAsia" w:ascii="宋体" w:hAnsi="宋体"/>
          <w:bCs/>
          <w:color w:val="auto"/>
          <w:sz w:val="24"/>
          <w:highlight w:val="none"/>
        </w:rPr>
        <w:t>针对“竞买企业股东是否违规对其提供借款、转贷、担保或其他相关融资便利等，购地资金是否直接或间接使用金融机构各类融资资金，购地资金是否使用房地产产业链上下游关联企业借款或预付款，购地资金是否使用其他自然人、法人、非法人组织的借款，购地资金是否使用参与竞买企业控制的非房地产企业融资等”作出结论。</w:t>
      </w:r>
    </w:p>
    <w:p w14:paraId="197116D1">
      <w:pPr>
        <w:autoSpaceDE w:val="0"/>
        <w:autoSpaceDN w:val="0"/>
        <w:spacing w:line="360" w:lineRule="auto"/>
        <w:ind w:firstLine="480"/>
        <w:jc w:val="left"/>
        <w:rPr>
          <w:rFonts w:ascii="宋体" w:hAnsi="宋体"/>
          <w:bCs/>
          <w:color w:val="auto"/>
          <w:sz w:val="24"/>
          <w:highlight w:val="none"/>
        </w:rPr>
      </w:pPr>
      <w:r>
        <w:rPr>
          <w:rFonts w:hint="eastAsia" w:ascii="宋体" w:hAnsi="宋体"/>
          <w:bCs/>
          <w:color w:val="auto"/>
          <w:sz w:val="24"/>
          <w:highlight w:val="none"/>
        </w:rPr>
        <w:t>审计报告后附会计师事务所的执业资格证书（复印件加盖公章）和近三年的诚信执业证明等。</w:t>
      </w:r>
    </w:p>
    <w:p w14:paraId="7080277E">
      <w:pPr>
        <w:autoSpaceDE w:val="0"/>
        <w:autoSpaceDN w:val="0"/>
        <w:spacing w:line="360" w:lineRule="auto"/>
        <w:jc w:val="left"/>
        <w:rPr>
          <w:rFonts w:ascii="宋体" w:hAnsi="宋体"/>
          <w:b/>
          <w:color w:val="auto"/>
          <w:sz w:val="28"/>
          <w:szCs w:val="28"/>
          <w:highlight w:val="none"/>
        </w:rPr>
      </w:pPr>
      <w:r>
        <w:rPr>
          <w:rFonts w:hint="eastAsia" w:ascii="宋体" w:hAnsi="宋体"/>
          <w:b/>
          <w:color w:val="auto"/>
          <w:sz w:val="28"/>
          <w:szCs w:val="28"/>
          <w:highlight w:val="none"/>
        </w:rPr>
        <w:t xml:space="preserve">    二、甲方的责任与义务 </w:t>
      </w:r>
    </w:p>
    <w:p w14:paraId="6058F17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（一）甲方的责任 </w:t>
      </w:r>
    </w:p>
    <w:p w14:paraId="7075F2C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w:t>
      </w:r>
      <w:r>
        <w:rPr>
          <w:rFonts w:hint="eastAsia" w:hAnsi="宋体"/>
          <w:bCs/>
          <w:color w:val="auto"/>
          <w:sz w:val="24"/>
          <w:highlight w:val="none"/>
        </w:rPr>
        <w:t>甲方应敦促并保证被审计单位承担以下责任：</w:t>
      </w:r>
    </w:p>
    <w:p w14:paraId="4F9E1C3A">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根据《中华人民共和国会计法》，被审计单位及被审计单位负责人有责任保证会计资料的真实性和完整性。因此，被审计单位管理层有责任妥善保存和提供会计记录（包括但不限于会计凭证、会计账簿及其他会计资料），这些记录必须真实、完整地反映被审计单位的资金情况。 </w:t>
      </w:r>
    </w:p>
    <w:p w14:paraId="44AA3B5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（二）甲方的义务 </w:t>
      </w:r>
    </w:p>
    <w:p w14:paraId="2C6852C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w:t>
      </w:r>
      <w:r>
        <w:rPr>
          <w:rFonts w:hint="eastAsia" w:hAnsi="宋体"/>
          <w:bCs/>
          <w:color w:val="auto"/>
          <w:sz w:val="24"/>
          <w:highlight w:val="none"/>
        </w:rPr>
        <w:t>甲方应敦促并保证被审计单位承担以下义务：</w:t>
      </w:r>
    </w:p>
    <w:p w14:paraId="1C0AC381">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1.及时为乙方的审计工作提供其所要求的全部</w:t>
      </w:r>
      <w:r>
        <w:rPr>
          <w:rFonts w:hint="eastAsia" w:hAnsi="宋体"/>
          <w:bCs/>
          <w:color w:val="auto"/>
          <w:sz w:val="24"/>
          <w:highlight w:val="none"/>
        </w:rPr>
        <w:t>会计</w:t>
      </w:r>
      <w:r>
        <w:rPr>
          <w:rFonts w:hint="eastAsia" w:ascii="宋体" w:hAnsi="宋体"/>
          <w:color w:val="auto"/>
          <w:sz w:val="24"/>
          <w:highlight w:val="none"/>
        </w:rPr>
        <w:t xml:space="preserve">资料和其他有关资料（在 进场前三天提供审计所需的全部资料），并保证所提供资料的真实性和完整性。 </w:t>
      </w:r>
    </w:p>
    <w:p w14:paraId="621DA02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2.确保乙方不受限制地接触任何与审计有关的记录、文件和所需的其他信息。 </w:t>
      </w:r>
    </w:p>
    <w:p w14:paraId="2C2D4E3E">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3.被审计单位管理层对其做出的与审计有关的声明予以书面确认。 </w:t>
      </w:r>
    </w:p>
    <w:p w14:paraId="6F265D06">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4.为乙方派出的有关工作人员提供必要的工作条件和协助，主要事项将由乙方于外勤工作开始前提供清单。</w:t>
      </w:r>
    </w:p>
    <w:p w14:paraId="2CF6123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5.按本约定书的约定及时足额支付审计费用。 </w:t>
      </w:r>
    </w:p>
    <w:p w14:paraId="7D32044F">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三、乙方的责任和义务 </w:t>
      </w:r>
    </w:p>
    <w:p w14:paraId="10C3A76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（一）乙方的责任 </w:t>
      </w:r>
    </w:p>
    <w:p w14:paraId="2306B443">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1.乙方的责任是</w:t>
      </w:r>
      <w:r>
        <w:rPr>
          <w:rFonts w:hint="eastAsia" w:hAnsi="宋体"/>
          <w:bCs/>
          <w:color w:val="auto"/>
          <w:sz w:val="24"/>
          <w:highlight w:val="none"/>
        </w:rPr>
        <w:t>参照中国注册会计师审计准则、有关财务会计制度有关规定的要求，结合本次业务性质</w:t>
      </w:r>
      <w:r>
        <w:rPr>
          <w:rFonts w:hint="eastAsia" w:ascii="宋体" w:hAnsi="宋体"/>
          <w:color w:val="auto"/>
          <w:sz w:val="24"/>
          <w:highlight w:val="none"/>
        </w:rPr>
        <w:t>实施审计工作。</w:t>
      </w:r>
    </w:p>
    <w:p w14:paraId="250B0C87">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2.乙方需要合理计划和实施审计工作，以使乙方能够获取充分、适当的审计证据，为达到审计目标获取合理保证。 </w:t>
      </w:r>
    </w:p>
    <w:p w14:paraId="112B949E">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3.审计工作涉及实施审计程序，以获取审计项目有关资料金额和披露的审计证据。选择的审计程序取决于乙方的判断，由于测试的性质和审计的其他固有限制，以及内部控制的固有局限性，不可避免地存在着某些重大错报在审计后可能仍然未被乙方发现的风险。乙方应当制定合理计划和实施能够获取充分、适当证据的审核程序，为甲方的委托事项提供合理保证或建议。乙方有责任就业务服务成果向甲方解释，并在业务报告中说明。</w:t>
      </w:r>
    </w:p>
    <w:p w14:paraId="66CC7A6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4.乙方的审计不能减轻被审计单位及被审计单位管理层的责任。 </w:t>
      </w:r>
    </w:p>
    <w:p w14:paraId="6B573FF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（二）乙方的义务 </w:t>
      </w:r>
    </w:p>
    <w:p w14:paraId="1705BDDE">
      <w:pPr>
        <w:numPr>
          <w:ilvl w:val="0"/>
          <w:numId w:val="5"/>
        </w:num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按照约定时间完成审计工作，出具资金审计报告。乙方应于被审计单位提供审计所需的全部资料后</w:t>
      </w:r>
      <w:r>
        <w:rPr>
          <w:rFonts w:hint="eastAsia" w:ascii="宋体" w:hAnsi="宋体"/>
          <w:color w:val="auto"/>
          <w:sz w:val="24"/>
          <w:highlight w:val="none"/>
          <w:u w:val="single"/>
        </w:rPr>
        <w:t xml:space="preserve"> 3 </w:t>
      </w:r>
      <w:r>
        <w:rPr>
          <w:rFonts w:hint="eastAsia" w:ascii="宋体" w:hAnsi="宋体"/>
          <w:color w:val="auto"/>
          <w:sz w:val="24"/>
          <w:highlight w:val="none"/>
        </w:rPr>
        <w:t>个工作日之内完成审计工作，出具资金审计报告</w:t>
      </w:r>
      <w:bookmarkStart w:id="7" w:name="OLE_LINK13"/>
      <w:bookmarkStart w:id="8" w:name="OLE_LINK12"/>
      <w:r>
        <w:rPr>
          <w:rFonts w:hint="eastAsia" w:ascii="宋体" w:hAnsi="宋体"/>
          <w:color w:val="auto"/>
          <w:sz w:val="24"/>
          <w:highlight w:val="none"/>
        </w:rPr>
        <w:t>初稿，最终竟得地块后出具正式报告</w:t>
      </w:r>
      <w:bookmarkEnd w:id="7"/>
      <w:bookmarkEnd w:id="8"/>
      <w:r>
        <w:rPr>
          <w:rFonts w:hint="eastAsia" w:ascii="宋体" w:hAnsi="宋体"/>
          <w:color w:val="auto"/>
          <w:sz w:val="24"/>
          <w:highlight w:val="none"/>
        </w:rPr>
        <w:t>。</w:t>
      </w:r>
    </w:p>
    <w:p w14:paraId="2F622CF3">
      <w:pPr>
        <w:numPr>
          <w:ilvl w:val="0"/>
          <w:numId w:val="6"/>
        </w:num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在服务结束时，乙方提供最终书面形式的资金审计报告等书面文件。若甲方需要依赖乙方在服务结束时提供的口头意见或作出的口头汇报，乙方应提供相关意见的书面确认文件。</w:t>
      </w:r>
    </w:p>
    <w:p w14:paraId="158B8E2C">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3.当乙方人员不能胜任本合同服务时，乙方有根据甲方要求更换资质、经验不低于乙方承诺的专业服务人员的义务。</w:t>
      </w:r>
    </w:p>
    <w:p w14:paraId="5DD612B7">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4.乙方执行审计业务，必须按照职业准则、规则确定的工作程序出具报告。在出具报告时，不得有下列行为：</w:t>
      </w:r>
    </w:p>
    <w:p w14:paraId="74C81B84">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（1）明知甲方对重要事项的财务会计处理与国家有关规定相抵触，而不予指明；</w:t>
      </w:r>
    </w:p>
    <w:p w14:paraId="77A33F84">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（2）明知甲方的财务会计处理会直接损害报告使用人或者其他利害关系人的利益，而予以隐瞒或者作不实的报告；</w:t>
      </w:r>
    </w:p>
    <w:p w14:paraId="61C98964">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（3）明知甲方的财务会计处理会导致报告使用人或者其他利害关系人产生重大误解，而不予指明。</w:t>
      </w:r>
    </w:p>
    <w:p w14:paraId="5EFB9570">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5.乙方及其工作人员在执行审计业务时，不得有下列行为：</w:t>
      </w:r>
    </w:p>
    <w:p w14:paraId="30823B59">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（1）在执行审计业务期间，违规购买甲方财产；</w:t>
      </w:r>
    </w:p>
    <w:p w14:paraId="6032674F">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（2）索取、收受本约定书约定以外的酬金或者其他财物，或者利用执行业务之便，谋取其他不正当的利益；</w:t>
      </w:r>
    </w:p>
    <w:p w14:paraId="1AFD4A96">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（3）接受委托催收债款；</w:t>
      </w:r>
    </w:p>
    <w:p w14:paraId="4917482E">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（4）允许他人以本人名义执行业务；</w:t>
      </w:r>
    </w:p>
    <w:p w14:paraId="3CBD8EBF">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（5）同时在两个或者两个以上的会计师事务所执行业务；</w:t>
      </w:r>
    </w:p>
    <w:p w14:paraId="2AEBFDD0">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（6）对其能力进行广告宣传以招揽业务；</w:t>
      </w:r>
    </w:p>
    <w:p w14:paraId="7571D2B2">
      <w:pPr>
        <w:tabs>
          <w:tab w:val="left" w:pos="780"/>
        </w:tabs>
        <w:adjustRightInd w:val="0"/>
        <w:snapToGrid w:val="0"/>
        <w:spacing w:line="360" w:lineRule="auto"/>
        <w:ind w:left="540"/>
        <w:rPr>
          <w:rFonts w:ascii="宋体" w:hAnsi="宋体"/>
          <w:color w:val="auto"/>
          <w:sz w:val="24"/>
          <w:highlight w:val="none"/>
        </w:rPr>
      </w:pPr>
      <w:r>
        <w:rPr>
          <w:rFonts w:hint="eastAsia" w:ascii="宋体" w:hAnsi="宋体"/>
          <w:color w:val="auto"/>
          <w:sz w:val="24"/>
          <w:highlight w:val="none"/>
        </w:rPr>
        <w:t>（7）违反法律、行政法规的其他行为。</w:t>
      </w:r>
    </w:p>
    <w:p w14:paraId="2EA53C09">
      <w:pPr>
        <w:adjustRightInd w:val="0"/>
        <w:snapToGrid w:val="0"/>
        <w:spacing w:line="360" w:lineRule="auto"/>
        <w:ind w:firstLine="480"/>
        <w:rPr>
          <w:rFonts w:ascii="宋体" w:hAnsi="宋体"/>
          <w:color w:val="auto"/>
          <w:sz w:val="24"/>
          <w:highlight w:val="none"/>
        </w:rPr>
      </w:pPr>
      <w:r>
        <w:rPr>
          <w:rFonts w:hint="eastAsia" w:ascii="宋体" w:hAnsi="宋体"/>
          <w:color w:val="auto"/>
          <w:sz w:val="24"/>
          <w:highlight w:val="none"/>
        </w:rPr>
        <w:t xml:space="preserve">6.除下列情况外，乙方应当对执行业务过程中知悉的被审计单位信息予以 </w:t>
      </w:r>
      <w:r>
        <w:rPr>
          <w:rFonts w:ascii="宋体" w:hAnsi="宋体"/>
          <w:color w:val="auto"/>
          <w:sz w:val="24"/>
          <w:highlight w:val="none"/>
        </w:rPr>
        <w:t xml:space="preserve">                         </w:t>
      </w:r>
      <w:r>
        <w:rPr>
          <w:rFonts w:hint="eastAsia" w:ascii="宋体" w:hAnsi="宋体"/>
          <w:color w:val="auto"/>
          <w:sz w:val="24"/>
          <w:highlight w:val="none"/>
        </w:rPr>
        <w:t>保密：（1）取得被审计单位的授权；（2）根据法律法规的规定，为法律诉讼准备文件或提供证据，以及向监管机构报告发现的违反法规行为；（3）接受行业协会和监管机构依法进行的质量检查；（4）监管机构对乙方进行行政处罚（包括监管机构处罚前的调查、听证）以及乙方对此提起行政复议。</w:t>
      </w:r>
    </w:p>
    <w:p w14:paraId="3EDA8CD7">
      <w:pPr>
        <w:snapToGrid w:val="0"/>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7.乙方人员（包括其职员、股东、董事等）应对乙方的涉密信息保密，乙方对乙方人员的泄密行为依本合同约定向甲方承担责任。 </w:t>
      </w:r>
    </w:p>
    <w:p w14:paraId="1F9C8EDF">
      <w:pPr>
        <w:adjustRightInd w:val="0"/>
        <w:snapToGrid w:val="0"/>
        <w:spacing w:line="360" w:lineRule="auto"/>
        <w:ind w:firstLine="548" w:firstLineChars="196"/>
        <w:rPr>
          <w:rFonts w:ascii="宋体" w:hAnsi="宋体"/>
          <w:b/>
          <w:color w:val="auto"/>
          <w:sz w:val="28"/>
          <w:szCs w:val="28"/>
          <w:highlight w:val="none"/>
        </w:rPr>
      </w:pPr>
      <w:r>
        <w:rPr>
          <w:rFonts w:hint="eastAsia" w:ascii="宋体" w:hAnsi="宋体"/>
          <w:b/>
          <w:color w:val="auto"/>
          <w:sz w:val="28"/>
          <w:szCs w:val="28"/>
          <w:highlight w:val="none"/>
        </w:rPr>
        <w:t xml:space="preserve">四、审计收费 </w:t>
      </w:r>
    </w:p>
    <w:p w14:paraId="6AF0B31D">
      <w:pPr>
        <w:tabs>
          <w:tab w:val="left" w:pos="0"/>
          <w:tab w:val="left" w:pos="795"/>
        </w:tabs>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1.乙方本次审计服务的费用总额为人民币</w:t>
      </w:r>
      <w:r>
        <w:rPr>
          <w:rFonts w:hint="eastAsia" w:ascii="宋体" w:hAnsi="宋体"/>
          <w:color w:val="auto"/>
          <w:sz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rPr>
        <w:t xml:space="preserve">（含税）,其中:增值税率为 </w:t>
      </w:r>
      <w:r>
        <w:rPr>
          <w:rFonts w:ascii="宋体" w:hAnsi="宋体"/>
          <w:color w:val="auto"/>
          <w:sz w:val="24"/>
          <w:highlight w:val="none"/>
        </w:rPr>
        <w:t xml:space="preserve">       </w:t>
      </w:r>
      <w:r>
        <w:rPr>
          <w:rFonts w:hint="eastAsia" w:ascii="宋体" w:hAnsi="宋体"/>
          <w:color w:val="auto"/>
          <w:sz w:val="24"/>
          <w:highlight w:val="none"/>
        </w:rPr>
        <w:t xml:space="preserve">，税金金额 </w:t>
      </w:r>
      <w:r>
        <w:rPr>
          <w:rFonts w:ascii="宋体" w:hAnsi="宋体"/>
          <w:color w:val="auto"/>
          <w:sz w:val="24"/>
          <w:highlight w:val="none"/>
        </w:rPr>
        <w:t xml:space="preserve">          </w:t>
      </w:r>
      <w:r>
        <w:rPr>
          <w:rFonts w:hint="eastAsia" w:ascii="宋体" w:hAnsi="宋体"/>
          <w:color w:val="auto"/>
          <w:sz w:val="24"/>
          <w:highlight w:val="none"/>
        </w:rPr>
        <w:t xml:space="preserve">元，不含税合同总价款为 </w:t>
      </w:r>
      <w:r>
        <w:rPr>
          <w:rFonts w:ascii="宋体" w:hAnsi="宋体"/>
          <w:color w:val="auto"/>
          <w:sz w:val="24"/>
          <w:highlight w:val="none"/>
        </w:rPr>
        <w:t xml:space="preserve">       </w:t>
      </w:r>
      <w:r>
        <w:rPr>
          <w:rFonts w:hint="eastAsia" w:ascii="宋体" w:hAnsi="宋体"/>
          <w:color w:val="auto"/>
          <w:sz w:val="24"/>
          <w:highlight w:val="none"/>
        </w:rPr>
        <w:t xml:space="preserve">元。 </w:t>
      </w:r>
    </w:p>
    <w:p w14:paraId="56FE9521">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2.甲方应于乙方出具正式《资金审计报告》、完成</w:t>
      </w:r>
      <w:r>
        <w:rPr>
          <w:rFonts w:hint="eastAsia" w:ascii="宋体" w:hAnsi="宋体"/>
          <w:bCs/>
          <w:color w:val="auto"/>
          <w:sz w:val="24"/>
          <w:highlight w:val="none"/>
        </w:rPr>
        <w:t>《土地购置资金来源情况申报表》审查单位签章，</w:t>
      </w:r>
      <w:r>
        <w:rPr>
          <w:rFonts w:hint="eastAsia" w:ascii="宋体" w:hAnsi="宋体"/>
          <w:color w:val="auto"/>
          <w:sz w:val="24"/>
          <w:highlight w:val="none"/>
        </w:rPr>
        <w:t>且收到等额增值税专用发票后十个工作日内支付100%的审计费用。乙方迟延提交请款资料及发票或提交请款材料及发票不符合甲方要求的，甲方有权顺延支付时间，而不承担任何违约责任。</w:t>
      </w:r>
    </w:p>
    <w:p w14:paraId="4BBFE462">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五、审计报告和审计报告的使用 </w:t>
      </w:r>
    </w:p>
    <w:p w14:paraId="24C170A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乙方向甲方出具审计报告纸质版一式肆份以及审计报告电子版。</w:t>
      </w:r>
    </w:p>
    <w:p w14:paraId="00D2EA4D">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六、本约定书的有效期间 </w:t>
      </w:r>
    </w:p>
    <w:p w14:paraId="78C6B22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本约定书自双方法定代表人或授权代表签字并盖章之日起生效，并在双方履行完毕本约定书约定的所有义务后终止。但其中第三（二）4-7、四、五、八、九、十项并不因本约定书终止而失效。 </w:t>
      </w:r>
    </w:p>
    <w:p w14:paraId="60DBE625">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七、约定事项的变更 </w:t>
      </w:r>
    </w:p>
    <w:p w14:paraId="441EB47F">
      <w:pPr>
        <w:adjustRightInd w:val="0"/>
        <w:snapToGrid w:val="0"/>
        <w:spacing w:line="360" w:lineRule="auto"/>
        <w:ind w:firstLine="480"/>
        <w:rPr>
          <w:rFonts w:ascii="宋体" w:hAnsi="宋体"/>
          <w:color w:val="auto"/>
          <w:sz w:val="24"/>
          <w:highlight w:val="none"/>
        </w:rPr>
      </w:pPr>
      <w:r>
        <w:rPr>
          <w:rFonts w:hint="eastAsia" w:ascii="宋体" w:hAnsi="宋体"/>
          <w:color w:val="auto"/>
          <w:sz w:val="24"/>
          <w:highlight w:val="none"/>
        </w:rPr>
        <w:t xml:space="preserve">如果出现不可预见的情况，影响审计工作如期完成，或需要提前出具审计报告时，甲乙双方均可要求变更约定事项，但应及时通知对方，并由双方协商解决。 </w:t>
      </w:r>
    </w:p>
    <w:p w14:paraId="3FBEF5D3">
      <w:pPr>
        <w:adjustRightInd w:val="0"/>
        <w:snapToGrid w:val="0"/>
        <w:spacing w:line="360" w:lineRule="auto"/>
        <w:ind w:firstLine="480"/>
        <w:rPr>
          <w:rFonts w:ascii="宋体" w:hAnsi="宋体"/>
          <w:color w:val="auto"/>
          <w:sz w:val="24"/>
          <w:highlight w:val="none"/>
        </w:rPr>
      </w:pPr>
      <w:r>
        <w:rPr>
          <w:rFonts w:hint="eastAsia" w:ascii="宋体" w:hAnsi="宋体"/>
          <w:color w:val="auto"/>
          <w:sz w:val="24"/>
          <w:highlight w:val="none"/>
        </w:rPr>
        <w:t>若甲方</w:t>
      </w:r>
      <w:bookmarkStart w:id="9" w:name="OLE_LINK10"/>
      <w:bookmarkStart w:id="10" w:name="OLE_LINK11"/>
      <w:r>
        <w:rPr>
          <w:rFonts w:hint="eastAsia" w:ascii="宋体" w:hAnsi="宋体"/>
          <w:color w:val="auto"/>
          <w:sz w:val="24"/>
          <w:highlight w:val="none"/>
        </w:rPr>
        <w:t>最终未</w:t>
      </w:r>
      <w:bookmarkStart w:id="11" w:name="OLE_LINK9"/>
      <w:r>
        <w:rPr>
          <w:rFonts w:hint="eastAsia" w:ascii="宋体" w:hAnsi="宋体"/>
          <w:color w:val="auto"/>
          <w:sz w:val="24"/>
          <w:highlight w:val="none"/>
        </w:rPr>
        <w:t>竟得</w:t>
      </w:r>
      <w:r>
        <w:rPr>
          <w:rFonts w:hint="eastAsia" w:ascii="宋体" w:hAnsi="宋体"/>
          <w:bCs/>
          <w:color w:val="auto"/>
          <w:sz w:val="24"/>
          <w:highlight w:val="none"/>
        </w:rPr>
        <w:t>宗地编号</w:t>
      </w:r>
      <w:bookmarkEnd w:id="9"/>
      <w:bookmarkEnd w:id="10"/>
      <w:bookmarkEnd w:id="11"/>
      <w:r>
        <w:rPr>
          <w:rFonts w:hint="eastAsia" w:ascii="宋体" w:hAnsi="宋体"/>
          <w:bCs/>
          <w:color w:val="auto"/>
          <w:sz w:val="24"/>
          <w:highlight w:val="none"/>
          <w:u w:val="single"/>
        </w:rPr>
        <w:t xml:space="preserve"> </w:t>
      </w:r>
      <w:r>
        <w:rPr>
          <w:rFonts w:ascii="宋体" w:hAnsi="宋体"/>
          <w:bCs/>
          <w:color w:val="auto"/>
          <w:sz w:val="24"/>
          <w:highlight w:val="none"/>
          <w:u w:val="single"/>
        </w:rPr>
        <w:t xml:space="preserve"> </w:t>
      </w:r>
      <w:r>
        <w:rPr>
          <w:rFonts w:hint="eastAsia" w:ascii="宋体" w:hAnsi="宋体"/>
          <w:bCs/>
          <w:color w:val="auto"/>
          <w:sz w:val="24"/>
          <w:highlight w:val="none"/>
          <w:u w:val="single"/>
        </w:rPr>
        <w:t xml:space="preserve">           </w:t>
      </w:r>
      <w:r>
        <w:rPr>
          <w:rFonts w:ascii="宋体" w:hAnsi="宋体"/>
          <w:bCs/>
          <w:color w:val="auto"/>
          <w:sz w:val="24"/>
          <w:highlight w:val="none"/>
          <w:u w:val="single"/>
        </w:rPr>
        <w:t xml:space="preserve"> </w:t>
      </w:r>
      <w:r>
        <w:rPr>
          <w:rFonts w:hint="eastAsia" w:ascii="宋体" w:hAnsi="宋体"/>
          <w:bCs/>
          <w:color w:val="auto"/>
          <w:sz w:val="24"/>
          <w:highlight w:val="none"/>
        </w:rPr>
        <w:t>地块</w:t>
      </w:r>
      <w:r>
        <w:rPr>
          <w:rFonts w:hint="eastAsia" w:ascii="宋体" w:hAnsi="宋体"/>
          <w:color w:val="auto"/>
          <w:sz w:val="24"/>
          <w:highlight w:val="none"/>
        </w:rPr>
        <w:t>，则本合同自动终止，甲方无需支付任何审计费用。</w:t>
      </w:r>
    </w:p>
    <w:p w14:paraId="57C477EA">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八、终止条款 </w:t>
      </w:r>
    </w:p>
    <w:p w14:paraId="593040D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1.如果根据乙方的职业道德及其他有关专业职责、适用的法律、法规或其他任何法定的要求，乙方认为已不适宜继续为甲方提供本约定书约定的审计服务时，乙方应提前30天向甲方提出终止履行本约定书。 </w:t>
      </w:r>
    </w:p>
    <w:p w14:paraId="6C5FFDC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2.在终止业务约定的情况下，乙方有权就其于本约定书终止之日前对约定的审计服务项目所做的工作收取合理的审计费用。 </w:t>
      </w:r>
    </w:p>
    <w:p w14:paraId="420E98FE">
      <w:pPr>
        <w:adjustRightInd w:val="0"/>
        <w:snapToGrid w:val="0"/>
        <w:spacing w:line="360" w:lineRule="auto"/>
        <w:ind w:firstLine="562"/>
        <w:rPr>
          <w:rFonts w:ascii="宋体" w:hAnsi="宋体"/>
          <w:b/>
          <w:color w:val="auto"/>
          <w:sz w:val="28"/>
          <w:szCs w:val="28"/>
          <w:highlight w:val="none"/>
        </w:rPr>
      </w:pPr>
      <w:r>
        <w:rPr>
          <w:rFonts w:hint="eastAsia" w:ascii="宋体" w:hAnsi="宋体"/>
          <w:b/>
          <w:color w:val="auto"/>
          <w:sz w:val="28"/>
          <w:szCs w:val="28"/>
          <w:highlight w:val="none"/>
        </w:rPr>
        <w:t>九、违约责任</w:t>
      </w:r>
    </w:p>
    <w:p w14:paraId="0A70E76A">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1.本约定书签订后，双方应当按约履行，不得无故终止。如遇法定情形或特殊原因确需终止的提出终止的一方应提前通知另一方，并由双方协商解决。</w:t>
      </w:r>
    </w:p>
    <w:p w14:paraId="6E65CB76">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2. 乙方提供的服务不符合相关法律法规规定、行业规范、本约定书或其他关联合同及文件规定的，甲方有权拒收，由此产生的费用及相关后果由乙方自行承担，并且乙方须向甲方支付本约定书服务费总额5%的违约金。</w:t>
      </w:r>
    </w:p>
    <w:p w14:paraId="6A6607F5">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3.乙方未能按本合同规定的时间提供服务，从逾期之日起每日按本约定书服务费总额3‰的数额向甲方支付违约金；逾期半个月以上的，甲方有权单方解除本约定书，乙方应另按本约定书服务费总额的20%向甲方支付违约金并负责赔偿由此造成的甲方经济损失。</w:t>
      </w:r>
    </w:p>
    <w:p w14:paraId="5A8182A8">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4.在约定书执行期内，如因乙方资格证书、企业营业执照[含分公司（分所）]失效又未及时补办手续或乙方被吊销企业营业执照[含分公司（分所）]、吊销资质、降低资质以及因违约行为导致甲方单方解除本约定书的，乙方应负责赔偿由此造成的甲方经济损失。</w:t>
      </w:r>
    </w:p>
    <w:p w14:paraId="6C8CE82A">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5.乙方需要更换服务人员的，拟更换人员须具备与原服务人员同等（或优于）的条件（职业资格或职称、学历和从事本行业年限等），并经甲方审核同意后方可更换。乙方擅自更换服务人员的，须按甲方要求支付本约定书服务费总额的3%-5%作为违约金。</w:t>
      </w:r>
    </w:p>
    <w:p w14:paraId="01066AD6">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6.乙方未按甲方要求提供服务、工作质量不符合甲方要求或国家法律法规规定的，乙方支付本约定书服务费总额的3%-5%作为违约金，直至本约定书解除或终止。</w:t>
      </w:r>
    </w:p>
    <w:p w14:paraId="2BF7B865">
      <w:pPr>
        <w:spacing w:after="166" w:afterLines="50" w:line="360" w:lineRule="auto"/>
        <w:ind w:firstLine="480" w:firstLineChars="200"/>
        <w:rPr>
          <w:rFonts w:ascii="宋体" w:hAnsi="宋体"/>
          <w:color w:val="auto"/>
          <w:sz w:val="24"/>
          <w:highlight w:val="none"/>
        </w:rPr>
      </w:pPr>
      <w:r>
        <w:rPr>
          <w:rFonts w:hint="eastAsia" w:ascii="宋体" w:hAnsi="宋体"/>
          <w:color w:val="auto"/>
          <w:sz w:val="24"/>
          <w:highlight w:val="none"/>
        </w:rPr>
        <w:t>7.在本约定书履行过程中，乙方不得消极怠工或拒不履行约定义务（包括但不限于参与相关会议、解答释疑、修正、补充等），否则将视为乙方违约，甲方有权就违约事宜提出改正，如乙方仍拒不改正的，甲方有权选择单方解除本约定书，要求乙方按本约定书服务费总额的20%承担违约金，同时并有权依法委托有资质的第三方继续履行本约定书义务，由此造成的一切损失由乙方承担。</w:t>
      </w:r>
    </w:p>
    <w:p w14:paraId="2D512675">
      <w:pPr>
        <w:adjustRightInd w:val="0"/>
        <w:snapToGrid w:val="0"/>
        <w:spacing w:line="360" w:lineRule="auto"/>
        <w:ind w:firstLine="562"/>
        <w:rPr>
          <w:rFonts w:ascii="宋体" w:hAnsi="宋体"/>
          <w:color w:val="auto"/>
          <w:sz w:val="24"/>
          <w:highlight w:val="none"/>
        </w:rPr>
      </w:pPr>
      <w:r>
        <w:rPr>
          <w:rFonts w:hint="eastAsia" w:ascii="宋体" w:hAnsi="宋体"/>
          <w:color w:val="auto"/>
          <w:sz w:val="24"/>
          <w:highlight w:val="none"/>
        </w:rPr>
        <w:t>8.其它违约责任按按《中华人民共和国民法典》等有关法律法规处理。</w:t>
      </w:r>
    </w:p>
    <w:p w14:paraId="3FE67CDD">
      <w:pPr>
        <w:adjustRightInd w:val="0"/>
        <w:snapToGrid w:val="0"/>
        <w:spacing w:line="360" w:lineRule="auto"/>
        <w:rPr>
          <w:rFonts w:ascii="宋体" w:hAnsi="宋体"/>
          <w:b/>
          <w:color w:val="auto"/>
          <w:sz w:val="28"/>
          <w:szCs w:val="28"/>
          <w:highlight w:val="none"/>
        </w:rPr>
      </w:pPr>
      <w:r>
        <w:rPr>
          <w:rFonts w:hint="eastAsia" w:ascii="宋体" w:hAnsi="宋体"/>
          <w:b/>
          <w:color w:val="auto"/>
          <w:sz w:val="28"/>
          <w:szCs w:val="28"/>
          <w:highlight w:val="none"/>
        </w:rPr>
        <w:t xml:space="preserve">    十、适用法律和争议解决 </w:t>
      </w:r>
    </w:p>
    <w:p w14:paraId="4E904DB6">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本约定书的所有方面均应适用中华人民共和国法律进行解释并受其约束。本约定书履行地为乙方出具审计报告所在地，因本约定书所引起的或与本约定书有关的任何纠纷或争议（包括关于本约定书条款的存在、效力或终止，或无效之后果），双方选择第</w:t>
      </w:r>
      <w:r>
        <w:rPr>
          <w:rFonts w:hint="eastAsia" w:ascii="宋体" w:hAnsi="宋体"/>
          <w:color w:val="auto"/>
          <w:sz w:val="24"/>
          <w:highlight w:val="none"/>
          <w:u w:val="single"/>
        </w:rPr>
        <w:t>（</w:t>
      </w:r>
      <w:r>
        <w:rPr>
          <w:rFonts w:ascii="宋体" w:hAnsi="宋体"/>
          <w:color w:val="auto"/>
          <w:sz w:val="24"/>
          <w:highlight w:val="none"/>
          <w:u w:val="single"/>
        </w:rPr>
        <w:t>2</w:t>
      </w:r>
      <w:r>
        <w:rPr>
          <w:rFonts w:hint="eastAsia" w:ascii="宋体" w:hAnsi="宋体"/>
          <w:color w:val="auto"/>
          <w:sz w:val="24"/>
          <w:highlight w:val="none"/>
          <w:u w:val="single"/>
        </w:rPr>
        <w:t>）</w:t>
      </w:r>
      <w:r>
        <w:rPr>
          <w:rFonts w:hint="eastAsia" w:ascii="宋体" w:hAnsi="宋体"/>
          <w:color w:val="auto"/>
          <w:sz w:val="24"/>
          <w:highlight w:val="none"/>
        </w:rPr>
        <w:t>种解决方式：</w:t>
      </w:r>
      <w:r>
        <w:rPr>
          <w:rFonts w:ascii="宋体" w:hAnsi="宋体"/>
          <w:color w:val="auto"/>
          <w:sz w:val="24"/>
          <w:highlight w:val="none"/>
        </w:rPr>
        <w:t xml:space="preserve"> </w:t>
      </w:r>
    </w:p>
    <w:p w14:paraId="0922549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（1） 向甲方所在地有管辖权的人民法院提起诉讼； </w:t>
      </w:r>
    </w:p>
    <w:p w14:paraId="32DBF6F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（2） 提交广州仲裁委员会东莞分会仲裁。 </w:t>
      </w:r>
    </w:p>
    <w:p w14:paraId="39EA4C0A">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本约定书一式肆份，甲方执叁份，乙方执壹份，具有同等法律效力。 </w:t>
      </w:r>
    </w:p>
    <w:p w14:paraId="07D693D6">
      <w:pPr>
        <w:adjustRightInd w:val="0"/>
        <w:snapToGrid w:val="0"/>
        <w:spacing w:line="360" w:lineRule="auto"/>
        <w:ind w:firstLine="480" w:firstLineChars="200"/>
        <w:rPr>
          <w:rFonts w:ascii="宋体" w:hAnsi="宋体"/>
          <w:color w:val="auto"/>
          <w:sz w:val="24"/>
          <w:highlight w:val="none"/>
        </w:rPr>
      </w:pPr>
    </w:p>
    <w:p w14:paraId="7E62A309">
      <w:pPr>
        <w:adjustRightInd w:val="0"/>
        <w:snapToGrid w:val="0"/>
        <w:spacing w:line="360" w:lineRule="auto"/>
        <w:rPr>
          <w:rFonts w:ascii="宋体" w:hAnsi="宋体"/>
          <w:color w:val="auto"/>
          <w:sz w:val="24"/>
          <w:highlight w:val="none"/>
        </w:rPr>
      </w:pPr>
    </w:p>
    <w:p w14:paraId="526FFB3D">
      <w:pPr>
        <w:adjustRightInd w:val="0"/>
        <w:snapToGrid w:val="0"/>
        <w:spacing w:line="360" w:lineRule="auto"/>
        <w:rPr>
          <w:rFonts w:ascii="宋体" w:hAnsi="宋体"/>
          <w:color w:val="auto"/>
          <w:sz w:val="24"/>
          <w:highlight w:val="none"/>
        </w:rPr>
      </w:pPr>
    </w:p>
    <w:p w14:paraId="513C5D47">
      <w:pPr>
        <w:adjustRightInd w:val="0"/>
        <w:snapToGrid w:val="0"/>
        <w:spacing w:line="360" w:lineRule="auto"/>
        <w:ind w:left="5760" w:hanging="5760"/>
        <w:rPr>
          <w:rFonts w:ascii="宋体" w:hAnsi="宋体"/>
          <w:color w:val="auto"/>
          <w:sz w:val="24"/>
          <w:highlight w:val="none"/>
        </w:rPr>
      </w:pPr>
      <w:r>
        <w:rPr>
          <w:rFonts w:hint="eastAsia" w:ascii="宋体" w:hAnsi="宋体"/>
          <w:color w:val="auto"/>
          <w:sz w:val="24"/>
          <w:highlight w:val="none"/>
        </w:rPr>
        <w:t xml:space="preserve">甲方：东莞市东实旗云投资有限公司（盖章）     </w:t>
      </w:r>
    </w:p>
    <w:p w14:paraId="5D36D3CA">
      <w:pPr>
        <w:adjustRightInd w:val="0"/>
        <w:snapToGrid w:val="0"/>
        <w:spacing w:line="360" w:lineRule="auto"/>
        <w:rPr>
          <w:rFonts w:ascii="宋体" w:hAnsi="宋体"/>
          <w:color w:val="auto"/>
          <w:sz w:val="24"/>
          <w:highlight w:val="none"/>
        </w:rPr>
      </w:pPr>
    </w:p>
    <w:p w14:paraId="7BC23D9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法定代表人/授权代表：             （签字/章）      </w:t>
      </w:r>
    </w:p>
    <w:p w14:paraId="3E42DD22">
      <w:pPr>
        <w:adjustRightInd w:val="0"/>
        <w:snapToGrid w:val="0"/>
        <w:spacing w:line="360" w:lineRule="auto"/>
        <w:rPr>
          <w:rFonts w:ascii="宋体" w:hAnsi="宋体"/>
          <w:color w:val="auto"/>
          <w:sz w:val="24"/>
          <w:highlight w:val="none"/>
        </w:rPr>
      </w:pPr>
    </w:p>
    <w:p w14:paraId="43BC864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二○二五年   月   日                    </w:t>
      </w:r>
    </w:p>
    <w:p w14:paraId="21155103">
      <w:pPr>
        <w:adjustRightInd w:val="0"/>
        <w:snapToGrid w:val="0"/>
        <w:spacing w:line="360" w:lineRule="auto"/>
        <w:ind w:firstLine="465"/>
        <w:rPr>
          <w:rFonts w:ascii="宋体" w:hAnsi="宋体"/>
          <w:color w:val="auto"/>
          <w:sz w:val="24"/>
          <w:highlight w:val="none"/>
        </w:rPr>
      </w:pPr>
    </w:p>
    <w:p w14:paraId="1A93B36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乙方：                         </w:t>
      </w:r>
      <w:r>
        <w:rPr>
          <w:rFonts w:ascii="宋体" w:hAnsi="宋体"/>
          <w:color w:val="auto"/>
          <w:sz w:val="24"/>
          <w:highlight w:val="none"/>
        </w:rPr>
        <w:t xml:space="preserve"> </w:t>
      </w:r>
      <w:r>
        <w:rPr>
          <w:rFonts w:hint="eastAsia" w:ascii="宋体" w:hAnsi="宋体"/>
          <w:color w:val="auto"/>
          <w:sz w:val="24"/>
          <w:highlight w:val="none"/>
        </w:rPr>
        <w:t>（盖章）</w:t>
      </w:r>
    </w:p>
    <w:p w14:paraId="67F8BD95">
      <w:pPr>
        <w:adjustRightInd w:val="0"/>
        <w:snapToGrid w:val="0"/>
        <w:spacing w:line="360" w:lineRule="auto"/>
        <w:rPr>
          <w:rFonts w:ascii="宋体" w:hAnsi="宋体"/>
          <w:color w:val="auto"/>
          <w:sz w:val="24"/>
          <w:highlight w:val="none"/>
        </w:rPr>
      </w:pPr>
    </w:p>
    <w:p w14:paraId="7A63503F">
      <w:pPr>
        <w:spacing w:line="360" w:lineRule="auto"/>
        <w:rPr>
          <w:rFonts w:ascii="宋体" w:hAnsi="宋体"/>
          <w:color w:val="auto"/>
          <w:sz w:val="24"/>
          <w:highlight w:val="none"/>
        </w:rPr>
      </w:pPr>
      <w:r>
        <w:rPr>
          <w:rFonts w:hint="eastAsia" w:ascii="宋体" w:hAnsi="宋体"/>
          <w:color w:val="auto"/>
          <w:sz w:val="24"/>
          <w:highlight w:val="none"/>
        </w:rPr>
        <w:t>法定代表人/授权代表：             （签字/章）</w:t>
      </w:r>
    </w:p>
    <w:p w14:paraId="255C2D87">
      <w:pPr>
        <w:spacing w:line="360" w:lineRule="auto"/>
        <w:rPr>
          <w:rFonts w:ascii="宋体" w:hAnsi="宋体"/>
          <w:color w:val="auto"/>
          <w:sz w:val="24"/>
          <w:highlight w:val="none"/>
        </w:rPr>
      </w:pPr>
    </w:p>
    <w:p w14:paraId="36E85E77">
      <w:pPr>
        <w:spacing w:line="360" w:lineRule="auto"/>
        <w:rPr>
          <w:rFonts w:ascii="宋体" w:hAnsi="宋体"/>
          <w:color w:val="auto"/>
          <w:sz w:val="24"/>
          <w:highlight w:val="none"/>
        </w:rPr>
      </w:pPr>
    </w:p>
    <w:p w14:paraId="3139F4E1">
      <w:pPr>
        <w:spacing w:line="360" w:lineRule="auto"/>
        <w:rPr>
          <w:rFonts w:ascii="宋体" w:hAnsi="宋体"/>
          <w:color w:val="auto"/>
          <w:sz w:val="24"/>
          <w:highlight w:val="none"/>
        </w:rPr>
      </w:pPr>
      <w:r>
        <w:rPr>
          <w:rFonts w:hint="eastAsia" w:ascii="宋体" w:hAnsi="宋体"/>
          <w:color w:val="auto"/>
          <w:sz w:val="24"/>
          <w:highlight w:val="none"/>
        </w:rPr>
        <w:t>二○二五年   月   日</w:t>
      </w:r>
    </w:p>
    <w:p w14:paraId="3F45A926">
      <w:pPr>
        <w:rPr>
          <w:color w:val="auto"/>
          <w:highlight w:val="none"/>
        </w:rPr>
      </w:pPr>
    </w:p>
    <w:p w14:paraId="34E1C3E6">
      <w:pPr>
        <w:spacing w:line="360" w:lineRule="auto"/>
        <w:rPr>
          <w:rFonts w:ascii="宋体" w:hAnsi="宋体" w:cs="宋体"/>
          <w:bCs/>
          <w:color w:val="auto"/>
          <w:sz w:val="28"/>
          <w:szCs w:val="28"/>
          <w:highlight w:val="none"/>
        </w:rPr>
      </w:pPr>
    </w:p>
    <w:p w14:paraId="1C8BD1A8">
      <w:pPr>
        <w:spacing w:line="360" w:lineRule="auto"/>
        <w:rPr>
          <w:rFonts w:ascii="宋体" w:hAnsi="宋体" w:cs="宋体"/>
          <w:bCs/>
          <w:color w:val="auto"/>
          <w:sz w:val="28"/>
          <w:szCs w:val="28"/>
          <w:highlight w:val="none"/>
        </w:rPr>
      </w:pPr>
    </w:p>
    <w:p w14:paraId="6925CBF5">
      <w:pPr>
        <w:spacing w:line="360" w:lineRule="auto"/>
        <w:rPr>
          <w:rFonts w:ascii="宋体" w:hAnsi="宋体" w:cs="宋体"/>
          <w:bCs/>
          <w:color w:val="auto"/>
          <w:szCs w:val="32"/>
          <w:highlight w:val="none"/>
        </w:rPr>
      </w:pPr>
      <w:r>
        <w:rPr>
          <w:rFonts w:hint="eastAsia" w:ascii="宋体" w:hAnsi="宋体" w:cs="宋体"/>
          <w:bCs/>
          <w:color w:val="auto"/>
          <w:sz w:val="28"/>
          <w:szCs w:val="28"/>
          <w:highlight w:val="none"/>
        </w:rPr>
        <w:t>附件</w:t>
      </w:r>
      <w:r>
        <w:rPr>
          <w:rFonts w:ascii="宋体" w:hAnsi="宋体" w:cs="宋体"/>
          <w:bCs/>
          <w:color w:val="auto"/>
          <w:sz w:val="28"/>
          <w:szCs w:val="28"/>
          <w:highlight w:val="none"/>
        </w:rPr>
        <w:t>1</w:t>
      </w:r>
      <w:r>
        <w:rPr>
          <w:rFonts w:hint="eastAsia" w:ascii="宋体" w:hAnsi="宋体" w:cs="宋体"/>
          <w:bCs/>
          <w:color w:val="auto"/>
          <w:sz w:val="28"/>
          <w:szCs w:val="28"/>
          <w:highlight w:val="none"/>
        </w:rPr>
        <w:t>：</w:t>
      </w:r>
    </w:p>
    <w:p w14:paraId="6A0E5A2E">
      <w:pPr>
        <w:spacing w:line="360" w:lineRule="auto"/>
        <w:ind w:firstLine="880" w:firstLineChars="200"/>
        <w:jc w:val="center"/>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43A6914B">
      <w:pPr>
        <w:spacing w:line="360" w:lineRule="auto"/>
        <w:ind w:firstLine="560" w:firstLineChars="200"/>
        <w:jc w:val="center"/>
        <w:rPr>
          <w:rFonts w:ascii="宋体"/>
          <w:b/>
          <w:color w:val="auto"/>
          <w:sz w:val="28"/>
          <w:szCs w:val="28"/>
          <w:highlight w:val="none"/>
        </w:rPr>
      </w:pPr>
    </w:p>
    <w:p w14:paraId="6820CA61">
      <w:pPr>
        <w:spacing w:before="166" w:beforeLines="50" w:after="166" w:afterLines="50" w:line="360" w:lineRule="auto"/>
        <w:ind w:firstLine="420" w:firstLineChars="200"/>
        <w:contextualSpacing/>
        <w:rPr>
          <w:rFonts w:ascii="宋体" w:hAnsi="宋体"/>
          <w:color w:val="auto"/>
          <w:highlight w:val="none"/>
          <w:u w:val="single"/>
        </w:rPr>
      </w:pPr>
      <w:r>
        <w:rPr>
          <w:rFonts w:hint="eastAsia" w:ascii="宋体" w:hAnsi="宋体"/>
          <w:color w:val="auto"/>
          <w:szCs w:val="21"/>
          <w:highlight w:val="none"/>
        </w:rPr>
        <w:t>甲方：</w:t>
      </w:r>
      <w:r>
        <w:rPr>
          <w:rFonts w:hint="eastAsia" w:ascii="宋体" w:hAnsi="宋体"/>
          <w:color w:val="auto"/>
          <w:szCs w:val="21"/>
          <w:highlight w:val="none"/>
          <w:u w:val="single"/>
        </w:rPr>
        <w:t>东莞市东实旗云投资有限公司</w:t>
      </w:r>
    </w:p>
    <w:p w14:paraId="4D00C6CD">
      <w:pPr>
        <w:spacing w:after="120" w:line="360" w:lineRule="auto"/>
        <w:rPr>
          <w:color w:val="auto"/>
          <w:highlight w:val="none"/>
        </w:rPr>
      </w:pPr>
    </w:p>
    <w:p w14:paraId="31D77EF7">
      <w:pPr>
        <w:spacing w:before="166" w:beforeLines="50" w:after="166" w:afterLines="50" w:line="360" w:lineRule="auto"/>
        <w:ind w:firstLine="420" w:firstLineChars="200"/>
        <w:contextualSpacing/>
        <w:rPr>
          <w:rFonts w:ascii="宋体" w:hAnsi="宋体"/>
          <w:color w:val="auto"/>
          <w:highlight w:val="none"/>
        </w:rPr>
      </w:pPr>
      <w:r>
        <w:rPr>
          <w:rFonts w:hint="eastAsia" w:ascii="宋体" w:hAnsi="宋体"/>
          <w:color w:val="auto"/>
          <w:szCs w:val="21"/>
          <w:highlight w:val="none"/>
        </w:rPr>
        <w:t>乙方：</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p>
    <w:p w14:paraId="332E9110">
      <w:pPr>
        <w:spacing w:after="120"/>
        <w:rPr>
          <w:color w:val="auto"/>
          <w:highlight w:val="none"/>
        </w:rPr>
      </w:pPr>
    </w:p>
    <w:p w14:paraId="1C7FE9A8">
      <w:pPr>
        <w:spacing w:before="166" w:beforeLines="50" w:after="166" w:afterLines="50" w:line="360" w:lineRule="auto"/>
        <w:ind w:firstLine="420" w:firstLineChars="200"/>
        <w:contextualSpacing/>
        <w:rPr>
          <w:rFonts w:ascii="宋体"/>
          <w:color w:val="auto"/>
          <w:highlight w:val="none"/>
        </w:rPr>
      </w:pPr>
      <w:r>
        <w:rPr>
          <w:rFonts w:hint="eastAsia" w:ascii="宋体" w:hAnsi="宋体"/>
          <w:color w:val="auto"/>
          <w:highlight w:val="none"/>
        </w:rPr>
        <w:t>甲乙双方于</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日签署了《专项财务审计业务约定书》（以下简称原合同），为加强双方阳光合作，保证职员职业安全，甲乙双方经协商签订本协议并作为双方共同遵守的阳光合作行为准则。</w:t>
      </w:r>
    </w:p>
    <w:p w14:paraId="72339983">
      <w:pPr>
        <w:spacing w:before="166" w:beforeLines="50" w:after="166" w:afterLines="50" w:line="360" w:lineRule="auto"/>
        <w:ind w:left="420" w:leftChars="200"/>
        <w:contextualSpacing/>
        <w:rPr>
          <w:rFonts w:ascii="宋体" w:hAnsi="宋体"/>
          <w:b/>
          <w:color w:val="auto"/>
          <w:highlight w:val="none"/>
        </w:rPr>
      </w:pPr>
      <w:r>
        <w:rPr>
          <w:rFonts w:hint="eastAsia" w:ascii="宋体" w:hAnsi="宋体"/>
          <w:b/>
          <w:color w:val="auto"/>
          <w:highlight w:val="none"/>
        </w:rPr>
        <w:t>一、甲方责任</w:t>
      </w:r>
    </w:p>
    <w:p w14:paraId="40951B5E">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1.甲方有责任向乙方介绍本单位有关采购管理通用原则和本协议的规定。</w:t>
      </w:r>
    </w:p>
    <w:p w14:paraId="3347CAD4">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2.甲方有责任对本单位相关人员进行阳光合作教育。</w:t>
      </w:r>
    </w:p>
    <w:p w14:paraId="643CED26">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062A53F">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4.甲方人员如违反阳光合作管理制度及本协议规定，甲方视情节轻重、影响大小给予行政及经济处罚。</w:t>
      </w:r>
    </w:p>
    <w:p w14:paraId="336A1E94">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0923F28E">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431CDC72">
      <w:pPr>
        <w:spacing w:before="166" w:beforeLines="50" w:after="166" w:afterLines="50" w:line="360" w:lineRule="auto"/>
        <w:ind w:left="420" w:leftChars="200"/>
        <w:contextualSpacing/>
        <w:rPr>
          <w:rFonts w:ascii="宋体" w:hAnsi="宋体"/>
          <w:b/>
          <w:color w:val="auto"/>
          <w:highlight w:val="none"/>
        </w:rPr>
      </w:pPr>
      <w:r>
        <w:rPr>
          <w:rFonts w:hint="eastAsia" w:ascii="宋体" w:hAnsi="宋体"/>
          <w:b/>
          <w:color w:val="auto"/>
          <w:highlight w:val="none"/>
        </w:rPr>
        <w:t>二、乙方责任</w:t>
      </w:r>
    </w:p>
    <w:p w14:paraId="4541D75B">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1.乙方应保证乙方人员了解甲方有关采购管理通用原则和及本协议的规定，并遵照执行。</w:t>
      </w:r>
    </w:p>
    <w:p w14:paraId="09EFA504">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499A2D98">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3AD40154">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243B693">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 xml:space="preserve">5．甲方接受乙方实名或匿名举报，保证为举报者的信息保密，常设举报部门及电话： </w:t>
      </w:r>
    </w:p>
    <w:p w14:paraId="2AC0150C">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举报受理部门：东莞实业投资控股集团有限公司风控法务部</w:t>
      </w:r>
    </w:p>
    <w:p w14:paraId="25F439B7">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东实集团举报邮箱：dgsyxf@163.com</w:t>
      </w:r>
    </w:p>
    <w:p w14:paraId="2556D87B">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东实集团举报电话：0769-28820703（周一至周五9:00-12:00和14:00-18:00）</w:t>
      </w:r>
    </w:p>
    <w:p w14:paraId="0FBBA69A">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邮寄地址：东莞市东城区八一路1号机关二号大院9号楼，东莞实业投资控股集团有限公司风控法务部收，邮编523000。</w:t>
      </w:r>
    </w:p>
    <w:p w14:paraId="2CF3131A">
      <w:pPr>
        <w:spacing w:before="166" w:beforeLines="50" w:after="166" w:afterLines="50" w:line="360" w:lineRule="auto"/>
        <w:ind w:left="420" w:leftChars="200"/>
        <w:contextualSpacing/>
        <w:rPr>
          <w:rFonts w:ascii="宋体" w:hAnsi="宋体"/>
          <w:b/>
          <w:color w:val="auto"/>
          <w:highlight w:val="none"/>
        </w:rPr>
      </w:pPr>
      <w:r>
        <w:rPr>
          <w:rFonts w:hint="eastAsia" w:ascii="宋体" w:hAnsi="宋体"/>
          <w:b/>
          <w:color w:val="auto"/>
          <w:highlight w:val="none"/>
        </w:rPr>
        <w:t>三、其他</w:t>
      </w:r>
    </w:p>
    <w:p w14:paraId="043085EB">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1.本协议是原合同的补充协议，与原合同有同等法律效力。</w:t>
      </w:r>
    </w:p>
    <w:p w14:paraId="548E480F">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2.</w:t>
      </w:r>
      <w:r>
        <w:rPr>
          <w:rFonts w:ascii="宋体" w:hAnsi="宋体"/>
          <w:color w:val="auto"/>
          <w:highlight w:val="none"/>
        </w:rPr>
        <w:t>本</w:t>
      </w:r>
      <w:r>
        <w:rPr>
          <w:rFonts w:hint="eastAsia" w:ascii="宋体" w:hAnsi="宋体"/>
          <w:color w:val="auto"/>
          <w:highlight w:val="none"/>
        </w:rPr>
        <w:t>协议</w:t>
      </w:r>
      <w:r>
        <w:rPr>
          <w:rFonts w:ascii="宋体" w:hAnsi="宋体"/>
          <w:color w:val="auto"/>
          <w:highlight w:val="none"/>
        </w:rPr>
        <w:t>一式</w:t>
      </w:r>
      <w:r>
        <w:rPr>
          <w:rFonts w:hint="eastAsia" w:ascii="宋体" w:hAnsi="宋体"/>
          <w:color w:val="auto"/>
          <w:highlight w:val="none"/>
        </w:rPr>
        <w:t>四</w:t>
      </w:r>
      <w:r>
        <w:rPr>
          <w:rFonts w:ascii="宋体" w:hAnsi="宋体"/>
          <w:color w:val="auto"/>
          <w:highlight w:val="none"/>
        </w:rPr>
        <w:t>份，甲方执</w:t>
      </w:r>
      <w:r>
        <w:rPr>
          <w:rFonts w:hint="eastAsia" w:ascii="宋体" w:hAnsi="宋体"/>
          <w:color w:val="auto"/>
          <w:highlight w:val="none"/>
        </w:rPr>
        <w:t>叁</w:t>
      </w:r>
      <w:r>
        <w:rPr>
          <w:rFonts w:ascii="宋体" w:hAnsi="宋体"/>
          <w:color w:val="auto"/>
          <w:highlight w:val="none"/>
        </w:rPr>
        <w:t>份，乙方执</w:t>
      </w:r>
      <w:r>
        <w:rPr>
          <w:rFonts w:hint="eastAsia" w:ascii="宋体" w:hAnsi="宋体"/>
          <w:color w:val="auto"/>
          <w:highlight w:val="none"/>
        </w:rPr>
        <w:t>壹</w:t>
      </w:r>
      <w:r>
        <w:rPr>
          <w:rFonts w:ascii="宋体" w:hAnsi="宋体"/>
          <w:color w:val="auto"/>
          <w:highlight w:val="none"/>
        </w:rPr>
        <w:t>份</w:t>
      </w:r>
      <w:r>
        <w:rPr>
          <w:rFonts w:hint="eastAsia" w:ascii="宋体" w:hAnsi="宋体"/>
          <w:color w:val="auto"/>
          <w:highlight w:val="none"/>
        </w:rPr>
        <w:t>,具有同等法律效力。</w:t>
      </w:r>
    </w:p>
    <w:p w14:paraId="716F506C">
      <w:pPr>
        <w:spacing w:before="166" w:beforeLines="50" w:after="166" w:afterLines="50" w:line="360" w:lineRule="auto"/>
        <w:ind w:left="105" w:leftChars="50" w:firstLine="420" w:firstLineChars="200"/>
        <w:contextualSpacing/>
        <w:rPr>
          <w:rFonts w:ascii="宋体" w:hAnsi="宋体"/>
          <w:color w:val="auto"/>
          <w:highlight w:val="none"/>
        </w:rPr>
      </w:pPr>
      <w:r>
        <w:rPr>
          <w:rFonts w:hint="eastAsia" w:ascii="宋体" w:hAnsi="宋体"/>
          <w:color w:val="auto"/>
          <w:highlight w:val="none"/>
        </w:rPr>
        <w:t>3.本协议经双方签署后生效。</w:t>
      </w:r>
    </w:p>
    <w:p w14:paraId="566D2B6E">
      <w:pPr>
        <w:spacing w:before="166" w:beforeLines="50" w:after="166" w:afterLines="50" w:line="360" w:lineRule="auto"/>
        <w:ind w:firstLine="420" w:firstLineChars="200"/>
        <w:contextualSpacing/>
        <w:rPr>
          <w:rFonts w:ascii="宋体" w:hAnsi="宋体"/>
          <w:color w:val="auto"/>
          <w:highlight w:val="none"/>
        </w:rPr>
      </w:pPr>
    </w:p>
    <w:p w14:paraId="3527FFE4">
      <w:pPr>
        <w:spacing w:before="166" w:beforeLines="50" w:after="166" w:afterLines="50" w:line="360" w:lineRule="auto"/>
        <w:ind w:firstLine="420" w:firstLineChars="200"/>
        <w:contextualSpacing/>
        <w:rPr>
          <w:rFonts w:ascii="宋体"/>
          <w:color w:val="auto"/>
          <w:highlight w:val="none"/>
        </w:rPr>
      </w:pPr>
      <w:r>
        <w:rPr>
          <w:rFonts w:hint="eastAsia" w:ascii="宋体" w:hAnsi="宋体"/>
          <w:color w:val="auto"/>
          <w:highlight w:val="none"/>
        </w:rPr>
        <w:t>甲方（盖章）：                      乙方（盖章）：</w:t>
      </w:r>
      <w:r>
        <w:rPr>
          <w:rFonts w:ascii="宋体"/>
          <w:color w:val="auto"/>
          <w:highlight w:val="none"/>
        </w:rPr>
        <w:t xml:space="preserve"> </w:t>
      </w:r>
    </w:p>
    <w:p w14:paraId="5A909B01">
      <w:pPr>
        <w:spacing w:before="166" w:beforeLines="50" w:after="166" w:afterLines="50" w:line="360" w:lineRule="auto"/>
        <w:ind w:firstLine="420" w:firstLineChars="200"/>
        <w:contextualSpacing/>
        <w:rPr>
          <w:rFonts w:ascii="宋体" w:hAnsi="宋体"/>
          <w:color w:val="auto"/>
          <w:highlight w:val="none"/>
        </w:rPr>
      </w:pPr>
    </w:p>
    <w:p w14:paraId="789752A5">
      <w:pPr>
        <w:spacing w:before="166" w:beforeLines="50" w:after="166" w:afterLines="50" w:line="360" w:lineRule="auto"/>
        <w:ind w:firstLine="420" w:firstLineChars="200"/>
        <w:contextualSpacing/>
        <w:rPr>
          <w:rFonts w:ascii="宋体"/>
          <w:color w:val="auto"/>
          <w:highlight w:val="none"/>
        </w:rPr>
      </w:pPr>
      <w:r>
        <w:rPr>
          <w:rFonts w:hint="eastAsia" w:ascii="宋体" w:hAnsi="宋体"/>
          <w:color w:val="auto"/>
          <w:highlight w:val="none"/>
        </w:rPr>
        <w:t>法定代表人（授权代表）：</w:t>
      </w:r>
      <w:r>
        <w:rPr>
          <w:rFonts w:hint="eastAsia" w:ascii="宋体"/>
          <w:color w:val="auto"/>
          <w:highlight w:val="none"/>
        </w:rPr>
        <w:tab/>
      </w:r>
      <w:r>
        <w:rPr>
          <w:rFonts w:hint="eastAsia" w:ascii="宋体"/>
          <w:color w:val="auto"/>
          <w:highlight w:val="none"/>
        </w:rPr>
        <w:tab/>
      </w:r>
      <w:r>
        <w:rPr>
          <w:rFonts w:hint="eastAsia" w:ascii="宋体"/>
          <w:color w:val="auto"/>
          <w:highlight w:val="none"/>
        </w:rPr>
        <w:t xml:space="preserve">  </w:t>
      </w:r>
      <w:r>
        <w:rPr>
          <w:rFonts w:hint="eastAsia" w:ascii="宋体"/>
          <w:color w:val="auto"/>
          <w:highlight w:val="none"/>
        </w:rPr>
        <w:tab/>
      </w:r>
      <w:r>
        <w:rPr>
          <w:rFonts w:hint="eastAsia" w:ascii="宋体"/>
          <w:color w:val="auto"/>
          <w:highlight w:val="none"/>
        </w:rPr>
        <w:t xml:space="preserve">   </w:t>
      </w:r>
      <w:r>
        <w:rPr>
          <w:rFonts w:hint="eastAsia" w:ascii="宋体" w:hAnsi="宋体"/>
          <w:color w:val="auto"/>
          <w:highlight w:val="none"/>
        </w:rPr>
        <w:t>法定代表人（授权代表）：</w:t>
      </w:r>
    </w:p>
    <w:p w14:paraId="604A899D">
      <w:pPr>
        <w:spacing w:before="166" w:beforeLines="50" w:after="166" w:afterLines="50" w:line="360" w:lineRule="auto"/>
        <w:ind w:firstLine="420" w:firstLineChars="200"/>
        <w:contextualSpacing/>
        <w:rPr>
          <w:rFonts w:ascii="宋体" w:hAnsi="宋体"/>
          <w:color w:val="auto"/>
          <w:highlight w:val="none"/>
        </w:rPr>
      </w:pPr>
    </w:p>
    <w:p w14:paraId="268E27AD">
      <w:pPr>
        <w:spacing w:before="166" w:beforeLines="50" w:after="166" w:afterLines="50" w:line="360" w:lineRule="auto"/>
        <w:ind w:firstLine="420" w:firstLineChars="200"/>
        <w:contextualSpacing/>
        <w:rPr>
          <w:color w:val="auto"/>
          <w:highlight w:val="none"/>
        </w:rPr>
      </w:pPr>
      <w:r>
        <w:rPr>
          <w:rFonts w:hint="eastAsia" w:ascii="宋体" w:hAnsi="宋体"/>
          <w:color w:val="auto"/>
          <w:highlight w:val="none"/>
        </w:rPr>
        <w:t>签约日期：   年   月   日</w:t>
      </w:r>
      <w:bookmarkStart w:id="12" w:name="现场签证通知单"/>
      <w:bookmarkEnd w:id="12"/>
      <w:bookmarkStart w:id="13" w:name="设计变更通知单"/>
      <w:bookmarkEnd w:id="13"/>
      <w:r>
        <w:rPr>
          <w:color w:val="auto"/>
          <w:highlight w:val="none"/>
        </w:rPr>
        <w:tab/>
      </w:r>
      <w:r>
        <w:rPr>
          <w:color w:val="auto"/>
          <w:highlight w:val="none"/>
        </w:rPr>
        <w:t xml:space="preserve">    </w:t>
      </w:r>
      <w:r>
        <w:rPr>
          <w:rFonts w:hint="eastAsia"/>
          <w:color w:val="auto"/>
          <w:highlight w:val="none"/>
        </w:rPr>
        <w:t xml:space="preserve">   </w:t>
      </w:r>
      <w:r>
        <w:rPr>
          <w:rFonts w:hint="eastAsia" w:ascii="宋体" w:hAnsi="宋体"/>
          <w:color w:val="auto"/>
          <w:highlight w:val="none"/>
        </w:rPr>
        <w:t>签约日期：   年   月   日</w:t>
      </w:r>
    </w:p>
    <w:p w14:paraId="3694D0F2">
      <w:pPr>
        <w:spacing w:before="68" w:line="201" w:lineRule="auto"/>
        <w:ind w:left="199"/>
        <w:rPr>
          <w:rFonts w:ascii="黑体" w:hAnsi="黑体" w:eastAsia="黑体" w:cs="黑体"/>
          <w:color w:val="auto"/>
          <w:highlight w:val="none"/>
        </w:rPr>
      </w:pPr>
    </w:p>
    <w:p w14:paraId="5A9BCB22">
      <w:pPr>
        <w:jc w:val="left"/>
        <w:rPr>
          <w:rFonts w:ascii="黑体" w:eastAsia="黑体"/>
          <w:b/>
          <w:color w:val="auto"/>
          <w:sz w:val="30"/>
          <w:szCs w:val="30"/>
          <w:highlight w:val="none"/>
        </w:rPr>
      </w:pPr>
      <w:r>
        <w:rPr>
          <w:rFonts w:hint="eastAsia"/>
          <w:color w:val="auto"/>
          <w:sz w:val="24"/>
          <w:szCs w:val="22"/>
          <w:highlight w:val="none"/>
        </w:rPr>
        <w:t>附件</w:t>
      </w:r>
      <w:r>
        <w:rPr>
          <w:color w:val="auto"/>
          <w:sz w:val="24"/>
          <w:szCs w:val="22"/>
          <w:highlight w:val="none"/>
        </w:rPr>
        <w:t>2</w:t>
      </w:r>
      <w:r>
        <w:rPr>
          <w:rFonts w:hint="eastAsia"/>
          <w:color w:val="auto"/>
          <w:sz w:val="24"/>
          <w:szCs w:val="22"/>
          <w:highlight w:val="none"/>
        </w:rPr>
        <w:t>：</w:t>
      </w:r>
    </w:p>
    <w:p w14:paraId="25CCBED4">
      <w:pPr>
        <w:adjustRightInd w:val="0"/>
        <w:snapToGrid w:val="0"/>
        <w:spacing w:line="580" w:lineRule="exact"/>
        <w:jc w:val="center"/>
        <w:rPr>
          <w:rFonts w:ascii="宋体" w:hAnsi="宋体"/>
          <w:b/>
          <w:bCs/>
          <w:color w:val="auto"/>
          <w:sz w:val="44"/>
          <w:szCs w:val="44"/>
          <w:highlight w:val="none"/>
        </w:rPr>
      </w:pPr>
      <w:r>
        <w:rPr>
          <w:rFonts w:hint="eastAsia" w:ascii="宋体" w:hAnsi="宋体"/>
          <w:b/>
          <w:bCs/>
          <w:color w:val="auto"/>
          <w:sz w:val="44"/>
          <w:szCs w:val="44"/>
          <w:highlight w:val="none"/>
        </w:rPr>
        <w:t>保 密 协 议</w:t>
      </w:r>
    </w:p>
    <w:p w14:paraId="3AC19EF0">
      <w:pPr>
        <w:adjustRightInd w:val="0"/>
        <w:snapToGrid w:val="0"/>
        <w:spacing w:line="360" w:lineRule="auto"/>
        <w:jc w:val="center"/>
        <w:rPr>
          <w:rFonts w:ascii="华文仿宋" w:hAnsi="华文仿宋" w:eastAsia="华文仿宋"/>
          <w:color w:val="auto"/>
          <w:sz w:val="24"/>
          <w:highlight w:val="none"/>
        </w:rPr>
      </w:pPr>
      <w:r>
        <w:rPr>
          <w:rFonts w:hint="eastAsia" w:ascii="华文仿宋" w:hAnsi="华文仿宋" w:eastAsia="华文仿宋"/>
          <w:color w:val="auto"/>
          <w:sz w:val="24"/>
          <w:highlight w:val="none"/>
        </w:rPr>
        <w:t xml:space="preserve">                         </w:t>
      </w:r>
    </w:p>
    <w:p w14:paraId="30FB2173">
      <w:pPr>
        <w:adjustRightInd w:val="0"/>
        <w:snapToGrid w:val="0"/>
        <w:spacing w:line="560" w:lineRule="exact"/>
        <w:rPr>
          <w:rFonts w:ascii="宋体" w:hAnsi="宋体"/>
          <w:color w:val="auto"/>
          <w:sz w:val="28"/>
          <w:szCs w:val="28"/>
          <w:highlight w:val="none"/>
        </w:rPr>
      </w:pPr>
      <w:r>
        <w:rPr>
          <w:rFonts w:hint="eastAsia" w:ascii="宋体" w:hAnsi="宋体"/>
          <w:color w:val="auto"/>
          <w:sz w:val="28"/>
          <w:szCs w:val="28"/>
          <w:highlight w:val="none"/>
        </w:rPr>
        <w:t>甲方：</w:t>
      </w:r>
      <w:r>
        <w:rPr>
          <w:rFonts w:ascii="宋体" w:hAnsi="宋体"/>
          <w:color w:val="auto"/>
          <w:sz w:val="28"/>
          <w:szCs w:val="28"/>
          <w:highlight w:val="none"/>
          <w:u w:val="single"/>
        </w:rPr>
        <w:t xml:space="preserve">  </w:t>
      </w:r>
      <w:r>
        <w:rPr>
          <w:rFonts w:hint="eastAsia" w:ascii="宋体" w:hAnsi="宋体"/>
          <w:color w:val="auto"/>
          <w:sz w:val="28"/>
          <w:szCs w:val="28"/>
          <w:highlight w:val="none"/>
          <w:u w:val="single"/>
        </w:rPr>
        <w:t>东莞市东实旗云投资有限公司</w:t>
      </w:r>
      <w:r>
        <w:rPr>
          <w:rFonts w:ascii="宋体" w:hAnsi="宋体"/>
          <w:color w:val="auto"/>
          <w:sz w:val="28"/>
          <w:szCs w:val="28"/>
          <w:highlight w:val="none"/>
          <w:u w:val="single"/>
        </w:rPr>
        <w:t xml:space="preserve">  </w:t>
      </w:r>
    </w:p>
    <w:p w14:paraId="2D3EFE76">
      <w:pPr>
        <w:adjustRightInd w:val="0"/>
        <w:snapToGrid w:val="0"/>
        <w:spacing w:line="560" w:lineRule="exact"/>
        <w:rPr>
          <w:rFonts w:ascii="宋体" w:hAnsi="宋体"/>
          <w:color w:val="auto"/>
          <w:sz w:val="28"/>
          <w:szCs w:val="28"/>
          <w:highlight w:val="none"/>
        </w:rPr>
      </w:pPr>
      <w:r>
        <w:rPr>
          <w:rFonts w:hint="eastAsia" w:ascii="宋体" w:hAnsi="宋体"/>
          <w:color w:val="auto"/>
          <w:sz w:val="28"/>
          <w:szCs w:val="28"/>
          <w:highlight w:val="none"/>
        </w:rPr>
        <w:t>乙方：</w:t>
      </w:r>
      <w:r>
        <w:rPr>
          <w:rFonts w:ascii="宋体" w:hAnsi="宋体"/>
          <w:color w:val="auto"/>
          <w:sz w:val="28"/>
          <w:szCs w:val="28"/>
          <w:highlight w:val="none"/>
          <w:u w:val="single"/>
        </w:rPr>
        <w:t xml:space="preserve">                              </w:t>
      </w:r>
      <w:r>
        <w:rPr>
          <w:rFonts w:hint="eastAsia" w:ascii="宋体" w:hAnsi="宋体"/>
          <w:color w:val="auto"/>
          <w:sz w:val="28"/>
          <w:szCs w:val="28"/>
          <w:highlight w:val="none"/>
        </w:rPr>
        <w:t xml:space="preserve"> </w:t>
      </w:r>
    </w:p>
    <w:p w14:paraId="64B4CBDB">
      <w:pPr>
        <w:adjustRightInd w:val="0"/>
        <w:snapToGrid w:val="0"/>
        <w:spacing w:line="560" w:lineRule="exact"/>
        <w:ind w:firstLine="560" w:firstLineChars="200"/>
        <w:rPr>
          <w:rFonts w:ascii="宋体" w:hAnsi="宋体"/>
          <w:color w:val="auto"/>
          <w:sz w:val="28"/>
          <w:szCs w:val="28"/>
          <w:highlight w:val="none"/>
        </w:rPr>
      </w:pPr>
    </w:p>
    <w:p w14:paraId="06FD8C58">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甲乙双方因进行业务合作，鉴于在合作过程中</w:t>
      </w:r>
      <w:r>
        <w:rPr>
          <w:rFonts w:hint="eastAsia" w:ascii="宋体" w:hAnsi="宋体"/>
          <w:color w:val="auto"/>
          <w:sz w:val="28"/>
          <w:szCs w:val="28"/>
          <w:highlight w:val="none"/>
          <w:lang w:eastAsia="zh-Hans"/>
        </w:rPr>
        <w:t>乙方</w:t>
      </w:r>
      <w:r>
        <w:rPr>
          <w:rFonts w:hint="eastAsia" w:ascii="宋体" w:hAnsi="宋体"/>
          <w:color w:val="auto"/>
          <w:sz w:val="28"/>
          <w:szCs w:val="28"/>
          <w:highlight w:val="none"/>
        </w:rPr>
        <w:t>可能接触到</w:t>
      </w:r>
      <w:r>
        <w:rPr>
          <w:rFonts w:hint="eastAsia" w:ascii="宋体" w:hAnsi="宋体"/>
          <w:color w:val="auto"/>
          <w:sz w:val="28"/>
          <w:szCs w:val="28"/>
          <w:highlight w:val="none"/>
          <w:lang w:eastAsia="zh-Hans"/>
        </w:rPr>
        <w:t>甲方</w:t>
      </w:r>
      <w:r>
        <w:rPr>
          <w:rFonts w:hint="eastAsia" w:ascii="宋体" w:hAnsi="宋体"/>
          <w:color w:val="auto"/>
          <w:sz w:val="28"/>
          <w:szCs w:val="28"/>
          <w:highlight w:val="none"/>
        </w:rPr>
        <w:t>合法所有的非公开信息，特签订保密协议如下：</w:t>
      </w:r>
    </w:p>
    <w:p w14:paraId="47FDC224">
      <w:pPr>
        <w:numPr>
          <w:ilvl w:val="0"/>
          <w:numId w:val="7"/>
        </w:numPr>
        <w:adjustRightInd w:val="0"/>
        <w:snapToGrid w:val="0"/>
        <w:spacing w:line="560" w:lineRule="exact"/>
        <w:rPr>
          <w:rFonts w:ascii="宋体" w:hAnsi="宋体"/>
          <w:b/>
          <w:color w:val="auto"/>
          <w:sz w:val="28"/>
          <w:szCs w:val="28"/>
          <w:highlight w:val="none"/>
        </w:rPr>
      </w:pPr>
      <w:r>
        <w:rPr>
          <w:rFonts w:hint="eastAsia" w:ascii="宋体" w:hAnsi="宋体"/>
          <w:b/>
          <w:color w:val="auto"/>
          <w:sz w:val="28"/>
          <w:szCs w:val="28"/>
          <w:highlight w:val="none"/>
        </w:rPr>
        <w:t>保密信息的性质和范围</w:t>
      </w:r>
    </w:p>
    <w:p w14:paraId="6D0DC56E">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本协议所称“保密信息”是指由甲方产生或依法所有的，不为公众所知悉的所有企业信息、技术信息、经营信息，无论该等信息是否明示为保密信息，且包括但不限于口头或书面等形式。</w:t>
      </w:r>
    </w:p>
    <w:p w14:paraId="445BEB72">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保密信息包括但不限于如下内容：</w:t>
      </w:r>
    </w:p>
    <w:p w14:paraId="15645034">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（一）商业秘密。甲方未公开的渠道信息、经营业务数据、统计数据、财务数据、信贷政策、业务决策、竞争策略、重大金融交易及交易细节、人力资源信息等。</w:t>
      </w:r>
    </w:p>
    <w:p w14:paraId="4465A1EC">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（二）客户信息。包括</w:t>
      </w:r>
      <w:r>
        <w:rPr>
          <w:rFonts w:hint="eastAsia" w:ascii="宋体" w:hAnsi="宋体"/>
          <w:color w:val="auto"/>
          <w:sz w:val="28"/>
          <w:szCs w:val="28"/>
          <w:highlight w:val="none"/>
          <w:lang w:eastAsia="zh-Hans"/>
        </w:rPr>
        <w:t>甲方的</w:t>
      </w:r>
      <w:r>
        <w:rPr>
          <w:rFonts w:hint="eastAsia" w:ascii="宋体" w:hAnsi="宋体"/>
          <w:color w:val="auto"/>
          <w:sz w:val="28"/>
          <w:szCs w:val="28"/>
          <w:highlight w:val="none"/>
        </w:rPr>
        <w:t xml:space="preserve">客户名单、客户资信状况、客户生产经营情况、客户交易记录以及对客户负有保密义务的信息资料。 </w:t>
      </w:r>
    </w:p>
    <w:p w14:paraId="0A01BC12">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（三）各类涉及</w:t>
      </w:r>
      <w:r>
        <w:rPr>
          <w:rFonts w:hint="eastAsia" w:ascii="宋体" w:hAnsi="宋体"/>
          <w:color w:val="auto"/>
          <w:sz w:val="28"/>
          <w:szCs w:val="28"/>
          <w:highlight w:val="none"/>
          <w:lang w:eastAsia="zh-Hans"/>
        </w:rPr>
        <w:t>甲</w:t>
      </w:r>
      <w:r>
        <w:rPr>
          <w:rFonts w:hint="eastAsia" w:ascii="宋体" w:hAnsi="宋体"/>
          <w:color w:val="auto"/>
          <w:sz w:val="28"/>
          <w:szCs w:val="28"/>
          <w:highlight w:val="none"/>
        </w:rPr>
        <w:t>方及其客户形象和信誉的事件或案件情况。</w:t>
      </w:r>
    </w:p>
    <w:p w14:paraId="7F98B023">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（四）对甲方及其客户有重大影响的除上述信息外的其它信息。</w:t>
      </w:r>
    </w:p>
    <w:p w14:paraId="1FAA385C">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（五）本协议及本协议目的之合作业务的相关内容。</w:t>
      </w:r>
    </w:p>
    <w:p w14:paraId="6040EED2">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甲方向乙方提供信息的行为不被视为是以任何方式授予乙方，或是转让著作权、商标权、专利权或技术秘密的行为；乙方取得信息并不表明取得了信息的任何知识产权。</w:t>
      </w:r>
    </w:p>
    <w:p w14:paraId="3616E07B">
      <w:pPr>
        <w:adjustRightInd w:val="0"/>
        <w:snapToGrid w:val="0"/>
        <w:spacing w:line="560" w:lineRule="exact"/>
        <w:ind w:firstLine="548" w:firstLineChars="196"/>
        <w:rPr>
          <w:rFonts w:ascii="宋体" w:hAnsi="宋体"/>
          <w:b/>
          <w:color w:val="auto"/>
          <w:sz w:val="28"/>
          <w:szCs w:val="28"/>
          <w:highlight w:val="none"/>
        </w:rPr>
      </w:pPr>
      <w:r>
        <w:rPr>
          <w:rFonts w:hint="eastAsia" w:ascii="宋体" w:hAnsi="宋体"/>
          <w:b/>
          <w:color w:val="auto"/>
          <w:sz w:val="28"/>
          <w:szCs w:val="28"/>
          <w:highlight w:val="none"/>
        </w:rPr>
        <w:t>第二条 保密义务</w:t>
      </w:r>
    </w:p>
    <w:p w14:paraId="26AEA1A2">
      <w:pPr>
        <w:spacing w:line="560" w:lineRule="exact"/>
        <w:ind w:firstLine="560" w:firstLineChars="200"/>
        <w:rPr>
          <w:color w:val="auto"/>
          <w:sz w:val="28"/>
          <w:szCs w:val="28"/>
          <w:highlight w:val="none"/>
        </w:rPr>
      </w:pPr>
      <w:r>
        <w:rPr>
          <w:rFonts w:hint="eastAsia"/>
          <w:color w:val="auto"/>
          <w:sz w:val="28"/>
          <w:szCs w:val="28"/>
          <w:highlight w:val="none"/>
        </w:rPr>
        <w:t>乙方应在本协议生效之日起：</w:t>
      </w:r>
    </w:p>
    <w:p w14:paraId="147B7A41">
      <w:pPr>
        <w:spacing w:line="560" w:lineRule="exact"/>
        <w:ind w:firstLine="560" w:firstLineChars="200"/>
        <w:rPr>
          <w:color w:val="auto"/>
          <w:sz w:val="28"/>
          <w:szCs w:val="28"/>
          <w:highlight w:val="none"/>
        </w:rPr>
      </w:pPr>
      <w:r>
        <w:rPr>
          <w:rFonts w:hint="eastAsia"/>
          <w:color w:val="auto"/>
          <w:sz w:val="28"/>
          <w:szCs w:val="28"/>
          <w:highlight w:val="none"/>
        </w:rPr>
        <w:t>一、乙方同意严守秘密，并采取所有保密措施和制度保护其从甲方获知的保密信息，保密措施不得低于乙方保护自身保密信息之措施，避免保密信息的泄露和未授权使用。</w:t>
      </w:r>
    </w:p>
    <w:p w14:paraId="600DBE24">
      <w:pPr>
        <w:adjustRightInd w:val="0"/>
        <w:snapToGrid w:val="0"/>
        <w:spacing w:line="560" w:lineRule="exact"/>
        <w:ind w:firstLine="548" w:firstLineChars="196"/>
        <w:rPr>
          <w:rFonts w:ascii="宋体" w:hAnsi="宋体"/>
          <w:color w:val="auto"/>
          <w:sz w:val="28"/>
          <w:szCs w:val="28"/>
          <w:highlight w:val="none"/>
        </w:rPr>
      </w:pPr>
      <w:r>
        <w:rPr>
          <w:rFonts w:hint="eastAsia"/>
          <w:color w:val="auto"/>
          <w:sz w:val="28"/>
          <w:szCs w:val="28"/>
          <w:highlight w:val="none"/>
        </w:rPr>
        <w:t>二、</w:t>
      </w:r>
      <w:r>
        <w:rPr>
          <w:rFonts w:hint="eastAsia" w:ascii="宋体" w:hAnsi="宋体"/>
          <w:color w:val="auto"/>
          <w:sz w:val="28"/>
          <w:szCs w:val="28"/>
          <w:highlight w:val="none"/>
        </w:rPr>
        <w:t>乙方</w:t>
      </w:r>
      <w:r>
        <w:rPr>
          <w:rFonts w:hint="eastAsia"/>
          <w:color w:val="auto"/>
          <w:sz w:val="28"/>
          <w:szCs w:val="28"/>
          <w:highlight w:val="none"/>
        </w:rPr>
        <w:t>保证接触保密信息的人员仅限定于从事本协议或业务合作而所必须知悉保密信息的</w:t>
      </w:r>
      <w:r>
        <w:rPr>
          <w:rFonts w:hint="eastAsia" w:ascii="宋体" w:hAnsi="宋体"/>
          <w:color w:val="auto"/>
          <w:sz w:val="28"/>
          <w:szCs w:val="28"/>
          <w:highlight w:val="none"/>
        </w:rPr>
        <w:t>乙方代表或雇员、代理人、法律顾问等相关人员（以下称“相关人员”）</w:t>
      </w:r>
      <w:r>
        <w:rPr>
          <w:rFonts w:hint="eastAsia"/>
          <w:color w:val="auto"/>
          <w:sz w:val="28"/>
          <w:szCs w:val="28"/>
          <w:highlight w:val="none"/>
        </w:rPr>
        <w:t>，</w:t>
      </w:r>
      <w:r>
        <w:rPr>
          <w:rFonts w:hint="eastAsia" w:ascii="宋体" w:hAnsi="宋体"/>
          <w:color w:val="auto"/>
          <w:sz w:val="28"/>
          <w:szCs w:val="28"/>
          <w:highlight w:val="none"/>
        </w:rPr>
        <w:t>承诺其接触甲方保密信息的乙方相关人员</w:t>
      </w:r>
      <w:r>
        <w:rPr>
          <w:rFonts w:hint="eastAsia"/>
          <w:color w:val="auto"/>
          <w:sz w:val="28"/>
          <w:szCs w:val="28"/>
          <w:highlight w:val="none"/>
        </w:rPr>
        <w:t>在知悉该保密信息前</w:t>
      </w:r>
      <w:r>
        <w:rPr>
          <w:rFonts w:hint="eastAsia" w:ascii="宋体" w:hAnsi="宋体"/>
          <w:color w:val="auto"/>
          <w:sz w:val="28"/>
          <w:szCs w:val="28"/>
          <w:highlight w:val="none"/>
        </w:rPr>
        <w:t>已经了解并遵守该保密协议。</w:t>
      </w:r>
    </w:p>
    <w:p w14:paraId="0A446391">
      <w:pPr>
        <w:adjustRightInd w:val="0"/>
        <w:snapToGrid w:val="0"/>
        <w:spacing w:line="560" w:lineRule="exact"/>
        <w:ind w:firstLine="548" w:firstLineChars="196"/>
        <w:rPr>
          <w:rFonts w:ascii="宋体" w:hAnsi="宋体"/>
          <w:color w:val="auto"/>
          <w:sz w:val="28"/>
          <w:szCs w:val="28"/>
          <w:highlight w:val="none"/>
        </w:rPr>
      </w:pPr>
      <w:r>
        <w:rPr>
          <w:rFonts w:hint="eastAsia" w:ascii="宋体" w:hAnsi="宋体"/>
          <w:color w:val="auto"/>
          <w:sz w:val="28"/>
          <w:szCs w:val="28"/>
          <w:highlight w:val="none"/>
        </w:rPr>
        <w:t>三、</w:t>
      </w:r>
      <w:r>
        <w:rPr>
          <w:rFonts w:hint="eastAsia"/>
          <w:color w:val="auto"/>
          <w:sz w:val="28"/>
          <w:szCs w:val="28"/>
          <w:highlight w:val="none"/>
        </w:rPr>
        <w:t>乙方保证其相关人员获知甲方保密信息必须控制在为达到双方业务合作目的的必要限度内。</w:t>
      </w:r>
    </w:p>
    <w:p w14:paraId="7CAC6825">
      <w:pPr>
        <w:adjustRightInd w:val="0"/>
        <w:snapToGrid w:val="0"/>
        <w:spacing w:line="560" w:lineRule="exact"/>
        <w:ind w:firstLine="548" w:firstLineChars="196"/>
        <w:rPr>
          <w:color w:val="auto"/>
          <w:sz w:val="28"/>
          <w:szCs w:val="28"/>
          <w:highlight w:val="none"/>
        </w:rPr>
      </w:pPr>
      <w:r>
        <w:rPr>
          <w:rFonts w:hint="eastAsia"/>
          <w:color w:val="auto"/>
          <w:sz w:val="28"/>
          <w:szCs w:val="28"/>
          <w:highlight w:val="none"/>
        </w:rPr>
        <w:t>四、</w:t>
      </w:r>
      <w:r>
        <w:rPr>
          <w:rFonts w:hint="eastAsia" w:ascii="宋体" w:hAnsi="宋体"/>
          <w:color w:val="auto"/>
          <w:sz w:val="28"/>
          <w:szCs w:val="28"/>
          <w:highlight w:val="none"/>
        </w:rPr>
        <w:t>乙方保证约束其相关人员的行为，禁止其出于其他目的而探听、阅读、获取、复制甲方保密信息。</w:t>
      </w:r>
    </w:p>
    <w:p w14:paraId="7D2455AA">
      <w:pPr>
        <w:spacing w:line="560" w:lineRule="exact"/>
        <w:ind w:firstLine="560" w:firstLineChars="200"/>
        <w:rPr>
          <w:color w:val="auto"/>
          <w:sz w:val="28"/>
          <w:szCs w:val="28"/>
          <w:highlight w:val="none"/>
        </w:rPr>
      </w:pPr>
      <w:r>
        <w:rPr>
          <w:rFonts w:hint="eastAsia"/>
          <w:color w:val="auto"/>
          <w:sz w:val="28"/>
          <w:szCs w:val="28"/>
          <w:highlight w:val="none"/>
        </w:rPr>
        <w:t>五、乙方仅在为双方合作之必需，且事先经过甲方书面同意方可将保密信息披露给第三方，并且该第三方应首先以书面形式承诺保守该保密信息。乙方需对该第三方行为负责。除此之外，</w:t>
      </w:r>
      <w:r>
        <w:rPr>
          <w:rFonts w:hint="eastAsia" w:ascii="宋体" w:hAnsi="宋体"/>
          <w:color w:val="auto"/>
          <w:sz w:val="28"/>
          <w:szCs w:val="28"/>
          <w:highlight w:val="none"/>
        </w:rPr>
        <w:t>乙方承诺不泄露任何保密信息给任何第三方。</w:t>
      </w:r>
    </w:p>
    <w:p w14:paraId="75F74F45">
      <w:pPr>
        <w:spacing w:line="560" w:lineRule="exact"/>
        <w:ind w:firstLine="560" w:firstLineChars="200"/>
        <w:rPr>
          <w:color w:val="auto"/>
          <w:sz w:val="28"/>
          <w:szCs w:val="28"/>
          <w:highlight w:val="none"/>
        </w:rPr>
      </w:pPr>
      <w:r>
        <w:rPr>
          <w:rFonts w:hint="eastAsia"/>
          <w:color w:val="auto"/>
          <w:sz w:val="28"/>
          <w:szCs w:val="28"/>
          <w:highlight w:val="none"/>
        </w:rPr>
        <w:t>六、乙方仅为实现双方业务合作目的之必要，要求甲方提供保密信息，在甲方许可的范围内阅读、复制保存从甲方获知的保密信息。仅可在必要的最小的限度内，进行有关保密信息的复印、复制。</w:t>
      </w:r>
    </w:p>
    <w:p w14:paraId="2BA8F54A">
      <w:pPr>
        <w:spacing w:line="560" w:lineRule="exact"/>
        <w:ind w:firstLine="560" w:firstLineChars="200"/>
        <w:rPr>
          <w:color w:val="auto"/>
          <w:sz w:val="28"/>
          <w:szCs w:val="28"/>
          <w:highlight w:val="none"/>
        </w:rPr>
      </w:pPr>
      <w:r>
        <w:rPr>
          <w:rFonts w:hint="eastAsia"/>
          <w:color w:val="auto"/>
          <w:sz w:val="28"/>
          <w:szCs w:val="28"/>
          <w:highlight w:val="none"/>
        </w:rPr>
        <w:t>七、乙方不得出于双方业务合作以外的目的使用或部分使用从甲方及资方获知的保密信息。</w:t>
      </w:r>
    </w:p>
    <w:p w14:paraId="0BD6EF07">
      <w:pPr>
        <w:spacing w:line="560" w:lineRule="exact"/>
        <w:ind w:firstLine="560" w:firstLineChars="200"/>
        <w:rPr>
          <w:color w:val="auto"/>
          <w:sz w:val="28"/>
          <w:szCs w:val="28"/>
          <w:highlight w:val="none"/>
        </w:rPr>
      </w:pPr>
      <w:r>
        <w:rPr>
          <w:rFonts w:hint="eastAsia"/>
          <w:b/>
          <w:bCs/>
          <w:color w:val="auto"/>
          <w:sz w:val="28"/>
          <w:szCs w:val="28"/>
          <w:highlight w:val="none"/>
        </w:rPr>
        <w:t>第三条 例外约定</w:t>
      </w:r>
    </w:p>
    <w:p w14:paraId="4F9C9C89">
      <w:pPr>
        <w:spacing w:line="560" w:lineRule="exact"/>
        <w:ind w:firstLine="560" w:firstLineChars="200"/>
        <w:rPr>
          <w:color w:val="auto"/>
          <w:sz w:val="28"/>
          <w:szCs w:val="28"/>
          <w:highlight w:val="none"/>
        </w:rPr>
      </w:pPr>
      <w:r>
        <w:rPr>
          <w:rFonts w:hint="eastAsia"/>
          <w:color w:val="auto"/>
          <w:sz w:val="28"/>
          <w:szCs w:val="28"/>
          <w:highlight w:val="none"/>
        </w:rPr>
        <w:t>如乙方能证明其使用或</w:t>
      </w:r>
      <w:r>
        <w:rPr>
          <w:rFonts w:hint="eastAsia"/>
          <w:color w:val="auto"/>
          <w:sz w:val="28"/>
          <w:szCs w:val="28"/>
          <w:highlight w:val="none"/>
          <w:lang w:eastAsia="zh-Hans"/>
        </w:rPr>
        <w:t>披露</w:t>
      </w:r>
      <w:r>
        <w:rPr>
          <w:rFonts w:hint="eastAsia"/>
          <w:color w:val="auto"/>
          <w:sz w:val="28"/>
          <w:szCs w:val="28"/>
          <w:highlight w:val="none"/>
        </w:rPr>
        <w:t>保密信息之前存在以下情形之一的，则不受本协议限制：</w:t>
      </w:r>
    </w:p>
    <w:p w14:paraId="462E0810">
      <w:pPr>
        <w:numPr>
          <w:ilvl w:val="0"/>
          <w:numId w:val="8"/>
        </w:numPr>
        <w:spacing w:line="560" w:lineRule="exact"/>
        <w:ind w:firstLine="560" w:firstLineChars="200"/>
        <w:rPr>
          <w:color w:val="auto"/>
          <w:sz w:val="28"/>
          <w:szCs w:val="28"/>
          <w:highlight w:val="none"/>
        </w:rPr>
      </w:pPr>
      <w:r>
        <w:rPr>
          <w:rFonts w:hint="eastAsia"/>
          <w:color w:val="auto"/>
          <w:sz w:val="28"/>
          <w:szCs w:val="28"/>
          <w:highlight w:val="none"/>
        </w:rPr>
        <w:t>该保密信息已经合法公开。</w:t>
      </w:r>
    </w:p>
    <w:p w14:paraId="6EF834E9">
      <w:pPr>
        <w:numPr>
          <w:ilvl w:val="0"/>
          <w:numId w:val="8"/>
        </w:numPr>
        <w:spacing w:line="560" w:lineRule="exact"/>
        <w:ind w:firstLine="560" w:firstLineChars="200"/>
        <w:rPr>
          <w:color w:val="auto"/>
          <w:sz w:val="28"/>
          <w:szCs w:val="28"/>
          <w:highlight w:val="none"/>
        </w:rPr>
      </w:pPr>
      <w:r>
        <w:rPr>
          <w:rFonts w:hint="eastAsia"/>
          <w:color w:val="auto"/>
          <w:sz w:val="28"/>
          <w:szCs w:val="28"/>
          <w:highlight w:val="none"/>
        </w:rPr>
        <w:t>从第三方处合法、正当地获得该保密信息，且该第三方对该保密信息不承担保密义务。</w:t>
      </w:r>
    </w:p>
    <w:p w14:paraId="4312CC73">
      <w:pPr>
        <w:numPr>
          <w:ilvl w:val="0"/>
          <w:numId w:val="8"/>
        </w:numPr>
        <w:spacing w:line="560" w:lineRule="exact"/>
        <w:ind w:firstLine="560" w:firstLineChars="200"/>
        <w:rPr>
          <w:color w:val="auto"/>
          <w:sz w:val="28"/>
          <w:szCs w:val="28"/>
          <w:highlight w:val="none"/>
        </w:rPr>
      </w:pPr>
      <w:r>
        <w:rPr>
          <w:rFonts w:hint="eastAsia"/>
          <w:color w:val="auto"/>
          <w:sz w:val="28"/>
          <w:szCs w:val="28"/>
          <w:highlight w:val="none"/>
        </w:rPr>
        <w:t>该保密信息已被合法出版发表。</w:t>
      </w:r>
    </w:p>
    <w:p w14:paraId="433A30B8">
      <w:pPr>
        <w:numPr>
          <w:ilvl w:val="0"/>
          <w:numId w:val="8"/>
        </w:numPr>
        <w:spacing w:line="560" w:lineRule="exact"/>
        <w:ind w:firstLine="560" w:firstLineChars="200"/>
        <w:rPr>
          <w:color w:val="auto"/>
          <w:sz w:val="28"/>
          <w:szCs w:val="28"/>
          <w:highlight w:val="none"/>
        </w:rPr>
      </w:pPr>
      <w:r>
        <w:rPr>
          <w:rFonts w:hint="eastAsia"/>
          <w:color w:val="auto"/>
          <w:sz w:val="28"/>
          <w:szCs w:val="28"/>
          <w:highlight w:val="none"/>
          <w:lang w:eastAsia="zh-Hans"/>
        </w:rPr>
        <w:t>依照相关法律法规规定</w:t>
      </w:r>
      <w:r>
        <w:rPr>
          <w:rFonts w:hint="eastAsia"/>
          <w:color w:val="auto"/>
          <w:sz w:val="28"/>
          <w:szCs w:val="28"/>
          <w:highlight w:val="none"/>
        </w:rPr>
        <w:t>或监管要求</w:t>
      </w:r>
      <w:r>
        <w:rPr>
          <w:color w:val="auto"/>
          <w:sz w:val="28"/>
          <w:szCs w:val="28"/>
          <w:highlight w:val="none"/>
        </w:rPr>
        <w:t>，</w:t>
      </w:r>
      <w:r>
        <w:rPr>
          <w:rFonts w:hint="eastAsia"/>
          <w:color w:val="auto"/>
          <w:sz w:val="28"/>
          <w:szCs w:val="28"/>
          <w:highlight w:val="none"/>
        </w:rPr>
        <w:t>政府部门或监管机构要求披露的文件或信息。</w:t>
      </w:r>
    </w:p>
    <w:p w14:paraId="2A6BCDA0">
      <w:pPr>
        <w:numPr>
          <w:ilvl w:val="0"/>
          <w:numId w:val="8"/>
        </w:numPr>
        <w:spacing w:line="560" w:lineRule="exact"/>
        <w:ind w:firstLine="560" w:firstLineChars="200"/>
        <w:rPr>
          <w:color w:val="auto"/>
          <w:sz w:val="28"/>
          <w:szCs w:val="28"/>
          <w:highlight w:val="none"/>
        </w:rPr>
      </w:pPr>
      <w:r>
        <w:rPr>
          <w:rFonts w:hint="eastAsia"/>
          <w:color w:val="auto"/>
          <w:sz w:val="28"/>
          <w:szCs w:val="28"/>
          <w:highlight w:val="none"/>
        </w:rPr>
        <w:t>已得到甲方书面同意。</w:t>
      </w:r>
    </w:p>
    <w:p w14:paraId="04BC313F">
      <w:pPr>
        <w:adjustRightInd w:val="0"/>
        <w:snapToGrid w:val="0"/>
        <w:spacing w:line="560" w:lineRule="exact"/>
        <w:ind w:left="562"/>
        <w:rPr>
          <w:rFonts w:ascii="宋体" w:hAnsi="宋体"/>
          <w:b/>
          <w:color w:val="auto"/>
          <w:sz w:val="28"/>
          <w:szCs w:val="28"/>
          <w:highlight w:val="none"/>
        </w:rPr>
      </w:pPr>
      <w:r>
        <w:rPr>
          <w:rFonts w:hint="eastAsia" w:ascii="宋体" w:hAnsi="宋体"/>
          <w:b/>
          <w:color w:val="auto"/>
          <w:sz w:val="28"/>
          <w:szCs w:val="28"/>
          <w:highlight w:val="none"/>
        </w:rPr>
        <w:t>第四条 违约责任</w:t>
      </w:r>
    </w:p>
    <w:p w14:paraId="42B9E141">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如果乙方违反本协议，甲方有权视乙方违约损害情况要求乙方承担如下一项或数项责任，乙方应在接到书面通知</w:t>
      </w:r>
      <w:r>
        <w:rPr>
          <w:rFonts w:hint="eastAsia" w:ascii="仿宋_GB2312" w:hAnsi="宋体"/>
          <w:color w:val="auto"/>
          <w:sz w:val="28"/>
          <w:szCs w:val="28"/>
          <w:highlight w:val="none"/>
        </w:rPr>
        <w:t>后</w:t>
      </w:r>
      <w:r>
        <w:rPr>
          <w:rFonts w:ascii="仿宋_GB2312" w:hAnsi="宋体"/>
          <w:color w:val="auto"/>
          <w:sz w:val="28"/>
          <w:szCs w:val="28"/>
          <w:highlight w:val="none"/>
        </w:rPr>
        <w:t>3</w:t>
      </w:r>
      <w:r>
        <w:rPr>
          <w:rFonts w:hint="eastAsia" w:ascii="宋体" w:hAnsi="宋体"/>
          <w:color w:val="auto"/>
          <w:sz w:val="28"/>
          <w:szCs w:val="28"/>
          <w:highlight w:val="none"/>
        </w:rPr>
        <w:t>天内履行：</w:t>
      </w:r>
    </w:p>
    <w:p w14:paraId="70034A42">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一、根据甲方要求更换乙方有违反本协议行为的相关工作人员。</w:t>
      </w:r>
    </w:p>
    <w:p w14:paraId="4944C967">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二、应及时采取补救措施。</w:t>
      </w:r>
    </w:p>
    <w:p w14:paraId="6EEF3EF8">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三、如果因此给甲方造成损失和其他严重不良影响的，甲方有权单方面终止与乙方之合作，解除双方的业务合作协议，乙方应根据本协议的约定返还保密信息。</w:t>
      </w:r>
    </w:p>
    <w:p w14:paraId="6B4FA607">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四、乙方的违约行为给甲方造成损失的，乙方应按照合同约定赔偿甲方的损失及其因调查乙方的违约行为、采取补救措施而支出的合理费用，包括但不限于甲方向乙方及有关单位追索而发生的诉讼费、</w:t>
      </w:r>
      <w:r>
        <w:rPr>
          <w:rFonts w:hint="eastAsia" w:ascii="宋体" w:hAnsi="宋体"/>
          <w:color w:val="auto"/>
          <w:sz w:val="28"/>
          <w:szCs w:val="28"/>
          <w:highlight w:val="none"/>
          <w:lang w:eastAsia="zh-Hans"/>
        </w:rPr>
        <w:t>保全费</w:t>
      </w:r>
      <w:r>
        <w:rPr>
          <w:rFonts w:ascii="宋体" w:hAnsi="宋体"/>
          <w:color w:val="auto"/>
          <w:sz w:val="28"/>
          <w:szCs w:val="28"/>
          <w:highlight w:val="none"/>
          <w:lang w:eastAsia="zh-Hans"/>
        </w:rPr>
        <w:t>、</w:t>
      </w:r>
      <w:r>
        <w:rPr>
          <w:rFonts w:hint="eastAsia" w:ascii="宋体" w:hAnsi="宋体"/>
          <w:color w:val="auto"/>
          <w:sz w:val="28"/>
          <w:szCs w:val="28"/>
          <w:highlight w:val="none"/>
        </w:rPr>
        <w:t>律师费、交通费等费用。</w:t>
      </w:r>
    </w:p>
    <w:p w14:paraId="69A15726">
      <w:pPr>
        <w:adjustRightInd w:val="0"/>
        <w:snapToGrid w:val="0"/>
        <w:spacing w:line="560" w:lineRule="exact"/>
        <w:ind w:left="562"/>
        <w:rPr>
          <w:rFonts w:ascii="宋体" w:hAnsi="宋体"/>
          <w:b/>
          <w:color w:val="auto"/>
          <w:sz w:val="28"/>
          <w:szCs w:val="28"/>
          <w:highlight w:val="none"/>
        </w:rPr>
      </w:pPr>
      <w:r>
        <w:rPr>
          <w:rFonts w:hint="eastAsia" w:ascii="宋体" w:hAnsi="宋体"/>
          <w:b/>
          <w:color w:val="auto"/>
          <w:sz w:val="28"/>
          <w:szCs w:val="28"/>
          <w:highlight w:val="none"/>
        </w:rPr>
        <w:t>第五条 争议解决</w:t>
      </w:r>
    </w:p>
    <w:p w14:paraId="6D992957">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凡因履行本协议而产生的一切争议、纠纷，双方应首先通过友好协商解决。协商不成时，任何一方均有权向</w:t>
      </w:r>
      <w:r>
        <w:rPr>
          <w:rFonts w:hint="eastAsia" w:ascii="宋体" w:hAnsi="宋体"/>
          <w:color w:val="auto"/>
          <w:sz w:val="28"/>
          <w:szCs w:val="28"/>
          <w:highlight w:val="none"/>
          <w:lang w:eastAsia="zh-Hans"/>
        </w:rPr>
        <w:t>东莞市第一</w:t>
      </w:r>
      <w:r>
        <w:rPr>
          <w:rFonts w:hint="eastAsia" w:ascii="宋体" w:hAnsi="宋体"/>
          <w:color w:val="auto"/>
          <w:sz w:val="28"/>
          <w:szCs w:val="28"/>
          <w:highlight w:val="none"/>
        </w:rPr>
        <w:t>人民法院提起诉讼。</w:t>
      </w:r>
    </w:p>
    <w:p w14:paraId="27D3D4F6">
      <w:pPr>
        <w:adjustRightInd w:val="0"/>
        <w:snapToGrid w:val="0"/>
        <w:spacing w:line="560" w:lineRule="exact"/>
        <w:ind w:left="562"/>
        <w:rPr>
          <w:rFonts w:ascii="宋体" w:hAnsi="宋体"/>
          <w:b/>
          <w:color w:val="auto"/>
          <w:sz w:val="28"/>
          <w:szCs w:val="28"/>
          <w:highlight w:val="none"/>
        </w:rPr>
      </w:pPr>
      <w:r>
        <w:rPr>
          <w:rFonts w:hint="eastAsia" w:ascii="宋体" w:hAnsi="宋体"/>
          <w:b/>
          <w:color w:val="auto"/>
          <w:sz w:val="28"/>
          <w:szCs w:val="28"/>
          <w:highlight w:val="none"/>
        </w:rPr>
        <w:t>第六条 保密期限</w:t>
      </w:r>
    </w:p>
    <w:p w14:paraId="049D99A4">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本协议项下的保密义务自</w:t>
      </w:r>
      <w:r>
        <w:rPr>
          <w:rFonts w:hint="eastAsia" w:ascii="宋体" w:hAnsi="宋体"/>
          <w:color w:val="auto"/>
          <w:sz w:val="28"/>
          <w:szCs w:val="28"/>
          <w:highlight w:val="none"/>
          <w:lang w:eastAsia="zh-Hans"/>
        </w:rPr>
        <w:t>双方</w:t>
      </w:r>
      <w:r>
        <w:rPr>
          <w:rFonts w:hint="eastAsia" w:ascii="宋体" w:hAnsi="宋体"/>
          <w:color w:val="auto"/>
          <w:sz w:val="28"/>
          <w:szCs w:val="28"/>
          <w:highlight w:val="none"/>
        </w:rPr>
        <w:t xml:space="preserve">签署本协议时开始，该保密期限是永久的，不因双方业务合作关系的变化而中止或终结。 </w:t>
      </w:r>
    </w:p>
    <w:p w14:paraId="2D1BEBDD">
      <w:pPr>
        <w:adjustRightInd w:val="0"/>
        <w:snapToGrid w:val="0"/>
        <w:spacing w:line="560" w:lineRule="exact"/>
        <w:ind w:left="562"/>
        <w:rPr>
          <w:rFonts w:ascii="宋体" w:hAnsi="宋体"/>
          <w:b/>
          <w:color w:val="auto"/>
          <w:sz w:val="28"/>
          <w:szCs w:val="28"/>
          <w:highlight w:val="none"/>
        </w:rPr>
      </w:pPr>
      <w:r>
        <w:rPr>
          <w:rFonts w:hint="eastAsia" w:ascii="宋体" w:hAnsi="宋体"/>
          <w:b/>
          <w:color w:val="auto"/>
          <w:sz w:val="28"/>
          <w:szCs w:val="28"/>
          <w:highlight w:val="none"/>
        </w:rPr>
        <w:t>第七条 协议生效及独立性、优先性</w:t>
      </w:r>
    </w:p>
    <w:p w14:paraId="23345B79">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本协议自双方签署之日起生效。一式四份，甲方执三份，乙方执一份，具有同等法律效力。</w:t>
      </w:r>
    </w:p>
    <w:p w14:paraId="2AA5F0CC">
      <w:pPr>
        <w:adjustRightInd w:val="0"/>
        <w:snapToGrid w:val="0"/>
        <w:spacing w:line="560" w:lineRule="exact"/>
        <w:ind w:firstLine="560" w:firstLineChars="200"/>
        <w:rPr>
          <w:rFonts w:ascii="宋体" w:hAnsi="宋体"/>
          <w:color w:val="auto"/>
          <w:sz w:val="28"/>
          <w:szCs w:val="28"/>
          <w:highlight w:val="none"/>
        </w:rPr>
      </w:pPr>
      <w:r>
        <w:rPr>
          <w:rFonts w:hint="eastAsia" w:ascii="宋体" w:hAnsi="宋体"/>
          <w:color w:val="auto"/>
          <w:sz w:val="28"/>
          <w:szCs w:val="28"/>
          <w:highlight w:val="none"/>
        </w:rPr>
        <w:t>本协议具有独立性，无论双方最终是否达成、履行、终止合作协议，均对双方具有法律约束力。本协议的效力亦不受双方为本业务合作之目的将来或已经签署的协议、合同、备忘录等法律文件的效力之影响。除非双方签署新的有效法律文件直接、明确表明要变更</w:t>
      </w:r>
      <w:r>
        <w:rPr>
          <w:rFonts w:ascii="宋体" w:hAnsi="宋体"/>
          <w:color w:val="auto"/>
          <w:sz w:val="28"/>
          <w:szCs w:val="28"/>
          <w:highlight w:val="none"/>
        </w:rPr>
        <w:t>、</w:t>
      </w:r>
      <w:r>
        <w:rPr>
          <w:rFonts w:hint="eastAsia" w:ascii="宋体" w:hAnsi="宋体"/>
          <w:color w:val="auto"/>
          <w:sz w:val="28"/>
          <w:szCs w:val="28"/>
          <w:highlight w:val="none"/>
        </w:rPr>
        <w:t>终止本协议。</w:t>
      </w:r>
    </w:p>
    <w:p w14:paraId="3B1392A8">
      <w:pPr>
        <w:spacing w:line="360" w:lineRule="auto"/>
        <w:jc w:val="left"/>
        <w:rPr>
          <w:rFonts w:ascii="宋体" w:hAnsi="宋体"/>
          <w:color w:val="auto"/>
          <w:sz w:val="28"/>
          <w:szCs w:val="28"/>
          <w:highlight w:val="none"/>
        </w:rPr>
      </w:pPr>
      <w:r>
        <w:rPr>
          <w:rFonts w:hint="eastAsia" w:ascii="宋体" w:hAnsi="宋体" w:cs="Calibri"/>
          <w:color w:val="auto"/>
          <w:sz w:val="28"/>
          <w:szCs w:val="28"/>
          <w:highlight w:val="none"/>
        </w:rPr>
        <w:t>本协议具有优先性，如果双方已经或将要签署的任何协议、合同、备忘录等法律文件中存在的保密条款所要求的保密义务低于本协议的，适用本协议。</w:t>
      </w:r>
    </w:p>
    <w:tbl>
      <w:tblPr>
        <w:tblStyle w:val="18"/>
        <w:tblpPr w:leftFromText="180" w:rightFromText="180" w:vertAnchor="text" w:horzAnchor="page" w:tblpX="1449" w:tblpY="1231"/>
        <w:tblOverlap w:val="never"/>
        <w:tblW w:w="9602" w:type="dxa"/>
        <w:tblInd w:w="0" w:type="dxa"/>
        <w:tblLayout w:type="fixed"/>
        <w:tblCellMar>
          <w:top w:w="0" w:type="dxa"/>
          <w:left w:w="108" w:type="dxa"/>
          <w:bottom w:w="0" w:type="dxa"/>
          <w:right w:w="108" w:type="dxa"/>
        </w:tblCellMar>
      </w:tblPr>
      <w:tblGrid>
        <w:gridCol w:w="5306"/>
        <w:gridCol w:w="4296"/>
      </w:tblGrid>
      <w:tr w14:paraId="490FF333">
        <w:tblPrEx>
          <w:tblCellMar>
            <w:top w:w="0" w:type="dxa"/>
            <w:left w:w="108" w:type="dxa"/>
            <w:bottom w:w="0" w:type="dxa"/>
            <w:right w:w="108" w:type="dxa"/>
          </w:tblCellMar>
        </w:tblPrEx>
        <w:trPr>
          <w:trHeight w:val="963" w:hRule="atLeast"/>
        </w:trPr>
        <w:tc>
          <w:tcPr>
            <w:tcW w:w="5306" w:type="dxa"/>
            <w:shd w:val="clear" w:color="auto" w:fill="auto"/>
          </w:tcPr>
          <w:p w14:paraId="78EE1AFC">
            <w:pPr>
              <w:spacing w:line="360" w:lineRule="auto"/>
              <w:rPr>
                <w:rFonts w:ascii="宋体" w:hAnsi="宋体"/>
                <w:color w:val="auto"/>
                <w:sz w:val="28"/>
                <w:szCs w:val="28"/>
                <w:highlight w:val="none"/>
              </w:rPr>
            </w:pPr>
            <w:r>
              <w:rPr>
                <w:rFonts w:hint="eastAsia" w:ascii="宋体" w:hAnsi="宋体"/>
                <w:color w:val="auto"/>
                <w:sz w:val="28"/>
                <w:szCs w:val="28"/>
                <w:highlight w:val="none"/>
              </w:rPr>
              <w:t>甲方（盖章）：东莞市东实旗云投资</w:t>
            </w:r>
          </w:p>
          <w:p w14:paraId="618E1B39">
            <w:pPr>
              <w:spacing w:line="360" w:lineRule="auto"/>
              <w:ind w:firstLine="1960" w:firstLineChars="700"/>
              <w:rPr>
                <w:rFonts w:ascii="宋体" w:hAnsi="宋体"/>
                <w:color w:val="auto"/>
                <w:sz w:val="28"/>
                <w:szCs w:val="28"/>
                <w:highlight w:val="none"/>
              </w:rPr>
            </w:pPr>
            <w:r>
              <w:rPr>
                <w:rFonts w:hint="eastAsia" w:ascii="宋体" w:hAnsi="宋体"/>
                <w:color w:val="auto"/>
                <w:sz w:val="28"/>
                <w:szCs w:val="28"/>
                <w:highlight w:val="none"/>
              </w:rPr>
              <w:t>有限公司</w:t>
            </w:r>
          </w:p>
        </w:tc>
        <w:tc>
          <w:tcPr>
            <w:tcW w:w="4296" w:type="dxa"/>
            <w:shd w:val="clear" w:color="auto" w:fill="auto"/>
          </w:tcPr>
          <w:p w14:paraId="23B74648">
            <w:pPr>
              <w:spacing w:line="360" w:lineRule="auto"/>
              <w:rPr>
                <w:rFonts w:ascii="宋体" w:hAnsi="宋体"/>
                <w:color w:val="auto"/>
                <w:sz w:val="28"/>
                <w:szCs w:val="28"/>
                <w:highlight w:val="none"/>
              </w:rPr>
            </w:pPr>
            <w:r>
              <w:rPr>
                <w:rFonts w:hint="eastAsia" w:ascii="宋体" w:hAnsi="宋体"/>
                <w:color w:val="auto"/>
                <w:sz w:val="28"/>
                <w:szCs w:val="28"/>
                <w:highlight w:val="none"/>
                <w:lang w:eastAsia="zh-Hans"/>
              </w:rPr>
              <w:t>乙</w:t>
            </w:r>
            <w:r>
              <w:rPr>
                <w:rFonts w:hint="eastAsia" w:ascii="宋体" w:hAnsi="宋体"/>
                <w:color w:val="auto"/>
                <w:sz w:val="28"/>
                <w:szCs w:val="28"/>
                <w:highlight w:val="none"/>
              </w:rPr>
              <w:t>方（盖章）：</w:t>
            </w:r>
          </w:p>
        </w:tc>
      </w:tr>
      <w:tr w14:paraId="4F350A3E">
        <w:tblPrEx>
          <w:tblCellMar>
            <w:top w:w="0" w:type="dxa"/>
            <w:left w:w="108" w:type="dxa"/>
            <w:bottom w:w="0" w:type="dxa"/>
            <w:right w:w="108" w:type="dxa"/>
          </w:tblCellMar>
        </w:tblPrEx>
        <w:trPr>
          <w:trHeight w:val="1072" w:hRule="atLeast"/>
        </w:trPr>
        <w:tc>
          <w:tcPr>
            <w:tcW w:w="5306" w:type="dxa"/>
            <w:shd w:val="clear" w:color="auto" w:fill="auto"/>
          </w:tcPr>
          <w:p w14:paraId="03F1CA77">
            <w:pPr>
              <w:spacing w:line="360" w:lineRule="auto"/>
              <w:rPr>
                <w:rFonts w:ascii="宋体" w:hAnsi="宋体"/>
                <w:color w:val="auto"/>
                <w:sz w:val="28"/>
                <w:szCs w:val="28"/>
                <w:highlight w:val="none"/>
              </w:rPr>
            </w:pPr>
            <w:r>
              <w:rPr>
                <w:rFonts w:hint="eastAsia" w:ascii="宋体" w:hAnsi="宋体"/>
                <w:color w:val="auto"/>
                <w:sz w:val="28"/>
                <w:szCs w:val="28"/>
                <w:highlight w:val="none"/>
              </w:rPr>
              <w:t>法定代表人</w:t>
            </w:r>
            <w:r>
              <w:rPr>
                <w:rFonts w:hint="eastAsia" w:ascii="宋体" w:hAnsi="宋体"/>
                <w:color w:val="auto"/>
                <w:szCs w:val="21"/>
                <w:highlight w:val="none"/>
              </w:rPr>
              <w:t>（</w:t>
            </w:r>
            <w:r>
              <w:rPr>
                <w:rFonts w:hint="eastAsia" w:ascii="宋体" w:hAnsi="宋体"/>
                <w:color w:val="auto"/>
                <w:szCs w:val="21"/>
                <w:highlight w:val="none"/>
                <w:lang w:eastAsia="zh-Hans"/>
              </w:rPr>
              <w:t>或</w:t>
            </w:r>
            <w:r>
              <w:rPr>
                <w:rFonts w:hint="eastAsia" w:ascii="宋体" w:hAnsi="宋体"/>
                <w:color w:val="auto"/>
                <w:szCs w:val="21"/>
                <w:highlight w:val="none"/>
              </w:rPr>
              <w:t>授权代表）</w:t>
            </w:r>
            <w:r>
              <w:rPr>
                <w:rFonts w:hint="eastAsia" w:ascii="宋体" w:hAnsi="宋体"/>
                <w:color w:val="auto"/>
                <w:sz w:val="28"/>
                <w:szCs w:val="28"/>
                <w:highlight w:val="none"/>
              </w:rPr>
              <w:t>：</w:t>
            </w:r>
          </w:p>
        </w:tc>
        <w:tc>
          <w:tcPr>
            <w:tcW w:w="4296" w:type="dxa"/>
            <w:shd w:val="clear" w:color="auto" w:fill="auto"/>
          </w:tcPr>
          <w:p w14:paraId="6DF0F006">
            <w:pPr>
              <w:spacing w:line="360" w:lineRule="auto"/>
              <w:rPr>
                <w:rFonts w:ascii="宋体" w:hAnsi="宋体"/>
                <w:color w:val="auto"/>
                <w:sz w:val="28"/>
                <w:szCs w:val="28"/>
                <w:highlight w:val="none"/>
              </w:rPr>
            </w:pPr>
            <w:r>
              <w:rPr>
                <w:rFonts w:hint="eastAsia" w:ascii="宋体" w:hAnsi="宋体"/>
                <w:color w:val="auto"/>
                <w:sz w:val="28"/>
                <w:szCs w:val="28"/>
                <w:highlight w:val="none"/>
              </w:rPr>
              <w:t>法定代表人</w:t>
            </w:r>
            <w:r>
              <w:rPr>
                <w:rFonts w:hint="eastAsia" w:ascii="宋体" w:hAnsi="宋体"/>
                <w:color w:val="auto"/>
                <w:szCs w:val="21"/>
                <w:highlight w:val="none"/>
              </w:rPr>
              <w:t>（</w:t>
            </w:r>
            <w:r>
              <w:rPr>
                <w:rFonts w:hint="eastAsia" w:ascii="宋体" w:hAnsi="宋体"/>
                <w:color w:val="auto"/>
                <w:szCs w:val="21"/>
                <w:highlight w:val="none"/>
                <w:lang w:eastAsia="zh-Hans"/>
              </w:rPr>
              <w:t>或</w:t>
            </w:r>
            <w:r>
              <w:rPr>
                <w:rFonts w:hint="eastAsia" w:ascii="宋体" w:hAnsi="宋体"/>
                <w:color w:val="auto"/>
                <w:szCs w:val="21"/>
                <w:highlight w:val="none"/>
              </w:rPr>
              <w:t>授权代表）</w:t>
            </w:r>
            <w:r>
              <w:rPr>
                <w:rFonts w:hint="eastAsia" w:ascii="宋体" w:hAnsi="宋体"/>
                <w:color w:val="auto"/>
                <w:sz w:val="28"/>
                <w:szCs w:val="28"/>
                <w:highlight w:val="none"/>
              </w:rPr>
              <w:t>：</w:t>
            </w:r>
          </w:p>
        </w:tc>
      </w:tr>
      <w:tr w14:paraId="3E74E48F">
        <w:tblPrEx>
          <w:tblCellMar>
            <w:top w:w="0" w:type="dxa"/>
            <w:left w:w="108" w:type="dxa"/>
            <w:bottom w:w="0" w:type="dxa"/>
            <w:right w:w="108" w:type="dxa"/>
          </w:tblCellMar>
        </w:tblPrEx>
        <w:trPr>
          <w:trHeight w:val="664" w:hRule="atLeast"/>
        </w:trPr>
        <w:tc>
          <w:tcPr>
            <w:tcW w:w="5306" w:type="dxa"/>
            <w:shd w:val="clear" w:color="auto" w:fill="auto"/>
          </w:tcPr>
          <w:p w14:paraId="40D6D44D">
            <w:pPr>
              <w:spacing w:line="360" w:lineRule="auto"/>
              <w:rPr>
                <w:rFonts w:ascii="宋体" w:hAnsi="宋体"/>
                <w:color w:val="auto"/>
                <w:sz w:val="28"/>
                <w:szCs w:val="28"/>
                <w:highlight w:val="none"/>
              </w:rPr>
            </w:pPr>
            <w:r>
              <w:rPr>
                <w:rFonts w:hint="eastAsia" w:ascii="宋体" w:hAnsi="宋体"/>
                <w:color w:val="auto"/>
                <w:sz w:val="28"/>
                <w:szCs w:val="28"/>
                <w:highlight w:val="none"/>
              </w:rPr>
              <w:t>签约日期：   年   月   日</w:t>
            </w:r>
          </w:p>
        </w:tc>
        <w:tc>
          <w:tcPr>
            <w:tcW w:w="4296" w:type="dxa"/>
            <w:shd w:val="clear" w:color="auto" w:fill="auto"/>
          </w:tcPr>
          <w:p w14:paraId="0C9B5768">
            <w:pPr>
              <w:spacing w:line="360" w:lineRule="auto"/>
              <w:rPr>
                <w:rFonts w:ascii="宋体" w:hAnsi="宋体"/>
                <w:color w:val="auto"/>
                <w:sz w:val="28"/>
                <w:szCs w:val="28"/>
                <w:highlight w:val="none"/>
              </w:rPr>
            </w:pPr>
            <w:r>
              <w:rPr>
                <w:rFonts w:hint="eastAsia" w:ascii="宋体" w:hAnsi="宋体"/>
                <w:color w:val="auto"/>
                <w:sz w:val="28"/>
                <w:szCs w:val="28"/>
                <w:highlight w:val="none"/>
              </w:rPr>
              <w:t>签约日期：   年   月   日</w:t>
            </w:r>
          </w:p>
        </w:tc>
      </w:tr>
    </w:tbl>
    <w:p w14:paraId="25710922">
      <w:pPr>
        <w:snapToGrid w:val="0"/>
        <w:spacing w:line="360" w:lineRule="auto"/>
        <w:ind w:firstLine="480" w:firstLineChars="200"/>
        <w:jc w:val="left"/>
        <w:rPr>
          <w:rFonts w:ascii="宋体" w:hAnsi="宋体"/>
          <w:color w:val="auto"/>
          <w:sz w:val="24"/>
          <w:highlight w:val="none"/>
        </w:rPr>
      </w:pPr>
    </w:p>
    <w:p w14:paraId="7C782641">
      <w:pPr>
        <w:widowControl/>
        <w:jc w:val="left"/>
        <w:rPr>
          <w:rFonts w:eastAsia="黑体"/>
          <w:color w:val="auto"/>
          <w:sz w:val="28"/>
          <w:szCs w:val="44"/>
          <w:highlight w:val="none"/>
        </w:rPr>
      </w:pPr>
    </w:p>
    <w:p w14:paraId="286081B4">
      <w:pPr>
        <w:widowControl/>
        <w:jc w:val="left"/>
        <w:rPr>
          <w:rFonts w:eastAsia="黑体"/>
          <w:color w:val="auto"/>
          <w:sz w:val="28"/>
          <w:szCs w:val="44"/>
          <w:highlight w:val="none"/>
        </w:rPr>
      </w:pPr>
      <w:r>
        <w:rPr>
          <w:rFonts w:eastAsia="黑体"/>
          <w:color w:val="auto"/>
          <w:sz w:val="28"/>
          <w:szCs w:val="44"/>
          <w:highlight w:val="none"/>
        </w:rPr>
        <w:br w:type="page"/>
      </w:r>
    </w:p>
    <w:p w14:paraId="195C940F">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附件一报价函</w:t>
      </w:r>
    </w:p>
    <w:p w14:paraId="0FA8C9BC">
      <w:pPr>
        <w:jc w:val="center"/>
        <w:rPr>
          <w:rFonts w:eastAsia="华文中宋"/>
          <w:color w:val="auto"/>
          <w:sz w:val="44"/>
          <w:szCs w:val="44"/>
          <w:highlight w:val="none"/>
        </w:rPr>
      </w:pPr>
      <w:r>
        <w:rPr>
          <w:rFonts w:hint="eastAsia" w:eastAsia="华文中宋"/>
          <w:color w:val="auto"/>
          <w:sz w:val="44"/>
          <w:szCs w:val="44"/>
          <w:highlight w:val="none"/>
        </w:rPr>
        <w:t>报价函</w:t>
      </w:r>
    </w:p>
    <w:p w14:paraId="594FF34F">
      <w:pPr>
        <w:ind w:firstLine="560"/>
        <w:jc w:val="center"/>
        <w:rPr>
          <w:rFonts w:eastAsia="仿宋_GB2312"/>
          <w:color w:val="auto"/>
          <w:sz w:val="32"/>
          <w:szCs w:val="32"/>
          <w:highlight w:val="none"/>
        </w:rPr>
      </w:pPr>
    </w:p>
    <w:p w14:paraId="6B35F883">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东莞市东实旗云投资有限公司</w:t>
      </w:r>
      <w:r>
        <w:rPr>
          <w:rFonts w:hint="eastAsia" w:eastAsia="仿宋_GB2312"/>
          <w:color w:val="auto"/>
          <w:sz w:val="32"/>
          <w:szCs w:val="32"/>
          <w:highlight w:val="none"/>
        </w:rPr>
        <w:t>：</w:t>
      </w:r>
    </w:p>
    <w:p w14:paraId="108B9920">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bookmarkStart w:id="14" w:name="OLE_LINK6"/>
      <w:bookmarkStart w:id="15" w:name="OLE_LINK5"/>
      <w:r>
        <w:rPr>
          <w:rFonts w:hint="eastAsia" w:eastAsia="仿宋_GB2312"/>
          <w:color w:val="auto"/>
          <w:sz w:val="32"/>
          <w:szCs w:val="32"/>
          <w:highlight w:val="none"/>
          <w:u w:val="single"/>
        </w:rPr>
        <w:t>2025WR005地块购地资金来源审计服务</w:t>
      </w:r>
      <w:bookmarkEnd w:id="14"/>
      <w:bookmarkEnd w:id="15"/>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（小写），税率（必填）%</w:t>
      </w:r>
      <w:r>
        <w:rPr>
          <w:rFonts w:hint="eastAsia" w:eastAsia="仿宋_GB2312"/>
          <w:color w:val="auto"/>
          <w:sz w:val="32"/>
          <w:szCs w:val="32"/>
          <w:highlight w:val="none"/>
        </w:rPr>
        <w:t>承接此项目。</w:t>
      </w:r>
    </w:p>
    <w:p w14:paraId="567E2AE1">
      <w:pPr>
        <w:rPr>
          <w:rFonts w:eastAsia="仿宋_GB2312"/>
          <w:color w:val="auto"/>
          <w:sz w:val="32"/>
          <w:szCs w:val="32"/>
          <w:highlight w:val="none"/>
        </w:rPr>
      </w:pPr>
    </w:p>
    <w:p w14:paraId="413FD3CD">
      <w:pPr>
        <w:rPr>
          <w:rFonts w:eastAsia="仿宋_GB2312"/>
          <w:color w:val="auto"/>
          <w:sz w:val="32"/>
          <w:szCs w:val="32"/>
          <w:highlight w:val="none"/>
        </w:rPr>
      </w:pPr>
    </w:p>
    <w:p w14:paraId="48AD460D">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3A652DC0">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5698EE19">
      <w:pPr>
        <w:jc w:val="left"/>
        <w:rPr>
          <w:rFonts w:eastAsia="仿宋_GB2312"/>
          <w:color w:val="auto"/>
          <w:sz w:val="32"/>
          <w:szCs w:val="32"/>
          <w:highlight w:val="none"/>
        </w:rPr>
      </w:pPr>
      <w:r>
        <w:rPr>
          <w:rFonts w:hint="eastAsia" w:eastAsia="仿宋_GB2312"/>
          <w:color w:val="auto"/>
          <w:sz w:val="32"/>
          <w:szCs w:val="32"/>
          <w:highlight w:val="none"/>
        </w:rPr>
        <w:t>联系人：</w:t>
      </w:r>
    </w:p>
    <w:p w14:paraId="43F31CA2">
      <w:pPr>
        <w:jc w:val="left"/>
        <w:rPr>
          <w:rFonts w:eastAsia="仿宋_GB2312"/>
          <w:color w:val="auto"/>
          <w:sz w:val="32"/>
          <w:szCs w:val="32"/>
          <w:highlight w:val="none"/>
        </w:rPr>
      </w:pPr>
      <w:r>
        <w:rPr>
          <w:rFonts w:hint="eastAsia" w:eastAsia="仿宋_GB2312"/>
          <w:color w:val="auto"/>
          <w:sz w:val="32"/>
          <w:szCs w:val="32"/>
          <w:highlight w:val="none"/>
        </w:rPr>
        <w:t>联系电话：</w:t>
      </w:r>
    </w:p>
    <w:p w14:paraId="609E4DBD">
      <w:pPr>
        <w:jc w:val="left"/>
        <w:rPr>
          <w:rFonts w:eastAsia="仿宋_GB2312"/>
          <w:color w:val="auto"/>
          <w:sz w:val="32"/>
          <w:szCs w:val="32"/>
          <w:highlight w:val="none"/>
        </w:rPr>
      </w:pPr>
      <w:r>
        <w:rPr>
          <w:rFonts w:hint="eastAsia" w:eastAsia="仿宋_GB2312"/>
          <w:color w:val="auto"/>
          <w:sz w:val="32"/>
          <w:szCs w:val="32"/>
          <w:highlight w:val="none"/>
        </w:rPr>
        <w:t>日期：</w:t>
      </w:r>
    </w:p>
    <w:p w14:paraId="3419322A">
      <w:pPr>
        <w:rPr>
          <w:rFonts w:eastAsia="仿宋_GB2312"/>
          <w:color w:val="auto"/>
          <w:sz w:val="32"/>
          <w:szCs w:val="32"/>
          <w:highlight w:val="none"/>
        </w:rPr>
      </w:pPr>
    </w:p>
    <w:p w14:paraId="45A63B51">
      <w:pPr>
        <w:pStyle w:val="3"/>
        <w:rPr>
          <w:rFonts w:eastAsia="仿宋_GB2312"/>
          <w:color w:val="auto"/>
          <w:highlight w:val="none"/>
        </w:rPr>
      </w:pPr>
    </w:p>
    <w:p w14:paraId="153E65E6">
      <w:pPr>
        <w:rPr>
          <w:rFonts w:eastAsia="仿宋_GB2312"/>
          <w:color w:val="auto"/>
          <w:sz w:val="32"/>
          <w:szCs w:val="32"/>
          <w:highlight w:val="none"/>
        </w:rPr>
      </w:pPr>
    </w:p>
    <w:p w14:paraId="15D7E95F">
      <w:pPr>
        <w:pStyle w:val="3"/>
        <w:rPr>
          <w:color w:val="auto"/>
          <w:highlight w:val="none"/>
        </w:rPr>
      </w:pPr>
    </w:p>
    <w:p w14:paraId="17209990">
      <w:pPr>
        <w:rPr>
          <w:color w:val="auto"/>
          <w:highlight w:val="none"/>
        </w:rPr>
      </w:pPr>
    </w:p>
    <w:p w14:paraId="58AFD7B1">
      <w:pPr>
        <w:widowControl/>
        <w:jc w:val="left"/>
        <w:rPr>
          <w:rFonts w:eastAsia="黑体"/>
          <w:color w:val="auto"/>
          <w:sz w:val="28"/>
          <w:szCs w:val="44"/>
          <w:highlight w:val="none"/>
        </w:rPr>
      </w:pPr>
    </w:p>
    <w:p w14:paraId="6CF28BD9">
      <w:pPr>
        <w:widowControl/>
        <w:jc w:val="left"/>
        <w:rPr>
          <w:rFonts w:eastAsia="黑体"/>
          <w:color w:val="auto"/>
          <w:sz w:val="28"/>
          <w:szCs w:val="44"/>
          <w:highlight w:val="none"/>
        </w:rPr>
      </w:pPr>
      <w:r>
        <w:rPr>
          <w:rFonts w:hint="eastAsia" w:eastAsia="黑体"/>
          <w:color w:val="auto"/>
          <w:sz w:val="28"/>
          <w:szCs w:val="44"/>
          <w:highlight w:val="none"/>
        </w:rPr>
        <w:t>附件二法人证明</w:t>
      </w:r>
    </w:p>
    <w:p w14:paraId="2FEBE8E9">
      <w:pPr>
        <w:pStyle w:val="37"/>
        <w:ind w:firstLine="0" w:firstLineChars="0"/>
        <w:jc w:val="left"/>
        <w:rPr>
          <w:rFonts w:eastAsia="黑体"/>
          <w:color w:val="auto"/>
          <w:sz w:val="28"/>
          <w:szCs w:val="44"/>
          <w:highlight w:val="none"/>
        </w:rPr>
      </w:pPr>
    </w:p>
    <w:p w14:paraId="08530DD6">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75468063">
      <w:pPr>
        <w:rPr>
          <w:rFonts w:eastAsia="仿宋_GB2312"/>
          <w:color w:val="auto"/>
          <w:sz w:val="32"/>
          <w:szCs w:val="32"/>
          <w:highlight w:val="none"/>
        </w:rPr>
      </w:pPr>
    </w:p>
    <w:p w14:paraId="2CB8584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东莞市东实旗云投资有限公司</w:t>
      </w:r>
      <w:r>
        <w:rPr>
          <w:rFonts w:hint="eastAsia" w:eastAsia="仿宋_GB2312"/>
          <w:color w:val="auto"/>
          <w:sz w:val="32"/>
          <w:szCs w:val="32"/>
          <w:highlight w:val="none"/>
        </w:rPr>
        <w:t>：</w:t>
      </w:r>
    </w:p>
    <w:p w14:paraId="371EFDBF">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3AF96872">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0D28B203">
      <w:pPr>
        <w:spacing w:line="600" w:lineRule="exact"/>
        <w:rPr>
          <w:rFonts w:eastAsia="仿宋_GB2312"/>
          <w:color w:val="auto"/>
          <w:sz w:val="32"/>
          <w:szCs w:val="32"/>
          <w:highlight w:val="none"/>
        </w:rPr>
      </w:pPr>
    </w:p>
    <w:p w14:paraId="6D41D356">
      <w:pPr>
        <w:spacing w:line="600" w:lineRule="exact"/>
        <w:rPr>
          <w:rFonts w:eastAsia="仿宋_GB2312"/>
          <w:color w:val="auto"/>
          <w:sz w:val="32"/>
          <w:szCs w:val="32"/>
          <w:highlight w:val="none"/>
        </w:rPr>
      </w:pPr>
    </w:p>
    <w:p w14:paraId="11557791">
      <w:pPr>
        <w:spacing w:line="600" w:lineRule="exact"/>
        <w:rPr>
          <w:rFonts w:eastAsia="仿宋_GB2312"/>
          <w:color w:val="auto"/>
          <w:sz w:val="32"/>
          <w:szCs w:val="32"/>
          <w:highlight w:val="none"/>
        </w:rPr>
      </w:pPr>
    </w:p>
    <w:p w14:paraId="16D8A9C1">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0F50DCF">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41F769F">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661682FB">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08ABD37E">
      <w:pPr>
        <w:rPr>
          <w:rFonts w:eastAsia="仿宋_GB2312"/>
          <w:color w:val="auto"/>
          <w:sz w:val="32"/>
          <w:szCs w:val="32"/>
          <w:highlight w:val="none"/>
        </w:rPr>
      </w:pPr>
    </w:p>
    <w:p w14:paraId="42DD495D">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16" w:name="_Toc384752807"/>
    </w:p>
    <w:p w14:paraId="3E543E4A">
      <w:pPr>
        <w:pStyle w:val="37"/>
        <w:ind w:firstLine="0" w:firstLineChars="0"/>
        <w:jc w:val="left"/>
        <w:outlineLvl w:val="1"/>
        <w:rPr>
          <w:rFonts w:eastAsia="黑体"/>
          <w:color w:val="auto"/>
          <w:sz w:val="28"/>
          <w:szCs w:val="44"/>
          <w:highlight w:val="none"/>
        </w:rPr>
      </w:pPr>
      <w:bookmarkStart w:id="17" w:name="_Hlk40704362"/>
      <w:r>
        <w:rPr>
          <w:rFonts w:hint="eastAsia" w:eastAsia="黑体"/>
          <w:color w:val="auto"/>
          <w:sz w:val="28"/>
          <w:szCs w:val="44"/>
          <w:highlight w:val="none"/>
        </w:rPr>
        <w:t>附件三法人授权书</w:t>
      </w:r>
    </w:p>
    <w:p w14:paraId="40E67DFD">
      <w:pPr>
        <w:widowControl/>
        <w:jc w:val="center"/>
        <w:rPr>
          <w:rFonts w:eastAsia="仿宋_GB2312"/>
          <w:b/>
          <w:color w:val="auto"/>
          <w:sz w:val="32"/>
          <w:szCs w:val="32"/>
          <w:highlight w:val="none"/>
        </w:rPr>
      </w:pPr>
    </w:p>
    <w:p w14:paraId="657C3C55">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16"/>
    </w:p>
    <w:p w14:paraId="6A237885">
      <w:pPr>
        <w:pStyle w:val="36"/>
        <w:ind w:firstLine="0" w:firstLineChars="0"/>
        <w:rPr>
          <w:rFonts w:ascii="Times New Roman" w:hAnsi="Times New Roman"/>
          <w:color w:val="auto"/>
          <w:sz w:val="32"/>
          <w:szCs w:val="32"/>
          <w:highlight w:val="none"/>
        </w:rPr>
      </w:pPr>
    </w:p>
    <w:p w14:paraId="6DD378E1">
      <w:pPr>
        <w:rPr>
          <w:rFonts w:eastAsia="仿宋_GB2312"/>
          <w:color w:val="auto"/>
          <w:sz w:val="32"/>
          <w:szCs w:val="32"/>
          <w:highlight w:val="none"/>
        </w:rPr>
      </w:pPr>
      <w:r>
        <w:rPr>
          <w:rFonts w:hint="eastAsia" w:eastAsia="仿宋_GB2312"/>
          <w:color w:val="auto"/>
          <w:sz w:val="32"/>
          <w:szCs w:val="32"/>
          <w:highlight w:val="none"/>
          <w:u w:val="single"/>
        </w:rPr>
        <w:t>东莞市东实旗云投资有限公司</w:t>
      </w:r>
      <w:r>
        <w:rPr>
          <w:rFonts w:hint="eastAsia" w:eastAsia="仿宋_GB2312"/>
          <w:color w:val="auto"/>
          <w:sz w:val="32"/>
          <w:szCs w:val="32"/>
          <w:highlight w:val="none"/>
        </w:rPr>
        <w:t>：</w:t>
      </w:r>
    </w:p>
    <w:p w14:paraId="64D14586">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bookmarkStart w:id="18" w:name="OLE_LINK7"/>
      <w:bookmarkStart w:id="19" w:name="OLE_LINK8"/>
      <w:r>
        <w:rPr>
          <w:rFonts w:hint="eastAsia" w:ascii="Times New Roman" w:hAnsi="Times New Roman"/>
          <w:color w:val="auto"/>
          <w:sz w:val="32"/>
          <w:szCs w:val="32"/>
          <w:highlight w:val="none"/>
          <w:u w:val="single"/>
        </w:rPr>
        <w:t>2025WR005地块购地资金来源审计服务</w:t>
      </w:r>
      <w:r>
        <w:rPr>
          <w:rFonts w:hint="eastAsia"/>
          <w:color w:val="auto"/>
          <w:sz w:val="32"/>
          <w:szCs w:val="32"/>
          <w:highlight w:val="none"/>
          <w:u w:val="single"/>
        </w:rPr>
        <w:t>（填写项目名</w:t>
      </w:r>
      <w:bookmarkEnd w:id="18"/>
      <w:bookmarkEnd w:id="19"/>
      <w:r>
        <w:rPr>
          <w:rFonts w:hint="eastAsia"/>
          <w:color w:val="auto"/>
          <w:sz w:val="32"/>
          <w:szCs w:val="32"/>
          <w:highlight w:val="none"/>
          <w:u w:val="single"/>
        </w:rPr>
        <w:t>称）</w:t>
      </w:r>
      <w:r>
        <w:rPr>
          <w:rFonts w:hint="eastAsia"/>
          <w:color w:val="auto"/>
          <w:sz w:val="32"/>
          <w:szCs w:val="32"/>
          <w:highlight w:val="none"/>
        </w:rPr>
        <w:t>项目</w:t>
      </w:r>
      <w:r>
        <w:rPr>
          <w:rFonts w:hint="eastAsia" w:ascii="Times New Roman" w:hAnsi="Times New Roman"/>
          <w:color w:val="auto"/>
          <w:sz w:val="32"/>
          <w:szCs w:val="32"/>
          <w:highlight w:val="none"/>
        </w:rPr>
        <w:t>等相关服务的磋商和合同的执行，以我方的名义处理一切与之有关的事宜（相关身份证复印件须附后）。</w:t>
      </w:r>
    </w:p>
    <w:p w14:paraId="4B651433">
      <w:pPr>
        <w:pStyle w:val="36"/>
        <w:ind w:firstLine="659"/>
        <w:rPr>
          <w:rFonts w:ascii="Times New Roman" w:hAnsi="Times New Roman"/>
          <w:color w:val="auto"/>
          <w:sz w:val="32"/>
          <w:szCs w:val="32"/>
          <w:highlight w:val="none"/>
        </w:rPr>
      </w:pPr>
    </w:p>
    <w:p w14:paraId="7FC4BF4A">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日签字生效，特此声明。</w:t>
      </w:r>
    </w:p>
    <w:p w14:paraId="39EB8720">
      <w:pPr>
        <w:pStyle w:val="36"/>
        <w:ind w:firstLine="659"/>
        <w:rPr>
          <w:rFonts w:ascii="Times New Roman" w:hAnsi="Times New Roman"/>
          <w:color w:val="auto"/>
          <w:sz w:val="32"/>
          <w:szCs w:val="32"/>
          <w:highlight w:val="none"/>
        </w:rPr>
      </w:pPr>
    </w:p>
    <w:p w14:paraId="1BAB993D">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1227EFF">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436EBB34">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0A108712">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71A7476">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0CF2B22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5AA43F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17"/>
    <w:p w14:paraId="7FFEFA00">
      <w:pPr>
        <w:pStyle w:val="37"/>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附件四承诺函</w:t>
      </w:r>
    </w:p>
    <w:p w14:paraId="73C9E1EF">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2ED8B7B">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东莞市东实旗云投资有限公司</w:t>
      </w:r>
      <w:r>
        <w:rPr>
          <w:rFonts w:hint="eastAsia" w:eastAsia="仿宋_GB2312"/>
          <w:color w:val="auto"/>
          <w:sz w:val="32"/>
          <w:szCs w:val="32"/>
          <w:highlight w:val="none"/>
        </w:rPr>
        <w:t>：</w:t>
      </w:r>
    </w:p>
    <w:p w14:paraId="0E0CB8B1">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color w:val="auto"/>
          <w:sz w:val="32"/>
          <w:szCs w:val="32"/>
          <w:highlight w:val="none"/>
          <w:u w:val="single"/>
        </w:rPr>
        <w:t>2025WR005地块购地资金来源审计服务（项目名称）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19160AF6">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我公司已充分了解采购项目情况，本次报价完全响应竞争性磋商文件的要求，我公司所提供的</w:t>
      </w:r>
      <w:r>
        <w:rPr>
          <w:rFonts w:hint="eastAsia" w:ascii="Times New Roman" w:hAnsi="Times New Roman"/>
          <w:color w:val="auto"/>
          <w:sz w:val="32"/>
          <w:szCs w:val="32"/>
          <w:highlight w:val="none"/>
          <w:u w:val="single"/>
        </w:rPr>
        <w:t xml:space="preserve"> </w:t>
      </w:r>
      <w:r>
        <w:rPr>
          <w:rFonts w:hint="eastAsia"/>
          <w:color w:val="auto"/>
          <w:sz w:val="32"/>
          <w:szCs w:val="32"/>
          <w:highlight w:val="none"/>
          <w:u w:val="single"/>
        </w:rPr>
        <w:t>审计服务（服务内容）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7DAF3CBB">
      <w:pPr>
        <w:pStyle w:val="36"/>
        <w:ind w:firstLine="659"/>
        <w:rPr>
          <w:rFonts w:ascii="Times New Roman" w:hAnsi="Times New Roman"/>
          <w:color w:val="auto"/>
          <w:sz w:val="32"/>
          <w:szCs w:val="32"/>
          <w:highlight w:val="none"/>
        </w:rPr>
      </w:pPr>
    </w:p>
    <w:p w14:paraId="46B9C912">
      <w:pPr>
        <w:pStyle w:val="36"/>
        <w:ind w:firstLine="0" w:firstLineChars="0"/>
        <w:jc w:val="left"/>
        <w:rPr>
          <w:rFonts w:ascii="Times New Roman" w:hAnsi="Times New Roman"/>
          <w:color w:val="auto"/>
          <w:sz w:val="32"/>
          <w:szCs w:val="32"/>
          <w:highlight w:val="none"/>
        </w:rPr>
      </w:pPr>
    </w:p>
    <w:p w14:paraId="60638A2F">
      <w:pPr>
        <w:jc w:val="left"/>
        <w:rPr>
          <w:rFonts w:eastAsia="仿宋"/>
          <w:color w:val="auto"/>
          <w:sz w:val="32"/>
          <w:szCs w:val="32"/>
          <w:highlight w:val="none"/>
        </w:rPr>
      </w:pPr>
    </w:p>
    <w:p w14:paraId="65B91453">
      <w:pPr>
        <w:jc w:val="left"/>
        <w:rPr>
          <w:rFonts w:eastAsia="仿宋"/>
          <w:color w:val="auto"/>
          <w:sz w:val="32"/>
          <w:szCs w:val="32"/>
          <w:highlight w:val="none"/>
        </w:rPr>
      </w:pPr>
    </w:p>
    <w:p w14:paraId="084D9989">
      <w:pPr>
        <w:jc w:val="left"/>
        <w:rPr>
          <w:rFonts w:eastAsia="仿宋"/>
          <w:color w:val="auto"/>
          <w:sz w:val="32"/>
          <w:szCs w:val="32"/>
          <w:highlight w:val="none"/>
        </w:rPr>
      </w:pPr>
    </w:p>
    <w:p w14:paraId="2407C708">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596B427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02E1B0CB">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2747FBE4">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F9730C0">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3635F4D7">
      <w:pPr>
        <w:pStyle w:val="36"/>
        <w:ind w:firstLine="0" w:firstLineChars="0"/>
        <w:jc w:val="left"/>
        <w:rPr>
          <w:rFonts w:ascii="Times New Roman" w:hAnsi="Times New Roman"/>
          <w:color w:val="auto"/>
          <w:sz w:val="32"/>
          <w:szCs w:val="32"/>
          <w:highlight w:val="none"/>
        </w:rPr>
      </w:pPr>
    </w:p>
    <w:p w14:paraId="4EFEB3B2">
      <w:pPr>
        <w:pStyle w:val="36"/>
        <w:ind w:firstLine="0" w:firstLineChars="0"/>
        <w:jc w:val="left"/>
        <w:rPr>
          <w:rFonts w:ascii="Times New Roman" w:hAnsi="Times New Roman"/>
          <w:color w:val="auto"/>
          <w:sz w:val="32"/>
          <w:szCs w:val="32"/>
          <w:highlight w:val="none"/>
        </w:rPr>
      </w:pPr>
    </w:p>
    <w:p w14:paraId="1C409A78">
      <w:pPr>
        <w:rPr>
          <w:color w:val="auto"/>
          <w:highlight w:val="none"/>
        </w:rPr>
      </w:pPr>
    </w:p>
    <w:p w14:paraId="7572A929">
      <w:pPr>
        <w:widowControl/>
        <w:jc w:val="left"/>
        <w:rPr>
          <w:rFonts w:eastAsia="黑体"/>
          <w:color w:val="auto"/>
          <w:sz w:val="28"/>
          <w:szCs w:val="44"/>
          <w:highlight w:val="none"/>
        </w:rPr>
      </w:pPr>
    </w:p>
    <w:p w14:paraId="4AD0733E">
      <w:pPr>
        <w:widowControl/>
        <w:jc w:val="left"/>
        <w:rPr>
          <w:rFonts w:eastAsia="黑体"/>
          <w:color w:val="auto"/>
          <w:sz w:val="28"/>
          <w:szCs w:val="44"/>
          <w:highlight w:val="none"/>
        </w:rPr>
      </w:pPr>
    </w:p>
    <w:p w14:paraId="39E1FA59">
      <w:pPr>
        <w:pStyle w:val="37"/>
        <w:ind w:firstLine="0" w:firstLineChars="0"/>
        <w:jc w:val="left"/>
        <w:outlineLvl w:val="1"/>
        <w:rPr>
          <w:rFonts w:eastAsia="黑体"/>
          <w:color w:val="auto"/>
          <w:sz w:val="28"/>
          <w:szCs w:val="44"/>
          <w:highlight w:val="none"/>
        </w:rPr>
      </w:pPr>
      <w:bookmarkStart w:id="20" w:name="_Hlk40704598"/>
      <w:r>
        <w:rPr>
          <w:rFonts w:hint="eastAsia" w:eastAsia="黑体"/>
          <w:color w:val="auto"/>
          <w:sz w:val="28"/>
          <w:szCs w:val="44"/>
          <w:highlight w:val="none"/>
        </w:rPr>
        <w:t>附件五用户需求书</w:t>
      </w:r>
    </w:p>
    <w:p w14:paraId="2D4E0698">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用户需求书</w:t>
      </w:r>
    </w:p>
    <w:p w14:paraId="3B0B738B">
      <w:pPr>
        <w:autoSpaceDE w:val="0"/>
        <w:autoSpaceDN w:val="0"/>
        <w:spacing w:line="360" w:lineRule="auto"/>
        <w:jc w:val="left"/>
        <w:rPr>
          <w:rFonts w:hint="eastAsia" w:eastAsia="仿宋_GB2312"/>
          <w:color w:val="auto"/>
          <w:sz w:val="28"/>
          <w:szCs w:val="28"/>
          <w:highlight w:val="none"/>
        </w:rPr>
      </w:pPr>
      <w:r>
        <w:rPr>
          <w:rFonts w:hint="eastAsia" w:eastAsia="仿宋_GB2312"/>
          <w:color w:val="auto"/>
          <w:sz w:val="28"/>
          <w:szCs w:val="28"/>
          <w:highlight w:val="none"/>
        </w:rPr>
        <w:t>一、出具的资金审计报告，具体内容如下：</w:t>
      </w:r>
    </w:p>
    <w:p w14:paraId="415C74F6">
      <w:pPr>
        <w:autoSpaceDE w:val="0"/>
        <w:autoSpaceDN w:val="0"/>
        <w:spacing w:line="360" w:lineRule="auto"/>
        <w:ind w:firstLine="560" w:firstLineChars="200"/>
        <w:jc w:val="left"/>
        <w:rPr>
          <w:rFonts w:hint="eastAsia" w:eastAsia="仿宋_GB2312"/>
          <w:color w:val="auto"/>
          <w:sz w:val="28"/>
          <w:szCs w:val="28"/>
          <w:highlight w:val="none"/>
        </w:rPr>
      </w:pPr>
      <w:r>
        <w:rPr>
          <w:rFonts w:hint="eastAsia" w:eastAsia="仿宋_GB2312"/>
          <w:color w:val="auto"/>
          <w:sz w:val="28"/>
          <w:szCs w:val="28"/>
          <w:highlight w:val="none"/>
        </w:rPr>
        <w:t>（1）土地竞得主体基本情况，包括控股股东、资金最终关联方基本情况；</w:t>
      </w:r>
    </w:p>
    <w:p w14:paraId="12FFD690">
      <w:pPr>
        <w:autoSpaceDE w:val="0"/>
        <w:autoSpaceDN w:val="0"/>
        <w:spacing w:line="360" w:lineRule="auto"/>
        <w:ind w:firstLine="560" w:firstLineChars="200"/>
        <w:jc w:val="left"/>
        <w:rPr>
          <w:rFonts w:hint="eastAsia" w:eastAsia="仿宋_GB2312"/>
          <w:color w:val="auto"/>
          <w:sz w:val="28"/>
          <w:szCs w:val="28"/>
          <w:highlight w:val="none"/>
        </w:rPr>
      </w:pPr>
      <w:r>
        <w:rPr>
          <w:rFonts w:hint="eastAsia" w:eastAsia="仿宋_GB2312"/>
          <w:color w:val="auto"/>
          <w:sz w:val="28"/>
          <w:szCs w:val="28"/>
          <w:highlight w:val="none"/>
        </w:rPr>
        <w:t>（2）承诺并实际核查土地竞得主体提交的《土地购置资金来源情况申报表》及附件证明材料；</w:t>
      </w:r>
    </w:p>
    <w:p w14:paraId="7BD719F1">
      <w:pPr>
        <w:autoSpaceDE w:val="0"/>
        <w:autoSpaceDN w:val="0"/>
        <w:spacing w:line="360" w:lineRule="auto"/>
        <w:ind w:firstLine="560" w:firstLineChars="200"/>
        <w:jc w:val="left"/>
        <w:rPr>
          <w:rFonts w:hint="eastAsia" w:eastAsia="仿宋_GB2312"/>
          <w:color w:val="auto"/>
          <w:sz w:val="28"/>
          <w:szCs w:val="28"/>
          <w:highlight w:val="none"/>
        </w:rPr>
      </w:pPr>
      <w:r>
        <w:rPr>
          <w:rFonts w:hint="eastAsia" w:eastAsia="仿宋_GB2312"/>
          <w:color w:val="auto"/>
          <w:sz w:val="28"/>
          <w:szCs w:val="28"/>
          <w:highlight w:val="none"/>
        </w:rPr>
        <w:t>（3）穿透核查土地竞得主体及控股股东、资金最终关联方的资金来源，明确说明土地竞得主体的实际资金来源（如涉及关联方，要说明最终关联方的资金来源类型）；</w:t>
      </w:r>
    </w:p>
    <w:p w14:paraId="64BD24F8">
      <w:pPr>
        <w:autoSpaceDE w:val="0"/>
        <w:autoSpaceDN w:val="0"/>
        <w:spacing w:line="360" w:lineRule="auto"/>
        <w:ind w:firstLine="560" w:firstLineChars="200"/>
        <w:jc w:val="left"/>
        <w:rPr>
          <w:rFonts w:eastAsia="仿宋_GB2312"/>
          <w:color w:val="auto"/>
          <w:sz w:val="28"/>
          <w:szCs w:val="28"/>
          <w:highlight w:val="none"/>
        </w:rPr>
      </w:pPr>
      <w:r>
        <w:rPr>
          <w:rFonts w:hint="eastAsia" w:eastAsia="仿宋_GB2312"/>
          <w:color w:val="auto"/>
          <w:sz w:val="28"/>
          <w:szCs w:val="28"/>
          <w:highlight w:val="none"/>
        </w:rPr>
        <w:t>（4）针对“竞买企业股东是否违规对其提供借款、转贷、担保或其他相关融资便利等，购地资金是否直接或间接使用金融机构各类融资资金，购地资金是否使用房地产产业链上下游关联企业借款或预付款，购地资金是否使用其他自然人、法人、非法人组织的借款，购地资金是否使用参与竞买企业控制的非房地产企业融资等”作出结论。</w:t>
      </w:r>
    </w:p>
    <w:p w14:paraId="6DA5B337">
      <w:pPr>
        <w:spacing w:line="360" w:lineRule="auto"/>
        <w:rPr>
          <w:rFonts w:eastAsia="仿宋_GB2312"/>
          <w:color w:val="auto"/>
          <w:sz w:val="28"/>
          <w:szCs w:val="28"/>
          <w:highlight w:val="none"/>
        </w:rPr>
      </w:pPr>
      <w:r>
        <w:rPr>
          <w:rFonts w:eastAsia="仿宋_GB2312"/>
          <w:color w:val="auto"/>
          <w:sz w:val="28"/>
          <w:szCs w:val="28"/>
          <w:highlight w:val="none"/>
        </w:rPr>
        <w:t>二</w:t>
      </w:r>
      <w:r>
        <w:rPr>
          <w:rFonts w:hint="eastAsia" w:eastAsia="仿宋_GB2312"/>
          <w:color w:val="auto"/>
          <w:sz w:val="28"/>
          <w:szCs w:val="28"/>
          <w:highlight w:val="none"/>
        </w:rPr>
        <w:t>、完成时间要求</w:t>
      </w:r>
      <w:r>
        <w:rPr>
          <w:rFonts w:hint="eastAsia" w:ascii="Times New Roman" w:hAnsi="Times New Roman" w:eastAsia="仿宋_GB2312" w:cs="Times New Roman"/>
          <w:color w:val="auto"/>
          <w:sz w:val="28"/>
          <w:szCs w:val="28"/>
          <w:highlight w:val="none"/>
        </w:rPr>
        <w:t>：应于被</w:t>
      </w:r>
      <w:r>
        <w:rPr>
          <w:rFonts w:hint="eastAsia" w:eastAsia="仿宋_GB2312"/>
          <w:color w:val="auto"/>
          <w:sz w:val="28"/>
          <w:szCs w:val="28"/>
          <w:highlight w:val="none"/>
        </w:rPr>
        <w:t>审计单位提供审计所需的全部资料后 三 个工作日之内完成审计工作，出具资金审计报告初稿，最终竟得地块后出具正式报告。</w:t>
      </w:r>
    </w:p>
    <w:p w14:paraId="129EE08F">
      <w:pPr>
        <w:spacing w:line="360" w:lineRule="auto"/>
        <w:rPr>
          <w:rFonts w:eastAsia="仿宋_GB2312"/>
          <w:color w:val="auto"/>
          <w:sz w:val="28"/>
          <w:szCs w:val="28"/>
          <w:highlight w:val="none"/>
        </w:rPr>
      </w:pPr>
      <w:r>
        <w:rPr>
          <w:rFonts w:hint="eastAsia" w:eastAsia="仿宋_GB2312"/>
          <w:color w:val="auto"/>
          <w:sz w:val="28"/>
          <w:szCs w:val="28"/>
          <w:highlight w:val="none"/>
        </w:rPr>
        <w:t>三、报告形式要求：纸质版一式四份以及咨询报告电子版。</w:t>
      </w:r>
    </w:p>
    <w:bookmarkEnd w:id="4"/>
    <w:bookmarkEnd w:id="20"/>
    <w:p w14:paraId="74199055">
      <w:pPr>
        <w:spacing w:line="360" w:lineRule="auto"/>
        <w:rPr>
          <w:rFonts w:eastAsia="仿宋_GB2312"/>
          <w:color w:val="auto"/>
          <w:szCs w:val="21"/>
          <w:highlight w:val="none"/>
        </w:rPr>
      </w:pPr>
      <w:bookmarkStart w:id="21" w:name="_Toc148265712"/>
      <w:bookmarkEnd w:id="21"/>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48BFB">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4A5FE7"/>
    <w:multiLevelType w:val="singleLevel"/>
    <w:tmpl w:val="DD4A5FE7"/>
    <w:lvl w:ilvl="0" w:tentative="0">
      <w:start w:val="2"/>
      <w:numFmt w:val="decimal"/>
      <w:suff w:val="nothing"/>
      <w:lvlText w:val="%1．"/>
      <w:lvlJc w:val="left"/>
    </w:lvl>
  </w:abstractNum>
  <w:abstractNum w:abstractNumId="1">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0C890F88"/>
    <w:multiLevelType w:val="multilevel"/>
    <w:tmpl w:val="0C890F88"/>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4CB1C9E"/>
    <w:multiLevelType w:val="singleLevel"/>
    <w:tmpl w:val="54CB1C9E"/>
    <w:lvl w:ilvl="0" w:tentative="0">
      <w:start w:val="1"/>
      <w:numFmt w:val="chineseCounting"/>
      <w:suff w:val="nothing"/>
      <w:lvlText w:val="%1、"/>
      <w:lvlJc w:val="left"/>
    </w:lvl>
  </w:abstractNum>
  <w:abstractNum w:abstractNumId="5">
    <w:nsid w:val="5528292D"/>
    <w:multiLevelType w:val="multilevel"/>
    <w:tmpl w:val="5528292D"/>
    <w:lvl w:ilvl="0" w:tentative="0">
      <w:start w:val="1"/>
      <w:numFmt w:val="japaneseCounting"/>
      <w:lvlText w:val="第%1条"/>
      <w:lvlJc w:val="left"/>
      <w:pPr>
        <w:tabs>
          <w:tab w:val="left" w:pos="1552"/>
        </w:tabs>
        <w:ind w:left="1552" w:hanging="990"/>
      </w:pPr>
      <w:rPr>
        <w:rFonts w:hint="default"/>
      </w:rPr>
    </w:lvl>
    <w:lvl w:ilvl="1" w:tentative="0">
      <w:start w:val="1"/>
      <w:numFmt w:val="lowerLetter"/>
      <w:lvlText w:val="%2)"/>
      <w:lvlJc w:val="left"/>
      <w:pPr>
        <w:tabs>
          <w:tab w:val="left" w:pos="1402"/>
        </w:tabs>
        <w:ind w:left="1402" w:hanging="420"/>
      </w:pPr>
    </w:lvl>
    <w:lvl w:ilvl="2" w:tentative="0">
      <w:start w:val="1"/>
      <w:numFmt w:val="lowerRoman"/>
      <w:lvlText w:val="%3."/>
      <w:lvlJc w:val="right"/>
      <w:pPr>
        <w:tabs>
          <w:tab w:val="left" w:pos="1822"/>
        </w:tabs>
        <w:ind w:left="1822" w:hanging="420"/>
      </w:pPr>
    </w:lvl>
    <w:lvl w:ilvl="3" w:tentative="0">
      <w:start w:val="1"/>
      <w:numFmt w:val="decimal"/>
      <w:lvlText w:val="%4."/>
      <w:lvlJc w:val="left"/>
      <w:pPr>
        <w:tabs>
          <w:tab w:val="left" w:pos="2242"/>
        </w:tabs>
        <w:ind w:left="2242" w:hanging="420"/>
      </w:pPr>
    </w:lvl>
    <w:lvl w:ilvl="4" w:tentative="0">
      <w:start w:val="1"/>
      <w:numFmt w:val="lowerLetter"/>
      <w:lvlText w:val="%5)"/>
      <w:lvlJc w:val="left"/>
      <w:pPr>
        <w:tabs>
          <w:tab w:val="left" w:pos="2662"/>
        </w:tabs>
        <w:ind w:left="2662" w:hanging="420"/>
      </w:pPr>
    </w:lvl>
    <w:lvl w:ilvl="5" w:tentative="0">
      <w:start w:val="1"/>
      <w:numFmt w:val="lowerRoman"/>
      <w:lvlText w:val="%6."/>
      <w:lvlJc w:val="right"/>
      <w:pPr>
        <w:tabs>
          <w:tab w:val="left" w:pos="3082"/>
        </w:tabs>
        <w:ind w:left="3082" w:hanging="420"/>
      </w:pPr>
    </w:lvl>
    <w:lvl w:ilvl="6" w:tentative="0">
      <w:start w:val="1"/>
      <w:numFmt w:val="decimal"/>
      <w:lvlText w:val="%7."/>
      <w:lvlJc w:val="left"/>
      <w:pPr>
        <w:tabs>
          <w:tab w:val="left" w:pos="3502"/>
        </w:tabs>
        <w:ind w:left="3502" w:hanging="420"/>
      </w:pPr>
    </w:lvl>
    <w:lvl w:ilvl="7" w:tentative="0">
      <w:start w:val="1"/>
      <w:numFmt w:val="lowerLetter"/>
      <w:lvlText w:val="%8)"/>
      <w:lvlJc w:val="left"/>
      <w:pPr>
        <w:tabs>
          <w:tab w:val="left" w:pos="3922"/>
        </w:tabs>
        <w:ind w:left="3922" w:hanging="420"/>
      </w:pPr>
    </w:lvl>
    <w:lvl w:ilvl="8" w:tentative="0">
      <w:start w:val="1"/>
      <w:numFmt w:val="lowerRoman"/>
      <w:lvlText w:val="%9."/>
      <w:lvlJc w:val="right"/>
      <w:pPr>
        <w:tabs>
          <w:tab w:val="left" w:pos="4342"/>
        </w:tabs>
        <w:ind w:left="4342" w:hanging="420"/>
      </w:pPr>
    </w:lvl>
  </w:abstractNum>
  <w:abstractNum w:abstractNumId="6">
    <w:nsid w:val="6099A159"/>
    <w:multiLevelType w:val="singleLevel"/>
    <w:tmpl w:val="6099A159"/>
    <w:lvl w:ilvl="0" w:tentative="0">
      <w:start w:val="1"/>
      <w:numFmt w:val="decimal"/>
      <w:suff w:val="nothing"/>
      <w:lvlText w:val="%1、"/>
      <w:lvlJc w:val="left"/>
      <w:rPr>
        <w:rFonts w:cs="Times New Roman"/>
      </w:rPr>
    </w:lvl>
  </w:abstractNum>
  <w:abstractNum w:abstractNumId="7">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7"/>
  </w:num>
  <w:num w:numId="2">
    <w:abstractNumId w:val="1"/>
  </w:num>
  <w:num w:numId="3">
    <w:abstractNumId w:val="6"/>
  </w:num>
  <w:num w:numId="4">
    <w:abstractNumId w:val="3"/>
  </w:num>
  <w:num w:numId="5">
    <w:abstractNumId w:val="2"/>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wYmYxMTEyODE0ZTZmMjJhMThiYTY0ZTIyMmY0NDIifQ=="/>
  </w:docVars>
  <w:rsids>
    <w:rsidRoot w:val="00BD5ED0"/>
    <w:rsid w:val="0000437A"/>
    <w:rsid w:val="00005B73"/>
    <w:rsid w:val="00007BB7"/>
    <w:rsid w:val="00012BFA"/>
    <w:rsid w:val="00024379"/>
    <w:rsid w:val="00035F8F"/>
    <w:rsid w:val="00045122"/>
    <w:rsid w:val="00047001"/>
    <w:rsid w:val="000503CE"/>
    <w:rsid w:val="00053270"/>
    <w:rsid w:val="000535B8"/>
    <w:rsid w:val="00055419"/>
    <w:rsid w:val="000616CD"/>
    <w:rsid w:val="00063883"/>
    <w:rsid w:val="00063F50"/>
    <w:rsid w:val="000679B7"/>
    <w:rsid w:val="00074383"/>
    <w:rsid w:val="00077653"/>
    <w:rsid w:val="000930FE"/>
    <w:rsid w:val="000941B8"/>
    <w:rsid w:val="0009582E"/>
    <w:rsid w:val="0009633D"/>
    <w:rsid w:val="000A0257"/>
    <w:rsid w:val="000A0DFB"/>
    <w:rsid w:val="000B72CC"/>
    <w:rsid w:val="000B7B60"/>
    <w:rsid w:val="000B7FE4"/>
    <w:rsid w:val="000C0834"/>
    <w:rsid w:val="000C2B30"/>
    <w:rsid w:val="000C2D95"/>
    <w:rsid w:val="000C327D"/>
    <w:rsid w:val="000C4264"/>
    <w:rsid w:val="000D0A34"/>
    <w:rsid w:val="000D2A43"/>
    <w:rsid w:val="000D2D57"/>
    <w:rsid w:val="000D4735"/>
    <w:rsid w:val="000D6353"/>
    <w:rsid w:val="000E7D7C"/>
    <w:rsid w:val="000F2427"/>
    <w:rsid w:val="000F2DF4"/>
    <w:rsid w:val="000F2FC6"/>
    <w:rsid w:val="000F4060"/>
    <w:rsid w:val="000F575A"/>
    <w:rsid w:val="0010706E"/>
    <w:rsid w:val="00115B17"/>
    <w:rsid w:val="001163BB"/>
    <w:rsid w:val="0012090D"/>
    <w:rsid w:val="00124D32"/>
    <w:rsid w:val="001264A1"/>
    <w:rsid w:val="00131E92"/>
    <w:rsid w:val="00132211"/>
    <w:rsid w:val="00132912"/>
    <w:rsid w:val="00136549"/>
    <w:rsid w:val="0013755C"/>
    <w:rsid w:val="00137A41"/>
    <w:rsid w:val="00141896"/>
    <w:rsid w:val="00143273"/>
    <w:rsid w:val="0014433E"/>
    <w:rsid w:val="0014722B"/>
    <w:rsid w:val="0014729E"/>
    <w:rsid w:val="00152F22"/>
    <w:rsid w:val="00153F65"/>
    <w:rsid w:val="00156EF1"/>
    <w:rsid w:val="00157353"/>
    <w:rsid w:val="0016352B"/>
    <w:rsid w:val="0016665E"/>
    <w:rsid w:val="00170C97"/>
    <w:rsid w:val="0017142D"/>
    <w:rsid w:val="00175372"/>
    <w:rsid w:val="00182942"/>
    <w:rsid w:val="001844CB"/>
    <w:rsid w:val="00184E50"/>
    <w:rsid w:val="00185440"/>
    <w:rsid w:val="00190F06"/>
    <w:rsid w:val="00191009"/>
    <w:rsid w:val="001925D1"/>
    <w:rsid w:val="001925E5"/>
    <w:rsid w:val="00193F95"/>
    <w:rsid w:val="00196FE0"/>
    <w:rsid w:val="001A2C93"/>
    <w:rsid w:val="001A45EA"/>
    <w:rsid w:val="001A5AE5"/>
    <w:rsid w:val="001B09E7"/>
    <w:rsid w:val="001B2CB4"/>
    <w:rsid w:val="001B6B51"/>
    <w:rsid w:val="001C22FD"/>
    <w:rsid w:val="001C279B"/>
    <w:rsid w:val="001C6622"/>
    <w:rsid w:val="001D0EAA"/>
    <w:rsid w:val="001D0FE8"/>
    <w:rsid w:val="001D5CED"/>
    <w:rsid w:val="001D6AB7"/>
    <w:rsid w:val="001E4826"/>
    <w:rsid w:val="001E5549"/>
    <w:rsid w:val="001E7603"/>
    <w:rsid w:val="001F7CAF"/>
    <w:rsid w:val="002000CE"/>
    <w:rsid w:val="002008CC"/>
    <w:rsid w:val="00204419"/>
    <w:rsid w:val="00205F12"/>
    <w:rsid w:val="00207A2A"/>
    <w:rsid w:val="00210BCF"/>
    <w:rsid w:val="00213E1F"/>
    <w:rsid w:val="00215784"/>
    <w:rsid w:val="00215DF7"/>
    <w:rsid w:val="00220762"/>
    <w:rsid w:val="00221A95"/>
    <w:rsid w:val="0022330A"/>
    <w:rsid w:val="00226BE7"/>
    <w:rsid w:val="0022770D"/>
    <w:rsid w:val="00227F02"/>
    <w:rsid w:val="0023049C"/>
    <w:rsid w:val="00231A8A"/>
    <w:rsid w:val="002355B4"/>
    <w:rsid w:val="00235976"/>
    <w:rsid w:val="002368CE"/>
    <w:rsid w:val="00236E54"/>
    <w:rsid w:val="00237233"/>
    <w:rsid w:val="0024303B"/>
    <w:rsid w:val="00243458"/>
    <w:rsid w:val="00244C63"/>
    <w:rsid w:val="00244DFC"/>
    <w:rsid w:val="002502B9"/>
    <w:rsid w:val="0025172C"/>
    <w:rsid w:val="00251A1B"/>
    <w:rsid w:val="00254E0E"/>
    <w:rsid w:val="0026670C"/>
    <w:rsid w:val="00266E3D"/>
    <w:rsid w:val="00272C17"/>
    <w:rsid w:val="0027714D"/>
    <w:rsid w:val="002905F7"/>
    <w:rsid w:val="002A05DD"/>
    <w:rsid w:val="002A1D9A"/>
    <w:rsid w:val="002A32EA"/>
    <w:rsid w:val="002A5A03"/>
    <w:rsid w:val="002A6766"/>
    <w:rsid w:val="002B7214"/>
    <w:rsid w:val="002C357D"/>
    <w:rsid w:val="002C3587"/>
    <w:rsid w:val="002C67DE"/>
    <w:rsid w:val="002C772D"/>
    <w:rsid w:val="002E2198"/>
    <w:rsid w:val="002E2C71"/>
    <w:rsid w:val="002E59B0"/>
    <w:rsid w:val="002E6516"/>
    <w:rsid w:val="002F109A"/>
    <w:rsid w:val="002F1157"/>
    <w:rsid w:val="002F3749"/>
    <w:rsid w:val="002F3DE0"/>
    <w:rsid w:val="003039A2"/>
    <w:rsid w:val="0031424A"/>
    <w:rsid w:val="00314845"/>
    <w:rsid w:val="00327FC7"/>
    <w:rsid w:val="003312E6"/>
    <w:rsid w:val="00331421"/>
    <w:rsid w:val="00332220"/>
    <w:rsid w:val="003432FF"/>
    <w:rsid w:val="003440B1"/>
    <w:rsid w:val="003448D9"/>
    <w:rsid w:val="003467AD"/>
    <w:rsid w:val="003509A1"/>
    <w:rsid w:val="00352F0E"/>
    <w:rsid w:val="0035403B"/>
    <w:rsid w:val="003542F4"/>
    <w:rsid w:val="00354C22"/>
    <w:rsid w:val="00356D07"/>
    <w:rsid w:val="00363811"/>
    <w:rsid w:val="00372BD7"/>
    <w:rsid w:val="00373D87"/>
    <w:rsid w:val="003776A2"/>
    <w:rsid w:val="00393456"/>
    <w:rsid w:val="00393F27"/>
    <w:rsid w:val="00396DB6"/>
    <w:rsid w:val="003A30C0"/>
    <w:rsid w:val="003A4992"/>
    <w:rsid w:val="003A4E3E"/>
    <w:rsid w:val="003A7705"/>
    <w:rsid w:val="003B6841"/>
    <w:rsid w:val="003C2315"/>
    <w:rsid w:val="003C349E"/>
    <w:rsid w:val="003C371F"/>
    <w:rsid w:val="003C5F72"/>
    <w:rsid w:val="003D681C"/>
    <w:rsid w:val="003E3EEF"/>
    <w:rsid w:val="003E4DE6"/>
    <w:rsid w:val="003F4157"/>
    <w:rsid w:val="003F7426"/>
    <w:rsid w:val="003F7A36"/>
    <w:rsid w:val="003F7D43"/>
    <w:rsid w:val="00404AF8"/>
    <w:rsid w:val="00407262"/>
    <w:rsid w:val="004113A9"/>
    <w:rsid w:val="00412BC5"/>
    <w:rsid w:val="0042773C"/>
    <w:rsid w:val="00430F66"/>
    <w:rsid w:val="00431C60"/>
    <w:rsid w:val="004321F7"/>
    <w:rsid w:val="004333CD"/>
    <w:rsid w:val="004333FA"/>
    <w:rsid w:val="004407A6"/>
    <w:rsid w:val="00445796"/>
    <w:rsid w:val="004504C6"/>
    <w:rsid w:val="00453C32"/>
    <w:rsid w:val="00454378"/>
    <w:rsid w:val="00455511"/>
    <w:rsid w:val="00460621"/>
    <w:rsid w:val="00472560"/>
    <w:rsid w:val="004732D3"/>
    <w:rsid w:val="00476704"/>
    <w:rsid w:val="0048157A"/>
    <w:rsid w:val="0048198F"/>
    <w:rsid w:val="00481EBF"/>
    <w:rsid w:val="00484829"/>
    <w:rsid w:val="00484B15"/>
    <w:rsid w:val="00485FBD"/>
    <w:rsid w:val="00486C6C"/>
    <w:rsid w:val="00487F75"/>
    <w:rsid w:val="00490A12"/>
    <w:rsid w:val="00491E00"/>
    <w:rsid w:val="004958E7"/>
    <w:rsid w:val="00496744"/>
    <w:rsid w:val="00497C31"/>
    <w:rsid w:val="004A4341"/>
    <w:rsid w:val="004A699E"/>
    <w:rsid w:val="004B145E"/>
    <w:rsid w:val="004B66ED"/>
    <w:rsid w:val="004B7C4E"/>
    <w:rsid w:val="004C3A44"/>
    <w:rsid w:val="004D17EB"/>
    <w:rsid w:val="004D1C1A"/>
    <w:rsid w:val="004D3BC3"/>
    <w:rsid w:val="004D475A"/>
    <w:rsid w:val="004E611C"/>
    <w:rsid w:val="004E7081"/>
    <w:rsid w:val="004F2DA5"/>
    <w:rsid w:val="004F3897"/>
    <w:rsid w:val="004F5933"/>
    <w:rsid w:val="0050381E"/>
    <w:rsid w:val="00507325"/>
    <w:rsid w:val="00513E78"/>
    <w:rsid w:val="00514BB3"/>
    <w:rsid w:val="0052004C"/>
    <w:rsid w:val="00520138"/>
    <w:rsid w:val="005210A5"/>
    <w:rsid w:val="0053428C"/>
    <w:rsid w:val="005371FF"/>
    <w:rsid w:val="0054538F"/>
    <w:rsid w:val="00545797"/>
    <w:rsid w:val="005461F1"/>
    <w:rsid w:val="00547182"/>
    <w:rsid w:val="00560A5A"/>
    <w:rsid w:val="00561B95"/>
    <w:rsid w:val="00565B17"/>
    <w:rsid w:val="005711E3"/>
    <w:rsid w:val="0058123D"/>
    <w:rsid w:val="00590112"/>
    <w:rsid w:val="005968DF"/>
    <w:rsid w:val="0059796B"/>
    <w:rsid w:val="005A24AF"/>
    <w:rsid w:val="005A4E94"/>
    <w:rsid w:val="005A73BB"/>
    <w:rsid w:val="005A74C6"/>
    <w:rsid w:val="005B3EF9"/>
    <w:rsid w:val="005B48FC"/>
    <w:rsid w:val="005B7F8E"/>
    <w:rsid w:val="005C161C"/>
    <w:rsid w:val="005C320D"/>
    <w:rsid w:val="005C6227"/>
    <w:rsid w:val="005E2D48"/>
    <w:rsid w:val="005E3228"/>
    <w:rsid w:val="005E513D"/>
    <w:rsid w:val="005E664E"/>
    <w:rsid w:val="005F1911"/>
    <w:rsid w:val="005F3328"/>
    <w:rsid w:val="005F55FA"/>
    <w:rsid w:val="005F60EF"/>
    <w:rsid w:val="005F7D4F"/>
    <w:rsid w:val="00604A1A"/>
    <w:rsid w:val="00605737"/>
    <w:rsid w:val="00610E99"/>
    <w:rsid w:val="00611986"/>
    <w:rsid w:val="006155F4"/>
    <w:rsid w:val="0062329D"/>
    <w:rsid w:val="006248FE"/>
    <w:rsid w:val="0062700B"/>
    <w:rsid w:val="0063300F"/>
    <w:rsid w:val="00633DF9"/>
    <w:rsid w:val="00635B18"/>
    <w:rsid w:val="00640CD1"/>
    <w:rsid w:val="0064381D"/>
    <w:rsid w:val="0065355D"/>
    <w:rsid w:val="006778F7"/>
    <w:rsid w:val="00677B79"/>
    <w:rsid w:val="00681EC9"/>
    <w:rsid w:val="00684C56"/>
    <w:rsid w:val="006942F8"/>
    <w:rsid w:val="0069444D"/>
    <w:rsid w:val="006A0424"/>
    <w:rsid w:val="006A260A"/>
    <w:rsid w:val="006A33C7"/>
    <w:rsid w:val="006A720D"/>
    <w:rsid w:val="006A736D"/>
    <w:rsid w:val="006B22E8"/>
    <w:rsid w:val="006B507A"/>
    <w:rsid w:val="006C19C7"/>
    <w:rsid w:val="006C1DD0"/>
    <w:rsid w:val="006C201C"/>
    <w:rsid w:val="006C65B6"/>
    <w:rsid w:val="006D2C51"/>
    <w:rsid w:val="006D2E24"/>
    <w:rsid w:val="006D3754"/>
    <w:rsid w:val="006D4357"/>
    <w:rsid w:val="006D7153"/>
    <w:rsid w:val="006E0C5E"/>
    <w:rsid w:val="006E6A3C"/>
    <w:rsid w:val="006E6C16"/>
    <w:rsid w:val="006E7E05"/>
    <w:rsid w:val="006F0723"/>
    <w:rsid w:val="006F2FE4"/>
    <w:rsid w:val="006F530C"/>
    <w:rsid w:val="0070054D"/>
    <w:rsid w:val="00700EB8"/>
    <w:rsid w:val="007021A2"/>
    <w:rsid w:val="00705A9F"/>
    <w:rsid w:val="00707BD7"/>
    <w:rsid w:val="00711644"/>
    <w:rsid w:val="0071376E"/>
    <w:rsid w:val="00714E24"/>
    <w:rsid w:val="00715C2F"/>
    <w:rsid w:val="00715CF6"/>
    <w:rsid w:val="00721328"/>
    <w:rsid w:val="007214BF"/>
    <w:rsid w:val="00725404"/>
    <w:rsid w:val="00725833"/>
    <w:rsid w:val="00727DFA"/>
    <w:rsid w:val="00731CC0"/>
    <w:rsid w:val="00732A88"/>
    <w:rsid w:val="00733FC8"/>
    <w:rsid w:val="007407CC"/>
    <w:rsid w:val="00742F97"/>
    <w:rsid w:val="00743B54"/>
    <w:rsid w:val="0074619F"/>
    <w:rsid w:val="007469CE"/>
    <w:rsid w:val="00750139"/>
    <w:rsid w:val="007564D3"/>
    <w:rsid w:val="00757900"/>
    <w:rsid w:val="00762CB4"/>
    <w:rsid w:val="00770201"/>
    <w:rsid w:val="007722DD"/>
    <w:rsid w:val="00782C1C"/>
    <w:rsid w:val="00786D41"/>
    <w:rsid w:val="007923B3"/>
    <w:rsid w:val="00794F11"/>
    <w:rsid w:val="007953EE"/>
    <w:rsid w:val="00797AC3"/>
    <w:rsid w:val="007A0356"/>
    <w:rsid w:val="007A5BEF"/>
    <w:rsid w:val="007A6E42"/>
    <w:rsid w:val="007A6F56"/>
    <w:rsid w:val="007B3FFC"/>
    <w:rsid w:val="007C0745"/>
    <w:rsid w:val="007C258B"/>
    <w:rsid w:val="007C3797"/>
    <w:rsid w:val="007C4D58"/>
    <w:rsid w:val="007C518E"/>
    <w:rsid w:val="007C6468"/>
    <w:rsid w:val="007C6A68"/>
    <w:rsid w:val="007D10A1"/>
    <w:rsid w:val="007E0968"/>
    <w:rsid w:val="007E1D02"/>
    <w:rsid w:val="007E314C"/>
    <w:rsid w:val="007E31BF"/>
    <w:rsid w:val="007E3FA4"/>
    <w:rsid w:val="007E751A"/>
    <w:rsid w:val="007E7F57"/>
    <w:rsid w:val="007F4867"/>
    <w:rsid w:val="007F6003"/>
    <w:rsid w:val="007F6810"/>
    <w:rsid w:val="007F74D9"/>
    <w:rsid w:val="008028C3"/>
    <w:rsid w:val="00803F4C"/>
    <w:rsid w:val="008040FE"/>
    <w:rsid w:val="00806D35"/>
    <w:rsid w:val="008107BC"/>
    <w:rsid w:val="00811872"/>
    <w:rsid w:val="008139B0"/>
    <w:rsid w:val="00816838"/>
    <w:rsid w:val="00816D3B"/>
    <w:rsid w:val="00833C18"/>
    <w:rsid w:val="0083445B"/>
    <w:rsid w:val="0083540F"/>
    <w:rsid w:val="00837DB1"/>
    <w:rsid w:val="00837F4F"/>
    <w:rsid w:val="008461A8"/>
    <w:rsid w:val="00846B12"/>
    <w:rsid w:val="00847E4A"/>
    <w:rsid w:val="00850429"/>
    <w:rsid w:val="00852823"/>
    <w:rsid w:val="00854E40"/>
    <w:rsid w:val="008558E9"/>
    <w:rsid w:val="0085632D"/>
    <w:rsid w:val="00864EBB"/>
    <w:rsid w:val="00865807"/>
    <w:rsid w:val="00865CC3"/>
    <w:rsid w:val="008714BA"/>
    <w:rsid w:val="0087416D"/>
    <w:rsid w:val="00874D13"/>
    <w:rsid w:val="00880ADA"/>
    <w:rsid w:val="00880D0D"/>
    <w:rsid w:val="0088194E"/>
    <w:rsid w:val="00883D24"/>
    <w:rsid w:val="00886040"/>
    <w:rsid w:val="00886C0D"/>
    <w:rsid w:val="008908B3"/>
    <w:rsid w:val="00890C1B"/>
    <w:rsid w:val="008922C7"/>
    <w:rsid w:val="008924EB"/>
    <w:rsid w:val="008A0B99"/>
    <w:rsid w:val="008A17BF"/>
    <w:rsid w:val="008A2C80"/>
    <w:rsid w:val="008A5B56"/>
    <w:rsid w:val="008A5E76"/>
    <w:rsid w:val="008B0C71"/>
    <w:rsid w:val="008B368D"/>
    <w:rsid w:val="008C2811"/>
    <w:rsid w:val="008C6743"/>
    <w:rsid w:val="008D0DC7"/>
    <w:rsid w:val="008D19F7"/>
    <w:rsid w:val="008D4710"/>
    <w:rsid w:val="008D517E"/>
    <w:rsid w:val="008D6B16"/>
    <w:rsid w:val="008E33D0"/>
    <w:rsid w:val="008E4625"/>
    <w:rsid w:val="008E718F"/>
    <w:rsid w:val="008F00D0"/>
    <w:rsid w:val="008F36EF"/>
    <w:rsid w:val="008F44F8"/>
    <w:rsid w:val="008F5E1F"/>
    <w:rsid w:val="008F63E9"/>
    <w:rsid w:val="00902E6B"/>
    <w:rsid w:val="0090741A"/>
    <w:rsid w:val="00911170"/>
    <w:rsid w:val="009137D0"/>
    <w:rsid w:val="009160E2"/>
    <w:rsid w:val="00916250"/>
    <w:rsid w:val="00921906"/>
    <w:rsid w:val="00925020"/>
    <w:rsid w:val="00926ED4"/>
    <w:rsid w:val="00927186"/>
    <w:rsid w:val="0093182D"/>
    <w:rsid w:val="00932531"/>
    <w:rsid w:val="00932C9F"/>
    <w:rsid w:val="00932F10"/>
    <w:rsid w:val="009437E8"/>
    <w:rsid w:val="00943A2D"/>
    <w:rsid w:val="00943FBC"/>
    <w:rsid w:val="00951AD3"/>
    <w:rsid w:val="009550BD"/>
    <w:rsid w:val="00960164"/>
    <w:rsid w:val="009611ED"/>
    <w:rsid w:val="00964A4B"/>
    <w:rsid w:val="0096611E"/>
    <w:rsid w:val="00966F9C"/>
    <w:rsid w:val="009673AF"/>
    <w:rsid w:val="009772B9"/>
    <w:rsid w:val="00984E18"/>
    <w:rsid w:val="00985E72"/>
    <w:rsid w:val="00987695"/>
    <w:rsid w:val="00991516"/>
    <w:rsid w:val="00991D12"/>
    <w:rsid w:val="0099786D"/>
    <w:rsid w:val="009A6631"/>
    <w:rsid w:val="009B38A1"/>
    <w:rsid w:val="009B3D46"/>
    <w:rsid w:val="009B5427"/>
    <w:rsid w:val="009C67B7"/>
    <w:rsid w:val="009C6F7D"/>
    <w:rsid w:val="009D2A2D"/>
    <w:rsid w:val="009D411E"/>
    <w:rsid w:val="009D4E21"/>
    <w:rsid w:val="009E4761"/>
    <w:rsid w:val="009F03D0"/>
    <w:rsid w:val="009F34D1"/>
    <w:rsid w:val="009F67E6"/>
    <w:rsid w:val="009F7302"/>
    <w:rsid w:val="00A0457A"/>
    <w:rsid w:val="00A05D8D"/>
    <w:rsid w:val="00A11CF1"/>
    <w:rsid w:val="00A17ECE"/>
    <w:rsid w:val="00A20D53"/>
    <w:rsid w:val="00A2111B"/>
    <w:rsid w:val="00A25FAB"/>
    <w:rsid w:val="00A31649"/>
    <w:rsid w:val="00A34A4A"/>
    <w:rsid w:val="00A3622A"/>
    <w:rsid w:val="00A36417"/>
    <w:rsid w:val="00A40F11"/>
    <w:rsid w:val="00A43898"/>
    <w:rsid w:val="00A448BD"/>
    <w:rsid w:val="00A450CE"/>
    <w:rsid w:val="00A46C5D"/>
    <w:rsid w:val="00A5612B"/>
    <w:rsid w:val="00A6082D"/>
    <w:rsid w:val="00A63294"/>
    <w:rsid w:val="00A659D4"/>
    <w:rsid w:val="00A71EF2"/>
    <w:rsid w:val="00A72D1C"/>
    <w:rsid w:val="00A74EE0"/>
    <w:rsid w:val="00A76643"/>
    <w:rsid w:val="00A7749C"/>
    <w:rsid w:val="00A7786F"/>
    <w:rsid w:val="00A820BE"/>
    <w:rsid w:val="00A861CA"/>
    <w:rsid w:val="00A87C81"/>
    <w:rsid w:val="00A95B2F"/>
    <w:rsid w:val="00A96A59"/>
    <w:rsid w:val="00AA01F8"/>
    <w:rsid w:val="00AA351B"/>
    <w:rsid w:val="00AA7451"/>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3D15"/>
    <w:rsid w:val="00B148F2"/>
    <w:rsid w:val="00B14C6E"/>
    <w:rsid w:val="00B16EE8"/>
    <w:rsid w:val="00B20140"/>
    <w:rsid w:val="00B218FE"/>
    <w:rsid w:val="00B21C59"/>
    <w:rsid w:val="00B3448D"/>
    <w:rsid w:val="00B34883"/>
    <w:rsid w:val="00B41A9A"/>
    <w:rsid w:val="00B43AE8"/>
    <w:rsid w:val="00B44107"/>
    <w:rsid w:val="00B44693"/>
    <w:rsid w:val="00B54259"/>
    <w:rsid w:val="00B54CE6"/>
    <w:rsid w:val="00B54F0B"/>
    <w:rsid w:val="00B5520B"/>
    <w:rsid w:val="00B553EA"/>
    <w:rsid w:val="00B64CDD"/>
    <w:rsid w:val="00B67CEE"/>
    <w:rsid w:val="00B72957"/>
    <w:rsid w:val="00B73956"/>
    <w:rsid w:val="00B75E79"/>
    <w:rsid w:val="00B8143C"/>
    <w:rsid w:val="00B87690"/>
    <w:rsid w:val="00B87F6F"/>
    <w:rsid w:val="00B9040F"/>
    <w:rsid w:val="00B92C68"/>
    <w:rsid w:val="00B95683"/>
    <w:rsid w:val="00B979FB"/>
    <w:rsid w:val="00BA164A"/>
    <w:rsid w:val="00BA5889"/>
    <w:rsid w:val="00BB21E0"/>
    <w:rsid w:val="00BB526C"/>
    <w:rsid w:val="00BC18B3"/>
    <w:rsid w:val="00BC1A2B"/>
    <w:rsid w:val="00BC1BB2"/>
    <w:rsid w:val="00BC62AF"/>
    <w:rsid w:val="00BD568F"/>
    <w:rsid w:val="00BD5ED0"/>
    <w:rsid w:val="00BE5655"/>
    <w:rsid w:val="00BE62B0"/>
    <w:rsid w:val="00BF2792"/>
    <w:rsid w:val="00BF4097"/>
    <w:rsid w:val="00BF4AA9"/>
    <w:rsid w:val="00C11DC8"/>
    <w:rsid w:val="00C139AD"/>
    <w:rsid w:val="00C1766C"/>
    <w:rsid w:val="00C23C77"/>
    <w:rsid w:val="00C26BEC"/>
    <w:rsid w:val="00C33174"/>
    <w:rsid w:val="00C36E31"/>
    <w:rsid w:val="00C4146E"/>
    <w:rsid w:val="00C446A4"/>
    <w:rsid w:val="00C45995"/>
    <w:rsid w:val="00C54610"/>
    <w:rsid w:val="00C56FFE"/>
    <w:rsid w:val="00C607E8"/>
    <w:rsid w:val="00C60F7D"/>
    <w:rsid w:val="00C77966"/>
    <w:rsid w:val="00C834D1"/>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E582A"/>
    <w:rsid w:val="00CF0841"/>
    <w:rsid w:val="00D01641"/>
    <w:rsid w:val="00D16C75"/>
    <w:rsid w:val="00D22FB3"/>
    <w:rsid w:val="00D2717E"/>
    <w:rsid w:val="00D320E7"/>
    <w:rsid w:val="00D3269F"/>
    <w:rsid w:val="00D36416"/>
    <w:rsid w:val="00D418BC"/>
    <w:rsid w:val="00D45A27"/>
    <w:rsid w:val="00D46866"/>
    <w:rsid w:val="00D46E62"/>
    <w:rsid w:val="00D52541"/>
    <w:rsid w:val="00D54BA0"/>
    <w:rsid w:val="00D602D3"/>
    <w:rsid w:val="00D608D9"/>
    <w:rsid w:val="00D634C8"/>
    <w:rsid w:val="00D64B79"/>
    <w:rsid w:val="00D66E24"/>
    <w:rsid w:val="00D76D4E"/>
    <w:rsid w:val="00D779C8"/>
    <w:rsid w:val="00D806A3"/>
    <w:rsid w:val="00D814B6"/>
    <w:rsid w:val="00D829C5"/>
    <w:rsid w:val="00D8399F"/>
    <w:rsid w:val="00D84FE2"/>
    <w:rsid w:val="00D8664D"/>
    <w:rsid w:val="00D92409"/>
    <w:rsid w:val="00D95914"/>
    <w:rsid w:val="00DA1560"/>
    <w:rsid w:val="00DA3184"/>
    <w:rsid w:val="00DA5DC8"/>
    <w:rsid w:val="00DA5E27"/>
    <w:rsid w:val="00DA65EE"/>
    <w:rsid w:val="00DA7E5B"/>
    <w:rsid w:val="00DB0309"/>
    <w:rsid w:val="00DB6E4E"/>
    <w:rsid w:val="00DC1FD9"/>
    <w:rsid w:val="00DC5744"/>
    <w:rsid w:val="00DC619A"/>
    <w:rsid w:val="00DC6BB1"/>
    <w:rsid w:val="00DC7FC2"/>
    <w:rsid w:val="00DD038C"/>
    <w:rsid w:val="00DD2DB5"/>
    <w:rsid w:val="00DD2E0C"/>
    <w:rsid w:val="00DD3DB6"/>
    <w:rsid w:val="00DD4ED1"/>
    <w:rsid w:val="00DD686B"/>
    <w:rsid w:val="00DE3373"/>
    <w:rsid w:val="00DE654E"/>
    <w:rsid w:val="00DE72B9"/>
    <w:rsid w:val="00DF11FD"/>
    <w:rsid w:val="00DF4ECA"/>
    <w:rsid w:val="00DF5183"/>
    <w:rsid w:val="00DF6451"/>
    <w:rsid w:val="00DF6697"/>
    <w:rsid w:val="00DF7AB5"/>
    <w:rsid w:val="00DF7F0A"/>
    <w:rsid w:val="00E010E9"/>
    <w:rsid w:val="00E05704"/>
    <w:rsid w:val="00E11376"/>
    <w:rsid w:val="00E21013"/>
    <w:rsid w:val="00E21941"/>
    <w:rsid w:val="00E26BF8"/>
    <w:rsid w:val="00E30D18"/>
    <w:rsid w:val="00E444B2"/>
    <w:rsid w:val="00E452B5"/>
    <w:rsid w:val="00E50267"/>
    <w:rsid w:val="00E55C56"/>
    <w:rsid w:val="00E570B0"/>
    <w:rsid w:val="00E604F7"/>
    <w:rsid w:val="00E65011"/>
    <w:rsid w:val="00E65448"/>
    <w:rsid w:val="00E678F0"/>
    <w:rsid w:val="00E71C8B"/>
    <w:rsid w:val="00E75193"/>
    <w:rsid w:val="00E762DB"/>
    <w:rsid w:val="00E76DF9"/>
    <w:rsid w:val="00E76EA8"/>
    <w:rsid w:val="00E82677"/>
    <w:rsid w:val="00E82772"/>
    <w:rsid w:val="00E82B18"/>
    <w:rsid w:val="00E85FE3"/>
    <w:rsid w:val="00E87D58"/>
    <w:rsid w:val="00E91BC8"/>
    <w:rsid w:val="00EA6B31"/>
    <w:rsid w:val="00EC0694"/>
    <w:rsid w:val="00EC17BB"/>
    <w:rsid w:val="00EC1E4F"/>
    <w:rsid w:val="00EC5723"/>
    <w:rsid w:val="00EC5DF0"/>
    <w:rsid w:val="00ED43D8"/>
    <w:rsid w:val="00EE1FB9"/>
    <w:rsid w:val="00EE2A12"/>
    <w:rsid w:val="00EE3F96"/>
    <w:rsid w:val="00EE4BA0"/>
    <w:rsid w:val="00EE5B35"/>
    <w:rsid w:val="00EE7FAE"/>
    <w:rsid w:val="00EF409F"/>
    <w:rsid w:val="00EF491C"/>
    <w:rsid w:val="00EF6DB2"/>
    <w:rsid w:val="00EF6E3A"/>
    <w:rsid w:val="00F06DF3"/>
    <w:rsid w:val="00F10281"/>
    <w:rsid w:val="00F12122"/>
    <w:rsid w:val="00F13805"/>
    <w:rsid w:val="00F15584"/>
    <w:rsid w:val="00F163D7"/>
    <w:rsid w:val="00F236A2"/>
    <w:rsid w:val="00F25AA0"/>
    <w:rsid w:val="00F27EC3"/>
    <w:rsid w:val="00F301A1"/>
    <w:rsid w:val="00F35D52"/>
    <w:rsid w:val="00F363B7"/>
    <w:rsid w:val="00F37CA6"/>
    <w:rsid w:val="00F44CA0"/>
    <w:rsid w:val="00F46A70"/>
    <w:rsid w:val="00F51913"/>
    <w:rsid w:val="00F549F0"/>
    <w:rsid w:val="00F55724"/>
    <w:rsid w:val="00F608BD"/>
    <w:rsid w:val="00F62A26"/>
    <w:rsid w:val="00F67143"/>
    <w:rsid w:val="00F74ABD"/>
    <w:rsid w:val="00F75EF8"/>
    <w:rsid w:val="00F81417"/>
    <w:rsid w:val="00F83FF1"/>
    <w:rsid w:val="00F854B9"/>
    <w:rsid w:val="00F92C23"/>
    <w:rsid w:val="00F938F5"/>
    <w:rsid w:val="00F94850"/>
    <w:rsid w:val="00F97E28"/>
    <w:rsid w:val="00FA15FA"/>
    <w:rsid w:val="00FA27D8"/>
    <w:rsid w:val="00FA6653"/>
    <w:rsid w:val="00FB0EB5"/>
    <w:rsid w:val="00FB1DFB"/>
    <w:rsid w:val="00FB50A2"/>
    <w:rsid w:val="00FB5E05"/>
    <w:rsid w:val="00FB74E0"/>
    <w:rsid w:val="00FC7D84"/>
    <w:rsid w:val="00FD22B3"/>
    <w:rsid w:val="00FD24E2"/>
    <w:rsid w:val="00FD50D4"/>
    <w:rsid w:val="00FD6E74"/>
    <w:rsid w:val="00FE0424"/>
    <w:rsid w:val="00FE3D58"/>
    <w:rsid w:val="00FE793A"/>
    <w:rsid w:val="00FF2CE6"/>
    <w:rsid w:val="00FF40A5"/>
    <w:rsid w:val="00FF64ED"/>
    <w:rsid w:val="035D4211"/>
    <w:rsid w:val="037D5EE3"/>
    <w:rsid w:val="044D0A53"/>
    <w:rsid w:val="04CF6E29"/>
    <w:rsid w:val="0559654F"/>
    <w:rsid w:val="055D2DDD"/>
    <w:rsid w:val="059366CF"/>
    <w:rsid w:val="05D00163"/>
    <w:rsid w:val="07500077"/>
    <w:rsid w:val="077C34B8"/>
    <w:rsid w:val="07A209C4"/>
    <w:rsid w:val="080D26DA"/>
    <w:rsid w:val="08190339"/>
    <w:rsid w:val="08284245"/>
    <w:rsid w:val="086F1260"/>
    <w:rsid w:val="0880226D"/>
    <w:rsid w:val="089F2BDE"/>
    <w:rsid w:val="08BB2505"/>
    <w:rsid w:val="099A07E1"/>
    <w:rsid w:val="0A535ED7"/>
    <w:rsid w:val="0A9B4FED"/>
    <w:rsid w:val="0AE25324"/>
    <w:rsid w:val="0B0C0A79"/>
    <w:rsid w:val="0B451F6A"/>
    <w:rsid w:val="0C6F4C8D"/>
    <w:rsid w:val="0D0E0EB6"/>
    <w:rsid w:val="0DE142CB"/>
    <w:rsid w:val="0FDC1CDC"/>
    <w:rsid w:val="10223C48"/>
    <w:rsid w:val="12475EA9"/>
    <w:rsid w:val="133360BD"/>
    <w:rsid w:val="1464431F"/>
    <w:rsid w:val="146E4633"/>
    <w:rsid w:val="150412EA"/>
    <w:rsid w:val="171438BA"/>
    <w:rsid w:val="17230955"/>
    <w:rsid w:val="17B335DF"/>
    <w:rsid w:val="182770BA"/>
    <w:rsid w:val="18863017"/>
    <w:rsid w:val="18A37B3C"/>
    <w:rsid w:val="18AC6D73"/>
    <w:rsid w:val="1A063192"/>
    <w:rsid w:val="1B4716B4"/>
    <w:rsid w:val="1C08419D"/>
    <w:rsid w:val="1C2C554A"/>
    <w:rsid w:val="1D4D5FFD"/>
    <w:rsid w:val="1F7A0970"/>
    <w:rsid w:val="1FC46A35"/>
    <w:rsid w:val="209E2C67"/>
    <w:rsid w:val="216F32CA"/>
    <w:rsid w:val="22124112"/>
    <w:rsid w:val="23F57352"/>
    <w:rsid w:val="23FB094D"/>
    <w:rsid w:val="241F43D6"/>
    <w:rsid w:val="249A7996"/>
    <w:rsid w:val="267E2359"/>
    <w:rsid w:val="26BC7CBC"/>
    <w:rsid w:val="27447ED5"/>
    <w:rsid w:val="275F3A77"/>
    <w:rsid w:val="281F2669"/>
    <w:rsid w:val="284F0253"/>
    <w:rsid w:val="28644870"/>
    <w:rsid w:val="2AE949DF"/>
    <w:rsid w:val="2B3B474B"/>
    <w:rsid w:val="2B8D044E"/>
    <w:rsid w:val="2C016BB8"/>
    <w:rsid w:val="2D77461B"/>
    <w:rsid w:val="2E400C5F"/>
    <w:rsid w:val="2E5209E3"/>
    <w:rsid w:val="2EB01AFE"/>
    <w:rsid w:val="30592C7B"/>
    <w:rsid w:val="30D1119A"/>
    <w:rsid w:val="30F12F4C"/>
    <w:rsid w:val="3112402E"/>
    <w:rsid w:val="313D3E38"/>
    <w:rsid w:val="32611BF0"/>
    <w:rsid w:val="32894C60"/>
    <w:rsid w:val="329614A6"/>
    <w:rsid w:val="33A83294"/>
    <w:rsid w:val="33E30779"/>
    <w:rsid w:val="34011E26"/>
    <w:rsid w:val="341B4D23"/>
    <w:rsid w:val="360D04CC"/>
    <w:rsid w:val="36A81FB2"/>
    <w:rsid w:val="3722158D"/>
    <w:rsid w:val="375E09FC"/>
    <w:rsid w:val="38525FA9"/>
    <w:rsid w:val="39003F1D"/>
    <w:rsid w:val="39276876"/>
    <w:rsid w:val="392B2930"/>
    <w:rsid w:val="3AC853CC"/>
    <w:rsid w:val="3C582CD8"/>
    <w:rsid w:val="3E094E14"/>
    <w:rsid w:val="3E2546CD"/>
    <w:rsid w:val="40531C58"/>
    <w:rsid w:val="41192D98"/>
    <w:rsid w:val="413E5CD9"/>
    <w:rsid w:val="41791B67"/>
    <w:rsid w:val="43425F9D"/>
    <w:rsid w:val="43F465D0"/>
    <w:rsid w:val="442A053D"/>
    <w:rsid w:val="44440739"/>
    <w:rsid w:val="446F65B8"/>
    <w:rsid w:val="44F057A6"/>
    <w:rsid w:val="45A95346"/>
    <w:rsid w:val="46416F41"/>
    <w:rsid w:val="46C4203A"/>
    <w:rsid w:val="470E29AE"/>
    <w:rsid w:val="49CB0CCD"/>
    <w:rsid w:val="4AA610D6"/>
    <w:rsid w:val="4B0C055A"/>
    <w:rsid w:val="4C8B4A7C"/>
    <w:rsid w:val="4CFC368B"/>
    <w:rsid w:val="4E3E7C12"/>
    <w:rsid w:val="4E7D412D"/>
    <w:rsid w:val="4E970FFF"/>
    <w:rsid w:val="4F086AAF"/>
    <w:rsid w:val="5069668A"/>
    <w:rsid w:val="50A83CB2"/>
    <w:rsid w:val="512B42F2"/>
    <w:rsid w:val="538E5DEC"/>
    <w:rsid w:val="56D076DF"/>
    <w:rsid w:val="56E34736"/>
    <w:rsid w:val="56FB15A3"/>
    <w:rsid w:val="572C3C94"/>
    <w:rsid w:val="57806BBC"/>
    <w:rsid w:val="587679B8"/>
    <w:rsid w:val="58963DA7"/>
    <w:rsid w:val="58AC04D1"/>
    <w:rsid w:val="590673DE"/>
    <w:rsid w:val="592C3305"/>
    <w:rsid w:val="5A2C7551"/>
    <w:rsid w:val="5A400720"/>
    <w:rsid w:val="5B5F6D2C"/>
    <w:rsid w:val="5C1D4BA6"/>
    <w:rsid w:val="5CDF744C"/>
    <w:rsid w:val="5CF4139A"/>
    <w:rsid w:val="5D311E27"/>
    <w:rsid w:val="5D693C9C"/>
    <w:rsid w:val="5DE973D6"/>
    <w:rsid w:val="5E8D2D21"/>
    <w:rsid w:val="5EBD1212"/>
    <w:rsid w:val="5F7A4DCC"/>
    <w:rsid w:val="60BB1833"/>
    <w:rsid w:val="623F329A"/>
    <w:rsid w:val="62695E27"/>
    <w:rsid w:val="628242DE"/>
    <w:rsid w:val="636127C3"/>
    <w:rsid w:val="6541100E"/>
    <w:rsid w:val="654C0BA8"/>
    <w:rsid w:val="664352EB"/>
    <w:rsid w:val="672079BD"/>
    <w:rsid w:val="683E7EE4"/>
    <w:rsid w:val="696610E4"/>
    <w:rsid w:val="69D4515E"/>
    <w:rsid w:val="6A83721D"/>
    <w:rsid w:val="6AE21101"/>
    <w:rsid w:val="6B4F3B9E"/>
    <w:rsid w:val="6BD63153"/>
    <w:rsid w:val="6C5B55DC"/>
    <w:rsid w:val="6CAE03DD"/>
    <w:rsid w:val="6CE56E6B"/>
    <w:rsid w:val="6D032DAA"/>
    <w:rsid w:val="6E005A26"/>
    <w:rsid w:val="6E6329C5"/>
    <w:rsid w:val="6E8B020D"/>
    <w:rsid w:val="6EFF345A"/>
    <w:rsid w:val="6F0E41D6"/>
    <w:rsid w:val="6FB4540B"/>
    <w:rsid w:val="70C73255"/>
    <w:rsid w:val="71610FBE"/>
    <w:rsid w:val="725008FF"/>
    <w:rsid w:val="72760778"/>
    <w:rsid w:val="743104E3"/>
    <w:rsid w:val="74320C3C"/>
    <w:rsid w:val="74513162"/>
    <w:rsid w:val="75431AF8"/>
    <w:rsid w:val="75703482"/>
    <w:rsid w:val="757B75BC"/>
    <w:rsid w:val="76A665D3"/>
    <w:rsid w:val="76B64EC4"/>
    <w:rsid w:val="78BD1F9D"/>
    <w:rsid w:val="78CB45C8"/>
    <w:rsid w:val="79201CE1"/>
    <w:rsid w:val="79B14724"/>
    <w:rsid w:val="7B3E0A41"/>
    <w:rsid w:val="7B794C12"/>
    <w:rsid w:val="7C323980"/>
    <w:rsid w:val="7F187E30"/>
    <w:rsid w:val="7FAE499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0"/>
    <w:pPr>
      <w:jc w:val="left"/>
    </w:pPr>
  </w:style>
  <w:style w:type="paragraph" w:styleId="9">
    <w:name w:val="Body Text"/>
    <w:basedOn w:val="1"/>
    <w:link w:val="30"/>
    <w:qFormat/>
    <w:uiPriority w:val="99"/>
    <w:pPr>
      <w:spacing w:after="120"/>
    </w:pPr>
  </w:style>
  <w:style w:type="paragraph" w:styleId="10">
    <w:name w:val="Plain Text"/>
    <w:basedOn w:val="1"/>
    <w:link w:val="46"/>
    <w:qFormat/>
    <w:uiPriority w:val="0"/>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autoRedefine/>
    <w:qFormat/>
    <w:uiPriority w:val="99"/>
    <w:rPr>
      <w:sz w:val="18"/>
      <w:szCs w:val="18"/>
    </w:rPr>
  </w:style>
  <w:style w:type="paragraph" w:styleId="12">
    <w:name w:val="footer"/>
    <w:basedOn w:val="1"/>
    <w:link w:val="32"/>
    <w:autoRedefine/>
    <w:qFormat/>
    <w:uiPriority w:val="99"/>
    <w:pPr>
      <w:tabs>
        <w:tab w:val="center" w:pos="4153"/>
        <w:tab w:val="right" w:pos="8306"/>
      </w:tabs>
      <w:snapToGrid w:val="0"/>
      <w:jc w:val="left"/>
    </w:pPr>
    <w:rPr>
      <w:sz w:val="18"/>
      <w:szCs w:val="18"/>
    </w:rPr>
  </w:style>
  <w:style w:type="paragraph" w:styleId="13">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autoRedefine/>
    <w:qFormat/>
    <w:uiPriority w:val="99"/>
    <w:pPr>
      <w:widowControl/>
      <w:ind w:firstLine="420" w:firstLineChars="100"/>
    </w:pPr>
    <w:rPr>
      <w:rFonts w:ascii="Calibri" w:hAnsi="Calibri" w:cs="宋体"/>
      <w:szCs w:val="22"/>
    </w:rPr>
  </w:style>
  <w:style w:type="table" w:styleId="19">
    <w:name w:val="Table Grid"/>
    <w:basedOn w:val="18"/>
    <w:autoRedefine/>
    <w:qFormat/>
    <w:uiPriority w:val="59"/>
    <w:pPr>
      <w:widowControl w:val="0"/>
      <w:jc w:val="both"/>
    </w:pPr>
    <w:rPr>
      <w:rFonts w:ascii="Times New Roman" w:hAnsi="Times New Roman"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Hyperlink"/>
    <w:autoRedefine/>
    <w:qFormat/>
    <w:uiPriority w:val="99"/>
    <w:rPr>
      <w:rFonts w:cs="Times New Roman"/>
      <w:color w:val="0000FF"/>
      <w:u w:val="single"/>
    </w:rPr>
  </w:style>
  <w:style w:type="character" w:styleId="23">
    <w:name w:val="annotation reference"/>
    <w:autoRedefine/>
    <w:qFormat/>
    <w:uiPriority w:val="99"/>
    <w:rPr>
      <w:rFonts w:cs="Times New Roman"/>
      <w:sz w:val="21"/>
      <w:szCs w:val="21"/>
    </w:rPr>
  </w:style>
  <w:style w:type="character" w:customStyle="1" w:styleId="24">
    <w:name w:val="标题 1 字符"/>
    <w:link w:val="2"/>
    <w:autoRedefine/>
    <w:qFormat/>
    <w:locked/>
    <w:uiPriority w:val="99"/>
    <w:rPr>
      <w:rFonts w:ascii="Times New Roman" w:hAnsi="Times New Roman" w:eastAsia="宋体" w:cs="Times New Roman"/>
      <w:b/>
      <w:bCs/>
      <w:kern w:val="44"/>
      <w:sz w:val="44"/>
      <w:szCs w:val="44"/>
    </w:rPr>
  </w:style>
  <w:style w:type="character" w:customStyle="1" w:styleId="25">
    <w:name w:val="标题 2 字符"/>
    <w:link w:val="3"/>
    <w:qFormat/>
    <w:locked/>
    <w:uiPriority w:val="99"/>
    <w:rPr>
      <w:rFonts w:ascii="Cambria" w:hAnsi="Cambria" w:eastAsia="宋体" w:cs="Times New Roman"/>
      <w:b/>
      <w:bCs/>
      <w:kern w:val="2"/>
      <w:sz w:val="32"/>
      <w:szCs w:val="32"/>
    </w:rPr>
  </w:style>
  <w:style w:type="character" w:customStyle="1" w:styleId="26">
    <w:name w:val="标题 3 字符"/>
    <w:link w:val="4"/>
    <w:autoRedefine/>
    <w:qFormat/>
    <w:locked/>
    <w:uiPriority w:val="99"/>
    <w:rPr>
      <w:rFonts w:eastAsia="宋体" w:cs="Times New Roman"/>
      <w:b/>
      <w:sz w:val="32"/>
    </w:rPr>
  </w:style>
  <w:style w:type="character" w:customStyle="1" w:styleId="27">
    <w:name w:val="标题 4 字符1"/>
    <w:link w:val="5"/>
    <w:autoRedefine/>
    <w:qFormat/>
    <w:locked/>
    <w:uiPriority w:val="99"/>
    <w:rPr>
      <w:rFonts w:ascii="Arial" w:hAnsi="Arial" w:eastAsia="黑体" w:cs="Times New Roman"/>
      <w:b/>
      <w:bCs/>
      <w:kern w:val="2"/>
      <w:sz w:val="28"/>
      <w:szCs w:val="28"/>
    </w:rPr>
  </w:style>
  <w:style w:type="character" w:customStyle="1" w:styleId="28">
    <w:name w:val="文档结构图 字符"/>
    <w:link w:val="7"/>
    <w:autoRedefine/>
    <w:qFormat/>
    <w:locked/>
    <w:uiPriority w:val="99"/>
    <w:rPr>
      <w:rFonts w:ascii="宋体" w:hAnsi="Times New Roman" w:eastAsia="宋体" w:cs="Times New Roman"/>
      <w:kern w:val="2"/>
      <w:sz w:val="18"/>
      <w:szCs w:val="18"/>
    </w:rPr>
  </w:style>
  <w:style w:type="character" w:customStyle="1" w:styleId="29">
    <w:name w:val="批注文字 字符"/>
    <w:link w:val="8"/>
    <w:autoRedefine/>
    <w:qFormat/>
    <w:locked/>
    <w:uiPriority w:val="0"/>
    <w:rPr>
      <w:rFonts w:ascii="Times New Roman" w:hAnsi="Times New Roman" w:cs="Times New Roman"/>
      <w:kern w:val="2"/>
      <w:sz w:val="21"/>
    </w:rPr>
  </w:style>
  <w:style w:type="character" w:customStyle="1" w:styleId="30">
    <w:name w:val="正文文本 字符"/>
    <w:link w:val="9"/>
    <w:autoRedefine/>
    <w:qFormat/>
    <w:locked/>
    <w:uiPriority w:val="99"/>
    <w:rPr>
      <w:rFonts w:ascii="Times New Roman" w:hAnsi="Times New Roman" w:eastAsia="宋体" w:cs="Times New Roman"/>
      <w:sz w:val="20"/>
      <w:szCs w:val="20"/>
    </w:rPr>
  </w:style>
  <w:style w:type="character" w:customStyle="1" w:styleId="31">
    <w:name w:val="批注框文本 字符"/>
    <w:link w:val="11"/>
    <w:autoRedefine/>
    <w:qFormat/>
    <w:locked/>
    <w:uiPriority w:val="99"/>
    <w:rPr>
      <w:rFonts w:ascii="Times New Roman" w:hAnsi="Times New Roman" w:eastAsia="宋体" w:cs="Times New Roman"/>
      <w:kern w:val="2"/>
      <w:sz w:val="18"/>
      <w:szCs w:val="18"/>
    </w:rPr>
  </w:style>
  <w:style w:type="character" w:customStyle="1" w:styleId="32">
    <w:name w:val="页脚 字符"/>
    <w:link w:val="12"/>
    <w:autoRedefine/>
    <w:qFormat/>
    <w:locked/>
    <w:uiPriority w:val="99"/>
    <w:rPr>
      <w:rFonts w:ascii="Times New Roman" w:hAnsi="Times New Roman" w:eastAsia="宋体" w:cs="Times New Roman"/>
      <w:sz w:val="18"/>
      <w:szCs w:val="18"/>
    </w:rPr>
  </w:style>
  <w:style w:type="character" w:customStyle="1" w:styleId="33">
    <w:name w:val="页眉 字符"/>
    <w:link w:val="13"/>
    <w:autoRedefine/>
    <w:qFormat/>
    <w:locked/>
    <w:uiPriority w:val="99"/>
    <w:rPr>
      <w:rFonts w:ascii="Times New Roman" w:hAnsi="Times New Roman" w:eastAsia="宋体" w:cs="Times New Roman"/>
      <w:sz w:val="18"/>
      <w:szCs w:val="18"/>
    </w:rPr>
  </w:style>
  <w:style w:type="character" w:customStyle="1" w:styleId="34">
    <w:name w:val="正文首行缩进 字符"/>
    <w:link w:val="17"/>
    <w:autoRedefine/>
    <w:qFormat/>
    <w:locked/>
    <w:uiPriority w:val="99"/>
    <w:rPr>
      <w:rFonts w:ascii="Times New Roman" w:hAnsi="Times New Roman" w:eastAsia="宋体" w:cs="Times New Roman"/>
      <w:sz w:val="20"/>
      <w:szCs w:val="20"/>
    </w:rPr>
  </w:style>
  <w:style w:type="character" w:customStyle="1" w:styleId="35">
    <w:name w:val="正文缩进2格 Char"/>
    <w:link w:val="36"/>
    <w:autoRedefine/>
    <w:qFormat/>
    <w:locked/>
    <w:uiPriority w:val="99"/>
    <w:rPr>
      <w:rFonts w:ascii="仿宋_GB2312" w:hAnsi="宋体" w:eastAsia="仿宋_GB2312"/>
      <w:sz w:val="31"/>
    </w:rPr>
  </w:style>
  <w:style w:type="paragraph" w:customStyle="1" w:styleId="36">
    <w:name w:val="正文缩进2格"/>
    <w:basedOn w:val="1"/>
    <w:link w:val="35"/>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autoRedefine/>
    <w:qFormat/>
    <w:uiPriority w:val="99"/>
    <w:pPr>
      <w:ind w:firstLine="420" w:firstLineChars="200"/>
    </w:pPr>
  </w:style>
  <w:style w:type="character" w:customStyle="1" w:styleId="40">
    <w:name w:val="fontstyle01"/>
    <w:autoRedefine/>
    <w:qFormat/>
    <w:uiPriority w:val="99"/>
    <w:rPr>
      <w:rFonts w:ascii="仿宋" w:hAnsi="仿宋" w:eastAsia="仿宋" w:cs="Times New Roman"/>
      <w:color w:val="000000"/>
      <w:sz w:val="28"/>
      <w:szCs w:val="28"/>
    </w:rPr>
  </w:style>
  <w:style w:type="character" w:customStyle="1" w:styleId="41">
    <w:name w:val="！正文 Char"/>
    <w:link w:val="42"/>
    <w:autoRedefine/>
    <w:qFormat/>
    <w:locked/>
    <w:uiPriority w:val="99"/>
    <w:rPr>
      <w:rFonts w:ascii="Arial" w:hAnsi="Arial"/>
      <w:sz w:val="24"/>
    </w:rPr>
  </w:style>
  <w:style w:type="paragraph" w:customStyle="1" w:styleId="42">
    <w:name w:val="！正文"/>
    <w:basedOn w:val="1"/>
    <w:link w:val="41"/>
    <w:autoRedefine/>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6"/>
    <w:autoRedefine/>
    <w:qFormat/>
    <w:locked/>
    <w:uiPriority w:val="99"/>
    <w:rPr>
      <w:sz w:val="24"/>
    </w:rPr>
  </w:style>
  <w:style w:type="paragraph" w:customStyle="1" w:styleId="45">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link w:val="10"/>
    <w:autoRedefine/>
    <w:qFormat/>
    <w:locked/>
    <w:uiPriority w:val="0"/>
    <w:rPr>
      <w:rFonts w:ascii="宋体" w:hAnsi="Courier New" w:eastAsia="宋体" w:cs="Times New Roman"/>
      <w:kern w:val="2"/>
      <w:sz w:val="21"/>
      <w:szCs w:val="21"/>
    </w:rPr>
  </w:style>
  <w:style w:type="character" w:customStyle="1" w:styleId="47">
    <w:name w:val="未处理的提及1"/>
    <w:autoRedefine/>
    <w:semiHidden/>
    <w:qFormat/>
    <w:uiPriority w:val="99"/>
    <w:rPr>
      <w:rFonts w:cs="Times New Roman"/>
      <w:color w:val="605E5C"/>
      <w:shd w:val="clear" w:color="auto" w:fill="E1DFDD"/>
    </w:rPr>
  </w:style>
  <w:style w:type="paragraph" w:customStyle="1" w:styleId="48">
    <w:name w:val="样式"/>
    <w:basedOn w:val="1"/>
    <w:next w:val="39"/>
    <w:autoRedefine/>
    <w:qFormat/>
    <w:uiPriority w:val="99"/>
    <w:pPr>
      <w:ind w:firstLine="420" w:firstLineChars="200"/>
    </w:pPr>
    <w:rPr>
      <w:rFonts w:ascii="Calibri" w:hAnsi="Calibri"/>
      <w:szCs w:val="22"/>
    </w:rPr>
  </w:style>
  <w:style w:type="character" w:customStyle="1" w:styleId="49">
    <w:name w:val="Body Text Indent 2 Char Char"/>
    <w:link w:val="50"/>
    <w:autoRedefine/>
    <w:qFormat/>
    <w:locked/>
    <w:uiPriority w:val="99"/>
  </w:style>
  <w:style w:type="paragraph" w:customStyle="1" w:styleId="50">
    <w:name w:val="正文文本缩进 21"/>
    <w:basedOn w:val="1"/>
    <w:link w:val="49"/>
    <w:autoRedefine/>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link w:val="16"/>
    <w:autoRedefine/>
    <w:semiHidden/>
    <w:qFormat/>
    <w:locked/>
    <w:uiPriority w:val="99"/>
    <w:rPr>
      <w:rFonts w:ascii="Times New Roman" w:hAnsi="Times New Roman" w:eastAsia="宋体" w:cs="Times New Roman"/>
      <w:b/>
      <w:bCs/>
      <w:kern w:val="2"/>
      <w:sz w:val="21"/>
    </w:rPr>
  </w:style>
  <w:style w:type="character" w:customStyle="1" w:styleId="52">
    <w:name w:val="标题 4 字符"/>
    <w:autoRedefine/>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link w:val="54"/>
    <w:autoRedefine/>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paragraph" w:customStyle="1" w:styleId="57">
    <w:name w:val="列表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Pages>
  <Words>13048</Words>
  <Characters>13339</Characters>
  <Lines>105</Lines>
  <Paragraphs>29</Paragraphs>
  <TotalTime>17</TotalTime>
  <ScaleCrop>false</ScaleCrop>
  <LinksUpToDate>false</LinksUpToDate>
  <CharactersWithSpaces>14010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2025-10-17T08:41:00Z</dcterms:created>
  <dc:creator>yy z</dc:creator>
  <cp:lastModifiedBy> wyb</cp:lastModifiedBy>
  <cp:lastPrinted>2022-09-30T02:04:00Z</cp:lastPrinted>
  <dcterms:modified xsi:type="dcterms:W3CDTF">2025-10-21T09:08:46Z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B91AE6A96AC34D538AE2E0C99AA96BA4_13</vt:lpwstr>
  </property>
  <property fmtid="{D5CDD505-2E9C-101B-9397-08002B2CF9AE}" pid="4" name="KSOTemplateDocerSaveRecord">
    <vt:lpwstr>eyJoZGlkIjoiMjJjZTY1OGUyMjgwZjUwNzQ3MjBmMjBjZjYwNzM3NWMiLCJ1c2VySWQiOiIxNzAwNTgwMzA5In0=</vt:lpwstr>
  </property>
</Properties>
</file>