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95C4D">
      <w:pPr>
        <w:widowControl/>
        <w:shd w:val="clear"/>
        <w:spacing w:line="360" w:lineRule="auto"/>
        <w:ind w:right="-26"/>
        <w:jc w:val="center"/>
        <w:textAlignment w:val="bottom"/>
        <w:rPr>
          <w:rFonts w:hAnsi="宋体"/>
          <w:b/>
          <w:color w:val="auto"/>
          <w:sz w:val="52"/>
          <w:szCs w:val="52"/>
          <w:highlight w:val="none"/>
        </w:rPr>
      </w:pPr>
    </w:p>
    <w:p w14:paraId="07F288FF">
      <w:pPr>
        <w:pStyle w:val="20"/>
        <w:shd w:val="clear"/>
        <w:rPr>
          <w:color w:val="auto"/>
          <w:highlight w:val="none"/>
        </w:rPr>
      </w:pPr>
    </w:p>
    <w:p w14:paraId="77745B34">
      <w:pPr>
        <w:widowControl/>
        <w:shd w:val="clear"/>
        <w:spacing w:line="360" w:lineRule="auto"/>
        <w:ind w:right="-26"/>
        <w:jc w:val="center"/>
        <w:textAlignment w:val="bottom"/>
        <w:rPr>
          <w:rFonts w:hAnsi="宋体"/>
          <w:b/>
          <w:color w:val="auto"/>
          <w:sz w:val="72"/>
          <w:highlight w:val="none"/>
        </w:rPr>
      </w:pPr>
    </w:p>
    <w:p w14:paraId="3415AD9E">
      <w:pPr>
        <w:shd w:val="clear"/>
        <w:snapToGrid w:val="0"/>
        <w:jc w:val="center"/>
        <w:outlineLvl w:val="0"/>
        <w:rPr>
          <w:rFonts w:ascii="黑体" w:hAnsi="华文中宋" w:eastAsia="黑体" w:cs="华文中宋"/>
          <w:b/>
          <w:bCs/>
          <w:color w:val="auto"/>
          <w:sz w:val="72"/>
          <w:szCs w:val="72"/>
          <w:highlight w:val="none"/>
        </w:rPr>
      </w:pPr>
      <w:bookmarkStart w:id="0" w:name="_Toc5586"/>
      <w:r>
        <w:rPr>
          <w:rFonts w:hint="eastAsia" w:ascii="黑体" w:hAnsi="华文中宋" w:eastAsia="黑体" w:cs="华文中宋"/>
          <w:b/>
          <w:bCs/>
          <w:color w:val="auto"/>
          <w:sz w:val="72"/>
          <w:szCs w:val="72"/>
          <w:highlight w:val="none"/>
        </w:rPr>
        <w:t>竞争性磋商文件</w:t>
      </w:r>
      <w:bookmarkEnd w:id="0"/>
    </w:p>
    <w:p w14:paraId="7059082E">
      <w:pPr>
        <w:widowControl/>
        <w:shd w:val="clear"/>
        <w:spacing w:line="360" w:lineRule="auto"/>
        <w:ind w:right="-26"/>
        <w:jc w:val="center"/>
        <w:textAlignment w:val="bottom"/>
        <w:rPr>
          <w:rFonts w:hAnsi="宋体"/>
          <w:b/>
          <w:color w:val="auto"/>
          <w:sz w:val="44"/>
          <w:highlight w:val="none"/>
        </w:rPr>
      </w:pPr>
    </w:p>
    <w:p w14:paraId="1BB3FD12">
      <w:pPr>
        <w:widowControl/>
        <w:shd w:val="clear"/>
        <w:spacing w:line="360" w:lineRule="auto"/>
        <w:ind w:right="-26"/>
        <w:jc w:val="center"/>
        <w:textAlignment w:val="bottom"/>
        <w:rPr>
          <w:rFonts w:hAnsi="宋体"/>
          <w:b/>
          <w:color w:val="auto"/>
          <w:sz w:val="44"/>
          <w:highlight w:val="none"/>
        </w:rPr>
      </w:pPr>
    </w:p>
    <w:p w14:paraId="179F7014">
      <w:pPr>
        <w:widowControl/>
        <w:shd w:val="clear"/>
        <w:spacing w:line="360" w:lineRule="auto"/>
        <w:ind w:right="-26"/>
        <w:jc w:val="center"/>
        <w:textAlignment w:val="bottom"/>
        <w:rPr>
          <w:rFonts w:hAnsi="宋体"/>
          <w:b/>
          <w:color w:val="auto"/>
          <w:sz w:val="44"/>
          <w:highlight w:val="none"/>
        </w:rPr>
      </w:pPr>
    </w:p>
    <w:p w14:paraId="365E090E">
      <w:pPr>
        <w:widowControl/>
        <w:shd w:val="clear"/>
        <w:spacing w:line="360" w:lineRule="auto"/>
        <w:ind w:right="-26"/>
        <w:jc w:val="center"/>
        <w:textAlignment w:val="bottom"/>
        <w:rPr>
          <w:rFonts w:hAnsi="宋体"/>
          <w:b/>
          <w:color w:val="auto"/>
          <w:sz w:val="44"/>
          <w:highlight w:val="none"/>
        </w:rPr>
      </w:pPr>
      <w:r>
        <w:rPr>
          <w:color w:val="auto"/>
          <w:sz w:val="44"/>
          <w:highlight w:val="none"/>
        </w:rPr>
        <mc:AlternateContent>
          <mc:Choice Requires="wps">
            <w:drawing>
              <wp:anchor distT="0" distB="0" distL="114300" distR="114300" simplePos="0" relativeHeight="251660288" behindDoc="1" locked="0" layoutInCell="1" allowOverlap="1">
                <wp:simplePos x="0" y="0"/>
                <wp:positionH relativeFrom="column">
                  <wp:posOffset>181610</wp:posOffset>
                </wp:positionH>
                <wp:positionV relativeFrom="paragraph">
                  <wp:posOffset>213995</wp:posOffset>
                </wp:positionV>
                <wp:extent cx="4991735" cy="1652905"/>
                <wp:effectExtent l="0" t="0" r="18415" b="4445"/>
                <wp:wrapNone/>
                <wp:docPr id="3" name="文本框 6"/>
                <wp:cNvGraphicFramePr/>
                <a:graphic xmlns:a="http://schemas.openxmlformats.org/drawingml/2006/main">
                  <a:graphicData uri="http://schemas.microsoft.com/office/word/2010/wordprocessingShape">
                    <wps:wsp>
                      <wps:cNvSpPr txBox="1"/>
                      <wps:spPr>
                        <a:xfrm>
                          <a:off x="0" y="0"/>
                          <a:ext cx="4991735" cy="1652905"/>
                        </a:xfrm>
                        <a:prstGeom prst="rect">
                          <a:avLst/>
                        </a:prstGeom>
                        <a:gradFill rotWithShape="0">
                          <a:gsLst>
                            <a:gs pos="0">
                              <a:srgbClr val="FFFFFF"/>
                            </a:gs>
                            <a:gs pos="100000">
                              <a:srgbClr val="FFFFFF"/>
                            </a:gs>
                          </a:gsLst>
                          <a:lin ang="0"/>
                          <a:tileRect/>
                        </a:gradFill>
                        <a:ln w="15875">
                          <a:noFill/>
                        </a:ln>
                        <a:effectLst/>
                      </wps:spPr>
                      <wps:txbx>
                        <w:txbxContent>
                          <w:p w14:paraId="21688CC8">
                            <w:pPr>
                              <w:widowControl/>
                              <w:spacing w:line="360" w:lineRule="auto"/>
                              <w:ind w:left="1606" w:right="-26"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w:t>
                            </w:r>
                            <w:r>
                              <w:rPr>
                                <w:rFonts w:hint="eastAsia" w:ascii="黑体" w:hAnsi="黑体" w:eastAsia="黑体" w:cs="黑体"/>
                                <w:b/>
                                <w:sz w:val="32"/>
                                <w:lang w:val="en-US" w:eastAsia="zh-CN"/>
                              </w:rPr>
                              <w:t>大塘村优质产业空间项目(北一期)新建1台500KVA箱变工程（重新采购）</w:t>
                            </w:r>
                          </w:p>
                          <w:p w14:paraId="753C5C24">
                            <w:pPr>
                              <w:widowControl/>
                              <w:spacing w:line="360" w:lineRule="auto"/>
                              <w:ind w:right="-26"/>
                              <w:jc w:val="both"/>
                              <w:textAlignment w:val="bottom"/>
                              <w:rPr>
                                <w:rFonts w:hint="default" w:ascii="黑体" w:hAnsi="黑体" w:eastAsia="黑体" w:cs="黑体"/>
                                <w:b/>
                                <w:sz w:val="32"/>
                                <w:lang w:val="en-US" w:eastAsia="zh-CN"/>
                              </w:rPr>
                            </w:pPr>
                            <w:r>
                              <w:rPr>
                                <w:rFonts w:hint="eastAsia" w:ascii="黑体" w:hAnsi="黑体" w:eastAsia="黑体" w:cs="黑体"/>
                                <w:b/>
                                <w:sz w:val="32"/>
                              </w:rPr>
                              <w:t>项目编号：DGQS-DTB-01-003-015（2025)</w:t>
                            </w:r>
                          </w:p>
                          <w:p w14:paraId="71D1CA44">
                            <w:pPr>
                              <w:widowControl/>
                              <w:spacing w:line="360" w:lineRule="auto"/>
                              <w:ind w:right="-26"/>
                              <w:textAlignment w:val="bottom"/>
                              <w:rPr>
                                <w:rFonts w:hint="eastAsia" w:ascii="黑体" w:hAnsi="黑体" w:eastAsia="黑体" w:cs="黑体"/>
                                <w:b/>
                                <w:sz w:val="32"/>
                                <w:lang w:eastAsia="zh-CN"/>
                              </w:rPr>
                            </w:pPr>
                            <w:r>
                              <w:rPr>
                                <w:rFonts w:hint="eastAsia" w:ascii="黑体" w:hAnsi="黑体" w:eastAsia="黑体" w:cs="黑体"/>
                                <w:b/>
                                <w:sz w:val="32"/>
                              </w:rPr>
                              <w:t>采 购 人：</w:t>
                            </w:r>
                            <w:r>
                              <w:rPr>
                                <w:rFonts w:hint="eastAsia" w:ascii="黑体" w:hAnsi="黑体" w:eastAsia="黑体" w:cs="黑体"/>
                                <w:b/>
                                <w:sz w:val="32"/>
                                <w:lang w:eastAsia="zh-CN"/>
                              </w:rPr>
                              <w:t>东莞市旗创产业投资有限公司</w:t>
                            </w:r>
                          </w:p>
                          <w:p w14:paraId="49DCE0F8"/>
                        </w:txbxContent>
                      </wps:txbx>
                      <wps:bodyPr upright="1"/>
                    </wps:wsp>
                  </a:graphicData>
                </a:graphic>
              </wp:anchor>
            </w:drawing>
          </mc:Choice>
          <mc:Fallback>
            <w:pict>
              <v:shape id="文本框 6" o:spid="_x0000_s1026" o:spt="202" type="#_x0000_t202" style="position:absolute;left:0pt;margin-left:14.3pt;margin-top:16.85pt;height:130.15pt;width:393.05pt;z-index:-251656192;mso-width-relative:page;mso-height-relative:page;" fillcolor="#FFFFFF" filled="t" stroked="f" coordsize="21600,21600" o:gfxdata="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&#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03So2gAAAAkBAAAPAAAAAAAAAAEAIAAAACIAAABk&#10;cnMvZG93bnJldi54bWxQSwECFAAUAAAACACHTuJAD2XGmwQCAAAXBAAADgAAAAAAAAABACAAAAAp&#10;AQAAZHJzL2Uyb0RvYy54bWxQSwUGAAAAAAYABgBZAQAAnwUAAAAA&#10;">
                <v:fill type="gradient" on="t" color2="#FFFFFF" angle="90" focus="100%" focussize="0,0">
                  <o:fill type="gradientUnscaled" v:ext="backwardCompatible"/>
                </v:fill>
                <v:stroke on="f" weight="1.25pt"/>
                <v:imagedata o:title=""/>
                <o:lock v:ext="edit" aspectratio="f"/>
                <v:textbox>
                  <w:txbxContent>
                    <w:p w14:paraId="21688CC8">
                      <w:pPr>
                        <w:widowControl/>
                        <w:spacing w:line="360" w:lineRule="auto"/>
                        <w:ind w:left="1606" w:right="-26"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w:t>
                      </w:r>
                      <w:r>
                        <w:rPr>
                          <w:rFonts w:hint="eastAsia" w:ascii="黑体" w:hAnsi="黑体" w:eastAsia="黑体" w:cs="黑体"/>
                          <w:b/>
                          <w:sz w:val="32"/>
                          <w:lang w:val="en-US" w:eastAsia="zh-CN"/>
                        </w:rPr>
                        <w:t>大塘村优质产业空间项目(北一期)新建1台500KVA箱变工程（重新采购）</w:t>
                      </w:r>
                    </w:p>
                    <w:p w14:paraId="753C5C24">
                      <w:pPr>
                        <w:widowControl/>
                        <w:spacing w:line="360" w:lineRule="auto"/>
                        <w:ind w:right="-26"/>
                        <w:jc w:val="both"/>
                        <w:textAlignment w:val="bottom"/>
                        <w:rPr>
                          <w:rFonts w:hint="default" w:ascii="黑体" w:hAnsi="黑体" w:eastAsia="黑体" w:cs="黑体"/>
                          <w:b/>
                          <w:sz w:val="32"/>
                          <w:lang w:val="en-US" w:eastAsia="zh-CN"/>
                        </w:rPr>
                      </w:pPr>
                      <w:r>
                        <w:rPr>
                          <w:rFonts w:hint="eastAsia" w:ascii="黑体" w:hAnsi="黑体" w:eastAsia="黑体" w:cs="黑体"/>
                          <w:b/>
                          <w:sz w:val="32"/>
                        </w:rPr>
                        <w:t>项目编号：DGQS-DTB-01-003-015（2025)</w:t>
                      </w:r>
                    </w:p>
                    <w:p w14:paraId="71D1CA44">
                      <w:pPr>
                        <w:widowControl/>
                        <w:spacing w:line="360" w:lineRule="auto"/>
                        <w:ind w:right="-26"/>
                        <w:textAlignment w:val="bottom"/>
                        <w:rPr>
                          <w:rFonts w:hint="eastAsia" w:ascii="黑体" w:hAnsi="黑体" w:eastAsia="黑体" w:cs="黑体"/>
                          <w:b/>
                          <w:sz w:val="32"/>
                          <w:lang w:eastAsia="zh-CN"/>
                        </w:rPr>
                      </w:pPr>
                      <w:r>
                        <w:rPr>
                          <w:rFonts w:hint="eastAsia" w:ascii="黑体" w:hAnsi="黑体" w:eastAsia="黑体" w:cs="黑体"/>
                          <w:b/>
                          <w:sz w:val="32"/>
                        </w:rPr>
                        <w:t>采 购 人：</w:t>
                      </w:r>
                      <w:r>
                        <w:rPr>
                          <w:rFonts w:hint="eastAsia" w:ascii="黑体" w:hAnsi="黑体" w:eastAsia="黑体" w:cs="黑体"/>
                          <w:b/>
                          <w:sz w:val="32"/>
                          <w:lang w:eastAsia="zh-CN"/>
                        </w:rPr>
                        <w:t>东莞市旗创产业投资有限公司</w:t>
                      </w:r>
                    </w:p>
                    <w:p w14:paraId="49DCE0F8"/>
                  </w:txbxContent>
                </v:textbox>
              </v:shape>
            </w:pict>
          </mc:Fallback>
        </mc:AlternateContent>
      </w:r>
    </w:p>
    <w:p w14:paraId="340DD431">
      <w:pPr>
        <w:widowControl/>
        <w:shd w:val="clear"/>
        <w:spacing w:line="360" w:lineRule="auto"/>
        <w:ind w:right="-26"/>
        <w:jc w:val="center"/>
        <w:textAlignment w:val="bottom"/>
        <w:rPr>
          <w:rFonts w:hAnsi="宋体"/>
          <w:b/>
          <w:color w:val="auto"/>
          <w:sz w:val="44"/>
          <w:highlight w:val="none"/>
        </w:rPr>
      </w:pPr>
    </w:p>
    <w:p w14:paraId="254A7AA0">
      <w:pPr>
        <w:widowControl/>
        <w:shd w:val="clear"/>
        <w:spacing w:line="360" w:lineRule="auto"/>
        <w:ind w:right="-26"/>
        <w:jc w:val="center"/>
        <w:textAlignment w:val="bottom"/>
        <w:rPr>
          <w:rFonts w:hAnsi="宋体"/>
          <w:b/>
          <w:color w:val="auto"/>
          <w:sz w:val="44"/>
          <w:highlight w:val="none"/>
        </w:rPr>
      </w:pPr>
    </w:p>
    <w:p w14:paraId="30CC814F">
      <w:pPr>
        <w:widowControl/>
        <w:shd w:val="clear"/>
        <w:spacing w:line="360" w:lineRule="auto"/>
        <w:ind w:right="-26"/>
        <w:jc w:val="center"/>
        <w:textAlignment w:val="bottom"/>
        <w:rPr>
          <w:rFonts w:hAnsi="宋体"/>
          <w:b/>
          <w:color w:val="auto"/>
          <w:sz w:val="44"/>
          <w:highlight w:val="none"/>
        </w:rPr>
      </w:pPr>
    </w:p>
    <w:p w14:paraId="508C3178">
      <w:pPr>
        <w:widowControl/>
        <w:shd w:val="clear"/>
        <w:spacing w:line="360" w:lineRule="auto"/>
        <w:ind w:right="-26"/>
        <w:jc w:val="center"/>
        <w:textAlignment w:val="bottom"/>
        <w:rPr>
          <w:rFonts w:hAnsi="宋体"/>
          <w:b/>
          <w:color w:val="auto"/>
          <w:sz w:val="44"/>
          <w:highlight w:val="none"/>
        </w:rPr>
      </w:pPr>
    </w:p>
    <w:p w14:paraId="4E97A626">
      <w:pPr>
        <w:widowControl/>
        <w:shd w:val="clear"/>
        <w:spacing w:line="360" w:lineRule="auto"/>
        <w:ind w:right="-26"/>
        <w:jc w:val="center"/>
        <w:textAlignment w:val="bottom"/>
        <w:rPr>
          <w:rFonts w:hAnsi="宋体"/>
          <w:b/>
          <w:color w:val="auto"/>
          <w:sz w:val="44"/>
          <w:highlight w:val="none"/>
        </w:rPr>
      </w:pPr>
    </w:p>
    <w:p w14:paraId="1A11350B">
      <w:pPr>
        <w:widowControl/>
        <w:shd w:val="clear"/>
        <w:spacing w:line="360" w:lineRule="auto"/>
        <w:ind w:right="-26"/>
        <w:textAlignment w:val="bottom"/>
        <w:rPr>
          <w:rFonts w:hAnsi="宋体"/>
          <w:b/>
          <w:color w:val="auto"/>
          <w:sz w:val="32"/>
          <w:highlight w:val="none"/>
        </w:rPr>
      </w:pPr>
    </w:p>
    <w:p w14:paraId="340EA130">
      <w:pPr>
        <w:widowControl/>
        <w:shd w:val="clear"/>
        <w:spacing w:line="360" w:lineRule="auto"/>
        <w:ind w:right="-26" w:firstLine="2249" w:firstLineChars="700"/>
        <w:textAlignment w:val="bottom"/>
        <w:outlineLvl w:val="0"/>
        <w:rPr>
          <w:rFonts w:ascii="黑体" w:hAnsi="黑体" w:eastAsia="黑体" w:cs="黑体"/>
          <w:b/>
          <w:color w:val="auto"/>
          <w:sz w:val="32"/>
          <w:highlight w:val="none"/>
        </w:rPr>
      </w:pPr>
      <w:r>
        <w:rPr>
          <w:rFonts w:hint="eastAsia" w:ascii="黑体" w:hAnsi="黑体" w:eastAsia="黑体" w:cs="黑体"/>
          <w:b/>
          <w:color w:val="auto"/>
          <w:sz w:val="32"/>
          <w:highlight w:val="none"/>
          <w:lang w:eastAsia="zh-CN"/>
        </w:rPr>
        <w:t>广东志正招标有限公司东莞分公司</w:t>
      </w:r>
      <w:r>
        <w:rPr>
          <w:rFonts w:hint="eastAsia" w:ascii="黑体" w:hAnsi="黑体" w:eastAsia="黑体" w:cs="黑体"/>
          <w:b/>
          <w:color w:val="auto"/>
          <w:sz w:val="32"/>
          <w:highlight w:val="none"/>
        </w:rPr>
        <w:t xml:space="preserve"> </w:t>
      </w:r>
    </w:p>
    <w:p w14:paraId="3A6CC490">
      <w:pPr>
        <w:widowControl/>
        <w:shd w:val="clear"/>
        <w:spacing w:line="360" w:lineRule="auto"/>
        <w:ind w:right="-26" w:hanging="480"/>
        <w:jc w:val="center"/>
        <w:textAlignment w:val="bottom"/>
        <w:rPr>
          <w:rFonts w:ascii="黑体" w:hAnsi="黑体" w:eastAsia="黑体" w:cs="黑体"/>
          <w:b/>
          <w:color w:val="auto"/>
          <w:sz w:val="32"/>
          <w:highlight w:val="none"/>
        </w:rPr>
      </w:pPr>
      <w:r>
        <w:rPr>
          <w:rFonts w:hint="eastAsia" w:ascii="黑体" w:hAnsi="黑体" w:eastAsia="黑体" w:cs="黑体"/>
          <w:b/>
          <w:color w:val="auto"/>
          <w:sz w:val="32"/>
          <w:highlight w:val="none"/>
        </w:rPr>
        <w:t xml:space="preserve">    </w:t>
      </w:r>
      <w:r>
        <w:rPr>
          <w:rFonts w:hint="eastAsia" w:ascii="黑体" w:hAnsi="黑体" w:eastAsia="黑体" w:cs="黑体"/>
          <w:b/>
          <w:color w:val="auto"/>
          <w:sz w:val="32"/>
          <w:highlight w:val="none"/>
          <w:lang w:eastAsia="zh-CN"/>
        </w:rPr>
        <w:t>二〇二</w:t>
      </w:r>
      <w:r>
        <w:rPr>
          <w:rFonts w:hint="eastAsia" w:ascii="黑体" w:hAnsi="黑体" w:eastAsia="黑体" w:cs="黑体"/>
          <w:b/>
          <w:color w:val="auto"/>
          <w:sz w:val="32"/>
          <w:highlight w:val="none"/>
          <w:lang w:val="en-US" w:eastAsia="zh-CN"/>
        </w:rPr>
        <w:t>五</w:t>
      </w:r>
      <w:r>
        <w:rPr>
          <w:rFonts w:hint="eastAsia" w:ascii="黑体" w:hAnsi="黑体" w:eastAsia="黑体" w:cs="黑体"/>
          <w:b/>
          <w:color w:val="auto"/>
          <w:sz w:val="32"/>
          <w:highlight w:val="none"/>
        </w:rPr>
        <w:t>年</w:t>
      </w:r>
      <w:r>
        <w:rPr>
          <w:rFonts w:hint="eastAsia" w:ascii="黑体" w:hAnsi="黑体" w:eastAsia="黑体" w:cs="黑体"/>
          <w:b/>
          <w:color w:val="auto"/>
          <w:sz w:val="32"/>
          <w:highlight w:val="none"/>
          <w:lang w:val="en-US" w:eastAsia="zh-CN"/>
        </w:rPr>
        <w:t>十</w:t>
      </w:r>
      <w:r>
        <w:rPr>
          <w:rFonts w:hint="eastAsia" w:ascii="黑体" w:hAnsi="黑体" w:eastAsia="黑体" w:cs="黑体"/>
          <w:b/>
          <w:color w:val="auto"/>
          <w:sz w:val="32"/>
          <w:highlight w:val="none"/>
        </w:rPr>
        <w:t>月</w:t>
      </w:r>
    </w:p>
    <w:p w14:paraId="1B0676F2">
      <w:pPr>
        <w:widowControl/>
        <w:shd w:val="clear"/>
        <w:spacing w:line="360" w:lineRule="auto"/>
        <w:ind w:right="-26" w:hanging="480"/>
        <w:jc w:val="center"/>
        <w:textAlignment w:val="bottom"/>
        <w:rPr>
          <w:rFonts w:ascii="黑体" w:hAnsi="黑体" w:eastAsia="黑体" w:cs="黑体"/>
          <w:b/>
          <w:color w:val="auto"/>
          <w:sz w:val="32"/>
          <w:highlight w:val="none"/>
        </w:rPr>
      </w:pPr>
    </w:p>
    <w:p w14:paraId="23AB6E1A">
      <w:pPr>
        <w:widowControl/>
        <w:shd w:val="clear"/>
        <w:spacing w:line="360" w:lineRule="auto"/>
        <w:ind w:right="-26" w:hanging="480"/>
        <w:jc w:val="center"/>
        <w:textAlignment w:val="bottom"/>
        <w:rPr>
          <w:rFonts w:ascii="黑体" w:hAnsi="黑体" w:eastAsia="黑体" w:cs="黑体"/>
          <w:b/>
          <w:color w:val="auto"/>
          <w:sz w:val="32"/>
          <w:highlight w:val="none"/>
        </w:rPr>
      </w:pPr>
    </w:p>
    <w:p w14:paraId="74548BCF">
      <w:pPr>
        <w:widowControl/>
        <w:shd w:val="clear"/>
        <w:spacing w:line="360" w:lineRule="auto"/>
        <w:ind w:right="-26" w:hanging="480"/>
        <w:jc w:val="center"/>
        <w:textAlignment w:val="bottom"/>
        <w:rPr>
          <w:rFonts w:ascii="黑体" w:hAnsi="黑体" w:eastAsia="黑体" w:cs="黑体"/>
          <w:b/>
          <w:color w:val="auto"/>
          <w:sz w:val="32"/>
          <w:highlight w:val="none"/>
        </w:rPr>
      </w:pPr>
    </w:p>
    <w:p w14:paraId="1696C104">
      <w:pPr>
        <w:shd w:val="clear"/>
        <w:jc w:val="both"/>
        <w:rPr>
          <w:rFonts w:hAnsi="宋体"/>
          <w:color w:val="auto"/>
          <w:highlight w:val="none"/>
          <w:lang w:val="zh-CN"/>
        </w:rPr>
        <w:sectPr>
          <w:headerReference r:id="rId4" w:type="first"/>
          <w:headerReference r:id="rId3" w:type="default"/>
          <w:footerReference r:id="rId5" w:type="default"/>
          <w:footerReference r:id="rId6" w:type="even"/>
          <w:type w:val="nextColumn"/>
          <w:pgSz w:w="11907" w:h="16840"/>
          <w:pgMar w:top="1440" w:right="1800" w:bottom="1440" w:left="1800" w:header="851" w:footer="992" w:gutter="0"/>
          <w:pgBorders>
            <w:top w:val="none" w:sz="0" w:space="0"/>
            <w:left w:val="none" w:sz="0" w:space="0"/>
            <w:bottom w:val="none" w:sz="0" w:space="0"/>
            <w:right w:val="none" w:sz="0" w:space="0"/>
          </w:pgBorders>
          <w:pgNumType w:fmt="decimal" w:start="0"/>
          <w:cols w:space="720" w:num="1"/>
          <w:docGrid w:type="lines" w:linePitch="312" w:charSpace="0"/>
        </w:sectPr>
      </w:pPr>
      <w:bookmarkStart w:id="1" w:name="_Toc13507"/>
    </w:p>
    <w:bookmarkEnd w:id="1"/>
    <w:p w14:paraId="50D20746">
      <w:pPr>
        <w:shd w:val="clear"/>
        <w:spacing w:line="360" w:lineRule="auto"/>
        <w:ind w:left="48" w:leftChars="20"/>
        <w:jc w:val="center"/>
        <w:rPr>
          <w:rFonts w:ascii="黑体" w:hAnsi="黑体" w:eastAsia="黑体" w:cs="黑体"/>
          <w:color w:val="auto"/>
          <w:sz w:val="32"/>
          <w:szCs w:val="32"/>
          <w:highlight w:val="none"/>
        </w:rPr>
      </w:pPr>
      <w:bookmarkStart w:id="2" w:name="_Toc27261"/>
      <w:r>
        <w:rPr>
          <w:rFonts w:hint="eastAsia" w:ascii="黑体" w:hAnsi="黑体" w:eastAsia="黑体" w:cs="黑体"/>
          <w:color w:val="auto"/>
          <w:sz w:val="32"/>
          <w:szCs w:val="32"/>
          <w:highlight w:val="none"/>
        </w:rPr>
        <w:t>温馨提示</w:t>
      </w:r>
    </w:p>
    <w:p w14:paraId="2385D2AD">
      <w:pPr>
        <w:shd w:val="clear"/>
        <w:jc w:val="center"/>
        <w:rPr>
          <w:rFonts w:ascii="黑体" w:hAnsi="黑体" w:eastAsia="黑体" w:cs="黑体"/>
          <w:color w:val="auto"/>
          <w:highlight w:val="none"/>
        </w:rPr>
      </w:pPr>
      <w:r>
        <w:rPr>
          <w:rFonts w:hint="eastAsia" w:ascii="黑体" w:hAnsi="黑体" w:eastAsia="黑体" w:cs="黑体"/>
          <w:color w:val="auto"/>
          <w:highlight w:val="none"/>
        </w:rPr>
        <w:t>（本提示内容非磋商文件的组成部分，仅为善意提醒。如有不一致，以磋商文件为准）</w:t>
      </w:r>
    </w:p>
    <w:p w14:paraId="09D67413">
      <w:pPr>
        <w:shd w:val="clear"/>
        <w:spacing w:line="360" w:lineRule="auto"/>
        <w:ind w:left="48" w:leftChars="20"/>
        <w:jc w:val="center"/>
        <w:rPr>
          <w:rFonts w:ascii="黑体" w:hAnsi="黑体" w:eastAsia="黑体" w:cs="黑体"/>
          <w:color w:val="auto"/>
          <w:sz w:val="32"/>
          <w:szCs w:val="32"/>
          <w:highlight w:val="none"/>
        </w:rPr>
      </w:pPr>
    </w:p>
    <w:p w14:paraId="00F6EB2A">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磋商截止时间一到，采购代理机构不接收供应商的任何相关磋商资料、文件。为此，请适当提前到达。</w:t>
      </w:r>
    </w:p>
    <w:p w14:paraId="364977D3">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磋商保证金必须于磋商截止时间前到达磋商文件中所注明账户。由于转账当天不一定能够达账，为避免因磋商保证金未到账而导致磋商被拒，建议至少提前2个工作日转账。</w:t>
      </w:r>
    </w:p>
    <w:p w14:paraId="1AA1ECA9">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请正确填写《报价一览表》。多子包项目请仔细检查子包号，子包号与子包名称必须对应。</w:t>
      </w:r>
    </w:p>
    <w:p w14:paraId="1F334D58">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请仔细检查磋商响应文件是否已按磋商文件要求盖章、签名、签署日期。</w:t>
      </w:r>
    </w:p>
    <w:p w14:paraId="68246AA2">
      <w:pPr>
        <w:numPr>
          <w:ilvl w:val="0"/>
          <w:numId w:val="9"/>
        </w:numPr>
        <w:shd w:val="clear"/>
        <w:spacing w:line="360" w:lineRule="auto"/>
        <w:ind w:left="180" w:firstLine="48" w:firstLineChars="20"/>
        <w:jc w:val="both"/>
        <w:outlineLvl w:val="0"/>
        <w:rPr>
          <w:rFonts w:ascii="黑体" w:hAnsi="黑体" w:eastAsia="黑体" w:cs="黑体"/>
          <w:color w:val="auto"/>
          <w:highlight w:val="none"/>
        </w:rPr>
      </w:pPr>
      <w:bookmarkStart w:id="3" w:name="_Toc17927"/>
      <w:r>
        <w:rPr>
          <w:rFonts w:hint="eastAsia" w:ascii="黑体" w:hAnsi="黑体" w:eastAsia="黑体" w:cs="黑体"/>
          <w:color w:val="auto"/>
          <w:highlight w:val="none"/>
        </w:rPr>
        <w:t>磋商响应文件应按顺序编制页码。</w:t>
      </w:r>
      <w:bookmarkEnd w:id="3"/>
    </w:p>
    <w:p w14:paraId="55D4D218">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如所投产品属于许可证管理范围内的，须提交相应的许可证复印件。</w:t>
      </w:r>
    </w:p>
    <w:p w14:paraId="1D3BF01C">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为了提高采购效率，节约社会交易成本与时间，望购买了磋商文件而决定不参加本次磋商的供应商，在磋商响应文件递交截止时间的3日前，按《磋商邀请函》中的联系方式，以书面形式告知采购代理机构。对您的支持与配合，谨此致谢。</w:t>
      </w:r>
    </w:p>
    <w:p w14:paraId="4C3E40FC">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如需供应商支付的各种费用，如磋商文件售价、工程图纸押金、保证金和采购代理服务费等，磋商文件将书面详细告知，请供应商按磋商文件规定的方式和金额支付。</w:t>
      </w:r>
    </w:p>
    <w:p w14:paraId="1D3FAECB">
      <w:pPr>
        <w:shd w:val="clear"/>
        <w:jc w:val="center"/>
        <w:rPr>
          <w:rFonts w:hAnsi="宋体"/>
          <w:b/>
          <w:bCs/>
          <w:color w:val="auto"/>
          <w:sz w:val="32"/>
          <w:szCs w:val="32"/>
          <w:highlight w:val="none"/>
          <w:lang w:val="zh-CN"/>
        </w:rPr>
      </w:pPr>
    </w:p>
    <w:p w14:paraId="23D90BAB">
      <w:pPr>
        <w:shd w:val="clear"/>
        <w:jc w:val="center"/>
        <w:rPr>
          <w:rFonts w:hAnsi="宋体"/>
          <w:b/>
          <w:bCs/>
          <w:color w:val="auto"/>
          <w:sz w:val="32"/>
          <w:szCs w:val="32"/>
          <w:highlight w:val="none"/>
          <w:lang w:val="zh-CN"/>
        </w:rPr>
      </w:pPr>
    </w:p>
    <w:p w14:paraId="6CE1D73B">
      <w:pPr>
        <w:shd w:val="clear"/>
        <w:jc w:val="center"/>
        <w:rPr>
          <w:rFonts w:hAnsi="宋体"/>
          <w:b/>
          <w:bCs/>
          <w:color w:val="auto"/>
          <w:sz w:val="32"/>
          <w:szCs w:val="32"/>
          <w:highlight w:val="none"/>
          <w:lang w:val="zh-CN"/>
        </w:rPr>
      </w:pPr>
    </w:p>
    <w:p w14:paraId="55556EB4">
      <w:pPr>
        <w:shd w:val="clear"/>
        <w:jc w:val="center"/>
        <w:rPr>
          <w:rFonts w:hAnsi="宋体"/>
          <w:b/>
          <w:bCs/>
          <w:color w:val="auto"/>
          <w:sz w:val="32"/>
          <w:szCs w:val="32"/>
          <w:highlight w:val="none"/>
          <w:lang w:val="zh-CN"/>
        </w:rPr>
      </w:pPr>
    </w:p>
    <w:p w14:paraId="522329F0">
      <w:pPr>
        <w:shd w:val="clear"/>
        <w:jc w:val="center"/>
        <w:rPr>
          <w:rFonts w:hAnsi="宋体"/>
          <w:b/>
          <w:bCs/>
          <w:color w:val="auto"/>
          <w:sz w:val="32"/>
          <w:szCs w:val="32"/>
          <w:highlight w:val="none"/>
          <w:lang w:val="zh-CN"/>
        </w:rPr>
      </w:pPr>
    </w:p>
    <w:p w14:paraId="4A25AD69">
      <w:pPr>
        <w:shd w:val="clear"/>
        <w:jc w:val="center"/>
        <w:rPr>
          <w:rFonts w:hAnsi="宋体"/>
          <w:b/>
          <w:bCs/>
          <w:color w:val="auto"/>
          <w:sz w:val="32"/>
          <w:szCs w:val="32"/>
          <w:highlight w:val="none"/>
          <w:lang w:val="zh-CN"/>
        </w:rPr>
      </w:pPr>
    </w:p>
    <w:p w14:paraId="2E25E739">
      <w:pPr>
        <w:pStyle w:val="12"/>
        <w:shd w:val="clear"/>
        <w:ind w:firstLine="643"/>
        <w:rPr>
          <w:rFonts w:hAnsi="宋体"/>
          <w:b/>
          <w:bCs/>
          <w:color w:val="auto"/>
          <w:sz w:val="32"/>
          <w:szCs w:val="32"/>
          <w:highlight w:val="none"/>
          <w:lang w:val="zh-CN"/>
        </w:r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2"/>
          <w:cols w:space="425" w:num="1"/>
          <w:docGrid w:type="lines" w:linePitch="312" w:charSpace="0"/>
        </w:sectPr>
      </w:pPr>
    </w:p>
    <w:p w14:paraId="68B8586E">
      <w:pPr>
        <w:shd w:val="clear"/>
        <w:rPr>
          <w:color w:val="auto"/>
          <w:highlight w:val="none"/>
        </w:rPr>
      </w:pPr>
    </w:p>
    <w:p w14:paraId="6A182FFE">
      <w:pPr>
        <w:shd w:val="clear"/>
        <w:jc w:val="center"/>
        <w:rPr>
          <w:rFonts w:hAnsi="宋体"/>
          <w:b/>
          <w:bCs/>
          <w:color w:val="auto"/>
          <w:sz w:val="32"/>
          <w:szCs w:val="32"/>
          <w:highlight w:val="none"/>
          <w:lang w:val="zh-CN"/>
        </w:rPr>
      </w:pPr>
      <w:r>
        <w:rPr>
          <w:rFonts w:hAnsi="宋体"/>
          <w:b/>
          <w:bCs/>
          <w:color w:val="auto"/>
          <w:sz w:val="32"/>
          <w:szCs w:val="32"/>
          <w:highlight w:val="none"/>
          <w:lang w:val="zh-CN"/>
        </w:rPr>
        <w:t>目录</w:t>
      </w:r>
      <w:bookmarkStart w:id="4" w:name="_Toc396137229"/>
    </w:p>
    <w:sdt>
      <w:sdtPr>
        <w:rPr>
          <w:rFonts w:hAnsi="宋体"/>
          <w:b/>
          <w:bCs/>
          <w:color w:val="auto"/>
          <w:sz w:val="36"/>
          <w:szCs w:val="44"/>
          <w:highlight w:val="none"/>
        </w:rPr>
        <w:id w:val="147463129"/>
        <w15:color w:val="DBDBDB"/>
        <w:docPartObj>
          <w:docPartGallery w:val="Table of Contents"/>
          <w:docPartUnique/>
        </w:docPartObj>
      </w:sdtPr>
      <w:sdtEndPr>
        <w:rPr>
          <w:rFonts w:hAnsi="宋体"/>
          <w:b/>
          <w:bCs/>
          <w:color w:val="auto"/>
          <w:sz w:val="36"/>
          <w:szCs w:val="44"/>
          <w:highlight w:val="none"/>
        </w:rPr>
      </w:sdtEndPr>
      <w:sdtContent>
        <w:p w14:paraId="4CA36E85">
          <w:pPr>
            <w:shd w:val="clear"/>
            <w:spacing w:line="360" w:lineRule="auto"/>
            <w:jc w:val="both"/>
            <w:rPr>
              <w:b/>
              <w:bCs/>
              <w:color w:val="auto"/>
              <w:sz w:val="44"/>
              <w:szCs w:val="44"/>
              <w:highlight w:val="none"/>
            </w:rPr>
          </w:pPr>
        </w:p>
        <w:p w14:paraId="0F16C560">
          <w:pPr>
            <w:pStyle w:val="187"/>
            <w:shd w:val="clear"/>
            <w:tabs>
              <w:tab w:val="right" w:leader="dot" w:pos="8306"/>
            </w:tabs>
            <w:spacing w:line="360" w:lineRule="auto"/>
            <w:jc w:val="center"/>
            <w:rPr>
              <w:b/>
              <w:bCs/>
              <w:color w:val="auto"/>
              <w:sz w:val="32"/>
              <w:szCs w:val="32"/>
              <w:highlight w:val="none"/>
            </w:rPr>
          </w:pPr>
          <w:r>
            <w:rPr>
              <w:b/>
              <w:bCs/>
              <w:color w:val="auto"/>
              <w:sz w:val="32"/>
              <w:szCs w:val="32"/>
              <w:highlight w:val="none"/>
            </w:rPr>
            <w:fldChar w:fldCharType="begin"/>
          </w:r>
          <w:r>
            <w:rPr>
              <w:b/>
              <w:bCs/>
              <w:color w:val="auto"/>
              <w:sz w:val="32"/>
              <w:szCs w:val="32"/>
              <w:highlight w:val="none"/>
            </w:rPr>
            <w:instrText xml:space="preserve">TOC \o "1-1" \h \u </w:instrText>
          </w:r>
          <w:r>
            <w:rPr>
              <w:b/>
              <w:bCs/>
              <w:color w:val="auto"/>
              <w:sz w:val="32"/>
              <w:szCs w:val="32"/>
              <w:highlight w:val="none"/>
            </w:rPr>
            <w:fldChar w:fldCharType="separate"/>
          </w:r>
          <w:r>
            <w:rPr>
              <w:color w:val="auto"/>
              <w:highlight w:val="none"/>
            </w:rPr>
            <w:fldChar w:fldCharType="begin"/>
          </w:r>
          <w:r>
            <w:rPr>
              <w:color w:val="auto"/>
              <w:highlight w:val="none"/>
            </w:rPr>
            <w:instrText xml:space="preserve"> HYPERLINK \l "_Toc3573" </w:instrText>
          </w:r>
          <w:r>
            <w:rPr>
              <w:color w:val="auto"/>
              <w:highlight w:val="none"/>
            </w:rPr>
            <w:fldChar w:fldCharType="separate"/>
          </w:r>
          <w:r>
            <w:rPr>
              <w:rFonts w:hAnsi="宋体"/>
              <w:b/>
              <w:bCs/>
              <w:color w:val="auto"/>
              <w:kern w:val="44"/>
              <w:sz w:val="32"/>
              <w:szCs w:val="48"/>
              <w:highlight w:val="none"/>
              <w:lang w:val="zh-CN"/>
            </w:rPr>
            <w:t xml:space="preserve">第一篇 </w:t>
          </w:r>
          <w:r>
            <w:rPr>
              <w:rFonts w:hint="eastAsia" w:hAnsi="宋体"/>
              <w:b/>
              <w:bCs/>
              <w:color w:val="auto"/>
              <w:kern w:val="44"/>
              <w:sz w:val="32"/>
              <w:szCs w:val="48"/>
              <w:highlight w:val="none"/>
            </w:rPr>
            <w:t>磋商邀请书</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_Toc3573 \h </w:instrText>
          </w:r>
          <w:r>
            <w:rPr>
              <w:b/>
              <w:bCs/>
              <w:color w:val="auto"/>
              <w:sz w:val="32"/>
              <w:szCs w:val="32"/>
              <w:highlight w:val="none"/>
            </w:rPr>
            <w:fldChar w:fldCharType="separate"/>
          </w:r>
          <w:r>
            <w:rPr>
              <w:b/>
              <w:bCs/>
              <w:color w:val="auto"/>
              <w:sz w:val="32"/>
              <w:szCs w:val="32"/>
              <w:highlight w:val="none"/>
            </w:rPr>
            <w:t>4</w:t>
          </w:r>
          <w:r>
            <w:rPr>
              <w:b/>
              <w:bCs/>
              <w:color w:val="auto"/>
              <w:sz w:val="32"/>
              <w:szCs w:val="32"/>
              <w:highlight w:val="none"/>
            </w:rPr>
            <w:fldChar w:fldCharType="end"/>
          </w:r>
          <w:r>
            <w:rPr>
              <w:b/>
              <w:bCs/>
              <w:color w:val="auto"/>
              <w:sz w:val="32"/>
              <w:szCs w:val="32"/>
              <w:highlight w:val="none"/>
            </w:rPr>
            <w:fldChar w:fldCharType="end"/>
          </w:r>
        </w:p>
        <w:p w14:paraId="411FCD20">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"_Toc17779" </w:instrText>
          </w:r>
          <w:r>
            <w:rPr>
              <w:color w:val="auto"/>
              <w:highlight w:val="none"/>
            </w:rPr>
            <w:fldChar w:fldCharType="separate"/>
          </w:r>
          <w:r>
            <w:rPr>
              <w:rFonts w:hAnsi="宋体"/>
              <w:b/>
              <w:bCs/>
              <w:color w:val="auto"/>
              <w:kern w:val="44"/>
              <w:sz w:val="32"/>
              <w:szCs w:val="48"/>
              <w:highlight w:val="none"/>
              <w:lang w:val="zh-CN"/>
            </w:rPr>
            <w:t xml:space="preserve">第二篇 </w:t>
          </w:r>
          <w:r>
            <w:rPr>
              <w:rFonts w:hint="eastAsia" w:hAnsi="宋体"/>
              <w:b/>
              <w:bCs/>
              <w:color w:val="auto"/>
              <w:kern w:val="44"/>
              <w:sz w:val="32"/>
              <w:szCs w:val="48"/>
              <w:highlight w:val="none"/>
              <w:lang w:val="zh-CN"/>
            </w:rPr>
            <w:t>供应商须知</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_Toc17779 \h </w:instrText>
          </w:r>
          <w:r>
            <w:rPr>
              <w:b/>
              <w:bCs/>
              <w:color w:val="auto"/>
              <w:sz w:val="32"/>
              <w:szCs w:val="32"/>
              <w:highlight w:val="none"/>
            </w:rPr>
            <w:fldChar w:fldCharType="separate"/>
          </w:r>
          <w:r>
            <w:rPr>
              <w:b/>
              <w:bCs/>
              <w:color w:val="auto"/>
              <w:sz w:val="32"/>
              <w:szCs w:val="32"/>
              <w:highlight w:val="none"/>
            </w:rPr>
            <w:t>7</w:t>
          </w:r>
          <w:r>
            <w:rPr>
              <w:b/>
              <w:bCs/>
              <w:color w:val="auto"/>
              <w:sz w:val="32"/>
              <w:szCs w:val="32"/>
              <w:highlight w:val="none"/>
            </w:rPr>
            <w:fldChar w:fldCharType="end"/>
          </w:r>
          <w:r>
            <w:rPr>
              <w:b/>
              <w:bCs/>
              <w:color w:val="auto"/>
              <w:sz w:val="32"/>
              <w:szCs w:val="32"/>
              <w:highlight w:val="none"/>
            </w:rPr>
            <w:fldChar w:fldCharType="end"/>
          </w:r>
        </w:p>
        <w:p w14:paraId="3C5DAF52">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"_Toc22134" </w:instrText>
          </w:r>
          <w:r>
            <w:rPr>
              <w:color w:val="auto"/>
              <w:highlight w:val="none"/>
            </w:rPr>
            <w:fldChar w:fldCharType="separate"/>
          </w:r>
          <w:r>
            <w:rPr>
              <w:rFonts w:hAnsi="宋体"/>
              <w:b/>
              <w:bCs/>
              <w:color w:val="auto"/>
              <w:kern w:val="44"/>
              <w:sz w:val="32"/>
              <w:szCs w:val="48"/>
              <w:highlight w:val="none"/>
              <w:lang w:val="zh-CN"/>
            </w:rPr>
            <w:t xml:space="preserve">第三篇 </w:t>
          </w:r>
          <w:r>
            <w:rPr>
              <w:rFonts w:hint="eastAsia" w:hAnsi="宋体"/>
              <w:b/>
              <w:bCs/>
              <w:color w:val="auto"/>
              <w:kern w:val="44"/>
              <w:sz w:val="32"/>
              <w:szCs w:val="48"/>
              <w:highlight w:val="none"/>
              <w:lang w:val="zh-CN"/>
            </w:rPr>
            <w:t>用户需求书</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_Toc22134 \h </w:instrText>
          </w:r>
          <w:r>
            <w:rPr>
              <w:b/>
              <w:bCs/>
              <w:color w:val="auto"/>
              <w:sz w:val="32"/>
              <w:szCs w:val="32"/>
              <w:highlight w:val="none"/>
            </w:rPr>
            <w:fldChar w:fldCharType="separate"/>
          </w:r>
          <w:r>
            <w:rPr>
              <w:b/>
              <w:bCs/>
              <w:color w:val="auto"/>
              <w:sz w:val="32"/>
              <w:szCs w:val="32"/>
              <w:highlight w:val="none"/>
            </w:rPr>
            <w:t>19</w:t>
          </w:r>
          <w:r>
            <w:rPr>
              <w:b/>
              <w:bCs/>
              <w:color w:val="auto"/>
              <w:sz w:val="32"/>
              <w:szCs w:val="32"/>
              <w:highlight w:val="none"/>
            </w:rPr>
            <w:fldChar w:fldCharType="end"/>
          </w:r>
          <w:r>
            <w:rPr>
              <w:b/>
              <w:bCs/>
              <w:color w:val="auto"/>
              <w:sz w:val="32"/>
              <w:szCs w:val="32"/>
              <w:highlight w:val="none"/>
            </w:rPr>
            <w:fldChar w:fldCharType="end"/>
          </w:r>
        </w:p>
        <w:p w14:paraId="0EEBFEBC">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"_Toc28792" </w:instrText>
          </w:r>
          <w:r>
            <w:rPr>
              <w:color w:val="auto"/>
              <w:highlight w:val="none"/>
            </w:rPr>
            <w:fldChar w:fldCharType="separate"/>
          </w:r>
          <w:r>
            <w:rPr>
              <w:rFonts w:hAnsi="宋体"/>
              <w:b/>
              <w:bCs/>
              <w:color w:val="auto"/>
              <w:kern w:val="44"/>
              <w:sz w:val="32"/>
              <w:szCs w:val="48"/>
              <w:highlight w:val="none"/>
              <w:lang w:val="zh-CN"/>
            </w:rPr>
            <w:t xml:space="preserve">第四篇 </w:t>
          </w:r>
          <w:r>
            <w:rPr>
              <w:rFonts w:hint="eastAsia" w:hAnsi="宋体"/>
              <w:b/>
              <w:bCs/>
              <w:color w:val="auto"/>
              <w:kern w:val="44"/>
              <w:sz w:val="32"/>
              <w:szCs w:val="48"/>
              <w:highlight w:val="none"/>
              <w:lang w:val="zh-CN"/>
            </w:rPr>
            <w:t>评审工作大纲</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_Toc28792 \h </w:instrText>
          </w:r>
          <w:r>
            <w:rPr>
              <w:b/>
              <w:bCs/>
              <w:color w:val="auto"/>
              <w:sz w:val="32"/>
              <w:szCs w:val="32"/>
              <w:highlight w:val="none"/>
            </w:rPr>
            <w:fldChar w:fldCharType="separate"/>
          </w:r>
          <w:r>
            <w:rPr>
              <w:b/>
              <w:bCs/>
              <w:color w:val="auto"/>
              <w:sz w:val="32"/>
              <w:szCs w:val="32"/>
              <w:highlight w:val="none"/>
            </w:rPr>
            <w:t>19</w:t>
          </w:r>
          <w:r>
            <w:rPr>
              <w:b/>
              <w:bCs/>
              <w:color w:val="auto"/>
              <w:sz w:val="32"/>
              <w:szCs w:val="32"/>
              <w:highlight w:val="none"/>
            </w:rPr>
            <w:fldChar w:fldCharType="end"/>
          </w:r>
          <w:r>
            <w:rPr>
              <w:b/>
              <w:bCs/>
              <w:color w:val="auto"/>
              <w:sz w:val="32"/>
              <w:szCs w:val="32"/>
              <w:highlight w:val="none"/>
            </w:rPr>
            <w:fldChar w:fldCharType="end"/>
          </w:r>
        </w:p>
        <w:p w14:paraId="3E482CE3">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"_Toc3360" </w:instrText>
          </w:r>
          <w:r>
            <w:rPr>
              <w:color w:val="auto"/>
              <w:highlight w:val="none"/>
            </w:rPr>
            <w:fldChar w:fldCharType="separate"/>
          </w:r>
          <w:r>
            <w:rPr>
              <w:rFonts w:hAnsi="宋体"/>
              <w:b/>
              <w:bCs/>
              <w:color w:val="auto"/>
              <w:sz w:val="32"/>
              <w:szCs w:val="32"/>
              <w:highlight w:val="none"/>
            </w:rPr>
            <w:t xml:space="preserve">第五篇 </w:t>
          </w:r>
          <w:r>
            <w:rPr>
              <w:rFonts w:hint="eastAsia" w:hAnsi="宋体"/>
              <w:b/>
              <w:bCs/>
              <w:color w:val="auto"/>
              <w:kern w:val="44"/>
              <w:sz w:val="32"/>
              <w:szCs w:val="48"/>
              <w:highlight w:val="none"/>
              <w:lang w:val="zh-CN"/>
            </w:rPr>
            <w:t>合同条款格式</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_Toc3360 \h </w:instrText>
          </w:r>
          <w:r>
            <w:rPr>
              <w:b/>
              <w:bCs/>
              <w:color w:val="auto"/>
              <w:sz w:val="32"/>
              <w:szCs w:val="32"/>
              <w:highlight w:val="none"/>
            </w:rPr>
            <w:fldChar w:fldCharType="separate"/>
          </w:r>
          <w:r>
            <w:rPr>
              <w:b/>
              <w:bCs/>
              <w:color w:val="auto"/>
              <w:sz w:val="32"/>
              <w:szCs w:val="32"/>
              <w:highlight w:val="none"/>
            </w:rPr>
            <w:t>31</w:t>
          </w:r>
          <w:r>
            <w:rPr>
              <w:b/>
              <w:bCs/>
              <w:color w:val="auto"/>
              <w:sz w:val="32"/>
              <w:szCs w:val="32"/>
              <w:highlight w:val="none"/>
            </w:rPr>
            <w:fldChar w:fldCharType="end"/>
          </w:r>
          <w:r>
            <w:rPr>
              <w:b/>
              <w:bCs/>
              <w:color w:val="auto"/>
              <w:sz w:val="32"/>
              <w:szCs w:val="32"/>
              <w:highlight w:val="none"/>
            </w:rPr>
            <w:fldChar w:fldCharType="end"/>
          </w:r>
        </w:p>
        <w:p w14:paraId="1C32F753">
          <w:pPr>
            <w:pStyle w:val="187"/>
            <w:shd w:val="clear"/>
            <w:tabs>
              <w:tab w:val="right" w:leader="dot" w:pos="8306"/>
            </w:tabs>
            <w:spacing w:line="360" w:lineRule="auto"/>
            <w:jc w:val="center"/>
            <w:rPr>
              <w:rFonts w:hint="eastAsia" w:eastAsia="宋体"/>
              <w:b/>
              <w:bCs/>
              <w:color w:val="auto"/>
              <w:sz w:val="32"/>
              <w:szCs w:val="32"/>
              <w:highlight w:val="none"/>
              <w:lang w:val="en-US" w:eastAsia="zh-CN"/>
            </w:rPr>
          </w:pPr>
          <w:r>
            <w:rPr>
              <w:color w:val="auto"/>
              <w:highlight w:val="none"/>
            </w:rPr>
            <w:fldChar w:fldCharType="begin"/>
          </w:r>
          <w:r>
            <w:rPr>
              <w:color w:val="auto"/>
              <w:highlight w:val="none"/>
            </w:rPr>
            <w:instrText xml:space="preserve"> HYPERLINK \l "_Toc9129" </w:instrText>
          </w:r>
          <w:r>
            <w:rPr>
              <w:color w:val="auto"/>
              <w:highlight w:val="none"/>
            </w:rPr>
            <w:fldChar w:fldCharType="separate"/>
          </w:r>
          <w:r>
            <w:rPr>
              <w:rFonts w:hint="eastAsia" w:hAnsi="宋体"/>
              <w:b/>
              <w:bCs/>
              <w:color w:val="auto"/>
              <w:kern w:val="44"/>
              <w:sz w:val="32"/>
              <w:szCs w:val="48"/>
              <w:highlight w:val="none"/>
              <w:lang w:val="zh-CN"/>
            </w:rPr>
            <w:t>第六篇</w:t>
          </w:r>
          <w:r>
            <w:rPr>
              <w:rFonts w:hint="eastAsia" w:hAnsi="宋体"/>
              <w:b/>
              <w:bCs/>
              <w:color w:val="auto"/>
              <w:kern w:val="44"/>
              <w:sz w:val="32"/>
              <w:szCs w:val="48"/>
              <w:highlight w:val="none"/>
            </w:rPr>
            <w:t xml:space="preserve"> </w:t>
          </w:r>
          <w:r>
            <w:rPr>
              <w:rFonts w:hint="eastAsia" w:hAnsi="宋体"/>
              <w:b/>
              <w:bCs/>
              <w:color w:val="auto"/>
              <w:kern w:val="44"/>
              <w:sz w:val="32"/>
              <w:szCs w:val="48"/>
              <w:highlight w:val="none"/>
              <w:lang w:val="zh-CN"/>
            </w:rPr>
            <w:t>磋商响应文件格式</w:t>
          </w:r>
          <w:r>
            <w:rPr>
              <w:b/>
              <w:bCs/>
              <w:color w:val="auto"/>
              <w:sz w:val="32"/>
              <w:szCs w:val="32"/>
              <w:highlight w:val="none"/>
            </w:rPr>
            <w:tab/>
          </w:r>
          <w:r>
            <w:rPr>
              <w:rFonts w:hint="eastAsia"/>
              <w:b/>
              <w:bCs/>
              <w:color w:val="auto"/>
              <w:sz w:val="32"/>
              <w:szCs w:val="32"/>
              <w:highlight w:val="none"/>
              <w:lang w:val="en-US" w:eastAsia="zh-CN"/>
            </w:rPr>
            <w:t>4</w:t>
          </w:r>
          <w:r>
            <w:rPr>
              <w:b/>
              <w:bCs/>
              <w:color w:val="auto"/>
              <w:sz w:val="32"/>
              <w:szCs w:val="32"/>
              <w:highlight w:val="none"/>
            </w:rPr>
            <w:fldChar w:fldCharType="end"/>
          </w:r>
          <w:r>
            <w:rPr>
              <w:rFonts w:hint="eastAsia"/>
              <w:b/>
              <w:bCs/>
              <w:color w:val="auto"/>
              <w:sz w:val="32"/>
              <w:szCs w:val="32"/>
              <w:highlight w:val="none"/>
              <w:lang w:val="en-US" w:eastAsia="zh-CN"/>
            </w:rPr>
            <w:t>0</w:t>
          </w:r>
        </w:p>
        <w:p w14:paraId="2CCBC08B">
          <w:pPr>
            <w:shd w:val="clear"/>
            <w:spacing w:line="360" w:lineRule="auto"/>
            <w:jc w:val="center"/>
            <w:rPr>
              <w:color w:val="auto"/>
              <w:highlight w:val="none"/>
            </w:rPr>
          </w:pPr>
          <w:r>
            <w:rPr>
              <w:b/>
              <w:bCs/>
              <w:color w:val="auto"/>
              <w:sz w:val="32"/>
              <w:szCs w:val="32"/>
              <w:highlight w:val="none"/>
            </w:rPr>
            <w:fldChar w:fldCharType="end"/>
          </w:r>
        </w:p>
      </w:sdtContent>
    </w:sdt>
    <w:p w14:paraId="5AC8AD94">
      <w:pPr>
        <w:shd w:val="clear"/>
        <w:jc w:val="center"/>
        <w:rPr>
          <w:color w:val="auto"/>
          <w:highlight w:val="none"/>
        </w:rPr>
      </w:pPr>
      <w:r>
        <w:rPr>
          <w:rFonts w:hAnsi="宋体"/>
          <w:b/>
          <w:bCs/>
          <w:caps/>
          <w:color w:val="auto"/>
          <w:sz w:val="21"/>
          <w:szCs w:val="21"/>
          <w:highlight w:val="none"/>
        </w:rPr>
        <w:fldChar w:fldCharType="begin"/>
      </w:r>
      <w:r>
        <w:rPr>
          <w:rStyle w:val="60"/>
          <w:rFonts w:hAnsi="宋体"/>
          <w:b/>
          <w:bCs/>
          <w:caps/>
          <w:color w:val="auto"/>
          <w:sz w:val="21"/>
          <w:szCs w:val="21"/>
          <w:highlight w:val="none"/>
        </w:rPr>
        <w:instrText xml:space="preserve"> TOC \o "1-3" \h \z \u </w:instrText>
      </w:r>
      <w:r>
        <w:rPr>
          <w:rFonts w:hAnsi="宋体"/>
          <w:b/>
          <w:bCs/>
          <w:caps/>
          <w:color w:val="auto"/>
          <w:sz w:val="21"/>
          <w:szCs w:val="21"/>
          <w:highlight w:val="none"/>
        </w:rPr>
        <w:fldChar w:fldCharType="separate"/>
      </w:r>
    </w:p>
    <w:p w14:paraId="020B48FC">
      <w:pPr>
        <w:pStyle w:val="2"/>
        <w:keepNext/>
        <w:keepLines/>
        <w:pageBreakBefore/>
        <w:numPr>
          <w:ilvl w:val="0"/>
          <w:numId w:val="10"/>
        </w:numPr>
        <w:shd w:val="clear"/>
        <w:tabs>
          <w:tab w:val="left" w:pos="1080"/>
        </w:tabs>
        <w:spacing w:line="360" w:lineRule="auto"/>
        <w:ind w:left="1078" w:hanging="1077" w:hangingChars="449"/>
        <w:jc w:val="center"/>
        <w:rPr>
          <w:rFonts w:hAnsi="宋体"/>
          <w:b/>
          <w:bCs/>
          <w:color w:val="auto"/>
          <w:kern w:val="44"/>
          <w:sz w:val="28"/>
          <w:szCs w:val="28"/>
          <w:highlight w:val="none"/>
          <w:lang w:val="zh-CN"/>
        </w:rPr>
      </w:pPr>
      <w:bookmarkStart w:id="5" w:name="_Toc3573"/>
      <w:r>
        <w:rPr>
          <w:color w:val="auto"/>
          <w:highlight w:val="none"/>
        </w:rPr>
        <w:fldChar w:fldCharType="end"/>
      </w:r>
      <w:bookmarkEnd w:id="4"/>
      <w:r>
        <w:rPr>
          <w:rFonts w:hint="eastAsia" w:hAnsi="宋体"/>
          <w:b/>
          <w:bCs/>
          <w:color w:val="auto"/>
          <w:kern w:val="44"/>
          <w:sz w:val="28"/>
          <w:szCs w:val="28"/>
          <w:highlight w:val="none"/>
        </w:rPr>
        <w:t>磋商邀请书</w:t>
      </w:r>
      <w:bookmarkEnd w:id="2"/>
      <w:bookmarkEnd w:id="5"/>
    </w:p>
    <w:p w14:paraId="187F342E">
      <w:pPr>
        <w:keepNext w:val="0"/>
        <w:keepLines w:val="0"/>
        <w:pageBreakBefore w:val="0"/>
        <w:widowControl/>
        <w:shd w:val="clear"/>
        <w:tabs>
          <w:tab w:val="left" w:pos="-360"/>
        </w:tabs>
        <w:kinsoku/>
        <w:overflowPunct/>
        <w:topLinePunct w:val="0"/>
        <w:bidi w:val="0"/>
        <w:adjustRightInd/>
        <w:snapToGrid/>
        <w:spacing w:line="360" w:lineRule="auto"/>
        <w:ind w:right="-34" w:firstLine="420" w:firstLineChars="200"/>
        <w:jc w:val="both"/>
        <w:textAlignment w:val="bottom"/>
        <w:rPr>
          <w:rFonts w:hAnsi="宋体"/>
          <w:color w:val="auto"/>
          <w:sz w:val="21"/>
          <w:szCs w:val="21"/>
          <w:highlight w:val="none"/>
        </w:rPr>
      </w:pPr>
      <w:r>
        <w:rPr>
          <w:rFonts w:hint="eastAsia" w:hAnsi="宋体"/>
          <w:color w:val="auto"/>
          <w:sz w:val="21"/>
          <w:szCs w:val="21"/>
          <w:highlight w:val="none"/>
          <w:lang w:eastAsia="zh-CN"/>
        </w:rPr>
        <w:t>广东志正招标有限公司东莞分公司</w:t>
      </w:r>
      <w:r>
        <w:rPr>
          <w:rFonts w:hint="eastAsia" w:hAnsi="宋体"/>
          <w:color w:val="auto"/>
          <w:sz w:val="21"/>
          <w:szCs w:val="21"/>
          <w:highlight w:val="none"/>
        </w:rPr>
        <w:t>（以下简称“采购代理机构”）受</w:t>
      </w:r>
      <w:r>
        <w:rPr>
          <w:rFonts w:hint="eastAsia" w:hAnsi="宋体"/>
          <w:color w:val="auto"/>
          <w:sz w:val="21"/>
          <w:szCs w:val="21"/>
          <w:highlight w:val="none"/>
          <w:lang w:eastAsia="zh-CN"/>
        </w:rPr>
        <w:t>东莞市旗创产业投资有限公司</w:t>
      </w:r>
      <w:r>
        <w:rPr>
          <w:rFonts w:hint="eastAsia" w:hAnsi="宋体"/>
          <w:color w:val="auto"/>
          <w:sz w:val="21"/>
          <w:szCs w:val="21"/>
          <w:highlight w:val="none"/>
        </w:rPr>
        <w:t>（以下简称“采购人”）的委托，为</w:t>
      </w:r>
      <w:r>
        <w:rPr>
          <w:rFonts w:hint="eastAsia" w:hAnsi="宋体"/>
          <w:color w:val="auto"/>
          <w:sz w:val="21"/>
          <w:szCs w:val="21"/>
          <w:highlight w:val="none"/>
          <w:lang w:eastAsia="zh-CN"/>
        </w:rPr>
        <w:t>大塘村优质产业空间项目(北一期)新建1台500KVA箱变工程（重新采购）</w:t>
      </w:r>
      <w:r>
        <w:rPr>
          <w:rFonts w:hint="eastAsia" w:hAnsi="宋体"/>
          <w:color w:val="auto"/>
          <w:sz w:val="21"/>
          <w:szCs w:val="21"/>
          <w:highlight w:val="none"/>
        </w:rPr>
        <w:t>(项目编号：DGQS-DTB-01-003-015（2025))采购所需的服务。本项目采用竞争性磋商采购方式，欢迎合格供应商就本项目提交密封磋商。</w:t>
      </w:r>
    </w:p>
    <w:p w14:paraId="77405187">
      <w:pPr>
        <w:keepNext w:val="0"/>
        <w:keepLines w:val="0"/>
        <w:pageBreakBefore w:val="0"/>
        <w:shd w:val="clear"/>
        <w:kinsoku/>
        <w:overflowPunct/>
        <w:topLinePunct w:val="0"/>
        <w:bidi w:val="0"/>
        <w:snapToGrid/>
        <w:spacing w:line="360" w:lineRule="auto"/>
        <w:rPr>
          <w:rFonts w:hAnsi="宋体"/>
          <w:b/>
          <w:color w:val="auto"/>
          <w:sz w:val="21"/>
          <w:szCs w:val="21"/>
          <w:highlight w:val="none"/>
        </w:rPr>
      </w:pPr>
      <w:bookmarkStart w:id="6" w:name="_Toc4600"/>
      <w:r>
        <w:rPr>
          <w:rFonts w:hint="eastAsia" w:hAnsi="宋体"/>
          <w:b/>
          <w:color w:val="auto"/>
          <w:sz w:val="21"/>
          <w:szCs w:val="21"/>
          <w:highlight w:val="none"/>
        </w:rPr>
        <w:t>一、采购项目概况</w:t>
      </w:r>
    </w:p>
    <w:p w14:paraId="114A29FA">
      <w:pPr>
        <w:keepNext w:val="0"/>
        <w:keepLines w:val="0"/>
        <w:pageBreakBefore w:val="0"/>
        <w:shd w:val="clear"/>
        <w:kinsoku/>
        <w:overflowPunct/>
        <w:topLinePunct w:val="0"/>
        <w:bidi w:val="0"/>
        <w:snapToGrid/>
        <w:spacing w:line="360" w:lineRule="auto"/>
        <w:ind w:firstLine="420" w:firstLineChars="200"/>
        <w:rPr>
          <w:rFonts w:hint="eastAsia" w:hAnsi="宋体" w:eastAsia="宋体"/>
          <w:color w:val="auto"/>
          <w:sz w:val="21"/>
          <w:szCs w:val="21"/>
          <w:highlight w:val="none"/>
          <w:lang w:eastAsia="zh-CN"/>
        </w:rPr>
      </w:pPr>
      <w:r>
        <w:rPr>
          <w:rFonts w:hAnsi="宋体"/>
          <w:color w:val="auto"/>
          <w:sz w:val="21"/>
          <w:szCs w:val="21"/>
          <w:highlight w:val="none"/>
        </w:rPr>
        <w:t>1</w:t>
      </w:r>
      <w:r>
        <w:rPr>
          <w:rFonts w:hint="eastAsia" w:hAnsi="宋体"/>
          <w:color w:val="auto"/>
          <w:sz w:val="21"/>
          <w:szCs w:val="21"/>
          <w:highlight w:val="none"/>
        </w:rPr>
        <w:t>、采购</w:t>
      </w:r>
      <w:r>
        <w:rPr>
          <w:rFonts w:hAnsi="宋体"/>
          <w:color w:val="auto"/>
          <w:sz w:val="21"/>
          <w:szCs w:val="21"/>
          <w:highlight w:val="none"/>
        </w:rPr>
        <w:t>项目名称</w:t>
      </w:r>
      <w:r>
        <w:rPr>
          <w:rFonts w:hint="eastAsia" w:hAnsi="宋体"/>
          <w:color w:val="auto"/>
          <w:sz w:val="21"/>
          <w:szCs w:val="21"/>
          <w:highlight w:val="none"/>
        </w:rPr>
        <w:t>：</w:t>
      </w:r>
      <w:r>
        <w:rPr>
          <w:rFonts w:hint="eastAsia" w:hAnsi="宋体"/>
          <w:b/>
          <w:color w:val="auto"/>
          <w:sz w:val="21"/>
          <w:szCs w:val="21"/>
          <w:highlight w:val="none"/>
          <w:u w:val="single"/>
          <w:lang w:eastAsia="zh-CN"/>
        </w:rPr>
        <w:t>大塘村优质产业空间项目(北一期)新建1台500KVA箱变工程（重新采购）</w:t>
      </w:r>
    </w:p>
    <w:p w14:paraId="76894B1D">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w:t>
      </w:r>
      <w:r>
        <w:rPr>
          <w:rFonts w:hAnsi="宋体"/>
          <w:color w:val="auto"/>
          <w:sz w:val="21"/>
          <w:szCs w:val="21"/>
          <w:highlight w:val="none"/>
        </w:rPr>
        <w:t>预算金额（</w:t>
      </w:r>
      <w:r>
        <w:rPr>
          <w:rFonts w:hint="eastAsia" w:hAnsi="宋体"/>
          <w:color w:val="auto"/>
          <w:sz w:val="21"/>
          <w:szCs w:val="21"/>
          <w:highlight w:val="none"/>
        </w:rPr>
        <w:t>元</w:t>
      </w:r>
      <w:r>
        <w:rPr>
          <w:rFonts w:hAnsi="宋体"/>
          <w:color w:val="auto"/>
          <w:sz w:val="21"/>
          <w:szCs w:val="21"/>
          <w:highlight w:val="none"/>
        </w:rPr>
        <w:t>）</w:t>
      </w:r>
      <w:r>
        <w:rPr>
          <w:rFonts w:hint="eastAsia" w:hAnsi="宋体"/>
          <w:color w:val="auto"/>
          <w:sz w:val="21"/>
          <w:szCs w:val="21"/>
          <w:highlight w:val="none"/>
        </w:rPr>
        <w:t>：</w:t>
      </w:r>
      <w:r>
        <w:rPr>
          <w:rFonts w:hint="eastAsia" w:hAnsi="宋体"/>
          <w:color w:val="auto"/>
          <w:sz w:val="21"/>
          <w:szCs w:val="21"/>
          <w:highlight w:val="none"/>
          <w:u w:val="single"/>
          <w:lang w:val="en-US" w:eastAsia="zh-CN"/>
        </w:rPr>
        <w:t>323522.5</w:t>
      </w:r>
      <w:r>
        <w:rPr>
          <w:rFonts w:hint="eastAsia" w:hAnsi="宋体"/>
          <w:color w:val="auto"/>
          <w:sz w:val="21"/>
          <w:szCs w:val="21"/>
          <w:highlight w:val="none"/>
        </w:rPr>
        <w:t>元（</w:t>
      </w:r>
      <w:r>
        <w:rPr>
          <w:rFonts w:hint="eastAsia" w:hAnsi="宋体"/>
          <w:color w:val="auto"/>
          <w:sz w:val="21"/>
          <w:szCs w:val="21"/>
          <w:highlight w:val="none"/>
          <w:lang w:eastAsia="zh-CN"/>
        </w:rPr>
        <w:t>大写：</w:t>
      </w:r>
      <w:r>
        <w:rPr>
          <w:rFonts w:hint="eastAsia" w:hAnsi="宋体"/>
          <w:color w:val="auto"/>
          <w:sz w:val="21"/>
          <w:szCs w:val="21"/>
          <w:highlight w:val="none"/>
          <w:lang w:val="en-US" w:eastAsia="zh-CN"/>
        </w:rPr>
        <w:t>人民币叁拾贰万叁仟伍佰贰拾贰元伍角</w:t>
      </w:r>
      <w:r>
        <w:rPr>
          <w:rFonts w:hint="eastAsia" w:hAnsi="宋体"/>
          <w:color w:val="auto"/>
          <w:sz w:val="21"/>
          <w:szCs w:val="21"/>
          <w:highlight w:val="none"/>
        </w:rPr>
        <w:t>）</w:t>
      </w:r>
    </w:p>
    <w:p w14:paraId="70D8BF3B">
      <w:pPr>
        <w:keepNext w:val="0"/>
        <w:keepLines w:val="0"/>
        <w:pageBreakBefore w:val="0"/>
        <w:shd w:val="clear"/>
        <w:kinsoku/>
        <w:overflowPunct/>
        <w:topLinePunct w:val="0"/>
        <w:bidi w:val="0"/>
        <w:snapToGrid/>
        <w:spacing w:line="360" w:lineRule="auto"/>
        <w:ind w:firstLine="480" w:firstLineChars="200"/>
        <w:rPr>
          <w:rFonts w:hint="default" w:hAnsi="宋体"/>
          <w:color w:val="auto"/>
          <w:sz w:val="21"/>
          <w:szCs w:val="21"/>
          <w:highlight w:val="none"/>
          <w:u w:val="none"/>
          <w:lang w:val="en-US"/>
        </w:rPr>
      </w:pPr>
      <w:r>
        <w:rPr>
          <w:rFonts w:hint="eastAsia"/>
          <w:color w:val="auto"/>
          <w:highlight w:val="none"/>
          <w:lang w:val="en-US" w:eastAsia="zh-CN"/>
        </w:rPr>
        <w:t xml:space="preserve">  </w:t>
      </w:r>
      <w:r>
        <w:rPr>
          <w:rFonts w:hint="eastAsia" w:hAnsi="宋体"/>
          <w:color w:val="auto"/>
          <w:sz w:val="21"/>
          <w:szCs w:val="21"/>
          <w:highlight w:val="none"/>
          <w:lang w:eastAsia="zh-CN"/>
        </w:rPr>
        <w:t>最高限价（元）：</w:t>
      </w:r>
      <w:r>
        <w:rPr>
          <w:rFonts w:hint="eastAsia" w:hAnsi="宋体"/>
          <w:color w:val="auto"/>
          <w:sz w:val="21"/>
          <w:szCs w:val="21"/>
          <w:highlight w:val="none"/>
          <w:u w:val="single"/>
          <w:lang w:eastAsia="zh-CN"/>
        </w:rPr>
        <w:t>294507.85</w:t>
      </w:r>
      <w:r>
        <w:rPr>
          <w:rFonts w:hint="eastAsia" w:hAnsi="宋体"/>
          <w:color w:val="auto"/>
          <w:sz w:val="21"/>
          <w:szCs w:val="21"/>
          <w:highlight w:val="none"/>
          <w:u w:val="none"/>
          <w:lang w:eastAsia="zh-CN"/>
        </w:rPr>
        <w:t>元（大写：人民币</w:t>
      </w:r>
      <w:r>
        <w:rPr>
          <w:rFonts w:hint="eastAsia" w:hAnsi="宋体"/>
          <w:color w:val="auto"/>
          <w:sz w:val="21"/>
          <w:szCs w:val="21"/>
          <w:highlight w:val="none"/>
          <w:u w:val="none"/>
          <w:lang w:val="en-US" w:eastAsia="zh-CN"/>
        </w:rPr>
        <w:t>贰拾玖万肆仟伍佰零柒元捌角伍分</w:t>
      </w:r>
      <w:r>
        <w:rPr>
          <w:rFonts w:hint="eastAsia" w:hAnsi="宋体"/>
          <w:color w:val="auto"/>
          <w:sz w:val="21"/>
          <w:szCs w:val="21"/>
          <w:highlight w:val="none"/>
          <w:u w:val="none"/>
          <w:lang w:eastAsia="zh-CN"/>
        </w:rPr>
        <w:t>）。</w:t>
      </w:r>
    </w:p>
    <w:p w14:paraId="1BABD9AD">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3、项目内容</w:t>
      </w:r>
    </w:p>
    <w:tbl>
      <w:tblPr>
        <w:tblStyle w:val="53"/>
        <w:tblW w:w="42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8"/>
        <w:gridCol w:w="2093"/>
      </w:tblGrid>
      <w:tr w14:paraId="49B52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3683" w:type="pct"/>
            <w:vAlign w:val="center"/>
          </w:tcPr>
          <w:p w14:paraId="10E994B9">
            <w:pPr>
              <w:keepNext w:val="0"/>
              <w:keepLines w:val="0"/>
              <w:pageBreakBefore w:val="0"/>
              <w:shd w:val="clear"/>
              <w:kinsoku/>
              <w:overflowPunct/>
              <w:topLinePunct w:val="0"/>
              <w:bidi w:val="0"/>
              <w:snapToGrid/>
              <w:spacing w:line="360" w:lineRule="auto"/>
              <w:jc w:val="center"/>
              <w:rPr>
                <w:rFonts w:hAnsi="宋体"/>
                <w:color w:val="auto"/>
                <w:kern w:val="28"/>
                <w:sz w:val="21"/>
                <w:szCs w:val="21"/>
                <w:highlight w:val="none"/>
              </w:rPr>
            </w:pPr>
            <w:r>
              <w:rPr>
                <w:rFonts w:hint="eastAsia" w:hAnsi="宋体"/>
                <w:color w:val="auto"/>
                <w:kern w:val="28"/>
                <w:sz w:val="21"/>
                <w:szCs w:val="21"/>
                <w:highlight w:val="none"/>
              </w:rPr>
              <w:t>项目内容</w:t>
            </w:r>
          </w:p>
        </w:tc>
        <w:tc>
          <w:tcPr>
            <w:tcW w:w="1316" w:type="pct"/>
            <w:vAlign w:val="center"/>
          </w:tcPr>
          <w:p w14:paraId="07FE6176">
            <w:pPr>
              <w:keepNext w:val="0"/>
              <w:keepLines w:val="0"/>
              <w:pageBreakBefore w:val="0"/>
              <w:shd w:val="clear"/>
              <w:kinsoku/>
              <w:overflowPunct/>
              <w:topLinePunct w:val="0"/>
              <w:bidi w:val="0"/>
              <w:snapToGrid/>
              <w:spacing w:line="360" w:lineRule="auto"/>
              <w:jc w:val="center"/>
              <w:rPr>
                <w:rFonts w:hAnsi="宋体"/>
                <w:color w:val="auto"/>
                <w:kern w:val="28"/>
                <w:sz w:val="21"/>
                <w:szCs w:val="21"/>
                <w:highlight w:val="none"/>
              </w:rPr>
            </w:pPr>
            <w:r>
              <w:rPr>
                <w:rFonts w:hint="eastAsia" w:hAnsi="宋体"/>
                <w:color w:val="auto"/>
                <w:kern w:val="28"/>
                <w:sz w:val="21"/>
                <w:szCs w:val="21"/>
                <w:highlight w:val="none"/>
              </w:rPr>
              <w:t>采购服务单位数量</w:t>
            </w:r>
          </w:p>
        </w:tc>
      </w:tr>
      <w:tr w14:paraId="29FE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683" w:type="pct"/>
            <w:vAlign w:val="center"/>
          </w:tcPr>
          <w:p w14:paraId="03EEB4FA">
            <w:pPr>
              <w:keepNext w:val="0"/>
              <w:keepLines w:val="0"/>
              <w:pageBreakBefore w:val="0"/>
              <w:shd w:val="clear"/>
              <w:kinsoku/>
              <w:overflowPunct/>
              <w:topLinePunct w:val="0"/>
              <w:bidi w:val="0"/>
              <w:snapToGrid/>
              <w:spacing w:line="360" w:lineRule="auto"/>
              <w:jc w:val="center"/>
              <w:rPr>
                <w:rFonts w:hint="eastAsia" w:hAnsi="宋体" w:eastAsia="宋体"/>
                <w:color w:val="auto"/>
                <w:sz w:val="21"/>
                <w:szCs w:val="21"/>
                <w:highlight w:val="none"/>
                <w:lang w:eastAsia="zh-CN"/>
              </w:rPr>
            </w:pPr>
            <w:r>
              <w:rPr>
                <w:rFonts w:hint="eastAsia" w:hAnsi="宋体"/>
                <w:color w:val="auto"/>
                <w:sz w:val="21"/>
                <w:szCs w:val="21"/>
                <w:highlight w:val="none"/>
                <w:lang w:eastAsia="zh-CN"/>
              </w:rPr>
              <w:t>大塘村优质产业空间项目(北一期)新建1台500KVA箱变工程</w:t>
            </w:r>
          </w:p>
        </w:tc>
        <w:tc>
          <w:tcPr>
            <w:tcW w:w="1316" w:type="pct"/>
            <w:vAlign w:val="center"/>
          </w:tcPr>
          <w:p w14:paraId="568F551E">
            <w:pPr>
              <w:keepNext w:val="0"/>
              <w:keepLines w:val="0"/>
              <w:pageBreakBefore w:val="0"/>
              <w:shd w:val="clear"/>
              <w:kinsoku/>
              <w:overflowPunct/>
              <w:topLinePunct w:val="0"/>
              <w:bidi w:val="0"/>
              <w:snapToGrid/>
              <w:spacing w:line="360" w:lineRule="auto"/>
              <w:jc w:val="center"/>
              <w:rPr>
                <w:rFonts w:hAnsi="宋体"/>
                <w:color w:val="auto"/>
                <w:sz w:val="21"/>
                <w:szCs w:val="21"/>
                <w:highlight w:val="none"/>
              </w:rPr>
            </w:pPr>
            <w:r>
              <w:rPr>
                <w:rFonts w:hint="eastAsia" w:hAnsi="宋体"/>
                <w:color w:val="auto"/>
                <w:sz w:val="21"/>
                <w:szCs w:val="21"/>
                <w:highlight w:val="none"/>
              </w:rPr>
              <w:t>1</w:t>
            </w:r>
          </w:p>
        </w:tc>
      </w:tr>
    </w:tbl>
    <w:p w14:paraId="140D9530">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4</w:t>
      </w:r>
      <w:r>
        <w:rPr>
          <w:rFonts w:hint="eastAsia" w:hAnsi="宋体"/>
          <w:color w:val="auto"/>
          <w:sz w:val="21"/>
          <w:szCs w:val="21"/>
          <w:highlight w:val="none"/>
        </w:rPr>
        <w:t>、项目需求</w:t>
      </w:r>
    </w:p>
    <w:p w14:paraId="64C30DE7">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详细内容请参阅采购文件第三部分《用户需求书》。</w:t>
      </w:r>
    </w:p>
    <w:p w14:paraId="59A1285A">
      <w:pPr>
        <w:keepNext w:val="0"/>
        <w:keepLines w:val="0"/>
        <w:pageBreakBefore w:val="0"/>
        <w:widowControl/>
        <w:shd w:val="clear"/>
        <w:kinsoku/>
        <w:overflowPunct/>
        <w:topLinePunct w:val="0"/>
        <w:bidi w:val="0"/>
        <w:adjustRightInd/>
        <w:snapToGrid/>
        <w:spacing w:line="360" w:lineRule="auto"/>
        <w:outlineLvl w:val="0"/>
        <w:rPr>
          <w:rFonts w:hAnsi="宋体"/>
          <w:b/>
          <w:bCs/>
          <w:color w:val="auto"/>
          <w:kern w:val="28"/>
          <w:sz w:val="21"/>
          <w:szCs w:val="21"/>
          <w:highlight w:val="none"/>
        </w:rPr>
      </w:pPr>
      <w:r>
        <w:rPr>
          <w:rFonts w:hint="eastAsia" w:hAnsi="宋体"/>
          <w:b/>
          <w:bCs/>
          <w:color w:val="auto"/>
          <w:kern w:val="28"/>
          <w:sz w:val="21"/>
          <w:szCs w:val="21"/>
          <w:highlight w:val="none"/>
          <w:lang w:val="zh-CN"/>
        </w:rPr>
        <w:t>二、供应商须满足以下资格条件</w:t>
      </w:r>
      <w:r>
        <w:rPr>
          <w:rFonts w:hint="eastAsia" w:hAnsi="宋体"/>
          <w:b/>
          <w:bCs/>
          <w:color w:val="auto"/>
          <w:kern w:val="28"/>
          <w:sz w:val="21"/>
          <w:szCs w:val="21"/>
          <w:highlight w:val="none"/>
        </w:rPr>
        <w:t>：</w:t>
      </w:r>
      <w:bookmarkEnd w:id="6"/>
    </w:p>
    <w:p w14:paraId="378F2E7D">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bookmarkStart w:id="7" w:name="_Toc8581"/>
      <w:bookmarkStart w:id="8" w:name="_Toc396137230"/>
      <w:r>
        <w:rPr>
          <w:rFonts w:hint="eastAsia" w:hAnsi="宋体"/>
          <w:color w:val="auto"/>
          <w:sz w:val="21"/>
          <w:szCs w:val="21"/>
          <w:highlight w:val="none"/>
        </w:rPr>
        <w:t>1、供应商须为在中华人民共和国境内登记注册的具有独立承担民事责任能力的法人或其他组织。</w:t>
      </w:r>
    </w:p>
    <w:p w14:paraId="31D49610">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2、供应商的单位负责人为同一人或者存在直接控股、管理关系的不同供应商，不得参加同一合同项下的采购活动。</w:t>
      </w:r>
    </w:p>
    <w:p w14:paraId="559359F5">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3、供应商参加采购活动前3年内，在经营活动中没有重大违法记录（提供书面声明函）。重大违法记录，是指投标人因违法经营受到刑事处罚或者责令停产停业、吊销许可证或者执照、较大数额罚款等行政处罚。（根据财库〔2022〕3号文，“较大数额罚 款”认定为200万元以上的罚款，法律、行政法规以及国务院有关部门明确规定相关领域“较大数额罚款”标准高于200万元的，从其规定）。</w:t>
      </w:r>
    </w:p>
    <w:p w14:paraId="5B1F22AB">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4、供应商未被列入“信用中国”网站(www.creditchina.gov.cn)“失信被执行人或重大税收违法失信主体或政府采购严重违法失信行为记录名单”（以采购代理机构磋商截止日当天在“信用中国”网站（www.creditchina.gov.cn）查询结果为准，如相关失信记录已失效，供应商需提供相关证明资料）。</w:t>
      </w:r>
    </w:p>
    <w:p w14:paraId="47E7A774">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5、供应商未被列入东实集团及下属企业工程建设领域黑名单【以东莞实业投资控股集团有限公司发文（东实通〔2021〕44号）、（东实通〔2021〕98号）、（东实通〔2022〕75号）、（东实通〔2023〕37号）、（东实通〔2024〕163号）、（东实通〔2024〕195号）及下属企业发文为准，如有最新发文通知，按最新文件执行】。</w:t>
      </w:r>
    </w:p>
    <w:p w14:paraId="4D296EC8">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6、供应商其他资格要求：</w:t>
      </w:r>
    </w:p>
    <w:p w14:paraId="3550296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（1）供应商须具有有效期内的以下其中一种资质：①电力工程施工总承包乙级（或以上）资质；②输变电工程专业承包乙级（或以上）资质</w:t>
      </w:r>
      <w:r>
        <w:rPr>
          <w:rFonts w:hint="eastAsia" w:hAnsi="宋体"/>
          <w:color w:val="auto"/>
          <w:sz w:val="21"/>
          <w:szCs w:val="21"/>
          <w:highlight w:val="none"/>
        </w:rPr>
        <w:t>(在响应文件中须提供证书复印件加盖公章)</w:t>
      </w:r>
      <w:r>
        <w:rPr>
          <w:rFonts w:hint="eastAsia" w:ascii="宋体" w:hAnsi="宋体" w:eastAsia="宋体" w:cs="宋体"/>
          <w:color w:val="auto"/>
          <w:sz w:val="21"/>
          <w:szCs w:val="21"/>
          <w:highlight w:val="none"/>
        </w:rPr>
        <w:t>；</w:t>
      </w:r>
    </w:p>
    <w:p w14:paraId="0A6E56C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【或更换资质证书前有效期内：①电力工程施工总承包三级（或以上）资质；②输变电工程专业承包三级（或以上）资质】</w:t>
      </w:r>
    </w:p>
    <w:p w14:paraId="0BE44794">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（2）供应商应具有国家能源局或其各派出机构(监管局)颁发的具备《承装(修、试)</w:t>
      </w:r>
      <w:r>
        <w:rPr>
          <w:rFonts w:hint="eastAsia" w:hAnsi="宋体"/>
          <w:color w:val="auto"/>
          <w:sz w:val="21"/>
          <w:szCs w:val="21"/>
          <w:highlight w:val="none"/>
          <w:lang w:val="en-US" w:eastAsia="zh-CN"/>
        </w:rPr>
        <w:t>电</w:t>
      </w:r>
      <w:r>
        <w:rPr>
          <w:rFonts w:hint="eastAsia" w:hAnsi="宋体"/>
          <w:color w:val="auto"/>
          <w:sz w:val="21"/>
          <w:szCs w:val="21"/>
          <w:highlight w:val="none"/>
        </w:rPr>
        <w:t>力设施许可证》承装类、承试类、承修类五级及以上许可。注:《承装(修、试)电力设</w:t>
      </w:r>
      <w:r>
        <w:rPr>
          <w:rFonts w:hint="eastAsia" w:hAnsi="宋体"/>
          <w:color w:val="auto"/>
          <w:sz w:val="21"/>
          <w:szCs w:val="21"/>
          <w:highlight w:val="none"/>
          <w:lang w:val="en-US" w:eastAsia="zh-CN"/>
        </w:rPr>
        <w:t>施</w:t>
      </w:r>
      <w:r>
        <w:rPr>
          <w:rFonts w:hint="eastAsia" w:hAnsi="宋体"/>
          <w:color w:val="auto"/>
          <w:sz w:val="21"/>
          <w:szCs w:val="21"/>
          <w:highlight w:val="none"/>
        </w:rPr>
        <w:t>许可证管理办法》(国家发展改革委2025年第30号令)于2025年7月1日起施行，过渡期间按《国家能源局关于做好承装(修、试)电力设施许可证换领和延续工作的通知》(国能发资质(2025)44号)执行。(在响应文件中须提供证书复印件加盖公章)；</w:t>
      </w:r>
    </w:p>
    <w:p w14:paraId="527391CF">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（3）供应商须具备有效的安全生产许可证(在响应文件中须提供证书复印件加盖公章)；</w:t>
      </w:r>
    </w:p>
    <w:p w14:paraId="0C9636AF">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4）供应商在项目所在地政府及中国南方电网有限责任公司、广东电网有限责任公司无处于限制投标资格的处罚（在响应文件中须提供单独的承诺函加盖公章）。注：由各级主管部门审批的企业资质资格的有效期于投标截止日已过期的供应商，如能提供对应主管部门有关资质资格有效期顺延的文件且供应商企业、人员资质资格情况符合文件规定，则视为仍然有效(在响应文件中须提供单独的承诺函加盖公章)。</w:t>
      </w:r>
    </w:p>
    <w:p w14:paraId="6E4C9A4F">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7、本项目不接受联合体磋商。</w:t>
      </w:r>
    </w:p>
    <w:p w14:paraId="016806CA">
      <w:pPr>
        <w:keepNext w:val="0"/>
        <w:keepLines w:val="0"/>
        <w:pageBreakBefore w:val="0"/>
        <w:shd w:val="clear"/>
        <w:kinsoku/>
        <w:overflowPunct/>
        <w:topLinePunct w:val="0"/>
        <w:bidi w:val="0"/>
        <w:snapToGrid/>
        <w:spacing w:line="360" w:lineRule="auto"/>
        <w:outlineLvl w:val="0"/>
        <w:rPr>
          <w:rFonts w:hAnsi="宋体"/>
          <w:b/>
          <w:bCs/>
          <w:color w:val="auto"/>
          <w:sz w:val="21"/>
          <w:szCs w:val="21"/>
          <w:highlight w:val="none"/>
        </w:rPr>
      </w:pPr>
      <w:r>
        <w:rPr>
          <w:rFonts w:hint="eastAsia" w:hAnsi="宋体"/>
          <w:b/>
          <w:bCs/>
          <w:color w:val="auto"/>
          <w:sz w:val="21"/>
          <w:szCs w:val="21"/>
          <w:highlight w:val="none"/>
        </w:rPr>
        <w:t>三、获取磋商文件：</w:t>
      </w:r>
      <w:bookmarkEnd w:id="7"/>
    </w:p>
    <w:p w14:paraId="46365196">
      <w:pPr>
        <w:keepNext w:val="0"/>
        <w:keepLines w:val="0"/>
        <w:pageBreakBefore w:val="0"/>
        <w:widowControl/>
        <w:shd w:val="clear"/>
        <w:kinsoku/>
        <w:overflowPunct/>
        <w:topLinePunct w:val="0"/>
        <w:bidi w:val="0"/>
        <w:adjustRightInd/>
        <w:snapToGrid/>
        <w:spacing w:line="360" w:lineRule="auto"/>
        <w:ind w:left="0" w:right="0" w:firstLine="420" w:firstLineChars="200"/>
        <w:textAlignment w:val="bottom"/>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本项目不进行实名登记报名，拟参加磋商的供应商于磋商截止时间前自行网上下载采购文件。采购文件下载地址：中国招标投标公共服务平台（http://www.cebpubservice.com/）、</w:t>
      </w:r>
      <w:r>
        <w:rPr>
          <w:rFonts w:hint="eastAsia" w:ascii="宋体" w:hAnsi="宋体" w:eastAsia="宋体" w:cs="宋体"/>
          <w:strike w:val="0"/>
          <w:color w:val="auto"/>
          <w:kern w:val="2"/>
          <w:sz w:val="21"/>
          <w:szCs w:val="21"/>
          <w:highlight w:val="none"/>
        </w:rPr>
        <w:t>东莞实业投资控股集团有限公司-招标采购栏目（http://www.dgsy.com.cn/）、</w:t>
      </w:r>
      <w:r>
        <w:rPr>
          <w:rFonts w:hint="eastAsia" w:ascii="宋体" w:hAnsi="宋体" w:eastAsia="宋体" w:cs="宋体"/>
          <w:color w:val="auto"/>
          <w:kern w:val="2"/>
          <w:sz w:val="21"/>
          <w:szCs w:val="21"/>
          <w:highlight w:val="none"/>
        </w:rPr>
        <w:t>代理公司官网（http://</w:t>
      </w:r>
      <w:r>
        <w:rPr>
          <w:rFonts w:hint="eastAsia" w:hAnsi="宋体" w:cs="宋体"/>
          <w:color w:val="auto"/>
          <w:kern w:val="2"/>
          <w:sz w:val="21"/>
          <w:szCs w:val="21"/>
          <w:highlight w:val="none"/>
          <w:lang w:eastAsia="zh-CN"/>
        </w:rPr>
        <w:t>www.zztender.com</w:t>
      </w:r>
      <w:r>
        <w:rPr>
          <w:rFonts w:hint="eastAsia" w:ascii="宋体" w:hAnsi="宋体" w:eastAsia="宋体" w:cs="宋体"/>
          <w:color w:val="auto"/>
          <w:kern w:val="2"/>
          <w:sz w:val="21"/>
          <w:szCs w:val="21"/>
          <w:highlight w:val="none"/>
        </w:rPr>
        <w:t>/）。</w:t>
      </w:r>
    </w:p>
    <w:p w14:paraId="72336133">
      <w:pPr>
        <w:pStyle w:val="64"/>
        <w:spacing w:line="360" w:lineRule="auto"/>
        <w:rPr>
          <w:rFonts w:ascii="宋体" w:hAnsi="宋体" w:eastAsia="宋体" w:cs="宋体"/>
          <w:bCs/>
          <w:color w:val="auto"/>
          <w:sz w:val="21"/>
          <w:szCs w:val="21"/>
          <w:highlight w:val="none"/>
        </w:rPr>
      </w:pPr>
      <w:r>
        <w:rPr>
          <w:rFonts w:hint="eastAsia" w:ascii="宋体" w:hAnsi="宋体" w:eastAsia="宋体" w:cs="宋体"/>
          <w:color w:val="auto"/>
          <w:kern w:val="2"/>
          <w:sz w:val="21"/>
          <w:szCs w:val="21"/>
          <w:highlight w:val="none"/>
        </w:rPr>
        <w:t>采购结果公告发布媒介：</w:t>
      </w:r>
      <w:r>
        <w:rPr>
          <w:rFonts w:hint="eastAsia" w:ascii="宋体" w:hAnsi="宋体" w:eastAsia="宋体" w:cs="宋体"/>
          <w:color w:val="auto"/>
          <w:sz w:val="21"/>
          <w:szCs w:val="21"/>
          <w:highlight w:val="none"/>
        </w:rPr>
        <w:t>东莞实业投资控股集团有限公司-招标采购栏目（http://www.dgsy.com.cn/）。</w:t>
      </w:r>
    </w:p>
    <w:p w14:paraId="5C58F580">
      <w:pPr>
        <w:keepNext w:val="0"/>
        <w:keepLines w:val="0"/>
        <w:pageBreakBefore w:val="0"/>
        <w:widowControl/>
        <w:shd w:val="clear"/>
        <w:kinsoku/>
        <w:overflowPunct/>
        <w:topLinePunct w:val="0"/>
        <w:bidi w:val="0"/>
        <w:snapToGrid/>
        <w:spacing w:line="360" w:lineRule="auto"/>
        <w:ind w:firstLine="482" w:firstLineChars="200"/>
        <w:textAlignment w:val="bottom"/>
        <w:rPr>
          <w:rFonts w:hAnsi="宋体"/>
          <w:b/>
          <w:bCs/>
          <w:color w:val="auto"/>
          <w:szCs w:val="21"/>
          <w:highlight w:val="none"/>
        </w:rPr>
      </w:pPr>
      <w:r>
        <w:rPr>
          <w:rFonts w:hint="eastAsia" w:hAnsi="宋体"/>
          <w:b/>
          <w:bCs/>
          <w:color w:val="auto"/>
          <w:szCs w:val="21"/>
          <w:highlight w:val="none"/>
        </w:rPr>
        <w:t>四、接收响应文件的时间、地点、截止时间，开启响应文件时间、地点</w:t>
      </w:r>
      <w:r>
        <w:rPr>
          <w:rFonts w:hint="eastAsia" w:hAnsi="宋体"/>
          <w:b/>
          <w:color w:val="auto"/>
          <w:szCs w:val="21"/>
          <w:highlight w:val="none"/>
        </w:rPr>
        <w:t>：</w:t>
      </w:r>
    </w:p>
    <w:p w14:paraId="76EBBDC6">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1、接收响应文件的时间：</w:t>
      </w:r>
      <w:r>
        <w:rPr>
          <w:rFonts w:hint="eastAsia" w:hAnsi="宋体"/>
          <w:color w:val="auto"/>
          <w:sz w:val="21"/>
          <w:szCs w:val="21"/>
          <w:highlight w:val="none"/>
          <w:lang w:eastAsia="zh-CN"/>
        </w:rPr>
        <w:t>202</w:t>
      </w:r>
      <w:r>
        <w:rPr>
          <w:rFonts w:hint="eastAsia" w:hAnsi="宋体"/>
          <w:color w:val="auto"/>
          <w:sz w:val="21"/>
          <w:szCs w:val="21"/>
          <w:highlight w:val="none"/>
          <w:lang w:val="en-US" w:eastAsia="zh-CN"/>
        </w:rPr>
        <w:t>5</w:t>
      </w:r>
      <w:r>
        <w:rPr>
          <w:rFonts w:hint="eastAsia" w:hAnsi="宋体"/>
          <w:color w:val="auto"/>
          <w:sz w:val="21"/>
          <w:szCs w:val="21"/>
          <w:highlight w:val="none"/>
        </w:rPr>
        <w:t>年</w:t>
      </w:r>
      <w:r>
        <w:rPr>
          <w:rFonts w:hint="eastAsia" w:hAnsi="宋体"/>
          <w:color w:val="auto"/>
          <w:sz w:val="21"/>
          <w:szCs w:val="21"/>
          <w:highlight w:val="none"/>
          <w:lang w:val="en-US" w:eastAsia="zh-CN"/>
        </w:rPr>
        <w:t>10</w:t>
      </w:r>
      <w:r>
        <w:rPr>
          <w:rFonts w:hint="eastAsia" w:hAnsi="宋体"/>
          <w:color w:val="auto"/>
          <w:sz w:val="21"/>
          <w:szCs w:val="21"/>
          <w:highlight w:val="none"/>
        </w:rPr>
        <w:t>月</w:t>
      </w:r>
      <w:r>
        <w:rPr>
          <w:rFonts w:hint="eastAsia" w:hAnsi="宋体"/>
          <w:color w:val="auto"/>
          <w:sz w:val="21"/>
          <w:szCs w:val="21"/>
          <w:highlight w:val="none"/>
          <w:lang w:val="en-US" w:eastAsia="zh-CN"/>
        </w:rPr>
        <w:t>28</w:t>
      </w:r>
      <w:r>
        <w:rPr>
          <w:rFonts w:hint="eastAsia" w:hAnsi="宋体"/>
          <w:color w:val="auto"/>
          <w:sz w:val="21"/>
          <w:szCs w:val="21"/>
          <w:highlight w:val="none"/>
        </w:rPr>
        <w:t>日</w:t>
      </w:r>
      <w:r>
        <w:rPr>
          <w:rFonts w:hint="eastAsia" w:hAnsi="宋体"/>
          <w:color w:val="auto"/>
          <w:sz w:val="21"/>
          <w:szCs w:val="21"/>
          <w:highlight w:val="none"/>
          <w:lang w:val="en-US" w:eastAsia="zh-CN"/>
        </w:rPr>
        <w:t xml:space="preserve"> </w:t>
      </w:r>
      <w:r>
        <w:rPr>
          <w:rFonts w:hint="eastAsia" w:hAnsi="宋体"/>
          <w:color w:val="auto"/>
          <w:sz w:val="21"/>
          <w:szCs w:val="21"/>
          <w:highlight w:val="none"/>
          <w:lang w:eastAsia="zh-CN"/>
        </w:rPr>
        <w:t>下午</w:t>
      </w:r>
      <w:r>
        <w:rPr>
          <w:rFonts w:hint="eastAsia" w:hAnsi="宋体"/>
          <w:color w:val="auto"/>
          <w:sz w:val="21"/>
          <w:szCs w:val="21"/>
          <w:highlight w:val="none"/>
          <w:lang w:val="en-US" w:eastAsia="zh-CN"/>
        </w:rPr>
        <w:t>14</w:t>
      </w:r>
      <w:r>
        <w:rPr>
          <w:rFonts w:hint="eastAsia" w:hAnsi="宋体"/>
          <w:color w:val="auto"/>
          <w:sz w:val="21"/>
          <w:szCs w:val="21"/>
          <w:highlight w:val="none"/>
        </w:rPr>
        <w:t>:00～</w:t>
      </w:r>
      <w:r>
        <w:rPr>
          <w:rFonts w:hint="eastAsia" w:hAnsi="宋体"/>
          <w:color w:val="auto"/>
          <w:sz w:val="21"/>
          <w:szCs w:val="21"/>
          <w:highlight w:val="none"/>
          <w:lang w:val="en-US" w:eastAsia="zh-CN"/>
        </w:rPr>
        <w:t>14</w:t>
      </w:r>
      <w:r>
        <w:rPr>
          <w:rFonts w:hint="eastAsia" w:hAnsi="宋体"/>
          <w:color w:val="auto"/>
          <w:sz w:val="21"/>
          <w:szCs w:val="21"/>
          <w:highlight w:val="none"/>
        </w:rPr>
        <w:t>:30。</w:t>
      </w:r>
    </w:p>
    <w:p w14:paraId="1E77BF66">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2、接收响应文件截止时间及开启响应文件时间：</w:t>
      </w:r>
      <w:r>
        <w:rPr>
          <w:rFonts w:hint="eastAsia" w:hAnsi="宋体"/>
          <w:color w:val="auto"/>
          <w:sz w:val="21"/>
          <w:szCs w:val="21"/>
          <w:highlight w:val="none"/>
          <w:lang w:eastAsia="zh-CN"/>
        </w:rPr>
        <w:t>202</w:t>
      </w:r>
      <w:r>
        <w:rPr>
          <w:rFonts w:hint="eastAsia" w:hAnsi="宋体"/>
          <w:color w:val="auto"/>
          <w:sz w:val="21"/>
          <w:szCs w:val="21"/>
          <w:highlight w:val="none"/>
          <w:lang w:val="en-US" w:eastAsia="zh-CN"/>
        </w:rPr>
        <w:t>5</w:t>
      </w:r>
      <w:r>
        <w:rPr>
          <w:rFonts w:hint="eastAsia" w:hAnsi="宋体"/>
          <w:color w:val="auto"/>
          <w:sz w:val="21"/>
          <w:szCs w:val="21"/>
          <w:highlight w:val="none"/>
        </w:rPr>
        <w:t>年</w:t>
      </w:r>
      <w:r>
        <w:rPr>
          <w:rFonts w:hint="eastAsia" w:hAnsi="宋体"/>
          <w:color w:val="auto"/>
          <w:sz w:val="21"/>
          <w:szCs w:val="21"/>
          <w:highlight w:val="none"/>
          <w:lang w:val="en-US" w:eastAsia="zh-CN"/>
        </w:rPr>
        <w:t>10</w:t>
      </w:r>
      <w:r>
        <w:rPr>
          <w:rFonts w:hint="eastAsia" w:hAnsi="宋体"/>
          <w:color w:val="auto"/>
          <w:sz w:val="21"/>
          <w:szCs w:val="21"/>
          <w:highlight w:val="none"/>
        </w:rPr>
        <w:t>月</w:t>
      </w:r>
      <w:r>
        <w:rPr>
          <w:rFonts w:hint="eastAsia" w:hAnsi="宋体"/>
          <w:color w:val="auto"/>
          <w:sz w:val="21"/>
          <w:szCs w:val="21"/>
          <w:highlight w:val="none"/>
          <w:lang w:val="en-US" w:eastAsia="zh-CN"/>
        </w:rPr>
        <w:t>28</w:t>
      </w:r>
      <w:r>
        <w:rPr>
          <w:rFonts w:hint="eastAsia" w:hAnsi="宋体"/>
          <w:color w:val="auto"/>
          <w:sz w:val="21"/>
          <w:szCs w:val="21"/>
          <w:highlight w:val="none"/>
        </w:rPr>
        <w:t>日</w:t>
      </w:r>
      <w:r>
        <w:rPr>
          <w:rFonts w:hint="eastAsia" w:hAnsi="宋体"/>
          <w:color w:val="auto"/>
          <w:sz w:val="21"/>
          <w:szCs w:val="21"/>
          <w:highlight w:val="none"/>
          <w:lang w:val="en-US" w:eastAsia="zh-CN"/>
        </w:rPr>
        <w:t xml:space="preserve"> 下</w:t>
      </w:r>
      <w:r>
        <w:rPr>
          <w:rFonts w:hint="eastAsia" w:hAnsi="宋体"/>
          <w:color w:val="auto"/>
          <w:sz w:val="21"/>
          <w:szCs w:val="21"/>
          <w:highlight w:val="none"/>
        </w:rPr>
        <w:t>午</w:t>
      </w:r>
      <w:r>
        <w:rPr>
          <w:rFonts w:hint="eastAsia" w:hAnsi="宋体"/>
          <w:color w:val="auto"/>
          <w:sz w:val="21"/>
          <w:szCs w:val="21"/>
          <w:highlight w:val="none"/>
          <w:lang w:val="en-US" w:eastAsia="zh-CN"/>
        </w:rPr>
        <w:t>14</w:t>
      </w:r>
      <w:r>
        <w:rPr>
          <w:rFonts w:hint="eastAsia" w:hAnsi="宋体"/>
          <w:color w:val="auto"/>
          <w:sz w:val="21"/>
          <w:szCs w:val="21"/>
          <w:highlight w:val="none"/>
        </w:rPr>
        <w:t>:30。</w:t>
      </w:r>
    </w:p>
    <w:p w14:paraId="4474D817">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3、接收响应文件地点：</w:t>
      </w:r>
      <w:r>
        <w:rPr>
          <w:rFonts w:hint="eastAsia" w:hAnsi="宋体"/>
          <w:color w:val="auto"/>
          <w:sz w:val="21"/>
          <w:szCs w:val="21"/>
          <w:highlight w:val="none"/>
          <w:lang w:eastAsia="zh-CN"/>
        </w:rPr>
        <w:t>广东省东莞市旗峰路190号城市花园商贸中心十楼开标室</w:t>
      </w:r>
      <w:r>
        <w:rPr>
          <w:rFonts w:hint="eastAsia" w:hAnsi="宋体"/>
          <w:color w:val="auto"/>
          <w:sz w:val="21"/>
          <w:szCs w:val="21"/>
          <w:highlight w:val="none"/>
        </w:rPr>
        <w:t>。</w:t>
      </w:r>
    </w:p>
    <w:p w14:paraId="03F5CCCB">
      <w:pPr>
        <w:keepNext w:val="0"/>
        <w:keepLines w:val="0"/>
        <w:pageBreakBefore w:val="0"/>
        <w:shd w:val="clear"/>
        <w:kinsoku/>
        <w:overflowPunct/>
        <w:topLinePunct w:val="0"/>
        <w:bidi w:val="0"/>
        <w:snapToGrid/>
        <w:spacing w:line="360" w:lineRule="auto"/>
        <w:outlineLvl w:val="0"/>
        <w:rPr>
          <w:rFonts w:hAnsi="宋体"/>
          <w:b/>
          <w:bCs/>
          <w:color w:val="auto"/>
          <w:sz w:val="21"/>
          <w:szCs w:val="21"/>
          <w:highlight w:val="none"/>
        </w:rPr>
      </w:pPr>
      <w:bookmarkStart w:id="9" w:name="_Toc26926"/>
      <w:r>
        <w:rPr>
          <w:rFonts w:hint="eastAsia" w:hAnsi="宋体"/>
          <w:b/>
          <w:bCs/>
          <w:color w:val="auto"/>
          <w:sz w:val="21"/>
          <w:szCs w:val="21"/>
          <w:highlight w:val="none"/>
        </w:rPr>
        <w:t>五、</w:t>
      </w:r>
      <w:r>
        <w:rPr>
          <w:rFonts w:hint="eastAsia" w:hAnsi="宋体"/>
          <w:b/>
          <w:color w:val="auto"/>
          <w:sz w:val="21"/>
          <w:szCs w:val="21"/>
          <w:highlight w:val="none"/>
        </w:rPr>
        <w:t>采购代理机构</w:t>
      </w:r>
      <w:r>
        <w:rPr>
          <w:rFonts w:hint="eastAsia" w:hAnsi="宋体"/>
          <w:b/>
          <w:bCs/>
          <w:color w:val="auto"/>
          <w:sz w:val="21"/>
          <w:szCs w:val="21"/>
          <w:highlight w:val="none"/>
        </w:rPr>
        <w:t>及采购人</w:t>
      </w:r>
      <w:r>
        <w:rPr>
          <w:rFonts w:hint="eastAsia" w:hAnsi="宋体"/>
          <w:b/>
          <w:color w:val="auto"/>
          <w:sz w:val="21"/>
          <w:szCs w:val="21"/>
          <w:highlight w:val="none"/>
        </w:rPr>
        <w:t>的地址和联系方式</w:t>
      </w:r>
      <w:r>
        <w:rPr>
          <w:rFonts w:hint="eastAsia" w:hAnsi="宋体"/>
          <w:b/>
          <w:bCs/>
          <w:color w:val="auto"/>
          <w:sz w:val="21"/>
          <w:szCs w:val="21"/>
          <w:highlight w:val="none"/>
        </w:rPr>
        <w:t>：</w:t>
      </w:r>
      <w:bookmarkEnd w:id="9"/>
    </w:p>
    <w:p w14:paraId="5B50CA69">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采购代理机构：</w:t>
      </w:r>
      <w:r>
        <w:rPr>
          <w:rFonts w:hint="eastAsia" w:hAnsi="宋体"/>
          <w:color w:val="auto"/>
          <w:sz w:val="21"/>
          <w:szCs w:val="21"/>
          <w:highlight w:val="none"/>
          <w:lang w:eastAsia="zh-CN"/>
        </w:rPr>
        <w:t>广东志正招标有限公司东莞分公司</w:t>
      </w:r>
    </w:p>
    <w:p w14:paraId="1C9C0213">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Ansi="宋体"/>
          <w:color w:val="auto"/>
          <w:sz w:val="21"/>
          <w:szCs w:val="21"/>
          <w:highlight w:val="none"/>
        </w:rPr>
        <w:t>地    址：</w:t>
      </w:r>
      <w:r>
        <w:rPr>
          <w:rFonts w:hint="eastAsia" w:hAnsi="宋体"/>
          <w:color w:val="auto"/>
          <w:sz w:val="21"/>
          <w:szCs w:val="21"/>
          <w:highlight w:val="none"/>
          <w:lang w:eastAsia="zh-CN"/>
        </w:rPr>
        <w:t>广东省东莞市旗峰路190号城市花园商贸中心903室</w:t>
      </w:r>
    </w:p>
    <w:p w14:paraId="2CAAB3AF">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项目</w:t>
      </w:r>
      <w:r>
        <w:rPr>
          <w:rFonts w:hAnsi="宋体"/>
          <w:color w:val="auto"/>
          <w:sz w:val="21"/>
          <w:szCs w:val="21"/>
          <w:highlight w:val="none"/>
        </w:rPr>
        <w:t>联系人:</w:t>
      </w:r>
      <w:r>
        <w:rPr>
          <w:rFonts w:hint="eastAsia" w:hAnsi="宋体"/>
          <w:color w:val="auto"/>
          <w:sz w:val="21"/>
          <w:szCs w:val="21"/>
          <w:highlight w:val="none"/>
        </w:rPr>
        <w:t xml:space="preserve"> </w:t>
      </w:r>
      <w:r>
        <w:rPr>
          <w:rFonts w:hint="eastAsia" w:hAnsi="宋体"/>
          <w:color w:val="auto"/>
          <w:sz w:val="21"/>
          <w:szCs w:val="21"/>
          <w:highlight w:val="none"/>
          <w:lang w:val="en-US" w:eastAsia="zh-CN"/>
        </w:rPr>
        <w:t>黎</w:t>
      </w:r>
      <w:r>
        <w:rPr>
          <w:rFonts w:hint="eastAsia" w:hAnsi="宋体"/>
          <w:color w:val="auto"/>
          <w:sz w:val="21"/>
          <w:szCs w:val="21"/>
          <w:highlight w:val="none"/>
          <w:lang w:eastAsia="zh-CN"/>
        </w:rPr>
        <w:t>先生</w:t>
      </w:r>
    </w:p>
    <w:p w14:paraId="14E8822D">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Ansi="宋体"/>
          <w:color w:val="auto"/>
          <w:sz w:val="21"/>
          <w:szCs w:val="21"/>
          <w:highlight w:val="none"/>
        </w:rPr>
        <w:t>电    话：</w:t>
      </w:r>
      <w:r>
        <w:rPr>
          <w:rFonts w:hint="eastAsia" w:ascii="宋体" w:hAnsi="宋体"/>
          <w:color w:val="auto"/>
          <w:szCs w:val="21"/>
          <w:highlight w:val="none"/>
        </w:rPr>
        <w:t>0769-</w:t>
      </w:r>
      <w:r>
        <w:rPr>
          <w:rFonts w:hint="eastAsia" w:ascii="宋体" w:hAnsi="宋体"/>
          <w:color w:val="auto"/>
          <w:szCs w:val="21"/>
          <w:highlight w:val="none"/>
          <w:lang w:val="en-US" w:eastAsia="zh-CN"/>
        </w:rPr>
        <w:t>22306832</w:t>
      </w:r>
    </w:p>
    <w:p w14:paraId="16962926">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邮    箱</w:t>
      </w:r>
      <w:r>
        <w:rPr>
          <w:rFonts w:hAnsi="宋体"/>
          <w:color w:val="auto"/>
          <w:sz w:val="21"/>
          <w:szCs w:val="21"/>
          <w:highlight w:val="none"/>
        </w:rPr>
        <w:t>：</w:t>
      </w:r>
      <w:r>
        <w:rPr>
          <w:rFonts w:hint="eastAsia" w:hAnsi="宋体"/>
          <w:color w:val="auto"/>
          <w:sz w:val="21"/>
          <w:szCs w:val="21"/>
          <w:highlight w:val="none"/>
          <w:lang w:eastAsia="zh-CN"/>
        </w:rPr>
        <w:t>546797358@qq.com</w:t>
      </w:r>
    </w:p>
    <w:p w14:paraId="1F995712">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采 购 人：</w:t>
      </w:r>
      <w:r>
        <w:rPr>
          <w:rFonts w:hint="eastAsia" w:hAnsi="宋体"/>
          <w:color w:val="auto"/>
          <w:sz w:val="21"/>
          <w:szCs w:val="21"/>
          <w:highlight w:val="none"/>
          <w:lang w:eastAsia="zh-CN"/>
        </w:rPr>
        <w:t>东莞市旗创产业投资有限公司</w:t>
      </w:r>
    </w:p>
    <w:p w14:paraId="33C25619">
      <w:pPr>
        <w:keepNext w:val="0"/>
        <w:keepLines w:val="0"/>
        <w:pageBreakBefore w:val="0"/>
        <w:shd w:val="clear"/>
        <w:kinsoku/>
        <w:overflowPunct/>
        <w:topLinePunct w:val="0"/>
        <w:bidi w:val="0"/>
        <w:snapToGrid/>
        <w:spacing w:line="360" w:lineRule="auto"/>
        <w:ind w:right="-34" w:firstLine="424" w:firstLineChars="202"/>
        <w:jc w:val="both"/>
        <w:rPr>
          <w:rFonts w:hint="eastAsia" w:hAnsi="宋体"/>
          <w:color w:val="auto"/>
          <w:sz w:val="21"/>
          <w:szCs w:val="21"/>
          <w:highlight w:val="none"/>
        </w:rPr>
      </w:pPr>
      <w:r>
        <w:rPr>
          <w:rFonts w:hint="eastAsia" w:hAnsi="宋体"/>
          <w:color w:val="auto"/>
          <w:sz w:val="21"/>
          <w:szCs w:val="21"/>
          <w:highlight w:val="none"/>
        </w:rPr>
        <w:t>地    址：东莞市东城区八一路机关二号大院9号楼</w:t>
      </w:r>
    </w:p>
    <w:p w14:paraId="3AEC09AC">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联 系 人：</w:t>
      </w:r>
      <w:r>
        <w:rPr>
          <w:rFonts w:hint="eastAsia" w:hAnsi="宋体"/>
          <w:color w:val="auto"/>
          <w:sz w:val="21"/>
          <w:szCs w:val="21"/>
          <w:highlight w:val="none"/>
          <w:lang w:eastAsia="zh-CN"/>
        </w:rPr>
        <w:t>曾小姐</w:t>
      </w:r>
    </w:p>
    <w:p w14:paraId="035B374B">
      <w:pPr>
        <w:keepNext w:val="0"/>
        <w:keepLines w:val="0"/>
        <w:pageBreakBefore w:val="0"/>
        <w:shd w:val="clear"/>
        <w:kinsoku/>
        <w:overflowPunct/>
        <w:topLinePunct w:val="0"/>
        <w:bidi w:val="0"/>
        <w:snapToGrid/>
        <w:spacing w:line="360" w:lineRule="auto"/>
        <w:ind w:right="-34" w:firstLine="424" w:firstLineChars="202"/>
        <w:jc w:val="both"/>
        <w:rPr>
          <w:rFonts w:hint="eastAsia"/>
          <w:b/>
          <w:color w:val="auto"/>
          <w:sz w:val="21"/>
          <w:szCs w:val="21"/>
          <w:highlight w:val="none"/>
        </w:rPr>
      </w:pPr>
      <w:r>
        <w:rPr>
          <w:rFonts w:hint="eastAsia" w:hAnsi="宋体"/>
          <w:color w:val="auto"/>
          <w:sz w:val="21"/>
          <w:szCs w:val="21"/>
          <w:highlight w:val="none"/>
        </w:rPr>
        <w:t xml:space="preserve">电    话：0769-28681293 </w:t>
      </w:r>
      <w:r>
        <w:rPr>
          <w:rFonts w:hint="eastAsia"/>
          <w:b/>
          <w:color w:val="auto"/>
          <w:sz w:val="21"/>
          <w:szCs w:val="21"/>
          <w:highlight w:val="none"/>
        </w:rPr>
        <w:t xml:space="preserve">                                         </w:t>
      </w:r>
    </w:p>
    <w:p w14:paraId="00505526">
      <w:pPr>
        <w:keepNext w:val="0"/>
        <w:keepLines w:val="0"/>
        <w:pageBreakBefore w:val="0"/>
        <w:shd w:val="clear"/>
        <w:kinsoku/>
        <w:overflowPunct/>
        <w:topLinePunct w:val="0"/>
        <w:bidi w:val="0"/>
        <w:snapToGrid/>
        <w:spacing w:line="360" w:lineRule="auto"/>
        <w:ind w:firstLine="422" w:firstLineChars="200"/>
        <w:jc w:val="right"/>
        <w:rPr>
          <w:rFonts w:hint="eastAsia"/>
          <w:b/>
          <w:color w:val="auto"/>
          <w:sz w:val="21"/>
          <w:szCs w:val="21"/>
          <w:highlight w:val="none"/>
        </w:rPr>
      </w:pPr>
    </w:p>
    <w:p w14:paraId="3111E82E">
      <w:pPr>
        <w:keepNext w:val="0"/>
        <w:keepLines w:val="0"/>
        <w:pageBreakBefore w:val="0"/>
        <w:shd w:val="clear"/>
        <w:kinsoku/>
        <w:overflowPunct/>
        <w:topLinePunct w:val="0"/>
        <w:bidi w:val="0"/>
        <w:snapToGrid/>
        <w:spacing w:line="360" w:lineRule="auto"/>
        <w:ind w:firstLine="422" w:firstLineChars="200"/>
        <w:jc w:val="right"/>
        <w:rPr>
          <w:rFonts w:hint="eastAsia" w:eastAsia="宋体"/>
          <w:b/>
          <w:color w:val="auto"/>
          <w:sz w:val="21"/>
          <w:szCs w:val="21"/>
          <w:highlight w:val="none"/>
          <w:lang w:eastAsia="zh-CN"/>
        </w:rPr>
      </w:pPr>
      <w:r>
        <w:rPr>
          <w:rFonts w:hint="eastAsia"/>
          <w:b/>
          <w:color w:val="auto"/>
          <w:sz w:val="21"/>
          <w:szCs w:val="21"/>
          <w:highlight w:val="none"/>
          <w:lang w:eastAsia="zh-CN"/>
        </w:rPr>
        <w:t>东莞市旗创产业投资有限公司</w:t>
      </w:r>
    </w:p>
    <w:p w14:paraId="456D81E3">
      <w:pPr>
        <w:keepNext w:val="0"/>
        <w:keepLines w:val="0"/>
        <w:pageBreakBefore w:val="0"/>
        <w:shd w:val="clear"/>
        <w:kinsoku/>
        <w:overflowPunct/>
        <w:topLinePunct w:val="0"/>
        <w:bidi w:val="0"/>
        <w:snapToGrid/>
        <w:spacing w:line="360" w:lineRule="auto"/>
        <w:ind w:firstLine="422" w:firstLineChars="200"/>
        <w:jc w:val="right"/>
        <w:rPr>
          <w:rFonts w:hint="eastAsia" w:eastAsia="宋体"/>
          <w:b/>
          <w:color w:val="auto"/>
          <w:sz w:val="21"/>
          <w:szCs w:val="21"/>
          <w:highlight w:val="none"/>
          <w:lang w:eastAsia="zh-CN"/>
        </w:rPr>
      </w:pPr>
      <w:r>
        <w:rPr>
          <w:rFonts w:hint="eastAsia"/>
          <w:b/>
          <w:color w:val="auto"/>
          <w:sz w:val="21"/>
          <w:szCs w:val="21"/>
          <w:highlight w:val="none"/>
          <w:lang w:eastAsia="zh-CN"/>
        </w:rPr>
        <w:t>广东志正招标有限公司东莞分公司</w:t>
      </w:r>
    </w:p>
    <w:p w14:paraId="674E96E0">
      <w:pPr>
        <w:keepNext w:val="0"/>
        <w:keepLines w:val="0"/>
        <w:pageBreakBefore w:val="0"/>
        <w:shd w:val="clear"/>
        <w:kinsoku/>
        <w:wordWrap w:val="0"/>
        <w:overflowPunct/>
        <w:topLinePunct w:val="0"/>
        <w:bidi w:val="0"/>
        <w:snapToGrid/>
        <w:spacing w:line="360" w:lineRule="auto"/>
        <w:ind w:right="-34" w:firstLine="426" w:firstLineChars="202"/>
        <w:jc w:val="right"/>
        <w:rPr>
          <w:rFonts w:hAnsi="宋体"/>
          <w:color w:val="auto"/>
          <w:sz w:val="21"/>
          <w:szCs w:val="21"/>
          <w:highlight w:val="none"/>
        </w:rPr>
      </w:pPr>
      <w:r>
        <w:rPr>
          <w:rFonts w:hint="eastAsia" w:hAnsi="宋体"/>
          <w:b/>
          <w:color w:val="auto"/>
          <w:sz w:val="21"/>
          <w:szCs w:val="21"/>
          <w:highlight w:val="none"/>
          <w:lang w:eastAsia="zh-CN"/>
        </w:rPr>
        <w:t>202</w:t>
      </w:r>
      <w:r>
        <w:rPr>
          <w:rFonts w:hint="eastAsia" w:hAnsi="宋体"/>
          <w:b/>
          <w:color w:val="auto"/>
          <w:sz w:val="21"/>
          <w:szCs w:val="21"/>
          <w:highlight w:val="none"/>
          <w:lang w:val="en-US" w:eastAsia="zh-CN"/>
        </w:rPr>
        <w:t>5</w:t>
      </w:r>
      <w:r>
        <w:rPr>
          <w:rFonts w:hint="eastAsia" w:hAnsi="宋体"/>
          <w:b/>
          <w:color w:val="auto"/>
          <w:sz w:val="21"/>
          <w:szCs w:val="21"/>
          <w:highlight w:val="none"/>
        </w:rPr>
        <w:t>年</w:t>
      </w:r>
      <w:r>
        <w:rPr>
          <w:rFonts w:hint="eastAsia" w:hAnsi="宋体"/>
          <w:b/>
          <w:color w:val="auto"/>
          <w:sz w:val="21"/>
          <w:szCs w:val="21"/>
          <w:highlight w:val="none"/>
          <w:lang w:val="en-US" w:eastAsia="zh-CN"/>
        </w:rPr>
        <w:t>10</w:t>
      </w:r>
      <w:r>
        <w:rPr>
          <w:rFonts w:hint="eastAsia" w:hAnsi="宋体"/>
          <w:b/>
          <w:color w:val="auto"/>
          <w:sz w:val="21"/>
          <w:szCs w:val="21"/>
          <w:highlight w:val="none"/>
        </w:rPr>
        <w:t>月</w:t>
      </w:r>
      <w:r>
        <w:rPr>
          <w:rFonts w:hint="eastAsia" w:hAnsi="宋体"/>
          <w:b/>
          <w:color w:val="auto"/>
          <w:sz w:val="21"/>
          <w:szCs w:val="21"/>
          <w:highlight w:val="none"/>
          <w:lang w:val="en-US" w:eastAsia="zh-CN"/>
        </w:rPr>
        <w:t>17</w:t>
      </w:r>
      <w:bookmarkStart w:id="309" w:name="_GoBack"/>
      <w:bookmarkEnd w:id="309"/>
      <w:r>
        <w:rPr>
          <w:rFonts w:hint="eastAsia" w:hAnsi="宋体"/>
          <w:b/>
          <w:color w:val="auto"/>
          <w:sz w:val="21"/>
          <w:szCs w:val="21"/>
          <w:highlight w:val="none"/>
        </w:rPr>
        <w:t>日</w:t>
      </w:r>
    </w:p>
    <w:p w14:paraId="5F4F4235">
      <w:pPr>
        <w:pStyle w:val="2"/>
        <w:keepNext/>
        <w:keepLines/>
        <w:pageBreakBefore/>
        <w:numPr>
          <w:ilvl w:val="0"/>
          <w:numId w:val="10"/>
        </w:numPr>
        <w:shd w:val="clear"/>
        <w:tabs>
          <w:tab w:val="left" w:pos="1080"/>
        </w:tabs>
        <w:spacing w:line="360" w:lineRule="auto"/>
        <w:ind w:left="1262" w:hanging="1262" w:hangingChars="449"/>
        <w:jc w:val="center"/>
        <w:rPr>
          <w:rFonts w:hAnsi="宋体"/>
          <w:b/>
          <w:bCs/>
          <w:color w:val="auto"/>
          <w:kern w:val="44"/>
          <w:sz w:val="28"/>
          <w:szCs w:val="28"/>
          <w:highlight w:val="none"/>
          <w:lang w:val="zh-CN"/>
        </w:rPr>
      </w:pPr>
      <w:bookmarkStart w:id="10" w:name="_Toc17779"/>
      <w:bookmarkStart w:id="11" w:name="_Toc16634"/>
      <w:r>
        <w:rPr>
          <w:rFonts w:hint="eastAsia" w:hAnsi="宋体"/>
          <w:b/>
          <w:bCs/>
          <w:color w:val="auto"/>
          <w:kern w:val="44"/>
          <w:sz w:val="28"/>
          <w:szCs w:val="28"/>
          <w:highlight w:val="none"/>
          <w:lang w:val="zh-CN"/>
        </w:rPr>
        <w:t>供应商须知</w:t>
      </w:r>
      <w:bookmarkEnd w:id="8"/>
      <w:bookmarkEnd w:id="10"/>
      <w:bookmarkEnd w:id="11"/>
    </w:p>
    <w:p w14:paraId="07C01EDC">
      <w:pPr>
        <w:pStyle w:val="3"/>
        <w:shd w:val="clear"/>
        <w:adjustRightInd/>
        <w:spacing w:line="360" w:lineRule="auto"/>
        <w:ind w:firstLine="562" w:firstLineChars="200"/>
        <w:jc w:val="center"/>
        <w:rPr>
          <w:color w:val="auto"/>
          <w:sz w:val="28"/>
          <w:szCs w:val="28"/>
          <w:highlight w:val="none"/>
        </w:rPr>
      </w:pPr>
      <w:bookmarkStart w:id="12" w:name="_Toc507407359"/>
      <w:bookmarkStart w:id="13" w:name="_Toc6882675"/>
      <w:bookmarkStart w:id="14" w:name="_Toc102277756"/>
      <w:bookmarkStart w:id="15" w:name="_Toc5203"/>
      <w:bookmarkStart w:id="16" w:name="_Toc7897861"/>
      <w:bookmarkStart w:id="17" w:name="_Toc466786434"/>
      <w:bookmarkStart w:id="18" w:name="_Toc6968687"/>
      <w:bookmarkStart w:id="19" w:name="_Toc12804"/>
      <w:r>
        <w:rPr>
          <w:rFonts w:hint="eastAsia"/>
          <w:color w:val="auto"/>
          <w:sz w:val="28"/>
          <w:szCs w:val="28"/>
          <w:highlight w:val="none"/>
        </w:rPr>
        <w:t>一、说  明</w:t>
      </w:r>
      <w:bookmarkEnd w:id="12"/>
      <w:bookmarkEnd w:id="13"/>
      <w:bookmarkEnd w:id="14"/>
      <w:bookmarkEnd w:id="15"/>
      <w:bookmarkEnd w:id="16"/>
      <w:bookmarkEnd w:id="17"/>
      <w:bookmarkEnd w:id="18"/>
      <w:bookmarkEnd w:id="19"/>
    </w:p>
    <w:p w14:paraId="7DCD9F09">
      <w:pPr>
        <w:pStyle w:val="4"/>
        <w:shd w:val="clear"/>
        <w:adjustRightInd/>
        <w:spacing w:line="360" w:lineRule="auto"/>
        <w:ind w:firstLine="420" w:firstLineChars="200"/>
        <w:rPr>
          <w:rFonts w:hAnsi="宋体"/>
          <w:color w:val="auto"/>
          <w:sz w:val="21"/>
          <w:szCs w:val="21"/>
          <w:highlight w:val="none"/>
        </w:rPr>
      </w:pPr>
      <w:bookmarkStart w:id="20" w:name="_Toc3730"/>
      <w:bookmarkStart w:id="21" w:name="_Toc24987"/>
      <w:bookmarkStart w:id="22" w:name="_Toc475249114"/>
      <w:bookmarkStart w:id="23" w:name="_Toc7897862"/>
      <w:r>
        <w:rPr>
          <w:rFonts w:hint="eastAsia" w:hAnsi="宋体"/>
          <w:color w:val="auto"/>
          <w:sz w:val="21"/>
          <w:szCs w:val="21"/>
          <w:highlight w:val="none"/>
        </w:rPr>
        <w:t>1.适用范围</w:t>
      </w:r>
      <w:bookmarkEnd w:id="20"/>
      <w:bookmarkEnd w:id="21"/>
      <w:bookmarkEnd w:id="22"/>
      <w:bookmarkEnd w:id="23"/>
    </w:p>
    <w:p w14:paraId="769D176B">
      <w:pPr>
        <w:shd w:val="clear"/>
        <w:spacing w:line="360" w:lineRule="auto"/>
        <w:ind w:firstLine="420" w:firstLineChars="200"/>
        <w:textAlignment w:val="baseline"/>
        <w:rPr>
          <w:rFonts w:hAnsi="宋体"/>
          <w:color w:val="auto"/>
          <w:sz w:val="21"/>
          <w:szCs w:val="21"/>
          <w:highlight w:val="none"/>
        </w:rPr>
      </w:pPr>
      <w:r>
        <w:rPr>
          <w:rFonts w:hint="eastAsia" w:hAnsi="宋体"/>
          <w:color w:val="auto"/>
          <w:sz w:val="21"/>
          <w:szCs w:val="21"/>
          <w:highlight w:val="none"/>
        </w:rPr>
        <w:t>1.1本磋商文件仅适用于本次采购邀请中所叙述的项目。</w:t>
      </w:r>
    </w:p>
    <w:p w14:paraId="19A6136E">
      <w:pPr>
        <w:shd w:val="clear"/>
        <w:spacing w:line="360" w:lineRule="auto"/>
        <w:ind w:firstLine="420" w:firstLineChars="200"/>
        <w:textAlignment w:val="baseline"/>
        <w:rPr>
          <w:rFonts w:hAnsi="宋体"/>
          <w:color w:val="auto"/>
          <w:sz w:val="21"/>
          <w:szCs w:val="21"/>
          <w:highlight w:val="none"/>
        </w:rPr>
      </w:pPr>
      <w:r>
        <w:rPr>
          <w:rFonts w:hint="eastAsia" w:hAnsi="宋体"/>
          <w:color w:val="auto"/>
          <w:sz w:val="21"/>
          <w:szCs w:val="21"/>
          <w:highlight w:val="none"/>
        </w:rPr>
        <w:t>1.2本磋商文件的解释权在采购代理机构。</w:t>
      </w:r>
    </w:p>
    <w:p w14:paraId="5B166B21">
      <w:pPr>
        <w:pStyle w:val="4"/>
        <w:shd w:val="clear"/>
        <w:adjustRightInd/>
        <w:spacing w:line="360" w:lineRule="auto"/>
        <w:ind w:firstLine="420" w:firstLineChars="200"/>
        <w:rPr>
          <w:rFonts w:hAnsi="宋体"/>
          <w:color w:val="auto"/>
          <w:sz w:val="21"/>
          <w:szCs w:val="21"/>
          <w:highlight w:val="none"/>
        </w:rPr>
      </w:pPr>
      <w:bookmarkStart w:id="24" w:name="_Toc7897863"/>
      <w:bookmarkStart w:id="25" w:name="_Toc475249115"/>
      <w:bookmarkStart w:id="26" w:name="_Toc9738"/>
      <w:bookmarkStart w:id="27" w:name="_Toc598"/>
      <w:r>
        <w:rPr>
          <w:rFonts w:hint="eastAsia" w:hAnsi="宋体"/>
          <w:color w:val="auto"/>
          <w:sz w:val="21"/>
          <w:szCs w:val="21"/>
          <w:highlight w:val="none"/>
        </w:rPr>
        <w:t>2.定义</w:t>
      </w:r>
      <w:bookmarkEnd w:id="24"/>
      <w:bookmarkEnd w:id="25"/>
      <w:bookmarkEnd w:id="26"/>
      <w:bookmarkEnd w:id="27"/>
    </w:p>
    <w:p w14:paraId="41A007C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2.1“采购人”是指</w:t>
      </w:r>
      <w:r>
        <w:rPr>
          <w:rFonts w:hint="eastAsia" w:hAnsi="宋体"/>
          <w:color w:val="auto"/>
          <w:sz w:val="21"/>
          <w:szCs w:val="21"/>
          <w:highlight w:val="none"/>
          <w:lang w:eastAsia="zh-CN"/>
        </w:rPr>
        <w:t>东莞市旗创产业投资有限公司</w:t>
      </w:r>
      <w:r>
        <w:rPr>
          <w:rFonts w:hint="eastAsia" w:hAnsi="宋体"/>
          <w:color w:val="auto"/>
          <w:sz w:val="21"/>
          <w:szCs w:val="21"/>
          <w:highlight w:val="none"/>
        </w:rPr>
        <w:t>。</w:t>
      </w:r>
    </w:p>
    <w:p w14:paraId="21EAE48C">
      <w:pPr>
        <w:shd w:val="clear"/>
        <w:spacing w:line="360" w:lineRule="auto"/>
        <w:ind w:firstLine="420" w:firstLineChars="200"/>
        <w:rPr>
          <w:rFonts w:hAnsi="宋体"/>
          <w:b/>
          <w:color w:val="auto"/>
          <w:sz w:val="21"/>
          <w:szCs w:val="21"/>
          <w:highlight w:val="none"/>
        </w:rPr>
      </w:pPr>
      <w:r>
        <w:rPr>
          <w:rFonts w:hint="eastAsia" w:hAnsi="宋体"/>
          <w:color w:val="auto"/>
          <w:sz w:val="21"/>
          <w:szCs w:val="21"/>
          <w:highlight w:val="none"/>
        </w:rPr>
        <w:t>2.2“采购代理机构”是指</w:t>
      </w:r>
      <w:r>
        <w:rPr>
          <w:rFonts w:hint="eastAsia" w:hAnsi="宋体"/>
          <w:color w:val="auto"/>
          <w:sz w:val="21"/>
          <w:szCs w:val="21"/>
          <w:highlight w:val="none"/>
          <w:lang w:eastAsia="zh-CN"/>
        </w:rPr>
        <w:t>广东志正招标有限公司东莞分公司</w:t>
      </w:r>
      <w:r>
        <w:rPr>
          <w:rFonts w:hint="eastAsia" w:hAnsi="宋体"/>
          <w:color w:val="auto"/>
          <w:sz w:val="21"/>
          <w:szCs w:val="21"/>
          <w:highlight w:val="none"/>
        </w:rPr>
        <w:t>。</w:t>
      </w:r>
    </w:p>
    <w:p w14:paraId="1DF696A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2.3“供应商”指向采购代理机构提交响应文件的法人。</w:t>
      </w:r>
    </w:p>
    <w:p w14:paraId="1EF660F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 货物：卖方按磋商文件规定向买方提供的货物。</w:t>
      </w:r>
    </w:p>
    <w:p w14:paraId="4314ABD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2.5 服务：磋商文件规定卖方必须承担的咨询、技术协助、培训及其它相关义务。</w:t>
      </w:r>
    </w:p>
    <w:p w14:paraId="48BCFD6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 语言：磋商文件的语言为简体中文。</w:t>
      </w:r>
    </w:p>
    <w:p w14:paraId="5266C0C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2.7 日期：指公历日。</w:t>
      </w:r>
    </w:p>
    <w:p w14:paraId="1777BCC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2.8 时间：指北京时间。</w:t>
      </w:r>
    </w:p>
    <w:p w14:paraId="5403F841">
      <w:pPr>
        <w:pStyle w:val="4"/>
        <w:shd w:val="clear"/>
        <w:adjustRightInd/>
        <w:spacing w:line="360" w:lineRule="auto"/>
        <w:ind w:firstLine="420" w:firstLineChars="200"/>
        <w:rPr>
          <w:rFonts w:hAnsi="宋体"/>
          <w:color w:val="auto"/>
          <w:sz w:val="21"/>
          <w:szCs w:val="21"/>
          <w:highlight w:val="none"/>
        </w:rPr>
      </w:pPr>
      <w:bookmarkStart w:id="28" w:name="_Toc7897864"/>
      <w:bookmarkStart w:id="29" w:name="_Toc367"/>
      <w:bookmarkStart w:id="30" w:name="_Toc24709"/>
      <w:bookmarkStart w:id="31" w:name="_Toc110953831"/>
      <w:bookmarkStart w:id="32" w:name="_Toc507407360"/>
      <w:bookmarkStart w:id="33" w:name="_Toc6882676"/>
      <w:bookmarkStart w:id="34" w:name="_Toc6968688"/>
      <w:bookmarkStart w:id="35" w:name="_Toc466786435"/>
      <w:bookmarkStart w:id="36" w:name="_Toc102277757"/>
      <w:r>
        <w:rPr>
          <w:rFonts w:hint="eastAsia" w:hAnsi="宋体"/>
          <w:color w:val="auto"/>
          <w:sz w:val="21"/>
          <w:szCs w:val="21"/>
          <w:highlight w:val="none"/>
        </w:rPr>
        <w:t>3.适用法律</w:t>
      </w:r>
      <w:bookmarkEnd w:id="28"/>
      <w:bookmarkEnd w:id="29"/>
      <w:bookmarkEnd w:id="30"/>
      <w:bookmarkEnd w:id="31"/>
    </w:p>
    <w:p w14:paraId="10C073C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采购人、供应商和采购代理机构均应当参照</w:t>
      </w:r>
      <w:r>
        <w:rPr>
          <w:rFonts w:hint="eastAsia" w:hAnsi="宋体"/>
          <w:color w:val="auto"/>
          <w:sz w:val="21"/>
          <w:szCs w:val="21"/>
          <w:highlight w:val="none"/>
          <w:lang w:eastAsia="zh-CN"/>
        </w:rPr>
        <w:t>东莞市旗创产业投资有限公司</w:t>
      </w:r>
      <w:r>
        <w:rPr>
          <w:rFonts w:hint="eastAsia" w:hAnsi="宋体"/>
          <w:color w:val="auto"/>
          <w:sz w:val="21"/>
          <w:szCs w:val="21"/>
          <w:highlight w:val="none"/>
        </w:rPr>
        <w:t>相关招标采购规定执行。</w:t>
      </w:r>
    </w:p>
    <w:p w14:paraId="386A210F">
      <w:pPr>
        <w:pStyle w:val="4"/>
        <w:shd w:val="clear"/>
        <w:adjustRightInd/>
        <w:spacing w:line="360" w:lineRule="auto"/>
        <w:ind w:firstLine="420" w:firstLineChars="200"/>
        <w:rPr>
          <w:rFonts w:hAnsi="宋体"/>
          <w:color w:val="auto"/>
          <w:sz w:val="21"/>
          <w:szCs w:val="21"/>
          <w:highlight w:val="none"/>
          <w:lang w:val="zh-CN"/>
        </w:rPr>
      </w:pPr>
      <w:bookmarkStart w:id="37" w:name="_Toc20707"/>
      <w:bookmarkStart w:id="38" w:name="_Toc10397"/>
      <w:bookmarkStart w:id="39" w:name="_Toc110953833"/>
      <w:bookmarkStart w:id="40" w:name="_Toc7897866"/>
      <w:r>
        <w:rPr>
          <w:rFonts w:hint="eastAsia" w:hAnsi="宋体"/>
          <w:color w:val="auto"/>
          <w:sz w:val="21"/>
          <w:szCs w:val="21"/>
          <w:highlight w:val="none"/>
          <w:lang w:val="zh-CN"/>
        </w:rPr>
        <w:t>4</w:t>
      </w:r>
      <w:r>
        <w:rPr>
          <w:rFonts w:hint="eastAsia" w:hAnsi="宋体"/>
          <w:color w:val="auto"/>
          <w:sz w:val="21"/>
          <w:szCs w:val="21"/>
          <w:highlight w:val="none"/>
        </w:rPr>
        <w:t>.</w:t>
      </w:r>
      <w:r>
        <w:rPr>
          <w:rFonts w:hint="eastAsia" w:hAnsi="宋体"/>
          <w:color w:val="auto"/>
          <w:sz w:val="21"/>
          <w:szCs w:val="21"/>
          <w:highlight w:val="none"/>
          <w:lang w:val="zh-CN"/>
        </w:rPr>
        <w:t>本项目不接受联合体磋商。</w:t>
      </w:r>
      <w:bookmarkEnd w:id="37"/>
    </w:p>
    <w:p w14:paraId="195CB4AC">
      <w:pPr>
        <w:pStyle w:val="4"/>
        <w:shd w:val="clear"/>
        <w:adjustRightInd/>
        <w:spacing w:line="360" w:lineRule="auto"/>
        <w:ind w:firstLine="420" w:firstLineChars="200"/>
        <w:rPr>
          <w:rFonts w:hAnsi="宋体"/>
          <w:bCs/>
          <w:color w:val="auto"/>
          <w:sz w:val="21"/>
          <w:szCs w:val="21"/>
          <w:highlight w:val="none"/>
        </w:rPr>
      </w:pPr>
      <w:bookmarkStart w:id="41" w:name="_Toc10368"/>
      <w:r>
        <w:rPr>
          <w:rFonts w:hint="eastAsia" w:hAnsi="宋体"/>
          <w:color w:val="auto"/>
          <w:sz w:val="21"/>
          <w:szCs w:val="21"/>
          <w:highlight w:val="none"/>
        </w:rPr>
        <w:t>5.禁止事项</w:t>
      </w:r>
      <w:bookmarkEnd w:id="38"/>
      <w:bookmarkEnd w:id="39"/>
      <w:bookmarkEnd w:id="40"/>
      <w:bookmarkEnd w:id="41"/>
    </w:p>
    <w:p w14:paraId="096B4ABA">
      <w:pPr>
        <w:shd w:val="clear"/>
        <w:spacing w:line="360" w:lineRule="auto"/>
        <w:ind w:firstLine="420" w:firstLineChars="200"/>
        <w:rPr>
          <w:rFonts w:hAnsi="宋体"/>
          <w:color w:val="auto"/>
          <w:sz w:val="21"/>
          <w:szCs w:val="21"/>
          <w:highlight w:val="none"/>
        </w:rPr>
      </w:pPr>
      <w:bookmarkStart w:id="42" w:name="_Toc98126218"/>
      <w:bookmarkStart w:id="43" w:name="_Toc98126293"/>
      <w:r>
        <w:rPr>
          <w:rFonts w:hint="eastAsia" w:hAnsi="宋体"/>
          <w:color w:val="auto"/>
          <w:sz w:val="21"/>
          <w:szCs w:val="21"/>
          <w:highlight w:val="none"/>
        </w:rPr>
        <w:t>5.1采购人、供应商和采购代理机构不得相互串通损害国家利益、社会公共利益和其他当事人的合法权益。</w:t>
      </w:r>
    </w:p>
    <w:p w14:paraId="0DE58F2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5.2供应商不得向采购人、采购代理机构、磋商小组的组成人员行贿或者采取其他不正当手段谋取成交。</w:t>
      </w:r>
      <w:bookmarkEnd w:id="42"/>
      <w:bookmarkEnd w:id="43"/>
    </w:p>
    <w:p w14:paraId="793B0DC5">
      <w:pPr>
        <w:shd w:val="clear"/>
        <w:spacing w:line="360" w:lineRule="auto"/>
        <w:ind w:firstLine="420" w:firstLineChars="200"/>
        <w:rPr>
          <w:rFonts w:hAnsi="宋体"/>
          <w:color w:val="auto"/>
          <w:sz w:val="21"/>
          <w:szCs w:val="21"/>
          <w:highlight w:val="none"/>
        </w:rPr>
      </w:pPr>
      <w:bookmarkStart w:id="44" w:name="_Toc98126219"/>
      <w:bookmarkStart w:id="45" w:name="_Toc98126294"/>
      <w:r>
        <w:rPr>
          <w:rFonts w:hint="eastAsia" w:hAnsi="宋体"/>
          <w:color w:val="auto"/>
          <w:sz w:val="21"/>
          <w:szCs w:val="21"/>
          <w:highlight w:val="none"/>
        </w:rPr>
        <w:t>5.3采购代理机构不得向采购人行贿或者采取其他不正当手段谋取非法利益。</w:t>
      </w:r>
      <w:bookmarkEnd w:id="44"/>
      <w:bookmarkEnd w:id="45"/>
    </w:p>
    <w:p w14:paraId="0E7839E9">
      <w:pPr>
        <w:shd w:val="clear"/>
        <w:spacing w:line="360" w:lineRule="auto"/>
        <w:ind w:firstLine="420" w:firstLineChars="200"/>
        <w:rPr>
          <w:rFonts w:hAnsi="宋体"/>
          <w:color w:val="auto"/>
          <w:sz w:val="21"/>
          <w:szCs w:val="21"/>
          <w:highlight w:val="none"/>
        </w:rPr>
      </w:pPr>
      <w:bookmarkStart w:id="46" w:name="_Toc98126295"/>
      <w:bookmarkStart w:id="47" w:name="_Toc98126220"/>
      <w:r>
        <w:rPr>
          <w:rFonts w:hint="eastAsia" w:hAnsi="宋体"/>
          <w:color w:val="auto"/>
          <w:sz w:val="21"/>
          <w:szCs w:val="21"/>
          <w:highlight w:val="none"/>
        </w:rPr>
        <w:t>5.4除供应商被要求对响应文件进行质疑澄清外，从开启响应文件之时起至授予合同止，供应商不得就与其响应文件有关的事项主动与磋商小组、采购人以及采购代理机构接触。</w:t>
      </w:r>
      <w:bookmarkEnd w:id="46"/>
      <w:bookmarkEnd w:id="47"/>
    </w:p>
    <w:p w14:paraId="1256633A">
      <w:pPr>
        <w:pStyle w:val="4"/>
        <w:shd w:val="clear"/>
        <w:adjustRightInd/>
        <w:spacing w:line="360" w:lineRule="auto"/>
        <w:ind w:firstLine="420" w:firstLineChars="200"/>
        <w:rPr>
          <w:rFonts w:hAnsi="宋体"/>
          <w:bCs/>
          <w:color w:val="auto"/>
          <w:sz w:val="21"/>
          <w:szCs w:val="21"/>
          <w:highlight w:val="none"/>
        </w:rPr>
      </w:pPr>
      <w:bookmarkStart w:id="48" w:name="_Toc25870"/>
      <w:bookmarkStart w:id="49" w:name="_Toc110953834"/>
      <w:bookmarkStart w:id="50" w:name="_Toc7897867"/>
      <w:bookmarkStart w:id="51" w:name="_Toc2863"/>
      <w:r>
        <w:rPr>
          <w:rFonts w:hint="eastAsia" w:hAnsi="宋体"/>
          <w:color w:val="auto"/>
          <w:sz w:val="21"/>
          <w:szCs w:val="21"/>
          <w:highlight w:val="none"/>
        </w:rPr>
        <w:t>6.保密及其它注意事项</w:t>
      </w:r>
      <w:bookmarkEnd w:id="48"/>
      <w:bookmarkEnd w:id="49"/>
      <w:bookmarkEnd w:id="50"/>
      <w:bookmarkEnd w:id="51"/>
    </w:p>
    <w:p w14:paraId="02E703FC">
      <w:pPr>
        <w:shd w:val="clear"/>
        <w:spacing w:line="360" w:lineRule="auto"/>
        <w:ind w:firstLine="420" w:firstLineChars="200"/>
        <w:rPr>
          <w:rFonts w:hAnsi="宋体"/>
          <w:color w:val="auto"/>
          <w:sz w:val="21"/>
          <w:szCs w:val="21"/>
          <w:highlight w:val="none"/>
        </w:rPr>
      </w:pPr>
      <w:bookmarkStart w:id="52" w:name="_Toc98126297"/>
      <w:bookmarkStart w:id="53" w:name="_Toc98126222"/>
      <w:r>
        <w:rPr>
          <w:rFonts w:hint="eastAsia" w:hAnsi="宋体"/>
          <w:color w:val="auto"/>
          <w:sz w:val="21"/>
          <w:szCs w:val="21"/>
          <w:highlight w:val="none"/>
        </w:rPr>
        <w:t>6.1凡参与采购工作的有关人员均应自觉接受有关主管部门的监督，不得向他人透露可能影响公平竞争的有关情况。</w:t>
      </w:r>
      <w:bookmarkEnd w:id="52"/>
      <w:bookmarkEnd w:id="53"/>
    </w:p>
    <w:p w14:paraId="23BFC0D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磋商小组人员之外。</w:t>
      </w:r>
    </w:p>
    <w:p w14:paraId="54DCD5A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6.3在评审期间，供应商不得向磋商小组成员询问评审情况，不得进行旨在影响评审结果的活动。</w:t>
      </w:r>
    </w:p>
    <w:p w14:paraId="27E72A6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6.4磋商小组不向未成交供应商解释落选原因，不退还响应文件。</w:t>
      </w:r>
    </w:p>
    <w:p w14:paraId="03DED30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6.5所有供应商自行承担与响应有关的全部费用。采购人和采购代理机构在任何情况下均不承担该费用。</w:t>
      </w:r>
    </w:p>
    <w:p w14:paraId="4677EC68">
      <w:pPr>
        <w:pStyle w:val="4"/>
        <w:shd w:val="clear"/>
        <w:adjustRightInd/>
        <w:spacing w:line="360" w:lineRule="auto"/>
        <w:ind w:firstLine="420" w:firstLineChars="200"/>
        <w:rPr>
          <w:rFonts w:hAnsi="宋体"/>
          <w:color w:val="auto"/>
          <w:sz w:val="21"/>
          <w:szCs w:val="21"/>
          <w:highlight w:val="none"/>
        </w:rPr>
      </w:pPr>
      <w:bookmarkStart w:id="54" w:name="_Toc13371"/>
      <w:bookmarkStart w:id="55" w:name="_Toc7897868"/>
      <w:bookmarkStart w:id="56" w:name="_Toc27298"/>
      <w:bookmarkStart w:id="57" w:name="_Toc497016085"/>
      <w:r>
        <w:rPr>
          <w:rFonts w:hint="eastAsia" w:hAnsi="宋体"/>
          <w:color w:val="auto"/>
          <w:sz w:val="21"/>
          <w:szCs w:val="21"/>
          <w:highlight w:val="none"/>
        </w:rPr>
        <w:t>7.供应商诚信管理</w:t>
      </w:r>
      <w:bookmarkEnd w:id="54"/>
      <w:bookmarkEnd w:id="55"/>
      <w:bookmarkEnd w:id="56"/>
      <w:bookmarkEnd w:id="57"/>
    </w:p>
    <w:p w14:paraId="7B352A3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7.1供应商在本磋商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2FA88AB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7.2如果采购人或采购代理机构有证据表明供应商在本磋商项目的竞争中存在腐败、欺诈或其他严重违背诚信原则的行为，则将拒绝其响应。</w:t>
      </w:r>
    </w:p>
    <w:p w14:paraId="65D89026">
      <w:pPr>
        <w:shd w:val="clear"/>
        <w:spacing w:line="360" w:lineRule="auto"/>
        <w:rPr>
          <w:rFonts w:hAnsi="宋体"/>
          <w:color w:val="auto"/>
          <w:sz w:val="21"/>
          <w:szCs w:val="21"/>
          <w:highlight w:val="none"/>
        </w:rPr>
      </w:pPr>
    </w:p>
    <w:p w14:paraId="43002D75">
      <w:pPr>
        <w:pStyle w:val="3"/>
        <w:shd w:val="clear"/>
        <w:adjustRightInd/>
        <w:spacing w:line="360" w:lineRule="auto"/>
        <w:ind w:firstLine="562" w:firstLineChars="200"/>
        <w:jc w:val="center"/>
        <w:rPr>
          <w:color w:val="auto"/>
          <w:sz w:val="28"/>
          <w:szCs w:val="28"/>
          <w:highlight w:val="none"/>
        </w:rPr>
      </w:pPr>
      <w:bookmarkStart w:id="58" w:name="_Toc7897869"/>
      <w:bookmarkStart w:id="59" w:name="_Toc17498"/>
      <w:bookmarkStart w:id="60" w:name="_Toc23741"/>
      <w:r>
        <w:rPr>
          <w:rFonts w:hint="eastAsia"/>
          <w:color w:val="auto"/>
          <w:sz w:val="28"/>
          <w:szCs w:val="28"/>
          <w:highlight w:val="none"/>
        </w:rPr>
        <w:t>二、磋商文件说明</w:t>
      </w:r>
      <w:bookmarkEnd w:id="32"/>
      <w:bookmarkEnd w:id="33"/>
      <w:bookmarkEnd w:id="34"/>
      <w:bookmarkEnd w:id="35"/>
      <w:bookmarkEnd w:id="36"/>
      <w:bookmarkEnd w:id="58"/>
      <w:bookmarkEnd w:id="59"/>
      <w:bookmarkEnd w:id="60"/>
    </w:p>
    <w:p w14:paraId="27EC6BE9">
      <w:pPr>
        <w:pStyle w:val="4"/>
        <w:shd w:val="clear"/>
        <w:adjustRightInd/>
        <w:spacing w:line="360" w:lineRule="auto"/>
        <w:ind w:firstLine="420" w:firstLineChars="200"/>
        <w:rPr>
          <w:rFonts w:hAnsi="宋体"/>
          <w:color w:val="auto"/>
          <w:sz w:val="21"/>
          <w:szCs w:val="21"/>
          <w:highlight w:val="none"/>
        </w:rPr>
      </w:pPr>
      <w:bookmarkStart w:id="61" w:name="_Toc110953836"/>
      <w:bookmarkStart w:id="62" w:name="_Toc23606"/>
      <w:bookmarkStart w:id="63" w:name="_Toc7897870"/>
      <w:bookmarkStart w:id="64" w:name="_Toc29560"/>
      <w:bookmarkStart w:id="65" w:name="_Toc507407361"/>
      <w:bookmarkStart w:id="66" w:name="_Toc6968689"/>
      <w:bookmarkStart w:id="67" w:name="_Toc102277758"/>
      <w:bookmarkStart w:id="68" w:name="_Toc466786436"/>
      <w:bookmarkStart w:id="69" w:name="_Toc6882677"/>
      <w:r>
        <w:rPr>
          <w:rFonts w:hint="eastAsia" w:hAnsi="宋体"/>
          <w:color w:val="auto"/>
          <w:sz w:val="21"/>
          <w:szCs w:val="21"/>
          <w:highlight w:val="none"/>
        </w:rPr>
        <w:t>8.磋商文件构成</w:t>
      </w:r>
      <w:bookmarkEnd w:id="61"/>
      <w:bookmarkEnd w:id="62"/>
      <w:bookmarkEnd w:id="63"/>
      <w:bookmarkEnd w:id="64"/>
    </w:p>
    <w:p w14:paraId="77765D8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8.1磋商文件用以阐明项目情况、评审程序、评审办法、定标标准和合同条款参考范本和响应文件的制作等，由磋商邀请书、供应商须知、用户需求书、合同范本和响应文件格式构成。</w:t>
      </w:r>
    </w:p>
    <w:p w14:paraId="6282E0CE">
      <w:pPr>
        <w:pStyle w:val="4"/>
        <w:shd w:val="clear"/>
        <w:adjustRightInd/>
        <w:spacing w:line="360" w:lineRule="auto"/>
        <w:ind w:firstLine="420" w:firstLineChars="200"/>
        <w:rPr>
          <w:rFonts w:hAnsi="宋体"/>
          <w:color w:val="auto"/>
          <w:sz w:val="21"/>
          <w:szCs w:val="21"/>
          <w:highlight w:val="none"/>
        </w:rPr>
      </w:pPr>
      <w:bookmarkStart w:id="70" w:name="_Toc7897871"/>
      <w:bookmarkStart w:id="71" w:name="_Toc19701"/>
      <w:bookmarkStart w:id="72" w:name="_Toc110953837"/>
      <w:bookmarkStart w:id="73" w:name="_Toc16827"/>
      <w:r>
        <w:rPr>
          <w:rFonts w:hint="eastAsia" w:hAnsi="宋体"/>
          <w:color w:val="auto"/>
          <w:sz w:val="21"/>
          <w:szCs w:val="21"/>
          <w:highlight w:val="none"/>
        </w:rPr>
        <w:t>9.磋商文件的修改</w:t>
      </w:r>
      <w:bookmarkEnd w:id="70"/>
      <w:bookmarkEnd w:id="71"/>
      <w:bookmarkEnd w:id="72"/>
      <w:bookmarkEnd w:id="73"/>
    </w:p>
    <w:p w14:paraId="061789C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9.1提交首次响应文件截止之日前，采购人、采购代理机构或者磋商小组可以对已发出的磋商文件进行必要的澄清或者修改，澄清或者修改的内容作为磋商文件的组成部分。澄清或者修改的内容可能影响响应文件编制的，将在提交首次响应文件截止时间5日前以书面形式通知所有获取磋商文件的供应商。</w:t>
      </w:r>
    </w:p>
    <w:p w14:paraId="20B0D98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9.2如果修改的时间距响应文件递交截止时间不足5日的，将相应顺延递交首次响应文件截止时间。</w:t>
      </w:r>
    </w:p>
    <w:p w14:paraId="5E417E65">
      <w:pPr>
        <w:pStyle w:val="12"/>
        <w:shd w:val="clear"/>
        <w:ind w:firstLine="400"/>
        <w:rPr>
          <w:color w:val="auto"/>
          <w:highlight w:val="none"/>
        </w:rPr>
      </w:pPr>
    </w:p>
    <w:bookmarkEnd w:id="65"/>
    <w:bookmarkEnd w:id="66"/>
    <w:bookmarkEnd w:id="67"/>
    <w:bookmarkEnd w:id="68"/>
    <w:bookmarkEnd w:id="69"/>
    <w:p w14:paraId="16E714D9">
      <w:pPr>
        <w:pStyle w:val="3"/>
        <w:shd w:val="clear"/>
        <w:adjustRightInd/>
        <w:spacing w:line="360" w:lineRule="auto"/>
        <w:ind w:firstLine="562" w:firstLineChars="200"/>
        <w:jc w:val="center"/>
        <w:rPr>
          <w:color w:val="auto"/>
          <w:sz w:val="28"/>
          <w:szCs w:val="28"/>
          <w:highlight w:val="none"/>
        </w:rPr>
      </w:pPr>
      <w:bookmarkStart w:id="74" w:name="_Toc15398"/>
      <w:bookmarkStart w:id="75" w:name="_Toc18245"/>
      <w:bookmarkStart w:id="76" w:name="_Toc7897872"/>
      <w:bookmarkStart w:id="77" w:name="_Toc110953838"/>
      <w:bookmarkStart w:id="78" w:name="_Toc102277759"/>
      <w:bookmarkStart w:id="79" w:name="_Toc507407362"/>
      <w:bookmarkStart w:id="80" w:name="_Toc466786437"/>
      <w:bookmarkStart w:id="81" w:name="_Toc6882678"/>
      <w:bookmarkStart w:id="82" w:name="_Toc6968690"/>
      <w:r>
        <w:rPr>
          <w:rFonts w:hint="eastAsia"/>
          <w:color w:val="auto"/>
          <w:sz w:val="28"/>
          <w:szCs w:val="28"/>
          <w:highlight w:val="none"/>
        </w:rPr>
        <w:t>三、响应文件的制作</w:t>
      </w:r>
      <w:bookmarkEnd w:id="74"/>
      <w:bookmarkEnd w:id="75"/>
      <w:bookmarkEnd w:id="76"/>
      <w:bookmarkEnd w:id="77"/>
    </w:p>
    <w:p w14:paraId="557DE0B6">
      <w:pPr>
        <w:pStyle w:val="4"/>
        <w:shd w:val="clear"/>
        <w:adjustRightInd/>
        <w:spacing w:line="360" w:lineRule="auto"/>
        <w:ind w:firstLine="420" w:firstLineChars="200"/>
        <w:rPr>
          <w:rFonts w:hAnsi="宋体"/>
          <w:color w:val="auto"/>
          <w:sz w:val="21"/>
          <w:szCs w:val="21"/>
          <w:highlight w:val="none"/>
        </w:rPr>
      </w:pPr>
      <w:bookmarkStart w:id="83" w:name="_Toc110953839"/>
      <w:bookmarkStart w:id="84" w:name="_Toc23789"/>
      <w:bookmarkStart w:id="85" w:name="_Toc7897873"/>
      <w:bookmarkStart w:id="86" w:name="_Toc15756"/>
      <w:r>
        <w:rPr>
          <w:rFonts w:hint="eastAsia" w:hAnsi="宋体"/>
          <w:color w:val="auto"/>
          <w:sz w:val="21"/>
          <w:szCs w:val="21"/>
          <w:highlight w:val="none"/>
        </w:rPr>
        <w:t>10.制作要求</w:t>
      </w:r>
      <w:bookmarkEnd w:id="83"/>
      <w:bookmarkEnd w:id="84"/>
      <w:bookmarkEnd w:id="85"/>
      <w:bookmarkEnd w:id="86"/>
    </w:p>
    <w:p w14:paraId="3D2C954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10.1供应商应当仔细阅读磋商文件的所有内容，按磋商文件的要求提供响应文件，并保证所提供的全部资料的真实性及对磋商文件作出实质性响应。</w:t>
      </w:r>
    </w:p>
    <w:p w14:paraId="749D253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10.2供应商应按磋商文件中提供的响应文件格式制作响应文件。如有关表格不能满足填报需要，可以对表格格式作出相应调整，但不得更改表格的实质性内容。</w:t>
      </w:r>
    </w:p>
    <w:p w14:paraId="1BB5ECF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w:t>
      </w:r>
      <w:r>
        <w:rPr>
          <w:rFonts w:hint="eastAsia" w:hAnsi="宋体"/>
          <w:b/>
          <w:color w:val="auto"/>
          <w:sz w:val="21"/>
          <w:szCs w:val="21"/>
          <w:highlight w:val="none"/>
        </w:rPr>
        <w:t>3供应商应提供正本一份、副本</w:t>
      </w:r>
      <w:r>
        <w:rPr>
          <w:rFonts w:hint="eastAsia" w:hAnsi="宋体"/>
          <w:b/>
          <w:color w:val="auto"/>
          <w:sz w:val="21"/>
          <w:szCs w:val="21"/>
          <w:highlight w:val="none"/>
          <w:lang w:eastAsia="zh-CN"/>
        </w:rPr>
        <w:t>三</w:t>
      </w:r>
      <w:r>
        <w:rPr>
          <w:rFonts w:hint="eastAsia" w:hAnsi="宋体"/>
          <w:b/>
          <w:color w:val="auto"/>
          <w:sz w:val="21"/>
          <w:szCs w:val="21"/>
          <w:highlight w:val="none"/>
        </w:rPr>
        <w:t>份、唱标信封一份。</w:t>
      </w:r>
      <w:r>
        <w:rPr>
          <w:rFonts w:hint="eastAsia" w:hAnsi="宋体"/>
          <w:color w:val="auto"/>
          <w:sz w:val="21"/>
          <w:szCs w:val="21"/>
          <w:highlight w:val="none"/>
        </w:rPr>
        <w:t>在每一份响应文件上要明确注明“正本”、“副本”或“唱标信封”字样，一旦正本和副本有差异，以正本为准。</w:t>
      </w:r>
    </w:p>
    <w:p w14:paraId="2D51F9F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10.4响应文件的正本必须打印，并由供应商的法定代表人或经正式授权对供应商有约束力的委托代理人在响应文件上签字并加盖公章。委托代理人必须出具书面形式的《授权委托书》并附在响应文件中。响应文件的副本可采用正本的复印件。</w:t>
      </w:r>
    </w:p>
    <w:p w14:paraId="0446571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10.5除供应商对错处作必要修改外，响应文件中不许有加行、涂改或改写。任何行间插字、涂改和增删，必须由供应商的法定代表人或委托代理人在修改处签字或加盖公章才有效。</w:t>
      </w:r>
    </w:p>
    <w:p w14:paraId="27D718F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10.6电报、电话、传真、电子邮件形式的响应概不接受。</w:t>
      </w:r>
    </w:p>
    <w:p w14:paraId="63086C51">
      <w:pPr>
        <w:pStyle w:val="4"/>
        <w:shd w:val="clear"/>
        <w:adjustRightInd/>
        <w:spacing w:line="360" w:lineRule="auto"/>
        <w:ind w:firstLine="420" w:firstLineChars="200"/>
        <w:rPr>
          <w:rFonts w:hAnsi="宋体"/>
          <w:color w:val="auto"/>
          <w:sz w:val="21"/>
          <w:szCs w:val="21"/>
          <w:highlight w:val="none"/>
        </w:rPr>
      </w:pPr>
      <w:bookmarkStart w:id="87" w:name="_Toc18079"/>
      <w:bookmarkStart w:id="88" w:name="_Toc7897874"/>
      <w:bookmarkStart w:id="89" w:name="_Toc110953840"/>
      <w:bookmarkStart w:id="90" w:name="_Toc20552"/>
      <w:r>
        <w:rPr>
          <w:rFonts w:hint="eastAsia" w:hAnsi="宋体"/>
          <w:color w:val="auto"/>
          <w:sz w:val="21"/>
          <w:szCs w:val="21"/>
          <w:highlight w:val="none"/>
        </w:rPr>
        <w:t>11.响应文件的内容</w:t>
      </w:r>
    </w:p>
    <w:p w14:paraId="34A456C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11.1响应文件应包括下列部分：</w:t>
      </w:r>
    </w:p>
    <w:p w14:paraId="030E081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11.1.1价格文件</w:t>
      </w:r>
    </w:p>
    <w:p w14:paraId="72027EE3">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11.1.2商务</w:t>
      </w:r>
      <w:r>
        <w:rPr>
          <w:rFonts w:hint="eastAsia" w:hAnsi="宋体"/>
          <w:color w:val="auto"/>
          <w:sz w:val="21"/>
          <w:szCs w:val="21"/>
          <w:highlight w:val="none"/>
          <w:lang w:val="en-US" w:eastAsia="zh-CN"/>
        </w:rPr>
        <w:t>文件</w:t>
      </w:r>
    </w:p>
    <w:p w14:paraId="539599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11.1.3</w:t>
      </w:r>
      <w:r>
        <w:rPr>
          <w:rFonts w:hint="eastAsia" w:hAnsi="宋体"/>
          <w:color w:val="auto"/>
          <w:sz w:val="21"/>
          <w:szCs w:val="21"/>
          <w:highlight w:val="none"/>
        </w:rPr>
        <w:t>技术文件</w:t>
      </w:r>
    </w:p>
    <w:p w14:paraId="6118D4C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w:t>
      </w:r>
      <w:r>
        <w:rPr>
          <w:rFonts w:hint="eastAsia" w:hAnsi="宋体"/>
          <w:color w:val="auto"/>
          <w:sz w:val="21"/>
          <w:szCs w:val="21"/>
          <w:highlight w:val="none"/>
          <w:lang w:val="en-US" w:eastAsia="zh-CN"/>
        </w:rPr>
        <w:t>4</w:t>
      </w:r>
      <w:r>
        <w:rPr>
          <w:rFonts w:hint="eastAsia" w:hAnsi="宋体"/>
          <w:color w:val="auto"/>
          <w:sz w:val="21"/>
          <w:szCs w:val="21"/>
          <w:highlight w:val="none"/>
        </w:rPr>
        <w:t>唱标信封（须独立密封）</w:t>
      </w:r>
    </w:p>
    <w:p w14:paraId="4DE4D8AE">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供应商应如实详细提供第11.1款所要求的全部资料，价格文件</w:t>
      </w:r>
      <w:r>
        <w:rPr>
          <w:rFonts w:hint="eastAsia" w:hAnsi="宋体"/>
          <w:b/>
          <w:color w:val="auto"/>
          <w:sz w:val="21"/>
          <w:szCs w:val="21"/>
          <w:highlight w:val="none"/>
          <w:lang w:eastAsia="zh-CN"/>
        </w:rPr>
        <w:t>、</w:t>
      </w:r>
      <w:r>
        <w:rPr>
          <w:rFonts w:hint="eastAsia" w:hAnsi="宋体"/>
          <w:b/>
          <w:color w:val="auto"/>
          <w:sz w:val="21"/>
          <w:szCs w:val="21"/>
          <w:highlight w:val="none"/>
          <w:lang w:val="en-US" w:eastAsia="zh-CN"/>
        </w:rPr>
        <w:t>商务文件、技术文件</w:t>
      </w:r>
      <w:r>
        <w:rPr>
          <w:rFonts w:hint="eastAsia" w:hAnsi="宋体"/>
          <w:b/>
          <w:color w:val="auto"/>
          <w:sz w:val="21"/>
          <w:szCs w:val="21"/>
          <w:highlight w:val="none"/>
        </w:rPr>
        <w:t>必须</w:t>
      </w:r>
      <w:r>
        <w:rPr>
          <w:rFonts w:hint="eastAsia" w:hAnsi="宋体"/>
          <w:b/>
          <w:color w:val="auto"/>
          <w:sz w:val="21"/>
          <w:szCs w:val="21"/>
          <w:highlight w:val="none"/>
          <w:lang w:val="en-US" w:eastAsia="zh-CN"/>
        </w:rPr>
        <w:t>分别</w:t>
      </w:r>
      <w:r>
        <w:rPr>
          <w:rFonts w:hint="eastAsia" w:hAnsi="宋体"/>
          <w:b/>
          <w:color w:val="auto"/>
          <w:sz w:val="21"/>
          <w:szCs w:val="21"/>
          <w:highlight w:val="none"/>
        </w:rPr>
        <w:t>单独装订成册，商务、技术和其他证明资料等磋商响应文件不能出现磋商价格。</w:t>
      </w:r>
    </w:p>
    <w:bookmarkEnd w:id="87"/>
    <w:bookmarkEnd w:id="88"/>
    <w:bookmarkEnd w:id="89"/>
    <w:bookmarkEnd w:id="90"/>
    <w:p w14:paraId="60E92AA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11.2响应（磋商）报价</w:t>
      </w:r>
    </w:p>
    <w:p w14:paraId="43C439C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（1）响应（磋商）报价应为人民币含税全包价，报价应包含服务及所需的各种税费、售后服务费及合同实施过程中的应预见和不可预见费用等完成合同规定责任和义务、达到合同目的的一切费用。</w:t>
      </w:r>
    </w:p>
    <w:p w14:paraId="1BE76B8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（2）磋商报价应包括所有应支付的对专利权和版权、设计或其他知识产权而需要向其他方支付的版税。</w:t>
      </w:r>
    </w:p>
    <w:p w14:paraId="6D34A1E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（3）供应商应按响应文件的《报价一览表》格式填写响应内容的单价和总价。</w:t>
      </w:r>
    </w:p>
    <w:p w14:paraId="5421C88E">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（4）</w:t>
      </w:r>
      <w:r>
        <w:rPr>
          <w:rFonts w:hint="eastAsia" w:hAnsi="宋体"/>
          <w:b/>
          <w:bCs/>
          <w:color w:val="auto"/>
          <w:sz w:val="21"/>
          <w:szCs w:val="21"/>
          <w:highlight w:val="none"/>
        </w:rPr>
        <w:t>供应商每次报价超过</w:t>
      </w:r>
      <w:r>
        <w:rPr>
          <w:rFonts w:hint="eastAsia" w:hAnsi="宋体"/>
          <w:b/>
          <w:bCs/>
          <w:color w:val="auto"/>
          <w:sz w:val="21"/>
          <w:szCs w:val="21"/>
          <w:highlight w:val="none"/>
          <w:lang w:eastAsia="zh-CN"/>
        </w:rPr>
        <w:t>最高报价</w:t>
      </w:r>
      <w:r>
        <w:rPr>
          <w:rFonts w:hint="eastAsia" w:hAnsi="宋体"/>
          <w:b/>
          <w:bCs/>
          <w:color w:val="auto"/>
          <w:sz w:val="21"/>
          <w:szCs w:val="21"/>
          <w:highlight w:val="none"/>
        </w:rPr>
        <w:t>视为非实质性响应磋商而予以拒绝。</w:t>
      </w:r>
    </w:p>
    <w:p w14:paraId="41EC757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（5）经磋商后，供应商所报的最后磋商报价在合同执行过程中是固定不变的，不得以任何理由予以变更。</w:t>
      </w:r>
    </w:p>
    <w:p w14:paraId="4139A2FF">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（6）供应商只能就单个项目提供唯一的方案和报价，不接受选择性的方案和报价。</w:t>
      </w:r>
    </w:p>
    <w:p w14:paraId="3BB8063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11.3证明供应商合格和资格的文件</w:t>
      </w:r>
    </w:p>
    <w:p w14:paraId="578E11B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11.4供应商应当提交具备履行合同的证明文件。</w:t>
      </w:r>
    </w:p>
    <w:p w14:paraId="6EA5002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11.5证明文件包括：履行合同所必须具备的财务能力证明、技术能力证明，符合磋商文件资格要求的证明等。</w:t>
      </w:r>
    </w:p>
    <w:p w14:paraId="47EFBC9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11.6证明服务的合格性和符合磋商文件规定的文件。</w:t>
      </w:r>
    </w:p>
    <w:p w14:paraId="4B7288E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11.7供应商应提交其拟供的合同项下的服务的合格性符合磋商文件规定的证明文件，并作为其响应文件的一部分。</w:t>
      </w:r>
    </w:p>
    <w:p w14:paraId="1B3FF0B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11.8服务合格性的证明文件应包括服务来源地的说明，服务与磋商文件的要求相一致的证明文件，其他说明所提供服务已对技术要求做出了实质性响应的文件或说明与技术规格条文的偏差和例外等，形式可以是文字说明、图纸及其他资料。</w:t>
      </w:r>
    </w:p>
    <w:p w14:paraId="6FC4633E">
      <w:pPr>
        <w:pStyle w:val="4"/>
        <w:shd w:val="clear"/>
        <w:adjustRightInd/>
        <w:spacing w:line="360" w:lineRule="auto"/>
        <w:ind w:firstLine="420" w:firstLineChars="200"/>
        <w:rPr>
          <w:rFonts w:hAnsi="宋体"/>
          <w:color w:val="auto"/>
          <w:sz w:val="21"/>
          <w:szCs w:val="21"/>
          <w:highlight w:val="none"/>
        </w:rPr>
      </w:pPr>
      <w:bookmarkStart w:id="91" w:name="_Toc110953841"/>
      <w:bookmarkStart w:id="92" w:name="_Toc9150"/>
      <w:bookmarkStart w:id="93" w:name="_Toc7897875"/>
      <w:bookmarkStart w:id="94" w:name="_Toc21763"/>
      <w:r>
        <w:rPr>
          <w:rFonts w:hint="eastAsia" w:hAnsi="宋体"/>
          <w:color w:val="auto"/>
          <w:sz w:val="21"/>
          <w:szCs w:val="21"/>
          <w:highlight w:val="none"/>
        </w:rPr>
        <w:t>12.响应文件格式</w:t>
      </w:r>
      <w:bookmarkEnd w:id="91"/>
      <w:bookmarkEnd w:id="92"/>
      <w:bookmarkEnd w:id="93"/>
      <w:bookmarkEnd w:id="94"/>
    </w:p>
    <w:p w14:paraId="5411056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12.1供应商应将响应文件装订成册，并填写“响应文件目录”。上述文件及表格为供应商必须提交的文件，各供应商可以根据实际情况增加内容，但不得擅自减少有关内容。响应文件的完整性是评审的内容之一。</w:t>
      </w:r>
    </w:p>
    <w:p w14:paraId="16E04257">
      <w:pPr>
        <w:pStyle w:val="4"/>
        <w:shd w:val="clear"/>
        <w:adjustRightInd/>
        <w:spacing w:line="360" w:lineRule="auto"/>
        <w:ind w:firstLine="420" w:firstLineChars="200"/>
        <w:rPr>
          <w:rFonts w:hAnsi="宋体"/>
          <w:color w:val="auto"/>
          <w:sz w:val="21"/>
          <w:szCs w:val="21"/>
          <w:highlight w:val="none"/>
        </w:rPr>
      </w:pPr>
      <w:bookmarkStart w:id="95" w:name="_Toc185150707"/>
      <w:bookmarkStart w:id="96" w:name="_Toc7897876"/>
      <w:bookmarkStart w:id="97" w:name="_Toc24570"/>
      <w:bookmarkStart w:id="98" w:name="_Toc30889"/>
      <w:r>
        <w:rPr>
          <w:rFonts w:hint="eastAsia" w:hAnsi="宋体"/>
          <w:color w:val="auto"/>
          <w:sz w:val="21"/>
          <w:szCs w:val="21"/>
          <w:highlight w:val="none"/>
        </w:rPr>
        <w:t>13.</w:t>
      </w:r>
      <w:bookmarkEnd w:id="95"/>
      <w:r>
        <w:rPr>
          <w:rFonts w:hint="eastAsia" w:hAnsi="宋体"/>
          <w:color w:val="auto"/>
          <w:sz w:val="21"/>
          <w:szCs w:val="21"/>
          <w:highlight w:val="none"/>
        </w:rPr>
        <w:t>磋商保证金</w:t>
      </w:r>
      <w:bookmarkEnd w:id="96"/>
      <w:bookmarkEnd w:id="97"/>
      <w:bookmarkEnd w:id="98"/>
    </w:p>
    <w:p w14:paraId="735822C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13.1供应商应向采购代理机构提交磋商保证金，并作为其响应文件的一部分。磋商保证金的金额：</w:t>
      </w:r>
    </w:p>
    <w:tbl>
      <w:tblPr>
        <w:tblStyle w:val="53"/>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9"/>
        <w:gridCol w:w="3679"/>
      </w:tblGrid>
      <w:tr w14:paraId="635E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exact"/>
          <w:jc w:val="center"/>
        </w:trPr>
        <w:tc>
          <w:tcPr>
            <w:tcW w:w="5129" w:type="dxa"/>
            <w:shd w:val="clear" w:color="auto" w:fill="E0E0E0"/>
            <w:vAlign w:val="center"/>
          </w:tcPr>
          <w:p w14:paraId="112F5013">
            <w:pPr>
              <w:shd w:val="clear"/>
              <w:snapToGrid w:val="0"/>
              <w:jc w:val="center"/>
              <w:rPr>
                <w:rFonts w:hAnsi="宋体"/>
                <w:b/>
                <w:color w:val="auto"/>
                <w:sz w:val="21"/>
                <w:szCs w:val="21"/>
                <w:highlight w:val="none"/>
              </w:rPr>
            </w:pPr>
            <w:r>
              <w:rPr>
                <w:rFonts w:hint="eastAsia" w:hAnsi="宋体"/>
                <w:b/>
                <w:color w:val="auto"/>
                <w:sz w:val="21"/>
                <w:szCs w:val="21"/>
                <w:highlight w:val="none"/>
              </w:rPr>
              <w:t>内容</w:t>
            </w:r>
          </w:p>
        </w:tc>
        <w:tc>
          <w:tcPr>
            <w:tcW w:w="3679" w:type="dxa"/>
            <w:shd w:val="clear" w:color="auto" w:fill="E0E0E0"/>
            <w:vAlign w:val="center"/>
          </w:tcPr>
          <w:p w14:paraId="549765CB">
            <w:pPr>
              <w:shd w:val="clear"/>
              <w:snapToGrid w:val="0"/>
              <w:jc w:val="center"/>
              <w:rPr>
                <w:rFonts w:hAnsi="宋体"/>
                <w:b/>
                <w:color w:val="auto"/>
                <w:sz w:val="21"/>
                <w:szCs w:val="21"/>
                <w:highlight w:val="none"/>
              </w:rPr>
            </w:pPr>
            <w:r>
              <w:rPr>
                <w:rFonts w:hint="eastAsia" w:hAnsi="宋体"/>
                <w:b/>
                <w:color w:val="auto"/>
                <w:sz w:val="21"/>
                <w:szCs w:val="21"/>
                <w:highlight w:val="none"/>
              </w:rPr>
              <w:t>保证金</w:t>
            </w:r>
          </w:p>
        </w:tc>
      </w:tr>
      <w:tr w14:paraId="5B104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29" w:type="dxa"/>
            <w:vAlign w:val="center"/>
          </w:tcPr>
          <w:p w14:paraId="36A29A18">
            <w:pPr>
              <w:widowControl/>
              <w:shd w:val="clear"/>
              <w:jc w:val="center"/>
              <w:rPr>
                <w:rFonts w:hint="eastAsia" w:hAnsi="宋体" w:eastAsia="宋体"/>
                <w:color w:val="auto"/>
                <w:sz w:val="21"/>
                <w:szCs w:val="21"/>
                <w:highlight w:val="none"/>
                <w:lang w:eastAsia="zh-CN"/>
              </w:rPr>
            </w:pPr>
            <w:r>
              <w:rPr>
                <w:rFonts w:hint="eastAsia" w:hAnsi="宋体"/>
                <w:color w:val="auto"/>
                <w:sz w:val="21"/>
                <w:szCs w:val="21"/>
                <w:highlight w:val="none"/>
                <w:lang w:eastAsia="zh-CN"/>
              </w:rPr>
              <w:t>大塘村优质产业空间项目(北一期)新建1台500KVA箱变工程</w:t>
            </w:r>
          </w:p>
        </w:tc>
        <w:tc>
          <w:tcPr>
            <w:tcW w:w="3679" w:type="dxa"/>
            <w:vAlign w:val="center"/>
          </w:tcPr>
          <w:p w14:paraId="01F42DDB">
            <w:pPr>
              <w:widowControl/>
              <w:shd w:val="clear"/>
              <w:jc w:val="center"/>
              <w:rPr>
                <w:rFonts w:hAnsi="宋体"/>
                <w:color w:val="auto"/>
                <w:sz w:val="21"/>
                <w:szCs w:val="21"/>
                <w:highlight w:val="none"/>
              </w:rPr>
            </w:pPr>
            <w:r>
              <w:rPr>
                <w:rFonts w:hint="eastAsia" w:hAnsi="宋体"/>
                <w:color w:val="auto"/>
                <w:sz w:val="21"/>
                <w:szCs w:val="21"/>
                <w:highlight w:val="none"/>
              </w:rPr>
              <w:t xml:space="preserve"> 人民币</w:t>
            </w:r>
            <w:r>
              <w:rPr>
                <w:rFonts w:hint="eastAsia" w:hAnsi="宋体"/>
                <w:color w:val="auto"/>
                <w:sz w:val="21"/>
                <w:szCs w:val="21"/>
                <w:highlight w:val="none"/>
                <w:lang w:val="en-US" w:eastAsia="zh-CN"/>
              </w:rPr>
              <w:t>伍仟捌佰元整</w:t>
            </w:r>
            <w:r>
              <w:rPr>
                <w:rFonts w:hint="eastAsia" w:hAnsi="宋体"/>
                <w:color w:val="auto"/>
                <w:sz w:val="21"/>
                <w:szCs w:val="21"/>
                <w:highlight w:val="none"/>
              </w:rPr>
              <w:t>（¥</w:t>
            </w:r>
            <w:r>
              <w:rPr>
                <w:rFonts w:hint="eastAsia" w:hAnsi="宋体"/>
                <w:color w:val="auto"/>
                <w:sz w:val="21"/>
                <w:szCs w:val="21"/>
                <w:highlight w:val="none"/>
                <w:lang w:val="en-US" w:eastAsia="zh-CN"/>
              </w:rPr>
              <w:t>5800.00</w:t>
            </w:r>
            <w:r>
              <w:rPr>
                <w:rFonts w:hint="eastAsia" w:hAnsi="宋体"/>
                <w:color w:val="auto"/>
                <w:sz w:val="21"/>
                <w:szCs w:val="21"/>
                <w:highlight w:val="none"/>
              </w:rPr>
              <w:t>元）</w:t>
            </w:r>
          </w:p>
        </w:tc>
      </w:tr>
    </w:tbl>
    <w:p w14:paraId="4D5C515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13.2供应商应按要求提交磋商保证金，供应商采用银行转账、</w:t>
      </w:r>
      <w:r>
        <w:rPr>
          <w:rFonts w:hint="eastAsia" w:hAnsi="宋体"/>
          <w:color w:val="auto"/>
          <w:kern w:val="2"/>
          <w:sz w:val="21"/>
          <w:szCs w:val="21"/>
          <w:highlight w:val="none"/>
          <w:lang w:val="zh-CN"/>
        </w:rPr>
        <w:t>电汇</w:t>
      </w:r>
      <w:r>
        <w:rPr>
          <w:rFonts w:hint="eastAsia" w:hAnsi="宋体"/>
          <w:color w:val="auto"/>
          <w:sz w:val="21"/>
          <w:szCs w:val="21"/>
          <w:highlight w:val="none"/>
        </w:rPr>
        <w:t>的形式缴交，磋商供应商与交款人名称必须一致，非磋商供应商缴纳的磋商保证金无效。</w:t>
      </w:r>
    </w:p>
    <w:p w14:paraId="58AF97A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13.3磋商保证金的提交，应符合下列规定： </w:t>
      </w:r>
    </w:p>
    <w:p w14:paraId="16452371">
      <w:pPr>
        <w:shd w:val="clear"/>
        <w:tabs>
          <w:tab w:val="left" w:pos="567"/>
        </w:tabs>
        <w:spacing w:line="360" w:lineRule="auto"/>
        <w:ind w:firstLine="420" w:firstLineChars="200"/>
        <w:jc w:val="both"/>
        <w:rPr>
          <w:rFonts w:hAnsi="宋体"/>
          <w:b/>
          <w:bCs/>
          <w:color w:val="auto"/>
          <w:kern w:val="2"/>
          <w:sz w:val="21"/>
          <w:szCs w:val="21"/>
          <w:highlight w:val="none"/>
          <w:lang w:val="zh-CN"/>
        </w:rPr>
      </w:pPr>
      <w:r>
        <w:rPr>
          <w:rFonts w:hint="eastAsia" w:hAnsi="宋体"/>
          <w:color w:val="auto"/>
          <w:kern w:val="2"/>
          <w:sz w:val="21"/>
          <w:szCs w:val="21"/>
          <w:highlight w:val="none"/>
          <w:lang w:val="zh-CN"/>
        </w:rPr>
        <w:t>磋商保证金采用转帐、电汇方式提交，应符合以下要求：保证金汇入以下磋商保证金专用账户，不接收由以供应商分支机构、私人帐户和其他单位转入的保证金。磋商保证金必须在磋商响应文件递交截止前到账，磋商保证金未按规定时间到达指定账户或提交金额不足的，将被视为无效响应。且在备注或用途中注明本项目的项目编号。</w:t>
      </w:r>
    </w:p>
    <w:p w14:paraId="460F4872">
      <w:pPr>
        <w:shd w:val="clear"/>
        <w:tabs>
          <w:tab w:val="left" w:pos="567"/>
        </w:tabs>
        <w:spacing w:line="360" w:lineRule="auto"/>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磋商保证金专用账户如下：</w:t>
      </w:r>
    </w:p>
    <w:p w14:paraId="03F6F154">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lang w:val="zh-CN" w:eastAsia="zh-CN"/>
        </w:rPr>
        <w:t>账</w:t>
      </w:r>
      <w:r>
        <w:rPr>
          <w:rFonts w:hint="eastAsia" w:hAnsi="宋体" w:cs="宋体"/>
          <w:color w:val="auto"/>
          <w:kern w:val="2"/>
          <w:sz w:val="21"/>
          <w:szCs w:val="21"/>
          <w:highlight w:val="none"/>
          <w:lang w:val="zh-CN"/>
        </w:rPr>
        <w:t>户名称：</w:t>
      </w:r>
      <w:r>
        <w:rPr>
          <w:rFonts w:hint="eastAsia" w:hAnsi="宋体" w:cs="宋体"/>
          <w:color w:val="auto"/>
          <w:kern w:val="2"/>
          <w:sz w:val="21"/>
          <w:szCs w:val="21"/>
          <w:highlight w:val="none"/>
          <w:u w:val="none"/>
          <w:lang w:val="zh-CN" w:eastAsia="zh-CN"/>
        </w:rPr>
        <w:t>广东志正招标有限公司东莞分公司</w:t>
      </w:r>
      <w:r>
        <w:rPr>
          <w:rFonts w:hint="eastAsia" w:hAnsi="宋体" w:cs="宋体"/>
          <w:color w:val="auto"/>
          <w:kern w:val="2"/>
          <w:sz w:val="21"/>
          <w:szCs w:val="21"/>
          <w:highlight w:val="none"/>
          <w:u w:val="none"/>
          <w:lang w:val="zh-CN"/>
        </w:rPr>
        <w:t xml:space="preserve">  </w:t>
      </w:r>
      <w:r>
        <w:rPr>
          <w:rFonts w:hint="eastAsia" w:hAnsi="宋体" w:cs="宋体"/>
          <w:color w:val="auto"/>
          <w:kern w:val="2"/>
          <w:sz w:val="21"/>
          <w:szCs w:val="21"/>
          <w:highlight w:val="none"/>
          <w:lang w:val="zh-CN"/>
        </w:rPr>
        <w:t>；</w:t>
      </w:r>
    </w:p>
    <w:p w14:paraId="3957028B">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lang w:val="zh-CN"/>
        </w:rPr>
        <w:t>开户银行：</w:t>
      </w:r>
      <w:r>
        <w:rPr>
          <w:rFonts w:hint="eastAsia" w:hAnsi="宋体" w:cs="宋体"/>
          <w:color w:val="auto"/>
          <w:kern w:val="2"/>
          <w:sz w:val="21"/>
          <w:szCs w:val="21"/>
          <w:highlight w:val="none"/>
          <w:u w:val="none"/>
          <w:lang w:val="zh-CN"/>
        </w:rPr>
        <w:t xml:space="preserve">招商银行东莞分行东城支行  </w:t>
      </w:r>
      <w:r>
        <w:rPr>
          <w:rFonts w:hint="eastAsia" w:hAnsi="宋体" w:cs="宋体"/>
          <w:color w:val="auto"/>
          <w:kern w:val="2"/>
          <w:sz w:val="21"/>
          <w:szCs w:val="21"/>
          <w:highlight w:val="none"/>
          <w:lang w:val="zh-CN"/>
        </w:rPr>
        <w:t>；</w:t>
      </w:r>
    </w:p>
    <w:p w14:paraId="616753DA">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lang w:val="zh-CN"/>
        </w:rPr>
        <w:t>银行</w:t>
      </w:r>
      <w:r>
        <w:rPr>
          <w:rFonts w:hint="eastAsia" w:hAnsi="宋体" w:cs="宋体"/>
          <w:color w:val="auto"/>
          <w:kern w:val="2"/>
          <w:sz w:val="21"/>
          <w:szCs w:val="21"/>
          <w:highlight w:val="none"/>
          <w:lang w:val="zh-CN" w:eastAsia="zh-CN"/>
        </w:rPr>
        <w:t>账</w:t>
      </w:r>
      <w:r>
        <w:rPr>
          <w:rFonts w:hint="eastAsia" w:hAnsi="宋体" w:cs="宋体"/>
          <w:color w:val="auto"/>
          <w:kern w:val="2"/>
          <w:sz w:val="21"/>
          <w:szCs w:val="21"/>
          <w:highlight w:val="none"/>
          <w:lang w:val="zh-CN"/>
        </w:rPr>
        <w:t>号：</w:t>
      </w:r>
      <w:r>
        <w:rPr>
          <w:rFonts w:hint="eastAsia" w:ascii="宋体" w:hAnsi="宋体" w:eastAsia="宋体" w:cs="宋体"/>
          <w:color w:val="auto"/>
          <w:kern w:val="2"/>
          <w:sz w:val="21"/>
          <w:szCs w:val="21"/>
          <w:highlight w:val="none"/>
          <w:u w:val="none"/>
          <w:lang w:val="zh-CN" w:eastAsia="zh-CN"/>
        </w:rPr>
        <w:t xml:space="preserve">769904271810788 </w:t>
      </w:r>
      <w:r>
        <w:rPr>
          <w:rFonts w:hint="eastAsia" w:hAnsi="宋体" w:cs="宋体"/>
          <w:color w:val="auto"/>
          <w:kern w:val="2"/>
          <w:sz w:val="21"/>
          <w:szCs w:val="21"/>
          <w:highlight w:val="none"/>
          <w:u w:val="none"/>
          <w:lang w:val="zh-CN" w:eastAsia="zh-CN"/>
        </w:rPr>
        <w:t xml:space="preserve"> </w:t>
      </w:r>
      <w:r>
        <w:rPr>
          <w:rFonts w:hint="eastAsia" w:hAnsi="宋体" w:cs="宋体"/>
          <w:color w:val="auto"/>
          <w:kern w:val="2"/>
          <w:sz w:val="21"/>
          <w:szCs w:val="21"/>
          <w:highlight w:val="none"/>
          <w:lang w:val="zh-CN"/>
        </w:rPr>
        <w:t>；</w:t>
      </w:r>
    </w:p>
    <w:p w14:paraId="6E04613A">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u w:val="none"/>
          <w:lang w:val="zh-CN"/>
        </w:rPr>
        <w:t>保证金相关事宜联系人：彭小姐</w:t>
      </w:r>
      <w:r>
        <w:rPr>
          <w:rFonts w:hint="eastAsia" w:hAnsi="宋体" w:eastAsia="宋体" w:cs="宋体"/>
          <w:color w:val="auto"/>
          <w:kern w:val="2"/>
          <w:sz w:val="21"/>
          <w:szCs w:val="21"/>
          <w:highlight w:val="none"/>
          <w:u w:val="none"/>
          <w:lang w:val="zh-CN"/>
        </w:rPr>
        <w:t xml:space="preserve">     联系电话：0769-22306832</w:t>
      </w:r>
    </w:p>
    <w:p w14:paraId="5404262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必须保证资金以其供应商的名称（以分公司或子公司汇款无效）在本项目磋商响应文件截止前汇入到保证金专用账户（以银行到帐为准），可采用银行转帐方式提交，但不可以采用现金方式（包括以存现方式）提交，未按要求提交磋商保证金的将导致废标。</w:t>
      </w:r>
    </w:p>
    <w:p w14:paraId="3E124D3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13.4供应商应将汇款底单复印件附在《磋商保证金汇入情况说明》中。并将《磋商保证金汇入情况说明》密封在单独的唱标信封内。磋商保证金的汇入单位名称须与磋商供应商名称一致，不接受以分支机构名义或个人账户代替供应商进行汇款。</w:t>
      </w:r>
    </w:p>
    <w:p w14:paraId="4319579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13.5凡没有根据规定递交磋商保证金的，应视为非响应性磋商予以拒绝。</w:t>
      </w:r>
    </w:p>
    <w:p w14:paraId="2F60ED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13.6未成交供应商的磋商保证金自成交通知书发出后5个工作日内退还（不计利息）；成交供应商的磋商保证金，将在其签署合同后，采购代理机构在5个工作日内退还（不计利息）。逾期办理的，采购人不承担迟延退款责任。</w:t>
      </w:r>
    </w:p>
    <w:p w14:paraId="7661AF8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13.7下列任何情况发生时，磋商保证金将被没收：</w:t>
      </w:r>
    </w:p>
    <w:p w14:paraId="0BFA1BC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13.7.1供应商在磋商文件中规定的磋商有效期内撤回其磋商；</w:t>
      </w:r>
    </w:p>
    <w:p w14:paraId="1443BD6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13.7.2供应商串通磋商或者以其他弄虚作假方式磋商；</w:t>
      </w:r>
    </w:p>
    <w:p w14:paraId="110FD61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13.7.3成交供应商在规定期限内未能按规定签订合同；</w:t>
      </w:r>
    </w:p>
    <w:p w14:paraId="0EF11B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13.7.4法律法规规定和磋商文件中规定的其它情况。</w:t>
      </w:r>
    </w:p>
    <w:p w14:paraId="7C649181">
      <w:pPr>
        <w:pStyle w:val="4"/>
        <w:shd w:val="clear"/>
        <w:adjustRightInd/>
        <w:spacing w:line="360" w:lineRule="auto"/>
        <w:ind w:firstLine="420" w:firstLineChars="200"/>
        <w:rPr>
          <w:rFonts w:hAnsi="宋体"/>
          <w:color w:val="auto"/>
          <w:sz w:val="21"/>
          <w:szCs w:val="21"/>
          <w:highlight w:val="none"/>
        </w:rPr>
      </w:pPr>
      <w:bookmarkStart w:id="99" w:name="_Toc467987824"/>
      <w:bookmarkStart w:id="100" w:name="_Toc110953842"/>
      <w:bookmarkStart w:id="101" w:name="_Toc454701382"/>
      <w:bookmarkStart w:id="102" w:name="_Toc468606030"/>
      <w:bookmarkStart w:id="103" w:name="_Toc503758471"/>
      <w:bookmarkStart w:id="104" w:name="_Toc2525"/>
      <w:bookmarkStart w:id="105" w:name="_Toc468157537"/>
      <w:bookmarkStart w:id="106" w:name="_Toc479991583"/>
      <w:bookmarkStart w:id="107" w:name="_Toc458262615"/>
      <w:bookmarkStart w:id="108" w:name="_Toc480020258"/>
      <w:bookmarkStart w:id="109" w:name="_Toc480171880"/>
      <w:bookmarkStart w:id="110" w:name="_Toc7897877"/>
      <w:bookmarkStart w:id="111" w:name="_Toc480021054"/>
      <w:bookmarkStart w:id="112" w:name="_Toc467236741"/>
      <w:bookmarkStart w:id="113" w:name="_Toc480010709"/>
      <w:bookmarkStart w:id="114" w:name="_Toc32304"/>
      <w:r>
        <w:rPr>
          <w:rFonts w:hint="eastAsia" w:hAnsi="宋体"/>
          <w:color w:val="auto"/>
          <w:sz w:val="21"/>
          <w:szCs w:val="21"/>
          <w:highlight w:val="none"/>
        </w:rPr>
        <w:t>14.响应有效期</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D57824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14.1响应文件从开启响应文件之日起，响应有效期为90个工作日。</w:t>
      </w:r>
    </w:p>
    <w:p w14:paraId="1D859FC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14.2特殊情况下，采购代理机构可于响应有效期期满之前，要求供应商同意延长响应有效期，要求与答复均应为书面形式。对于同意该要求的供应商，既不要求也不允许其修改响应文件。</w:t>
      </w:r>
    </w:p>
    <w:p w14:paraId="46C282EF">
      <w:pPr>
        <w:pStyle w:val="12"/>
        <w:shd w:val="clear"/>
        <w:ind w:firstLine="400"/>
        <w:rPr>
          <w:color w:val="auto"/>
          <w:highlight w:val="none"/>
        </w:rPr>
      </w:pPr>
    </w:p>
    <w:bookmarkEnd w:id="78"/>
    <w:bookmarkEnd w:id="79"/>
    <w:bookmarkEnd w:id="80"/>
    <w:bookmarkEnd w:id="81"/>
    <w:bookmarkEnd w:id="82"/>
    <w:p w14:paraId="55B38539">
      <w:pPr>
        <w:pStyle w:val="3"/>
        <w:shd w:val="clear"/>
        <w:adjustRightInd/>
        <w:spacing w:line="360" w:lineRule="auto"/>
        <w:ind w:firstLine="562" w:firstLineChars="200"/>
        <w:jc w:val="center"/>
        <w:rPr>
          <w:color w:val="auto"/>
          <w:sz w:val="28"/>
          <w:szCs w:val="28"/>
          <w:highlight w:val="none"/>
        </w:rPr>
      </w:pPr>
      <w:bookmarkStart w:id="115" w:name="_Toc17761"/>
      <w:bookmarkStart w:id="116" w:name="_Toc110953843"/>
      <w:bookmarkStart w:id="117" w:name="_Toc7897878"/>
      <w:bookmarkStart w:id="118" w:name="_Toc2740"/>
      <w:bookmarkStart w:id="119" w:name="_Toc466786438"/>
      <w:bookmarkStart w:id="120" w:name="_Toc102277760"/>
      <w:bookmarkStart w:id="121" w:name="_Toc507407363"/>
      <w:bookmarkStart w:id="122" w:name="_Toc6968691"/>
      <w:bookmarkStart w:id="123" w:name="_Toc6882679"/>
      <w:r>
        <w:rPr>
          <w:rFonts w:hint="eastAsia"/>
          <w:color w:val="auto"/>
          <w:sz w:val="28"/>
          <w:szCs w:val="28"/>
          <w:highlight w:val="none"/>
        </w:rPr>
        <w:t>四、响应文件的递交</w:t>
      </w:r>
      <w:bookmarkEnd w:id="115"/>
      <w:bookmarkEnd w:id="116"/>
      <w:bookmarkEnd w:id="117"/>
      <w:bookmarkEnd w:id="118"/>
    </w:p>
    <w:p w14:paraId="5DE80318">
      <w:pPr>
        <w:pStyle w:val="4"/>
        <w:shd w:val="clear"/>
        <w:adjustRightInd/>
        <w:spacing w:line="360" w:lineRule="auto"/>
        <w:ind w:firstLine="420" w:firstLineChars="200"/>
        <w:rPr>
          <w:rFonts w:hAnsi="宋体"/>
          <w:color w:val="auto"/>
          <w:sz w:val="21"/>
          <w:szCs w:val="21"/>
          <w:highlight w:val="none"/>
        </w:rPr>
      </w:pPr>
      <w:bookmarkStart w:id="124" w:name="_Toc110953844"/>
      <w:bookmarkStart w:id="125" w:name="_Toc11500"/>
      <w:bookmarkStart w:id="126" w:name="_Toc7897879"/>
      <w:bookmarkStart w:id="127" w:name="_Toc2684"/>
      <w:r>
        <w:rPr>
          <w:rFonts w:hint="eastAsia" w:hAnsi="宋体"/>
          <w:color w:val="auto"/>
          <w:sz w:val="21"/>
          <w:szCs w:val="21"/>
          <w:highlight w:val="none"/>
        </w:rPr>
        <w:t>15.响应文件的密封和标记</w:t>
      </w:r>
      <w:bookmarkEnd w:id="124"/>
      <w:bookmarkEnd w:id="125"/>
      <w:bookmarkEnd w:id="126"/>
      <w:bookmarkEnd w:id="127"/>
    </w:p>
    <w:p w14:paraId="43FF13D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15.1供应商应将响应文件正本和副本用信封分别密封，并标明供应商的名称、采购编号及“正本”或“副本”字样。</w:t>
      </w:r>
    </w:p>
    <w:p w14:paraId="159F138D">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15.2唱标信封应单独密封，与磋商响应文件一同提交。</w:t>
      </w:r>
    </w:p>
    <w:p w14:paraId="628E0FD3">
      <w:pPr>
        <w:shd w:val="clear"/>
        <w:tabs>
          <w:tab w:val="left" w:pos="567"/>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15.3在磋商响应文件密封袋上均应标明以下内容：</w:t>
      </w:r>
    </w:p>
    <w:p w14:paraId="0F74F4E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① 收 件 人：；</w:t>
      </w:r>
    </w:p>
    <w:p w14:paraId="36A8F2B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② 项目名称：；</w:t>
      </w:r>
    </w:p>
    <w:p w14:paraId="012C77F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③ 采购编号：；</w:t>
      </w:r>
    </w:p>
    <w:p w14:paraId="3C20982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④        年   月   日   时   分开标，此时间以前不得开封；</w:t>
      </w:r>
    </w:p>
    <w:p w14:paraId="35ACE6E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⑤ 标明供应商名称、地址、联系人和电话以及文件的种类（如价格文件、商务技术文件、唱标信封等）。</w:t>
      </w:r>
    </w:p>
    <w:p w14:paraId="75CE7E3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15.4供应商应按上述规定进行密封和标记后，将响应文件按照磋商文件中规定的时间和地址送至采购代理机构。</w:t>
      </w:r>
    </w:p>
    <w:p w14:paraId="2AAADD0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15.5未按上述规定进行密封、标记和递交的，采购代理机构对响应文件的不依时间递交、误投、破损、封装不合格或提前拆封不负责。</w:t>
      </w:r>
    </w:p>
    <w:p w14:paraId="11EA9471">
      <w:pPr>
        <w:pStyle w:val="4"/>
        <w:shd w:val="clear"/>
        <w:adjustRightInd/>
        <w:spacing w:line="360" w:lineRule="auto"/>
        <w:ind w:firstLine="420" w:firstLineChars="200"/>
        <w:rPr>
          <w:rFonts w:hAnsi="宋体"/>
          <w:color w:val="auto"/>
          <w:sz w:val="21"/>
          <w:szCs w:val="21"/>
          <w:highlight w:val="none"/>
        </w:rPr>
      </w:pPr>
      <w:bookmarkStart w:id="128" w:name="_Toc12710"/>
      <w:bookmarkStart w:id="129" w:name="_Toc10017"/>
      <w:bookmarkStart w:id="130" w:name="_Toc7897880"/>
      <w:bookmarkStart w:id="131" w:name="_Toc110953845"/>
      <w:r>
        <w:rPr>
          <w:rFonts w:hint="eastAsia" w:hAnsi="宋体"/>
          <w:color w:val="auto"/>
          <w:sz w:val="21"/>
          <w:szCs w:val="21"/>
          <w:highlight w:val="none"/>
        </w:rPr>
        <w:t>16.响应文件的递交</w:t>
      </w:r>
      <w:bookmarkEnd w:id="128"/>
      <w:bookmarkEnd w:id="129"/>
      <w:bookmarkEnd w:id="130"/>
      <w:bookmarkEnd w:id="131"/>
    </w:p>
    <w:p w14:paraId="78C526C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16.1所有响应文件都必须在响应截止时间之前送至采购代理机构。</w:t>
      </w:r>
    </w:p>
    <w:p w14:paraId="3DAC197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16.2采购代理机构拒绝接受以下文件：</w:t>
      </w:r>
    </w:p>
    <w:p w14:paraId="51A292F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（1）提前递交的文件，</w:t>
      </w:r>
    </w:p>
    <w:p w14:paraId="6F20847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（2）在响应截止时间后递交的响应文件，</w:t>
      </w:r>
    </w:p>
    <w:p w14:paraId="3700E72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（3）未按规定包装和密封的响应文件。</w:t>
      </w:r>
    </w:p>
    <w:p w14:paraId="4E4476BC">
      <w:pPr>
        <w:shd w:val="clear"/>
        <w:spacing w:line="360" w:lineRule="auto"/>
        <w:ind w:firstLine="420" w:firstLineChars="200"/>
        <w:rPr>
          <w:rFonts w:hAnsi="宋体"/>
          <w:b/>
          <w:bCs/>
          <w:color w:val="auto"/>
          <w:sz w:val="21"/>
          <w:szCs w:val="21"/>
          <w:highlight w:val="none"/>
          <w:lang w:val="zh-CN"/>
        </w:rPr>
      </w:pPr>
      <w:r>
        <w:rPr>
          <w:rFonts w:hint="eastAsia" w:hAnsi="宋体"/>
          <w:color w:val="auto"/>
          <w:sz w:val="21"/>
          <w:szCs w:val="21"/>
          <w:highlight w:val="none"/>
        </w:rPr>
        <w:t>16.3响应文件的修改与撤回</w:t>
      </w:r>
    </w:p>
    <w:p w14:paraId="05C229C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（1）供应商在递交响应文件后到响应截止时间之前，可以补充、修改或撤回其响应文件，但供应商必须以书面形式通知采购代理机构。补充、修改的内容与响应文件不一致的，以补偿、修改的内容为准。</w:t>
      </w:r>
    </w:p>
    <w:p w14:paraId="56472D8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（2）除法律法规允许的情况外，在响应截止时间之后至响应有效期之间的这段时间内，供应商不得对其响应文件做任何修改，亦不得撤回其响应，否则磋商保证金将不予退还。</w:t>
      </w:r>
    </w:p>
    <w:p w14:paraId="113C0266">
      <w:pPr>
        <w:shd w:val="clear"/>
        <w:spacing w:line="360" w:lineRule="auto"/>
        <w:ind w:firstLine="420" w:firstLineChars="200"/>
        <w:rPr>
          <w:rFonts w:hAnsi="宋体"/>
          <w:color w:val="auto"/>
          <w:sz w:val="21"/>
          <w:szCs w:val="21"/>
          <w:highlight w:val="none"/>
        </w:rPr>
      </w:pPr>
    </w:p>
    <w:p w14:paraId="2F2D3DEB">
      <w:pPr>
        <w:pStyle w:val="3"/>
        <w:shd w:val="clear"/>
        <w:adjustRightInd/>
        <w:spacing w:line="360" w:lineRule="auto"/>
        <w:ind w:firstLine="562" w:firstLineChars="200"/>
        <w:jc w:val="center"/>
        <w:rPr>
          <w:color w:val="auto"/>
          <w:sz w:val="28"/>
          <w:szCs w:val="28"/>
          <w:highlight w:val="none"/>
        </w:rPr>
      </w:pPr>
      <w:bookmarkStart w:id="132" w:name="_Toc22874"/>
      <w:bookmarkStart w:id="133" w:name="_Toc7897881"/>
      <w:bookmarkStart w:id="134" w:name="_Toc3138"/>
      <w:r>
        <w:rPr>
          <w:rFonts w:hint="eastAsia"/>
          <w:color w:val="auto"/>
          <w:sz w:val="28"/>
          <w:szCs w:val="28"/>
          <w:highlight w:val="none"/>
        </w:rPr>
        <w:t>五、采购仪式和</w:t>
      </w:r>
      <w:bookmarkEnd w:id="119"/>
      <w:bookmarkEnd w:id="120"/>
      <w:bookmarkEnd w:id="121"/>
      <w:bookmarkEnd w:id="122"/>
      <w:bookmarkEnd w:id="123"/>
      <w:r>
        <w:rPr>
          <w:rFonts w:hint="eastAsia"/>
          <w:color w:val="auto"/>
          <w:sz w:val="28"/>
          <w:szCs w:val="28"/>
          <w:highlight w:val="none"/>
        </w:rPr>
        <w:t>评审会议</w:t>
      </w:r>
      <w:bookmarkEnd w:id="132"/>
      <w:bookmarkEnd w:id="133"/>
      <w:bookmarkEnd w:id="134"/>
    </w:p>
    <w:p w14:paraId="73B5CEE1">
      <w:pPr>
        <w:pStyle w:val="4"/>
        <w:shd w:val="clear"/>
        <w:adjustRightInd/>
        <w:spacing w:line="360" w:lineRule="auto"/>
        <w:ind w:firstLine="422" w:firstLineChars="200"/>
        <w:rPr>
          <w:rFonts w:hAnsi="宋体"/>
          <w:b/>
          <w:color w:val="auto"/>
          <w:sz w:val="21"/>
          <w:szCs w:val="21"/>
          <w:highlight w:val="none"/>
        </w:rPr>
      </w:pPr>
      <w:bookmarkStart w:id="135" w:name="_Toc475249134"/>
      <w:r>
        <w:rPr>
          <w:rFonts w:hint="eastAsia" w:hAnsi="宋体"/>
          <w:b/>
          <w:color w:val="auto"/>
          <w:sz w:val="21"/>
          <w:szCs w:val="21"/>
          <w:highlight w:val="none"/>
        </w:rPr>
        <w:t>17.</w:t>
      </w:r>
      <w:bookmarkEnd w:id="135"/>
      <w:r>
        <w:rPr>
          <w:rFonts w:hint="eastAsia" w:hAnsi="宋体"/>
          <w:b/>
          <w:color w:val="auto"/>
          <w:sz w:val="21"/>
          <w:szCs w:val="21"/>
          <w:highlight w:val="none"/>
        </w:rPr>
        <w:t>开启响应文件</w:t>
      </w:r>
    </w:p>
    <w:p w14:paraId="748D9E72">
      <w:pPr>
        <w:shd w:val="clear"/>
        <w:spacing w:line="360" w:lineRule="auto"/>
        <w:ind w:firstLine="420" w:firstLineChars="200"/>
        <w:rPr>
          <w:rFonts w:hAnsi="宋体"/>
          <w:color w:val="auto"/>
          <w:sz w:val="21"/>
          <w:szCs w:val="21"/>
          <w:highlight w:val="none"/>
        </w:rPr>
      </w:pPr>
      <w:bookmarkStart w:id="136" w:name="_Toc475249135"/>
      <w:bookmarkStart w:id="137" w:name="_Toc475249138"/>
      <w:r>
        <w:rPr>
          <w:rFonts w:hint="eastAsia" w:hAnsi="宋体"/>
          <w:color w:val="auto"/>
          <w:sz w:val="21"/>
          <w:szCs w:val="21"/>
          <w:highlight w:val="none"/>
        </w:rPr>
        <w:t>17.1采购代理机构在《磋商邀请书》规定的日期、时间和地点在有供应商代表在场的场合组织采购仪式，参加采购仪式的代表应签名报到以证明其出席。</w:t>
      </w:r>
    </w:p>
    <w:p w14:paraId="6FCF644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17.2开启响应文件前，采购人、采购代理机构和供应商将检查响应文件的密封情况。在确认密封完好后，进行拆封唱标。唱标主要内容为响应文件正本中磋商保证金的内容以及采购代理机构认为合适的其他内容，并做记录。</w:t>
      </w:r>
    </w:p>
    <w:p w14:paraId="2D8E3019">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18.磋商小组</w:t>
      </w:r>
      <w:bookmarkEnd w:id="136"/>
    </w:p>
    <w:p w14:paraId="04155AA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18.1采购代理机构将根据项目特点组建磋商小组，磋商小组由采购人代表和评审专家共3人或以上单数组成，其中评审专家人数不得少于磋商小组成员总数的2/3。</w:t>
      </w:r>
    </w:p>
    <w:p w14:paraId="23B52C68">
      <w:pPr>
        <w:pStyle w:val="4"/>
        <w:shd w:val="clear"/>
        <w:adjustRightInd/>
        <w:spacing w:line="360" w:lineRule="auto"/>
        <w:ind w:firstLine="422" w:firstLineChars="200"/>
        <w:rPr>
          <w:rFonts w:hAnsi="宋体"/>
          <w:b/>
          <w:color w:val="auto"/>
          <w:sz w:val="21"/>
          <w:szCs w:val="21"/>
          <w:highlight w:val="none"/>
        </w:rPr>
      </w:pPr>
      <w:bookmarkStart w:id="138" w:name="_Toc535141844"/>
      <w:bookmarkStart w:id="139" w:name="_Toc37121259"/>
      <w:r>
        <w:rPr>
          <w:rFonts w:hint="eastAsia" w:hAnsi="宋体"/>
          <w:b/>
          <w:color w:val="auto"/>
          <w:sz w:val="21"/>
          <w:szCs w:val="21"/>
          <w:highlight w:val="none"/>
        </w:rPr>
        <w:t>19.对响应文件的初审</w:t>
      </w:r>
      <w:bookmarkEnd w:id="138"/>
      <w:bookmarkEnd w:id="139"/>
    </w:p>
    <w:p w14:paraId="041D40A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19.1开启响应文件后，采购代理机构将组织磋商小组对响应文件进行初审，初审包括资格性审查和符合性审查。</w:t>
      </w:r>
    </w:p>
    <w:p w14:paraId="2DAE21F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19.2资格性审查是指依据法律规定和磋商文件的规定，对响应文件中的资格证明等进行审查，确定供应商是否具备响应资格。</w:t>
      </w:r>
    </w:p>
    <w:p w14:paraId="5EA3728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19.3符合性审查是指依据磋商文件的规定，从响应文件的有效性、完整性和对磋商文件的响应程度进行审查，以确定是否对磋商文件的实质性要求作出响应，包括审查响应文件是否完整，有否计算错误，文件签署是否合格，响应书的编排是否有序等。</w:t>
      </w:r>
    </w:p>
    <w:p w14:paraId="6F84DEA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19.4在对响应文件进行详细评估之前，磋商小组将审查每份响应文件是否实质上响应了磋商文件的要求。实质性响应的响应应该是与磋商文件要求的全部条款、条件和规格相符，没有重大偏离的响应。对关键条文的偏离、保留或反对，例如关于适用法律、税及关税等的偏离将被认为是实质上的偏离，而纠正这些偏离将影响到其他提交实质性响应响应的供应商的公平竞争地位。</w:t>
      </w:r>
    </w:p>
    <w:p w14:paraId="33AD3FC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19.5磋商小组确定响应文件的响应性，只根据响应文件本身的内容，而不寻找外部的证据。</w:t>
      </w:r>
    </w:p>
    <w:p w14:paraId="2EA42EB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19.6实质上没有响应磋商文件要求的响应文件将被拒绝。供应商不得通过修正或撤销不合要求的偏离或保留从而使其响应成为实质上的响应。</w:t>
      </w:r>
    </w:p>
    <w:p w14:paraId="634E0043">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20.对响应文件的澄清</w:t>
      </w:r>
    </w:p>
    <w:p w14:paraId="2A4B1D5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20.1磋商小组在对响应文件的有效性、完整性和响应程度进行审查时，可以要求供应商对响应文件中含义不明确、同类问题表述不一致或者有明显文字和计算错误的内容等作出必要的澄清、说明或者更正。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磋商小组不接受响应人主动提出的澄清、说明或更正。</w:t>
      </w:r>
    </w:p>
    <w:p w14:paraId="29DAF33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20.2响应文件内容表述不一致按照以下方法处理：响应文件中报价一览表内容与响应文件明细表内容不一致的，以报价一览表为准；响应文件的大写金额和小写金额不一致的，以大写金额为准；总价金额与按单价汇总金额不一致的，以单价金额计算结果为准；单价金额小数点有明显错位的，应以单价为准，并修改总价；对不同文字文本响应文件的解释发生异议的，应以中文文本为准。</w:t>
      </w:r>
    </w:p>
    <w:p w14:paraId="74C0ECC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20.3供应商的法定代表人或委托代理人应当按照采购代理机构通知的时间和地点接受询问，对响应文件中含义不明确的内容作必要的澄清、说明或者纠正。</w:t>
      </w:r>
    </w:p>
    <w:p w14:paraId="21CA51FE">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21.开展磋商</w:t>
      </w:r>
    </w:p>
    <w:p w14:paraId="6A1B77F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21.1主持人宣布评审纪律，磋商小组所有成员及相关工作人员签名确认。</w:t>
      </w:r>
    </w:p>
    <w:p w14:paraId="70CF37A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21.2磋商小组所有成员应当集中与单一供应商分别进行一轮或多轮的磋商（具体磋商轮次由磋商小组视情况决定）在磋商中，磋商小组及有关当事人应当严格遵循保密原则，任何人不得透露与磋商有关的供应商的技术、价格和其他信息。</w:t>
      </w:r>
    </w:p>
    <w:p w14:paraId="0643F69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21.3在磋商过程中，磋商小组可以根据磋商文件和磋商情况实质性变动采购需求中的技术、服务要求以及合同草案条款，但不得变动磋商文件中的其他内容，并应当以书面形式通知所有参加磋商的供应商。实质性变动的内容，须经采购人代表确认。对磋商文件作出的实质性变动是磋商文件的有效组成部分。</w:t>
      </w:r>
    </w:p>
    <w:p w14:paraId="2178F7D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21.4供应商应当按照磋商文件的变动情况和磋商小组的要求重新提交响应文件（或补充以书面材料），并由其法定代表人或授权代表签字或者加盖公章。由授权代表签字的，应当附法定代表人授权书。供应商为自然人的，应当由本人签字并附身份证明。补充文件是响应文件的组成部分。</w:t>
      </w:r>
    </w:p>
    <w:p w14:paraId="07672383">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22.最后报价</w:t>
      </w:r>
    </w:p>
    <w:p w14:paraId="22F2C66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22.1磋商文件能够详细列明采购标的的技术、服务要求的，磋商结束后，磋商小组应当要求所有实质性响应的供应商在规定时间内提交最后报价，除法律法规规定的允许的情况外，提交最后报价的供应商不得少于3家。最后报价是供应商响应文件的有效组成部分。</w:t>
      </w:r>
    </w:p>
    <w:p w14:paraId="09101B9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22.2已提交响应文件的供应商，在提交最后报价之前，可以根据磋商情况退出磋商。采购人、采购代理机构应当退还退出磋商的供应商的磋商保证金。</w:t>
      </w:r>
    </w:p>
    <w:bookmarkEnd w:id="137"/>
    <w:p w14:paraId="3BEAEBBD">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23.综合评分</w:t>
      </w:r>
    </w:p>
    <w:p w14:paraId="2781A4C6">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经磋商确定最终采购需求和提交最后报价的供应商后，由磋商小组采用综合评分法对提交最后报价的供应商的响应文件和最后报价进行综合评分。详见本文件《第四篇 评标工作大纲》。</w:t>
      </w:r>
    </w:p>
    <w:p w14:paraId="1723569D">
      <w:pPr>
        <w:shd w:val="clear"/>
        <w:spacing w:line="360" w:lineRule="auto"/>
        <w:ind w:firstLine="422" w:firstLineChars="200"/>
        <w:rPr>
          <w:rFonts w:hint="eastAsia" w:hAnsi="宋体"/>
          <w:color w:val="auto"/>
          <w:sz w:val="21"/>
          <w:szCs w:val="21"/>
          <w:highlight w:val="none"/>
        </w:rPr>
      </w:pPr>
      <w:r>
        <w:rPr>
          <w:rFonts w:hint="eastAsia" w:ascii="宋体" w:hAnsi="宋体" w:eastAsia="宋体" w:cs="宋体"/>
          <w:b/>
          <w:color w:val="auto"/>
          <w:sz w:val="21"/>
          <w:szCs w:val="21"/>
          <w:highlight w:val="none"/>
          <w:lang w:val="en-US" w:eastAsia="zh-CN"/>
        </w:rPr>
        <w:t>24.当现场递交响应文件的供应商个数或经评审有效的供应商个数不足三个且个数为二时，采购人将转为现场谈判；当现场递交响应文件的供应商个数或经评审有效的供应商个数不足三个且个数为一时，采购人将转为定向谈判。谈判过程及相关表格详见附件A。</w:t>
      </w:r>
    </w:p>
    <w:p w14:paraId="691146D5">
      <w:pPr>
        <w:pStyle w:val="12"/>
        <w:shd w:val="clear"/>
        <w:ind w:firstLine="400"/>
        <w:rPr>
          <w:color w:val="auto"/>
          <w:highlight w:val="none"/>
        </w:rPr>
      </w:pPr>
    </w:p>
    <w:p w14:paraId="608630E2">
      <w:pPr>
        <w:pStyle w:val="3"/>
        <w:shd w:val="clear"/>
        <w:adjustRightInd/>
        <w:spacing w:line="360" w:lineRule="auto"/>
        <w:ind w:firstLine="562" w:firstLineChars="200"/>
        <w:jc w:val="center"/>
        <w:rPr>
          <w:color w:val="auto"/>
          <w:sz w:val="28"/>
          <w:szCs w:val="28"/>
          <w:highlight w:val="none"/>
        </w:rPr>
      </w:pPr>
      <w:bookmarkStart w:id="140" w:name="_Toc7897882"/>
      <w:bookmarkStart w:id="141" w:name="_Toc21174"/>
      <w:bookmarkStart w:id="142" w:name="_Toc18625"/>
      <w:r>
        <w:rPr>
          <w:rFonts w:hint="eastAsia"/>
          <w:color w:val="auto"/>
          <w:sz w:val="28"/>
          <w:szCs w:val="28"/>
          <w:highlight w:val="none"/>
        </w:rPr>
        <w:t>六、确定成交供应商</w:t>
      </w:r>
      <w:bookmarkEnd w:id="140"/>
      <w:bookmarkEnd w:id="141"/>
      <w:bookmarkEnd w:id="142"/>
    </w:p>
    <w:p w14:paraId="7F9D0DED">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24.确定成交</w:t>
      </w:r>
    </w:p>
    <w:p w14:paraId="627CEEF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24.1磋商小组完成评审工作后，出具评审报告，推荐3名以上成交候选供应商。符合法律法规允许的情况的，可以推荐2家成交候选供应商。</w:t>
      </w:r>
    </w:p>
    <w:p w14:paraId="04232D9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24.2采购人从成交候选供应商名单中按照综合得分排序确定1名成交供应商。</w:t>
      </w:r>
    </w:p>
    <w:p w14:paraId="33487AA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24.3根据响应或评审情况，采购代理机构保留在确定成交供应商之前任何时候接受或拒绝任何响应，以及宣布评审程序无效或拒绝所有响应的权力，对受影响的供应商不承担任何责任，也无义务向受影响的供应商解释这一行动的理由。</w:t>
      </w:r>
    </w:p>
    <w:p w14:paraId="08C54364">
      <w:pPr>
        <w:pStyle w:val="4"/>
        <w:shd w:val="clear"/>
        <w:adjustRightInd/>
        <w:spacing w:line="360" w:lineRule="auto"/>
        <w:ind w:firstLine="422"/>
        <w:rPr>
          <w:b/>
          <w:color w:val="auto"/>
          <w:sz w:val="21"/>
          <w:szCs w:val="21"/>
          <w:highlight w:val="none"/>
        </w:rPr>
      </w:pPr>
      <w:r>
        <w:rPr>
          <w:rFonts w:hint="eastAsia"/>
          <w:b/>
          <w:color w:val="auto"/>
          <w:sz w:val="21"/>
          <w:szCs w:val="21"/>
          <w:highlight w:val="none"/>
        </w:rPr>
        <w:t>25.资格后审</w:t>
      </w:r>
    </w:p>
    <w:p w14:paraId="37EEA1E0">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.1</w:t>
      </w:r>
      <w:r>
        <w:rPr>
          <w:rFonts w:hint="eastAsia"/>
          <w:color w:val="auto"/>
          <w:sz w:val="21"/>
          <w:szCs w:val="21"/>
          <w:highlight w:val="none"/>
        </w:rPr>
        <w:t>采购人</w:t>
      </w:r>
      <w:r>
        <w:rPr>
          <w:color w:val="auto"/>
          <w:sz w:val="21"/>
          <w:szCs w:val="21"/>
          <w:highlight w:val="none"/>
        </w:rPr>
        <w:t>将</w:t>
      </w:r>
      <w:r>
        <w:rPr>
          <w:rFonts w:hint="eastAsia"/>
          <w:color w:val="auto"/>
          <w:sz w:val="21"/>
          <w:szCs w:val="21"/>
          <w:highlight w:val="none"/>
          <w:lang w:val="en-US" w:eastAsia="zh-CN"/>
        </w:rPr>
        <w:t>有权</w:t>
      </w:r>
      <w:r>
        <w:rPr>
          <w:color w:val="auto"/>
          <w:sz w:val="21"/>
          <w:szCs w:val="21"/>
          <w:highlight w:val="none"/>
        </w:rPr>
        <w:t>根据</w:t>
      </w:r>
      <w:r>
        <w:rPr>
          <w:rFonts w:hint="eastAsia"/>
          <w:color w:val="auto"/>
          <w:sz w:val="21"/>
          <w:szCs w:val="21"/>
          <w:highlight w:val="none"/>
        </w:rPr>
        <w:t>磋商文件</w:t>
      </w:r>
      <w:r>
        <w:rPr>
          <w:color w:val="auto"/>
          <w:sz w:val="21"/>
          <w:szCs w:val="21"/>
          <w:highlight w:val="none"/>
        </w:rPr>
        <w:t>中的要求，对评委会推荐的</w:t>
      </w:r>
      <w:r>
        <w:rPr>
          <w:rFonts w:hint="eastAsia"/>
          <w:color w:val="auto"/>
          <w:sz w:val="21"/>
          <w:szCs w:val="21"/>
          <w:highlight w:val="none"/>
        </w:rPr>
        <w:t>成交候选人</w:t>
      </w:r>
      <w:r>
        <w:rPr>
          <w:color w:val="auto"/>
          <w:sz w:val="21"/>
          <w:szCs w:val="21"/>
          <w:highlight w:val="none"/>
        </w:rPr>
        <w:t>进行资格后审。</w:t>
      </w:r>
    </w:p>
    <w:p w14:paraId="21C5D9C8">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.2</w:t>
      </w:r>
      <w:r>
        <w:rPr>
          <w:rFonts w:hint="eastAsia"/>
          <w:color w:val="auto"/>
          <w:sz w:val="21"/>
          <w:szCs w:val="21"/>
          <w:highlight w:val="none"/>
        </w:rPr>
        <w:t>成交候选人</w:t>
      </w:r>
      <w:r>
        <w:rPr>
          <w:color w:val="auto"/>
          <w:sz w:val="21"/>
          <w:szCs w:val="21"/>
          <w:highlight w:val="none"/>
        </w:rPr>
        <w:t>须无条件配合资格后审，否则</w:t>
      </w:r>
      <w:r>
        <w:rPr>
          <w:rFonts w:hint="eastAsia"/>
          <w:color w:val="auto"/>
          <w:sz w:val="21"/>
          <w:szCs w:val="21"/>
          <w:highlight w:val="none"/>
        </w:rPr>
        <w:t>采购人</w:t>
      </w:r>
      <w:r>
        <w:rPr>
          <w:color w:val="auto"/>
          <w:sz w:val="21"/>
          <w:szCs w:val="21"/>
          <w:highlight w:val="none"/>
        </w:rPr>
        <w:t>有权取消</w:t>
      </w:r>
      <w:r>
        <w:rPr>
          <w:rFonts w:hint="eastAsia"/>
          <w:color w:val="auto"/>
          <w:sz w:val="21"/>
          <w:szCs w:val="21"/>
          <w:highlight w:val="none"/>
        </w:rPr>
        <w:t>成交</w:t>
      </w:r>
      <w:r>
        <w:rPr>
          <w:color w:val="auto"/>
          <w:sz w:val="21"/>
          <w:szCs w:val="21"/>
          <w:highlight w:val="none"/>
        </w:rPr>
        <w:t>资格。</w:t>
      </w:r>
    </w:p>
    <w:p w14:paraId="5308266B">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.3资格</w:t>
      </w:r>
      <w:r>
        <w:rPr>
          <w:rFonts w:hint="eastAsia"/>
          <w:color w:val="auto"/>
          <w:sz w:val="21"/>
          <w:szCs w:val="21"/>
          <w:highlight w:val="none"/>
        </w:rPr>
        <w:t>后审</w:t>
      </w:r>
      <w:r>
        <w:rPr>
          <w:color w:val="auto"/>
          <w:sz w:val="21"/>
          <w:szCs w:val="21"/>
          <w:highlight w:val="none"/>
        </w:rPr>
        <w:t>须提供包括但不限于营业执照、税务登记证和在</w:t>
      </w:r>
      <w:r>
        <w:rPr>
          <w:rFonts w:hint="eastAsia"/>
          <w:color w:val="auto"/>
          <w:sz w:val="21"/>
          <w:szCs w:val="21"/>
          <w:highlight w:val="none"/>
        </w:rPr>
        <w:t>磋商响应文件</w:t>
      </w:r>
      <w:r>
        <w:rPr>
          <w:color w:val="auto"/>
          <w:sz w:val="21"/>
          <w:szCs w:val="21"/>
          <w:highlight w:val="none"/>
        </w:rPr>
        <w:t>中提供的资质证明文件、合同等重要证明文件的原件进行核对，综合考察</w:t>
      </w:r>
      <w:r>
        <w:rPr>
          <w:rFonts w:hint="eastAsia"/>
          <w:color w:val="auto"/>
          <w:sz w:val="21"/>
          <w:szCs w:val="21"/>
          <w:highlight w:val="none"/>
        </w:rPr>
        <w:t>成交供应商</w:t>
      </w:r>
      <w:r>
        <w:rPr>
          <w:color w:val="auto"/>
          <w:sz w:val="21"/>
          <w:szCs w:val="21"/>
          <w:highlight w:val="none"/>
        </w:rPr>
        <w:t>的履约能力。如</w:t>
      </w:r>
      <w:r>
        <w:rPr>
          <w:rFonts w:hint="eastAsia"/>
          <w:color w:val="auto"/>
          <w:sz w:val="21"/>
          <w:szCs w:val="21"/>
          <w:highlight w:val="none"/>
        </w:rPr>
        <w:t>采购人</w:t>
      </w:r>
      <w:r>
        <w:rPr>
          <w:color w:val="auto"/>
          <w:sz w:val="21"/>
          <w:szCs w:val="21"/>
          <w:highlight w:val="none"/>
        </w:rPr>
        <w:t>要求还须提供业绩证明的其他材料,</w:t>
      </w:r>
      <w:r>
        <w:rPr>
          <w:rFonts w:hint="eastAsia"/>
          <w:color w:val="auto"/>
          <w:sz w:val="21"/>
          <w:szCs w:val="21"/>
          <w:highlight w:val="none"/>
        </w:rPr>
        <w:t>成交候选人</w:t>
      </w:r>
      <w:r>
        <w:rPr>
          <w:color w:val="auto"/>
          <w:sz w:val="21"/>
          <w:szCs w:val="21"/>
          <w:highlight w:val="none"/>
        </w:rPr>
        <w:t>须配合提供。如授权其分支机构进行项目实施或提供售后服务的，亦应提供其与分支机构关系的法律证明材料。</w:t>
      </w:r>
    </w:p>
    <w:p w14:paraId="5B692696">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.4如发现</w:t>
      </w:r>
      <w:r>
        <w:rPr>
          <w:rFonts w:hint="eastAsia"/>
          <w:color w:val="auto"/>
          <w:sz w:val="21"/>
          <w:szCs w:val="21"/>
          <w:highlight w:val="none"/>
        </w:rPr>
        <w:t>供应商</w:t>
      </w:r>
      <w:r>
        <w:rPr>
          <w:color w:val="auto"/>
          <w:sz w:val="21"/>
          <w:szCs w:val="21"/>
          <w:highlight w:val="none"/>
        </w:rPr>
        <w:t>提交虚假资料谋取</w:t>
      </w:r>
      <w:r>
        <w:rPr>
          <w:rFonts w:hint="eastAsia"/>
          <w:color w:val="auto"/>
          <w:sz w:val="21"/>
          <w:szCs w:val="21"/>
          <w:highlight w:val="none"/>
        </w:rPr>
        <w:t>成交</w:t>
      </w:r>
      <w:r>
        <w:rPr>
          <w:color w:val="auto"/>
          <w:sz w:val="21"/>
          <w:szCs w:val="21"/>
          <w:highlight w:val="none"/>
        </w:rPr>
        <w:t>的，</w:t>
      </w:r>
      <w:r>
        <w:rPr>
          <w:rFonts w:hint="eastAsia"/>
          <w:color w:val="auto"/>
          <w:sz w:val="21"/>
          <w:szCs w:val="21"/>
          <w:highlight w:val="none"/>
        </w:rPr>
        <w:t>采购人</w:t>
      </w:r>
      <w:r>
        <w:rPr>
          <w:color w:val="auto"/>
          <w:sz w:val="21"/>
          <w:szCs w:val="21"/>
          <w:highlight w:val="none"/>
        </w:rPr>
        <w:t>有权没收其</w:t>
      </w:r>
      <w:r>
        <w:rPr>
          <w:rFonts w:hint="eastAsia"/>
          <w:color w:val="auto"/>
          <w:sz w:val="21"/>
          <w:szCs w:val="21"/>
          <w:highlight w:val="none"/>
        </w:rPr>
        <w:t>磋商</w:t>
      </w:r>
      <w:r>
        <w:rPr>
          <w:color w:val="auto"/>
          <w:sz w:val="21"/>
          <w:szCs w:val="21"/>
          <w:highlight w:val="none"/>
        </w:rPr>
        <w:t>保证金，并保留追究其赔偿</w:t>
      </w:r>
      <w:r>
        <w:rPr>
          <w:rFonts w:hint="eastAsia"/>
          <w:color w:val="auto"/>
          <w:sz w:val="21"/>
          <w:szCs w:val="21"/>
          <w:highlight w:val="none"/>
        </w:rPr>
        <w:t>采购人</w:t>
      </w:r>
      <w:r>
        <w:rPr>
          <w:color w:val="auto"/>
          <w:sz w:val="21"/>
          <w:szCs w:val="21"/>
          <w:highlight w:val="none"/>
        </w:rPr>
        <w:t>由此而造成一切损失的责任。</w:t>
      </w:r>
    </w:p>
    <w:p w14:paraId="08F2643C">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.5</w:t>
      </w:r>
      <w:r>
        <w:rPr>
          <w:rFonts w:hint="eastAsia"/>
          <w:color w:val="auto"/>
          <w:sz w:val="21"/>
          <w:szCs w:val="21"/>
          <w:highlight w:val="none"/>
        </w:rPr>
        <w:t>采购人</w:t>
      </w:r>
      <w:r>
        <w:rPr>
          <w:color w:val="auto"/>
          <w:sz w:val="21"/>
          <w:szCs w:val="21"/>
          <w:highlight w:val="none"/>
        </w:rPr>
        <w:t>保留审查</w:t>
      </w:r>
      <w:r>
        <w:rPr>
          <w:rFonts w:hint="eastAsia"/>
          <w:color w:val="auto"/>
          <w:sz w:val="21"/>
          <w:szCs w:val="21"/>
          <w:highlight w:val="none"/>
        </w:rPr>
        <w:t>成交供应商</w:t>
      </w:r>
      <w:r>
        <w:rPr>
          <w:color w:val="auto"/>
          <w:sz w:val="21"/>
          <w:szCs w:val="21"/>
          <w:highlight w:val="none"/>
        </w:rPr>
        <w:t>是否有能力令</w:t>
      </w:r>
      <w:r>
        <w:rPr>
          <w:rFonts w:hint="eastAsia"/>
          <w:color w:val="auto"/>
          <w:sz w:val="21"/>
          <w:szCs w:val="21"/>
          <w:highlight w:val="none"/>
        </w:rPr>
        <w:t>采购人</w:t>
      </w:r>
      <w:r>
        <w:rPr>
          <w:color w:val="auto"/>
          <w:sz w:val="21"/>
          <w:szCs w:val="21"/>
          <w:highlight w:val="none"/>
        </w:rPr>
        <w:t>满意的履行合同的权利，包括但不限于对</w:t>
      </w:r>
      <w:r>
        <w:rPr>
          <w:rFonts w:hint="eastAsia"/>
          <w:color w:val="auto"/>
          <w:sz w:val="21"/>
          <w:szCs w:val="21"/>
          <w:highlight w:val="none"/>
        </w:rPr>
        <w:t>成交供应商</w:t>
      </w:r>
      <w:r>
        <w:rPr>
          <w:color w:val="auto"/>
          <w:sz w:val="21"/>
          <w:szCs w:val="21"/>
          <w:highlight w:val="none"/>
        </w:rPr>
        <w:t>的规模、人员、场地、生产能力、供货能力等方面的核实或现场考察。如果审查通过，</w:t>
      </w:r>
      <w:r>
        <w:rPr>
          <w:rFonts w:hint="eastAsia"/>
          <w:color w:val="auto"/>
          <w:sz w:val="21"/>
          <w:szCs w:val="21"/>
          <w:highlight w:val="none"/>
        </w:rPr>
        <w:t>采购人</w:t>
      </w:r>
      <w:r>
        <w:rPr>
          <w:color w:val="auto"/>
          <w:sz w:val="21"/>
          <w:szCs w:val="21"/>
          <w:highlight w:val="none"/>
        </w:rPr>
        <w:t>将把合同授予该</w:t>
      </w:r>
      <w:r>
        <w:rPr>
          <w:rFonts w:hint="eastAsia"/>
          <w:color w:val="auto"/>
          <w:sz w:val="21"/>
          <w:szCs w:val="21"/>
          <w:highlight w:val="none"/>
        </w:rPr>
        <w:t>供应商；</w:t>
      </w:r>
      <w:r>
        <w:rPr>
          <w:color w:val="auto"/>
          <w:sz w:val="21"/>
          <w:szCs w:val="21"/>
          <w:highlight w:val="none"/>
        </w:rPr>
        <w:t>如果审查没有通过，</w:t>
      </w:r>
      <w:r>
        <w:rPr>
          <w:rFonts w:hint="eastAsia"/>
          <w:color w:val="auto"/>
          <w:sz w:val="21"/>
          <w:szCs w:val="21"/>
          <w:highlight w:val="none"/>
        </w:rPr>
        <w:t>采购人</w:t>
      </w:r>
      <w:r>
        <w:rPr>
          <w:color w:val="auto"/>
          <w:sz w:val="21"/>
          <w:szCs w:val="21"/>
          <w:highlight w:val="none"/>
        </w:rPr>
        <w:t>将拒绝其</w:t>
      </w:r>
      <w:r>
        <w:rPr>
          <w:rFonts w:hint="eastAsia"/>
          <w:color w:val="auto"/>
          <w:sz w:val="21"/>
          <w:szCs w:val="21"/>
          <w:highlight w:val="none"/>
        </w:rPr>
        <w:t>磋商</w:t>
      </w:r>
      <w:r>
        <w:rPr>
          <w:color w:val="auto"/>
          <w:sz w:val="21"/>
          <w:szCs w:val="21"/>
          <w:highlight w:val="none"/>
        </w:rPr>
        <w:t>，并对下一个候选的</w:t>
      </w:r>
      <w:r>
        <w:rPr>
          <w:rFonts w:hint="eastAsia"/>
          <w:color w:val="auto"/>
          <w:sz w:val="21"/>
          <w:szCs w:val="21"/>
          <w:highlight w:val="none"/>
        </w:rPr>
        <w:t>供应商</w:t>
      </w:r>
      <w:r>
        <w:rPr>
          <w:color w:val="auto"/>
          <w:sz w:val="21"/>
          <w:szCs w:val="21"/>
          <w:highlight w:val="none"/>
        </w:rPr>
        <w:t>能否令人满意地履行合同作类似的审查或重新采购。</w:t>
      </w:r>
    </w:p>
    <w:p w14:paraId="7F56C0D7">
      <w:pPr>
        <w:pStyle w:val="12"/>
        <w:shd w:val="clear"/>
        <w:ind w:firstLine="400"/>
        <w:rPr>
          <w:color w:val="auto"/>
          <w:highlight w:val="none"/>
        </w:rPr>
      </w:pPr>
      <w:bookmarkStart w:id="143" w:name="_Toc475249142"/>
    </w:p>
    <w:p w14:paraId="7FE33A3E">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26.成交通知</w:t>
      </w:r>
      <w:bookmarkEnd w:id="143"/>
    </w:p>
    <w:p w14:paraId="4E4A1FD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26.1成交结果将在</w:t>
      </w:r>
      <w:r>
        <w:rPr>
          <w:rFonts w:hint="eastAsia" w:hAnsi="宋体"/>
          <w:color w:val="auto"/>
          <w:kern w:val="28"/>
          <w:sz w:val="21"/>
          <w:szCs w:val="21"/>
          <w:highlight w:val="none"/>
        </w:rPr>
        <w:t>东莞实业投资控股集团有限公司-招标采购栏目（http://www.dgsy.com.cn/）</w:t>
      </w:r>
      <w:r>
        <w:rPr>
          <w:rFonts w:hint="eastAsia" w:hAnsi="宋体"/>
          <w:color w:val="auto"/>
          <w:sz w:val="21"/>
          <w:szCs w:val="21"/>
          <w:highlight w:val="none"/>
        </w:rPr>
        <w:t>上公告。</w:t>
      </w:r>
    </w:p>
    <w:p w14:paraId="55864395">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26.</w:t>
      </w:r>
      <w:r>
        <w:rPr>
          <w:rFonts w:hint="eastAsia" w:hAnsi="宋体"/>
          <w:color w:val="auto"/>
          <w:sz w:val="21"/>
          <w:szCs w:val="21"/>
          <w:highlight w:val="none"/>
          <w:lang w:val="en-US" w:eastAsia="zh-CN"/>
        </w:rPr>
        <w:t>2</w:t>
      </w:r>
      <w:r>
        <w:rPr>
          <w:rFonts w:hint="eastAsia" w:hAnsi="宋体"/>
          <w:color w:val="auto"/>
          <w:sz w:val="21"/>
          <w:szCs w:val="21"/>
          <w:highlight w:val="none"/>
        </w:rPr>
        <w:t>采购代理机构将在采购人确定成交供应商后之日起的2个工作日内发出《成交通知书》。</w:t>
      </w:r>
    </w:p>
    <w:p w14:paraId="42DD4B4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w:t>
      </w:r>
      <w:r>
        <w:rPr>
          <w:rFonts w:hint="eastAsia" w:hAnsi="宋体"/>
          <w:color w:val="auto"/>
          <w:sz w:val="21"/>
          <w:szCs w:val="21"/>
          <w:highlight w:val="none"/>
          <w:lang w:val="en-US" w:eastAsia="zh-CN"/>
        </w:rPr>
        <w:t>3</w:t>
      </w:r>
      <w:r>
        <w:rPr>
          <w:rFonts w:hint="eastAsia" w:hAnsi="宋体"/>
          <w:color w:val="auto"/>
          <w:sz w:val="21"/>
          <w:szCs w:val="21"/>
          <w:highlight w:val="none"/>
        </w:rPr>
        <w:t>《成交通知书》是签订采购合同的依据和组成部分。</w:t>
      </w:r>
    </w:p>
    <w:p w14:paraId="746D7374">
      <w:pPr>
        <w:pStyle w:val="12"/>
        <w:shd w:val="clear"/>
        <w:ind w:firstLine="400"/>
        <w:rPr>
          <w:color w:val="auto"/>
          <w:highlight w:val="none"/>
        </w:rPr>
      </w:pPr>
    </w:p>
    <w:p w14:paraId="1C7F75FC">
      <w:pPr>
        <w:pStyle w:val="3"/>
        <w:shd w:val="clear"/>
        <w:adjustRightInd/>
        <w:spacing w:line="360" w:lineRule="auto"/>
        <w:ind w:firstLine="562" w:firstLineChars="200"/>
        <w:jc w:val="center"/>
        <w:rPr>
          <w:color w:val="auto"/>
          <w:sz w:val="28"/>
          <w:szCs w:val="28"/>
          <w:highlight w:val="none"/>
        </w:rPr>
      </w:pPr>
      <w:bookmarkStart w:id="144" w:name="_Toc37756778"/>
      <w:bookmarkStart w:id="145" w:name="_Toc110953852"/>
      <w:bookmarkStart w:id="146" w:name="_Toc7897883"/>
      <w:bookmarkStart w:id="147" w:name="_Toc20980"/>
      <w:bookmarkStart w:id="148" w:name="_Toc28276"/>
      <w:bookmarkStart w:id="149" w:name="_Toc475249143"/>
      <w:r>
        <w:rPr>
          <w:rFonts w:hint="eastAsia"/>
          <w:color w:val="auto"/>
          <w:sz w:val="28"/>
          <w:szCs w:val="28"/>
          <w:highlight w:val="none"/>
        </w:rPr>
        <w:t>七、签订采购合同</w:t>
      </w:r>
      <w:bookmarkEnd w:id="144"/>
      <w:bookmarkEnd w:id="145"/>
      <w:bookmarkEnd w:id="146"/>
      <w:bookmarkEnd w:id="147"/>
      <w:bookmarkEnd w:id="148"/>
    </w:p>
    <w:p w14:paraId="498DFBD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27.采购人与成交供应商应当在成交通知书发出之日起30日内，按照磋商文件确定的事项签订采购合同。</w:t>
      </w:r>
    </w:p>
    <w:p w14:paraId="789C93B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28.合同内容不得与磋商文件和响应文件内容有实质性偏离。</w:t>
      </w:r>
    </w:p>
    <w:p w14:paraId="2863591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29.采购合同自签订之日起7个工作日内，采购人应将合同副本报采购代理机构归档。</w:t>
      </w:r>
    </w:p>
    <w:p w14:paraId="08AFF61E">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w:t>
      </w:r>
      <w:r>
        <w:rPr>
          <w:rFonts w:hint="eastAsia" w:hAnsi="宋体"/>
          <w:color w:val="auto"/>
          <w:sz w:val="21"/>
          <w:szCs w:val="21"/>
          <w:highlight w:val="none"/>
          <w:lang w:val="zh-CN"/>
        </w:rPr>
        <w:tab/>
      </w:r>
      <w:r>
        <w:rPr>
          <w:rFonts w:hint="eastAsia" w:hAnsi="宋体"/>
          <w:color w:val="auto"/>
          <w:sz w:val="21"/>
          <w:szCs w:val="21"/>
          <w:highlight w:val="none"/>
          <w:lang w:val="zh-CN"/>
        </w:rPr>
        <w:t>履约</w:t>
      </w:r>
      <w:r>
        <w:rPr>
          <w:rFonts w:hint="eastAsia" w:hAnsi="宋体"/>
          <w:color w:val="auto"/>
          <w:sz w:val="21"/>
          <w:szCs w:val="21"/>
          <w:highlight w:val="none"/>
        </w:rPr>
        <w:t>担保</w:t>
      </w:r>
    </w:p>
    <w:p w14:paraId="6CC6CEA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w:t>
      </w:r>
      <w:r>
        <w:rPr>
          <w:rFonts w:hint="eastAsia" w:hAnsi="宋体"/>
          <w:color w:val="auto"/>
          <w:sz w:val="21"/>
          <w:szCs w:val="21"/>
          <w:highlight w:val="none"/>
          <w:lang w:val="zh-CN"/>
        </w:rPr>
        <w:t>.1</w:t>
      </w:r>
      <w:r>
        <w:rPr>
          <w:rFonts w:hint="eastAsia" w:hAnsi="宋体"/>
          <w:color w:val="auto"/>
          <w:sz w:val="21"/>
          <w:szCs w:val="21"/>
          <w:highlight w:val="none"/>
        </w:rPr>
        <w:t>签订合同前，成交供应商应提交履约担保。</w:t>
      </w:r>
    </w:p>
    <w:p w14:paraId="63AFDA5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30.2成交供应商向采购人提交履约担保，履约担保形式：☑履约保证金；☑ 银行履约保函；□担保公司履约担保书。履约担保金额：人民币</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合同价的10%</w:t>
      </w:r>
      <w:r>
        <w:rPr>
          <w:rFonts w:hint="eastAsia" w:hAnsi="宋体"/>
          <w:color w:val="auto"/>
          <w:sz w:val="21"/>
          <w:szCs w:val="21"/>
          <w:highlight w:val="none"/>
          <w:lang w:eastAsia="zh-CN"/>
        </w:rPr>
        <w:t>）</w:t>
      </w:r>
      <w:r>
        <w:rPr>
          <w:rFonts w:hint="eastAsia" w:hAnsi="宋体"/>
          <w:color w:val="auto"/>
          <w:sz w:val="21"/>
          <w:szCs w:val="21"/>
          <w:highlight w:val="none"/>
        </w:rPr>
        <w:t>元整。履约担保账户：采购人指定账户。</w:t>
      </w:r>
    </w:p>
    <w:p w14:paraId="5AC28A2E">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30.3</w:t>
      </w:r>
      <w:r>
        <w:rPr>
          <w:rFonts w:hint="eastAsia" w:hAnsi="宋体"/>
          <w:color w:val="auto"/>
          <w:sz w:val="21"/>
          <w:szCs w:val="21"/>
          <w:highlight w:val="none"/>
          <w:lang w:val="zh-CN"/>
        </w:rPr>
        <w:t>履约保函应是由银行支行一级或以上银行机构出具，并经甲方同意。履约保函的内容，应符合磋商文件、磋商响应文件和采购合同的要求。履约保函应在采购合同有效期满后</w:t>
      </w:r>
      <w:r>
        <w:rPr>
          <w:rFonts w:hint="eastAsia" w:hAnsi="宋体"/>
          <w:color w:val="auto"/>
          <w:sz w:val="21"/>
          <w:szCs w:val="21"/>
          <w:highlight w:val="none"/>
          <w:lang w:val="en-US" w:eastAsia="zh-CN"/>
        </w:rPr>
        <w:t>30</w:t>
      </w:r>
      <w:r>
        <w:rPr>
          <w:rFonts w:hint="eastAsia" w:hAnsi="宋体"/>
          <w:color w:val="auto"/>
          <w:sz w:val="21"/>
          <w:szCs w:val="21"/>
          <w:highlight w:val="none"/>
          <w:lang w:val="zh-CN"/>
        </w:rPr>
        <w:t>天内继续有效。</w:t>
      </w:r>
    </w:p>
    <w:p w14:paraId="7CFA3D28">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30.4</w:t>
      </w:r>
      <w:r>
        <w:rPr>
          <w:rFonts w:hint="eastAsia" w:hAnsi="宋体"/>
          <w:color w:val="auto"/>
          <w:sz w:val="21"/>
          <w:szCs w:val="21"/>
          <w:highlight w:val="none"/>
          <w:lang w:val="zh-CN"/>
        </w:rPr>
        <w:t>若成交供应商不按规定提交履约担保，采购人</w:t>
      </w:r>
      <w:r>
        <w:rPr>
          <w:rFonts w:hint="eastAsia" w:hAnsi="宋体"/>
          <w:color w:val="auto"/>
          <w:sz w:val="21"/>
          <w:szCs w:val="21"/>
          <w:highlight w:val="none"/>
          <w:lang w:val="en-US" w:eastAsia="zh-CN"/>
        </w:rPr>
        <w:t>或建设单位</w:t>
      </w:r>
      <w:r>
        <w:rPr>
          <w:rFonts w:hint="eastAsia" w:hAnsi="宋体"/>
          <w:color w:val="auto"/>
          <w:sz w:val="21"/>
          <w:szCs w:val="21"/>
          <w:highlight w:val="none"/>
          <w:lang w:val="zh-CN"/>
        </w:rPr>
        <w:t>将有充分的理由解除合同，给采购人造成的损失超过履约保证金数额的，还应当对超过部分予以赔偿。</w:t>
      </w:r>
    </w:p>
    <w:p w14:paraId="68854F0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30.5在整个项目验收合格后，成交供应商向采购人提交退回履约担保的申请，采购人办理履约担保退还手续，将履约担保退回原成交供应商的汇入帐户。</w:t>
      </w:r>
    </w:p>
    <w:p w14:paraId="0C3A146C">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lang w:val="zh-CN"/>
        </w:rPr>
        <w:t>31.发票</w:t>
      </w:r>
    </w:p>
    <w:p w14:paraId="69543420">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31</w:t>
      </w:r>
      <w:r>
        <w:rPr>
          <w:rFonts w:hint="eastAsia" w:hAnsi="宋体"/>
          <w:color w:val="auto"/>
          <w:sz w:val="21"/>
          <w:szCs w:val="21"/>
          <w:highlight w:val="none"/>
          <w:lang w:val="zh-CN"/>
        </w:rPr>
        <w:t>.1该项目获得成交的成交供应商在执行合同过程中，向采购人出具的发票必须是由成交供应商开具，不得以其他单位或个人名义出具。</w:t>
      </w:r>
    </w:p>
    <w:p w14:paraId="7F4A34B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31.2成交供应商需提交增值税专用发票，并于备注栏写明项目名称及合同名称。</w:t>
      </w:r>
    </w:p>
    <w:p w14:paraId="413B060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31.3在合同履行期间，如遇国家的税率调整，则以开具发票的时间为准，以原合同约定价格不含税金额不变作为基准，按照新税率重新计算含税价格。</w:t>
      </w:r>
    </w:p>
    <w:p w14:paraId="3987A551">
      <w:pPr>
        <w:shd w:val="clear"/>
        <w:rPr>
          <w:color w:val="auto"/>
          <w:highlight w:val="none"/>
        </w:rPr>
      </w:pPr>
    </w:p>
    <w:bookmarkEnd w:id="149"/>
    <w:p w14:paraId="09A24BD9">
      <w:pPr>
        <w:pStyle w:val="3"/>
        <w:shd w:val="clear"/>
        <w:adjustRightInd/>
        <w:spacing w:line="360" w:lineRule="auto"/>
        <w:ind w:firstLine="562" w:firstLineChars="200"/>
        <w:jc w:val="center"/>
        <w:rPr>
          <w:rFonts w:hint="eastAsia" w:eastAsia="宋体"/>
          <w:color w:val="auto"/>
          <w:sz w:val="21"/>
          <w:szCs w:val="21"/>
          <w:highlight w:val="none"/>
          <w:lang w:eastAsia="zh-CN"/>
        </w:rPr>
      </w:pPr>
      <w:bookmarkStart w:id="150" w:name="_Toc7897884"/>
      <w:bookmarkStart w:id="151" w:name="_Toc152"/>
      <w:bookmarkStart w:id="152" w:name="_Toc8766"/>
      <w:bookmarkStart w:id="153" w:name="_Toc396137239"/>
      <w:bookmarkStart w:id="154" w:name="_Toc5141"/>
      <w:bookmarkStart w:id="155" w:name="_Toc3498"/>
      <w:bookmarkStart w:id="156" w:name="_Toc396137240"/>
      <w:bookmarkStart w:id="157" w:name="_Toc22751"/>
      <w:r>
        <w:rPr>
          <w:rFonts w:hint="eastAsia"/>
          <w:color w:val="auto"/>
          <w:sz w:val="28"/>
          <w:szCs w:val="28"/>
          <w:highlight w:val="none"/>
        </w:rPr>
        <w:t>八、</w:t>
      </w:r>
      <w:bookmarkEnd w:id="150"/>
      <w:bookmarkEnd w:id="151"/>
      <w:bookmarkEnd w:id="152"/>
      <w:r>
        <w:rPr>
          <w:rFonts w:hint="eastAsia"/>
          <w:color w:val="auto"/>
          <w:sz w:val="28"/>
          <w:szCs w:val="28"/>
          <w:highlight w:val="none"/>
          <w:lang w:eastAsia="zh-CN"/>
        </w:rPr>
        <w:t>采购代理服务费</w:t>
      </w:r>
    </w:p>
    <w:p w14:paraId="67DB0494">
      <w:pPr>
        <w:shd w:val="clear"/>
        <w:spacing w:line="360" w:lineRule="auto"/>
        <w:ind w:firstLine="428" w:firstLineChars="204"/>
        <w:rPr>
          <w:rFonts w:hint="eastAsia" w:hAnsi="宋体" w:eastAsia="宋体"/>
          <w:color w:val="auto"/>
          <w:sz w:val="21"/>
          <w:szCs w:val="21"/>
          <w:highlight w:val="none"/>
          <w:lang w:eastAsia="zh-CN"/>
        </w:rPr>
      </w:pPr>
      <w:r>
        <w:rPr>
          <w:rFonts w:hint="eastAsia" w:hAnsi="宋体"/>
          <w:color w:val="auto"/>
          <w:sz w:val="21"/>
          <w:szCs w:val="21"/>
          <w:highlight w:val="none"/>
        </w:rPr>
        <w:t>32.</w:t>
      </w:r>
      <w:r>
        <w:rPr>
          <w:rFonts w:hint="eastAsia" w:hAnsi="宋体"/>
          <w:color w:val="auto"/>
          <w:sz w:val="21"/>
          <w:szCs w:val="21"/>
          <w:highlight w:val="none"/>
          <w:lang w:eastAsia="zh-CN"/>
        </w:rPr>
        <w:t>采购代理服务费</w:t>
      </w:r>
    </w:p>
    <w:p w14:paraId="156E4990">
      <w:pPr>
        <w:shd w:val="clear"/>
        <w:spacing w:line="360" w:lineRule="auto"/>
        <w:ind w:firstLine="428" w:firstLineChars="204"/>
        <w:rPr>
          <w:rFonts w:hAnsi="宋体"/>
          <w:color w:val="auto"/>
          <w:sz w:val="21"/>
          <w:szCs w:val="21"/>
          <w:highlight w:val="none"/>
        </w:rPr>
      </w:pPr>
      <w:r>
        <w:rPr>
          <w:rFonts w:hint="eastAsia" w:hAnsi="宋体"/>
          <w:color w:val="auto"/>
          <w:sz w:val="21"/>
          <w:szCs w:val="21"/>
          <w:highlight w:val="none"/>
        </w:rPr>
        <w:t>32.1采购代理服务费由采购人向</w:t>
      </w:r>
      <w:r>
        <w:rPr>
          <w:rFonts w:hint="eastAsia" w:hAnsi="宋体"/>
          <w:color w:val="auto"/>
          <w:sz w:val="21"/>
          <w:szCs w:val="21"/>
          <w:highlight w:val="none"/>
          <w:lang w:eastAsia="zh-CN"/>
        </w:rPr>
        <w:t>采购代理机构支付。</w:t>
      </w:r>
    </w:p>
    <w:p w14:paraId="29095A76">
      <w:pPr>
        <w:pStyle w:val="12"/>
        <w:shd w:val="clear"/>
        <w:ind w:firstLine="400"/>
        <w:rPr>
          <w:color w:val="auto"/>
          <w:highlight w:val="none"/>
        </w:rPr>
      </w:pPr>
    </w:p>
    <w:p w14:paraId="5B885AAE">
      <w:pPr>
        <w:pStyle w:val="3"/>
        <w:shd w:val="clear"/>
        <w:adjustRightInd/>
        <w:spacing w:line="360" w:lineRule="auto"/>
        <w:ind w:firstLine="562" w:firstLineChars="200"/>
        <w:jc w:val="center"/>
        <w:rPr>
          <w:color w:val="auto"/>
          <w:sz w:val="28"/>
          <w:szCs w:val="28"/>
          <w:highlight w:val="none"/>
          <w:lang w:val="zh-CN"/>
        </w:rPr>
      </w:pPr>
      <w:bookmarkStart w:id="158" w:name="_Toc17153"/>
      <w:r>
        <w:rPr>
          <w:rFonts w:hint="eastAsia"/>
          <w:color w:val="auto"/>
          <w:sz w:val="28"/>
          <w:szCs w:val="28"/>
          <w:highlight w:val="none"/>
          <w:lang w:val="zh-CN"/>
        </w:rPr>
        <w:t>九、质疑与回复</w:t>
      </w:r>
      <w:bookmarkEnd w:id="153"/>
      <w:bookmarkEnd w:id="154"/>
      <w:bookmarkEnd w:id="155"/>
      <w:bookmarkEnd w:id="158"/>
    </w:p>
    <w:p w14:paraId="25561E2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   质疑与回复</w:t>
      </w:r>
    </w:p>
    <w:p w14:paraId="441F98B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33.1 质疑书应当包括下列主要内容：</w:t>
      </w:r>
    </w:p>
    <w:p w14:paraId="2F2025D2">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（1）供应商的姓名或者名称、地址、邮编、联系人及联系电话；</w:t>
      </w:r>
    </w:p>
    <w:p w14:paraId="0423B773">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（2）质疑项目的名称、编号；</w:t>
      </w:r>
    </w:p>
    <w:p w14:paraId="67DDCC2E">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（3）具体、明确的质疑事项和与质疑事项相关的请求；</w:t>
      </w:r>
    </w:p>
    <w:p w14:paraId="5BA4790E">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（4）事实依据；</w:t>
      </w:r>
    </w:p>
    <w:p w14:paraId="6EE0708D">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（5）必要的法律依据；</w:t>
      </w:r>
    </w:p>
    <w:p w14:paraId="15890C9B">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（6）提出质疑的日期。</w:t>
      </w:r>
    </w:p>
    <w:p w14:paraId="21417435">
      <w:pPr>
        <w:shd w:val="clear"/>
        <w:spacing w:line="360" w:lineRule="auto"/>
        <w:ind w:firstLine="420" w:firstLineChars="200"/>
        <w:rPr>
          <w:rFonts w:hAnsi="宋体"/>
          <w:color w:val="auto"/>
          <w:sz w:val="21"/>
          <w:szCs w:val="21"/>
          <w:highlight w:val="none"/>
        </w:rPr>
      </w:pPr>
      <w:r>
        <w:rPr>
          <w:rFonts w:hint="eastAsia" w:hAnsi="宋体"/>
          <w:color w:val="auto"/>
          <w:kern w:val="2"/>
          <w:sz w:val="21"/>
          <w:szCs w:val="21"/>
          <w:highlight w:val="none"/>
        </w:rPr>
        <w:t>33</w:t>
      </w:r>
      <w:r>
        <w:rPr>
          <w:rFonts w:hint="eastAsia" w:hAnsi="宋体"/>
          <w:color w:val="auto"/>
          <w:sz w:val="21"/>
          <w:szCs w:val="21"/>
          <w:highlight w:val="none"/>
        </w:rPr>
        <w:t>.2. 质疑书应当署名。质疑人为自然人的，应当由本人签名；质疑人为法人或者</w:t>
      </w:r>
      <w:r>
        <w:rPr>
          <w:rFonts w:hint="eastAsia" w:hAnsi="宋体"/>
          <w:color w:val="auto"/>
          <w:kern w:val="2"/>
          <w:sz w:val="21"/>
          <w:szCs w:val="21"/>
          <w:highlight w:val="none"/>
          <w:lang w:val="zh-CN"/>
        </w:rPr>
        <w:t>其他</w:t>
      </w:r>
      <w:r>
        <w:rPr>
          <w:rFonts w:hint="eastAsia" w:hAnsi="宋体"/>
          <w:color w:val="auto"/>
          <w:sz w:val="21"/>
          <w:szCs w:val="21"/>
          <w:highlight w:val="none"/>
        </w:rPr>
        <w:t>组织的，应当由法定代表人或者主要负责人签名并加盖公章。</w:t>
      </w:r>
    </w:p>
    <w:p w14:paraId="39D4838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33.3. 供应商认为磋商文件的内容损害其权益的，应当以书面形式（加盖公章）在磋商文件公示期间或者自期满之日起7个工作日内向采购代理机构提交质疑书原件，逾期质疑无效。供应商以电话、传真或电邮形式提交的质疑属于无效质疑。</w:t>
      </w:r>
    </w:p>
    <w:p w14:paraId="22A9BE4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33.4. 供应商认为采购过程和成交结果使自己的权益受到损害的，应当以书面形式（加盖公章）在知道或者应知其权益受到损害之日起7个工作日内向采购代理机构提交质疑书原件，逾期质疑无效。供应商以电话、传真或电邮形式提交的质疑属于无效质疑。联系人：</w:t>
      </w:r>
      <w:r>
        <w:rPr>
          <w:rFonts w:hint="eastAsia" w:hAnsi="宋体"/>
          <w:color w:val="auto"/>
          <w:sz w:val="21"/>
          <w:szCs w:val="21"/>
          <w:highlight w:val="none"/>
          <w:lang w:val="en-US" w:eastAsia="zh-CN"/>
        </w:rPr>
        <w:t>黎</w:t>
      </w:r>
      <w:r>
        <w:rPr>
          <w:rFonts w:hint="eastAsia" w:hAnsi="宋体"/>
          <w:color w:val="auto"/>
          <w:sz w:val="21"/>
          <w:szCs w:val="21"/>
          <w:highlight w:val="none"/>
          <w:lang w:eastAsia="zh-CN"/>
        </w:rPr>
        <w:t>先生</w:t>
      </w:r>
      <w:r>
        <w:rPr>
          <w:rFonts w:hint="eastAsia" w:hAnsi="宋体"/>
          <w:color w:val="auto"/>
          <w:sz w:val="21"/>
          <w:szCs w:val="21"/>
          <w:highlight w:val="none"/>
        </w:rPr>
        <w:t>/</w:t>
      </w:r>
      <w:r>
        <w:rPr>
          <w:rFonts w:hint="eastAsia" w:ascii="宋体" w:hAnsi="宋体"/>
          <w:color w:val="auto"/>
          <w:sz w:val="21"/>
          <w:szCs w:val="21"/>
          <w:highlight w:val="none"/>
        </w:rPr>
        <w:t>0769-</w:t>
      </w:r>
      <w:r>
        <w:rPr>
          <w:rFonts w:hint="eastAsia" w:ascii="宋体" w:hAnsi="宋体"/>
          <w:color w:val="auto"/>
          <w:sz w:val="21"/>
          <w:szCs w:val="21"/>
          <w:highlight w:val="none"/>
          <w:lang w:val="en-US" w:eastAsia="zh-CN"/>
        </w:rPr>
        <w:t>22306832</w:t>
      </w:r>
      <w:r>
        <w:rPr>
          <w:rFonts w:hint="eastAsia" w:hAnsi="宋体"/>
          <w:color w:val="auto"/>
          <w:sz w:val="21"/>
          <w:szCs w:val="21"/>
          <w:highlight w:val="none"/>
        </w:rPr>
        <w:t>；联系地址：</w:t>
      </w:r>
      <w:r>
        <w:rPr>
          <w:rFonts w:hint="eastAsia" w:hAnsi="宋体"/>
          <w:color w:val="auto"/>
          <w:sz w:val="21"/>
          <w:szCs w:val="21"/>
          <w:highlight w:val="none"/>
          <w:lang w:eastAsia="zh-CN"/>
        </w:rPr>
        <w:t>广东省东莞市旗峰路190号城市花园商贸中心903室</w:t>
      </w:r>
      <w:r>
        <w:rPr>
          <w:rFonts w:hint="eastAsia" w:hAnsi="宋体"/>
          <w:color w:val="auto"/>
          <w:sz w:val="21"/>
          <w:szCs w:val="21"/>
          <w:highlight w:val="none"/>
        </w:rPr>
        <w:t>。</w:t>
      </w:r>
    </w:p>
    <w:p w14:paraId="47D04B1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33.5.供应商在法定质疑期内一次性提出针对同一采购程序环节的质疑。</w:t>
      </w:r>
    </w:p>
    <w:p w14:paraId="07A42DB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33.6.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或授权代表签名并加盖公章。采购代理机构受理书面质疑书原件之日起，在规定的期限内作出答复。供应商捏造事实、提供虚假材料或者以非法手段取得证明材料进行投诉的，列入不良行为记录名单，禁止其1至3年内参加采购活动。</w:t>
      </w:r>
    </w:p>
    <w:p w14:paraId="6EC92BCA">
      <w:pPr>
        <w:shd w:val="clear"/>
        <w:spacing w:line="360" w:lineRule="auto"/>
        <w:ind w:firstLine="420" w:firstLineChars="200"/>
        <w:rPr>
          <w:rFonts w:hint="eastAsia"/>
          <w:color w:val="auto"/>
          <w:sz w:val="21"/>
          <w:szCs w:val="21"/>
          <w:highlight w:val="none"/>
        </w:rPr>
      </w:pPr>
      <w:bookmarkStart w:id="159" w:name="_Toc29421"/>
      <w:r>
        <w:rPr>
          <w:rFonts w:hint="eastAsia"/>
          <w:color w:val="auto"/>
          <w:sz w:val="21"/>
          <w:szCs w:val="21"/>
          <w:highlight w:val="none"/>
        </w:rPr>
        <w:t>33.7.采购代理机构在收到供应商的有效书面质疑后7个工作日内作出答复，但答复的内容不涉及商业秘密。</w:t>
      </w:r>
      <w:bookmarkEnd w:id="159"/>
    </w:p>
    <w:p w14:paraId="4C734A8F">
      <w:pPr>
        <w:shd w:val="clear"/>
        <w:spacing w:line="360" w:lineRule="auto"/>
        <w:ind w:firstLine="420" w:firstLineChars="200"/>
        <w:rPr>
          <w:rFonts w:hint="eastAsia"/>
          <w:color w:val="auto"/>
          <w:sz w:val="21"/>
          <w:szCs w:val="21"/>
          <w:highlight w:val="none"/>
        </w:rPr>
      </w:pPr>
    </w:p>
    <w:p w14:paraId="0A89194B">
      <w:pPr>
        <w:shd w:val="clear"/>
        <w:spacing w:line="360" w:lineRule="auto"/>
        <w:ind w:firstLine="420" w:firstLineChars="200"/>
        <w:rPr>
          <w:rFonts w:hint="eastAsia"/>
          <w:color w:val="auto"/>
          <w:sz w:val="21"/>
          <w:szCs w:val="21"/>
          <w:highlight w:val="none"/>
        </w:rPr>
      </w:pPr>
    </w:p>
    <w:p w14:paraId="67BC287C">
      <w:pPr>
        <w:shd w:val="clear"/>
        <w:spacing w:line="360" w:lineRule="auto"/>
        <w:ind w:firstLine="420" w:firstLineChars="200"/>
        <w:rPr>
          <w:rFonts w:hint="eastAsia"/>
          <w:color w:val="auto"/>
          <w:sz w:val="21"/>
          <w:szCs w:val="21"/>
          <w:highlight w:val="none"/>
        </w:rPr>
      </w:pPr>
    </w:p>
    <w:p w14:paraId="20BC6F8B">
      <w:pPr>
        <w:shd w:val="clear"/>
        <w:spacing w:line="360" w:lineRule="auto"/>
        <w:ind w:firstLine="420" w:firstLineChars="200"/>
        <w:rPr>
          <w:rFonts w:hint="eastAsia"/>
          <w:color w:val="auto"/>
          <w:sz w:val="21"/>
          <w:szCs w:val="21"/>
          <w:highlight w:val="none"/>
        </w:rPr>
      </w:pPr>
    </w:p>
    <w:p w14:paraId="5AEAEDCD">
      <w:pPr>
        <w:shd w:val="clear"/>
        <w:spacing w:line="360" w:lineRule="auto"/>
        <w:ind w:firstLine="420" w:firstLineChars="200"/>
        <w:rPr>
          <w:rFonts w:hint="eastAsia"/>
          <w:color w:val="auto"/>
          <w:sz w:val="21"/>
          <w:szCs w:val="21"/>
          <w:highlight w:val="none"/>
        </w:rPr>
      </w:pPr>
    </w:p>
    <w:p w14:paraId="4D7A8DD5">
      <w:pPr>
        <w:shd w:val="clear"/>
        <w:spacing w:line="360" w:lineRule="auto"/>
        <w:ind w:firstLine="420" w:firstLineChars="200"/>
        <w:rPr>
          <w:rFonts w:hint="eastAsia"/>
          <w:color w:val="auto"/>
          <w:sz w:val="21"/>
          <w:szCs w:val="21"/>
          <w:highlight w:val="none"/>
        </w:rPr>
      </w:pPr>
    </w:p>
    <w:p w14:paraId="559401C2">
      <w:pPr>
        <w:shd w:val="clear"/>
        <w:spacing w:line="360" w:lineRule="auto"/>
        <w:ind w:firstLine="420" w:firstLineChars="200"/>
        <w:rPr>
          <w:rFonts w:hint="eastAsia"/>
          <w:color w:val="auto"/>
          <w:sz w:val="21"/>
          <w:szCs w:val="21"/>
          <w:highlight w:val="none"/>
        </w:rPr>
      </w:pPr>
    </w:p>
    <w:p w14:paraId="2D5AD949">
      <w:pPr>
        <w:shd w:val="clear"/>
        <w:spacing w:line="360" w:lineRule="auto"/>
        <w:ind w:firstLine="420" w:firstLineChars="200"/>
        <w:rPr>
          <w:rFonts w:hint="eastAsia"/>
          <w:color w:val="auto"/>
          <w:sz w:val="21"/>
          <w:szCs w:val="21"/>
          <w:highlight w:val="none"/>
        </w:rPr>
      </w:pPr>
    </w:p>
    <w:p w14:paraId="4F769616">
      <w:pPr>
        <w:shd w:val="clear"/>
        <w:spacing w:line="360" w:lineRule="auto"/>
        <w:ind w:firstLine="420" w:firstLineChars="200"/>
        <w:rPr>
          <w:rFonts w:hint="eastAsia"/>
          <w:color w:val="auto"/>
          <w:sz w:val="21"/>
          <w:szCs w:val="21"/>
          <w:highlight w:val="none"/>
        </w:rPr>
      </w:pPr>
    </w:p>
    <w:p w14:paraId="7CCD7269">
      <w:pPr>
        <w:shd w:val="clear"/>
        <w:spacing w:line="360" w:lineRule="auto"/>
        <w:ind w:firstLine="420" w:firstLineChars="200"/>
        <w:rPr>
          <w:rFonts w:hint="eastAsia"/>
          <w:color w:val="auto"/>
          <w:sz w:val="21"/>
          <w:szCs w:val="21"/>
          <w:highlight w:val="none"/>
        </w:rPr>
      </w:pPr>
    </w:p>
    <w:p w14:paraId="2EDF7C35">
      <w:pPr>
        <w:pStyle w:val="2"/>
        <w:rPr>
          <w:rFonts w:hint="eastAsia" w:asciiTheme="minorEastAsia" w:hAnsiTheme="minorEastAsia" w:eastAsiaTheme="minorEastAsia" w:cstheme="minorEastAsia"/>
          <w:b/>
          <w:bCs/>
          <w:color w:val="auto"/>
          <w:sz w:val="32"/>
          <w:szCs w:val="32"/>
          <w:highlight w:val="none"/>
          <w:lang w:val="en-US" w:eastAsia="zh-CN"/>
        </w:rPr>
      </w:pPr>
      <w:r>
        <w:rPr>
          <w:rFonts w:hint="eastAsia" w:asciiTheme="minorEastAsia" w:hAnsiTheme="minorEastAsia" w:eastAsiaTheme="minorEastAsia" w:cstheme="minorEastAsia"/>
          <w:b/>
          <w:bCs/>
          <w:color w:val="auto"/>
          <w:sz w:val="32"/>
          <w:szCs w:val="32"/>
          <w:highlight w:val="none"/>
          <w:lang w:val="en-US" w:eastAsia="zh-CN"/>
        </w:rPr>
        <w:t>附件A</w:t>
      </w:r>
    </w:p>
    <w:p w14:paraId="287C6176">
      <w:pPr>
        <w:keepNext w:val="0"/>
        <w:keepLines w:val="0"/>
        <w:pageBreakBefore w:val="0"/>
        <w:widowControl w:val="0"/>
        <w:numPr>
          <w:ilvl w:val="0"/>
          <w:numId w:val="11"/>
        </w:numPr>
        <w:kinsoku/>
        <w:wordWrap/>
        <w:overflowPunct/>
        <w:topLinePunct w:val="0"/>
        <w:autoSpaceDE w:val="0"/>
        <w:autoSpaceDN w:val="0"/>
        <w:bidi w:val="0"/>
        <w:adjustRightInd w:val="0"/>
        <w:snapToGrid/>
        <w:spacing w:line="360" w:lineRule="auto"/>
        <w:ind w:left="159"/>
        <w:textAlignment w:val="auto"/>
        <w:rPr>
          <w:rFonts w:hint="eastAsia" w:asciiTheme="minorEastAsia" w:hAnsiTheme="minorEastAsia" w:eastAsiaTheme="minorEastAsia" w:cstheme="minorEastAsia"/>
          <w:color w:val="auto"/>
          <w:sz w:val="30"/>
          <w:szCs w:val="30"/>
          <w:highlight w:val="none"/>
          <w:lang w:val="en-US" w:eastAsia="zh-CN"/>
        </w:rPr>
      </w:pPr>
      <w:r>
        <w:rPr>
          <w:rFonts w:hint="eastAsia" w:asciiTheme="minorEastAsia" w:hAnsiTheme="minorEastAsia" w:eastAsiaTheme="minorEastAsia" w:cstheme="minorEastAsia"/>
          <w:color w:val="auto"/>
          <w:sz w:val="30"/>
          <w:szCs w:val="30"/>
          <w:highlight w:val="none"/>
          <w:lang w:val="en-US" w:eastAsia="zh-CN"/>
        </w:rPr>
        <w:t>谈判规则与流程</w:t>
      </w:r>
    </w:p>
    <w:p w14:paraId="23B8BF51">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color w:val="auto"/>
          <w:sz w:val="21"/>
          <w:szCs w:val="21"/>
          <w:highlight w:val="none"/>
        </w:rPr>
      </w:pPr>
      <w:r>
        <w:rPr>
          <w:rFonts w:hint="eastAsia"/>
          <w:color w:val="auto"/>
          <w:sz w:val="21"/>
          <w:szCs w:val="21"/>
          <w:highlight w:val="none"/>
        </w:rPr>
        <w:t>1、当本项目递交响应文件的供应商个数或经评审有效的供应商不足3家（有1家或2家）时，则采用谈判方式进行采购。谈判小组（即本项目的磋商小组）将根据磋商文件的规定，对响应文件进行有效性评审（如转为谈判方式前已进行，则省略此步骤），具体条款详见磋商文件要求。只有全部满足磋商文件所列各项要求的投标才是有效投标。对投标有效性认定意见不一致的，谈判小组按照少数服从多数的原则确定。</w:t>
      </w:r>
    </w:p>
    <w:p w14:paraId="0DFA3797">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color w:val="auto"/>
          <w:sz w:val="21"/>
          <w:szCs w:val="21"/>
          <w:highlight w:val="none"/>
        </w:rPr>
      </w:pPr>
      <w:r>
        <w:rPr>
          <w:rFonts w:hint="eastAsia"/>
          <w:color w:val="auto"/>
          <w:sz w:val="21"/>
          <w:szCs w:val="21"/>
          <w:highlight w:val="none"/>
        </w:rPr>
        <w:t>2、谈判报价共两轮（或多轮）报价（含首次报价）,其中第一次报价为本项目截止时间前投标单位递交的投标报价，第二次报价为谈判后的最终报价。谈判小组应当集中与单一供应商（以供应商签到顺序为准）分别进行谈判，并要求所有参加最后一轮谈判的供应商在规定的统一截止时间前提交最终密封报价。如在谈判中谈判小组没有对谈判文件作实质性变动增加新的需求，最后报价不得高于上一次报价，否则该供应商不被推荐为候选供应商。</w:t>
      </w:r>
    </w:p>
    <w:p w14:paraId="0A5E6FD0">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color w:val="auto"/>
          <w:sz w:val="21"/>
          <w:szCs w:val="21"/>
          <w:highlight w:val="none"/>
        </w:rPr>
      </w:pPr>
      <w:r>
        <w:rPr>
          <w:rFonts w:hint="eastAsia"/>
          <w:color w:val="auto"/>
          <w:sz w:val="21"/>
          <w:szCs w:val="21"/>
          <w:highlight w:val="none"/>
        </w:rPr>
        <w:t>3、谈判文件有实质性变动的，谈判小组应以书面形式通知所有参加谈判的供应商。供应商应当按照谈判文件的变动情况和谈判小组的要求重新提交响应文件（或补充书面材料），并由其法定代表人或授权代表签字或者加盖公章。</w:t>
      </w:r>
    </w:p>
    <w:p w14:paraId="4145B459">
      <w:pPr>
        <w:shd w:val="clear"/>
        <w:spacing w:line="360" w:lineRule="auto"/>
        <w:ind w:firstLine="420" w:firstLineChars="200"/>
        <w:rPr>
          <w:rFonts w:hint="eastAsia"/>
          <w:color w:val="auto"/>
          <w:sz w:val="21"/>
          <w:szCs w:val="21"/>
          <w:highlight w:val="none"/>
        </w:rPr>
      </w:pPr>
      <w:r>
        <w:rPr>
          <w:rFonts w:hint="eastAsia"/>
          <w:color w:val="auto"/>
          <w:sz w:val="21"/>
          <w:szCs w:val="21"/>
          <w:highlight w:val="none"/>
        </w:rPr>
        <w:t>4、经谈判确定最终采购需求和提交最后报价的供应商后，谈判小组应当根据符合采购需求、质量和服务均能满足谈判文件实质性响应要求的原则推荐成交候选人。谈判供应商为2家的，最终报价最低的推荐为第一成交候选人，次低的推荐为第二成交候选人；如出现两个或以上的相同最低价，则继续进行下一轮谈判，以此类推，直至出现唯一最低价为止，最低价者中标。</w:t>
      </w:r>
    </w:p>
    <w:p w14:paraId="4AF0D1FA">
      <w:pPr>
        <w:pStyle w:val="2"/>
        <w:keepNext/>
        <w:keepLines/>
        <w:pageBreakBefore/>
        <w:numPr>
          <w:ilvl w:val="0"/>
          <w:numId w:val="10"/>
        </w:numPr>
        <w:shd w:val="clear"/>
        <w:tabs>
          <w:tab w:val="left" w:pos="1080"/>
        </w:tabs>
        <w:spacing w:line="360" w:lineRule="auto"/>
        <w:ind w:left="1262" w:hanging="1262" w:hangingChars="449"/>
        <w:jc w:val="center"/>
        <w:rPr>
          <w:rFonts w:hAnsi="宋体"/>
          <w:b/>
          <w:bCs/>
          <w:color w:val="auto"/>
          <w:kern w:val="44"/>
          <w:sz w:val="28"/>
          <w:szCs w:val="28"/>
          <w:highlight w:val="none"/>
          <w:lang w:val="zh-CN"/>
        </w:rPr>
      </w:pPr>
      <w:bookmarkStart w:id="160" w:name="_Toc22134"/>
      <w:r>
        <w:rPr>
          <w:rFonts w:hint="eastAsia" w:hAnsi="宋体"/>
          <w:b/>
          <w:bCs/>
          <w:color w:val="auto"/>
          <w:kern w:val="44"/>
          <w:sz w:val="28"/>
          <w:szCs w:val="28"/>
          <w:highlight w:val="none"/>
          <w:lang w:val="zh-CN"/>
        </w:rPr>
        <w:t>用户需求书</w:t>
      </w:r>
      <w:bookmarkEnd w:id="156"/>
      <w:bookmarkEnd w:id="157"/>
      <w:bookmarkEnd w:id="160"/>
    </w:p>
    <w:p w14:paraId="235BB780">
      <w:pPr>
        <w:pStyle w:val="2"/>
        <w:spacing w:line="360" w:lineRule="auto"/>
        <w:ind w:left="425" w:hanging="425"/>
        <w:rPr>
          <w:rFonts w:hAnsi="宋体"/>
          <w:b/>
          <w:bCs/>
          <w:color w:val="auto"/>
          <w:highlight w:val="none"/>
        </w:rPr>
      </w:pPr>
      <w:bookmarkStart w:id="161" w:name="_Toc15266"/>
      <w:bookmarkStart w:id="162" w:name="_Toc13957"/>
      <w:bookmarkStart w:id="163" w:name="_Toc308786492"/>
      <w:bookmarkStart w:id="164" w:name="_Toc1593"/>
      <w:bookmarkStart w:id="165" w:name="_Toc20858"/>
      <w:bookmarkStart w:id="166" w:name="_Toc28792"/>
      <w:bookmarkStart w:id="167" w:name="_Toc4437"/>
      <w:r>
        <w:rPr>
          <w:rFonts w:hint="eastAsia" w:hAnsi="宋体"/>
          <w:b/>
          <w:bCs/>
          <w:color w:val="auto"/>
          <w:highlight w:val="none"/>
        </w:rPr>
        <w:t>一、项目概况</w:t>
      </w:r>
    </w:p>
    <w:p w14:paraId="5374870D">
      <w:pPr>
        <w:widowControl/>
        <w:numPr>
          <w:ilvl w:val="0"/>
          <w:numId w:val="0"/>
        </w:numPr>
        <w:autoSpaceDE/>
        <w:autoSpaceDN/>
        <w:adjustRightInd/>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lang w:val="en-US" w:eastAsia="zh-CN"/>
        </w:rPr>
        <w:t>大塘村优质产业空间项目位于东莞市大岭山镇大塘村，北地块一期占地面积约1.67万㎡，建筑面积约6.31万㎡，主要建设住宅、地下车库等。</w:t>
      </w:r>
    </w:p>
    <w:p w14:paraId="330B0517">
      <w:pPr>
        <w:spacing w:line="360" w:lineRule="auto"/>
        <w:ind w:firstLine="420" w:firstLineChars="200"/>
        <w:rPr>
          <w:rFonts w:hint="eastAsia" w:hAnsi="宋体"/>
          <w:bCs/>
          <w:color w:val="auto"/>
          <w:sz w:val="21"/>
          <w:szCs w:val="21"/>
          <w:highlight w:val="none"/>
          <w:lang w:eastAsia="zh-CN"/>
        </w:rPr>
      </w:pPr>
      <w:r>
        <w:rPr>
          <w:rFonts w:hint="eastAsia" w:hAnsi="宋体"/>
          <w:bCs/>
          <w:color w:val="auto"/>
          <w:sz w:val="21"/>
          <w:szCs w:val="21"/>
          <w:highlight w:val="none"/>
        </w:rPr>
        <w:t>采用单位功率面积指标法进行计算，工业厂房建筑按7w/㎡计算，北地块一期施工临电负荷计算如下P=7×63.1=441.7KVA</w:t>
      </w:r>
      <w:r>
        <w:rPr>
          <w:rFonts w:hint="eastAsia" w:hAnsi="宋体"/>
          <w:bCs/>
          <w:color w:val="auto"/>
          <w:sz w:val="21"/>
          <w:szCs w:val="21"/>
          <w:highlight w:val="none"/>
          <w:lang w:eastAsia="zh-CN"/>
        </w:rPr>
        <w:t>，</w:t>
      </w:r>
      <w:r>
        <w:rPr>
          <w:rFonts w:hint="eastAsia" w:hAnsi="宋体"/>
          <w:bCs/>
          <w:color w:val="auto"/>
          <w:sz w:val="21"/>
          <w:szCs w:val="21"/>
          <w:highlight w:val="none"/>
        </w:rPr>
        <w:t>预留现场临建办公生活区用电100KVA；因北地块厂房产权大塘村自持，不新建销售中心，故不预留销售中心以及样板房用电容量； 综上，北地块一期施工临电选用1台500kVA预装式箱变</w:t>
      </w:r>
      <w:r>
        <w:rPr>
          <w:rFonts w:hint="eastAsia" w:hAnsi="宋体"/>
          <w:bCs/>
          <w:color w:val="auto"/>
          <w:sz w:val="21"/>
          <w:szCs w:val="21"/>
          <w:highlight w:val="none"/>
          <w:lang w:eastAsia="zh-CN"/>
        </w:rPr>
        <w:t>。</w:t>
      </w:r>
    </w:p>
    <w:p w14:paraId="24685BEF">
      <w:pPr>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经与供电局进行沟通，初步确定了高压电源接驳点。施工临电平面布置如下：</w:t>
      </w:r>
    </w:p>
    <w:p w14:paraId="55C4BABC">
      <w:pPr>
        <w:spacing w:line="360" w:lineRule="auto"/>
        <w:ind w:firstLine="0" w:firstLineChars="0"/>
        <w:rPr>
          <w:rFonts w:hint="eastAsia" w:hAnsi="宋体"/>
          <w:bCs/>
          <w:color w:val="auto"/>
          <w:sz w:val="21"/>
          <w:szCs w:val="21"/>
          <w:highlight w:val="none"/>
          <w:lang w:val="en-US" w:eastAsia="zh-CN"/>
        </w:rPr>
      </w:pPr>
      <w:r>
        <w:rPr>
          <w:color w:val="auto"/>
          <w:highlight w:val="none"/>
        </w:rPr>
        <w:drawing>
          <wp:anchor distT="0" distB="0" distL="114300" distR="114300" simplePos="0" relativeHeight="251662336" behindDoc="0" locked="0" layoutInCell="1" allowOverlap="1">
            <wp:simplePos x="0" y="0"/>
            <wp:positionH relativeFrom="column">
              <wp:posOffset>178435</wp:posOffset>
            </wp:positionH>
            <wp:positionV relativeFrom="paragraph">
              <wp:posOffset>242570</wp:posOffset>
            </wp:positionV>
            <wp:extent cx="5114290" cy="2984500"/>
            <wp:effectExtent l="0" t="0" r="10160" b="635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114290" cy="2984500"/>
                    </a:xfrm>
                    <a:prstGeom prst="rect">
                      <a:avLst/>
                    </a:prstGeom>
                  </pic:spPr>
                </pic:pic>
              </a:graphicData>
            </a:graphic>
          </wp:anchor>
        </w:drawing>
      </w:r>
      <w:r>
        <w:rPr>
          <w:rFonts w:hint="eastAsia" w:hAnsi="宋体"/>
          <w:bCs/>
          <w:color w:val="auto"/>
          <w:sz w:val="21"/>
          <w:szCs w:val="21"/>
          <w:highlight w:val="none"/>
          <w:lang w:val="en-US" w:eastAsia="zh-CN"/>
        </w:rPr>
        <w:t xml:space="preserve">  </w:t>
      </w:r>
    </w:p>
    <w:p w14:paraId="38F25AAF">
      <w:pPr>
        <w:spacing w:line="360" w:lineRule="auto"/>
        <w:ind w:firstLine="0" w:firstLineChars="0"/>
        <w:rPr>
          <w:rFonts w:hint="eastAsia" w:hAnsi="宋体"/>
          <w:bCs/>
          <w:color w:val="auto"/>
          <w:sz w:val="21"/>
          <w:szCs w:val="21"/>
          <w:highlight w:val="none"/>
          <w:lang w:val="en-US" w:eastAsia="zh-CN"/>
        </w:rPr>
      </w:pPr>
    </w:p>
    <w:p w14:paraId="0ADB575E">
      <w:pPr>
        <w:spacing w:line="360" w:lineRule="auto"/>
        <w:ind w:firstLine="0" w:firstLineChars="0"/>
        <w:rPr>
          <w:rFonts w:hint="eastAsia" w:hAnsi="宋体"/>
          <w:bCs/>
          <w:color w:val="auto"/>
          <w:sz w:val="21"/>
          <w:szCs w:val="21"/>
          <w:highlight w:val="none"/>
          <w:lang w:val="en-US" w:eastAsia="zh-CN"/>
        </w:rPr>
      </w:pPr>
    </w:p>
    <w:p w14:paraId="4C643BE5">
      <w:pPr>
        <w:spacing w:line="360" w:lineRule="auto"/>
        <w:ind w:firstLine="0" w:firstLineChars="0"/>
        <w:rPr>
          <w:rFonts w:hint="eastAsia" w:hAnsi="宋体"/>
          <w:bCs/>
          <w:color w:val="auto"/>
          <w:sz w:val="21"/>
          <w:szCs w:val="21"/>
          <w:highlight w:val="none"/>
          <w:lang w:val="en-US" w:eastAsia="zh-CN"/>
        </w:rPr>
      </w:pPr>
    </w:p>
    <w:p w14:paraId="7A34210A">
      <w:pPr>
        <w:spacing w:line="360" w:lineRule="auto"/>
        <w:ind w:firstLine="0" w:firstLineChars="0"/>
        <w:rPr>
          <w:rFonts w:hint="eastAsia" w:hAnsi="宋体"/>
          <w:bCs/>
          <w:color w:val="auto"/>
          <w:sz w:val="21"/>
          <w:szCs w:val="21"/>
          <w:highlight w:val="none"/>
          <w:lang w:val="en-US" w:eastAsia="zh-CN"/>
        </w:rPr>
      </w:pPr>
    </w:p>
    <w:p w14:paraId="7CBFC331">
      <w:pPr>
        <w:spacing w:line="360" w:lineRule="auto"/>
        <w:ind w:firstLine="0" w:firstLineChars="0"/>
        <w:rPr>
          <w:rFonts w:hint="eastAsia" w:hAnsi="宋体"/>
          <w:bCs/>
          <w:color w:val="auto"/>
          <w:sz w:val="21"/>
          <w:szCs w:val="21"/>
          <w:highlight w:val="none"/>
          <w:lang w:val="en-US" w:eastAsia="zh-CN"/>
        </w:rPr>
      </w:pPr>
    </w:p>
    <w:p w14:paraId="41B4BDCF">
      <w:pPr>
        <w:spacing w:line="360" w:lineRule="auto"/>
        <w:ind w:firstLine="0" w:firstLineChars="0"/>
        <w:rPr>
          <w:rFonts w:hint="eastAsia" w:hAnsi="宋体"/>
          <w:bCs/>
          <w:color w:val="auto"/>
          <w:sz w:val="21"/>
          <w:szCs w:val="21"/>
          <w:highlight w:val="none"/>
          <w:lang w:val="en-US" w:eastAsia="zh-CN"/>
        </w:rPr>
      </w:pPr>
    </w:p>
    <w:p w14:paraId="6854E09E">
      <w:pPr>
        <w:spacing w:line="360" w:lineRule="auto"/>
        <w:ind w:firstLine="0" w:firstLineChars="0"/>
        <w:rPr>
          <w:rFonts w:hint="eastAsia" w:hAnsi="宋体"/>
          <w:bCs/>
          <w:color w:val="auto"/>
          <w:sz w:val="21"/>
          <w:szCs w:val="21"/>
          <w:highlight w:val="none"/>
          <w:lang w:val="en-US" w:eastAsia="zh-CN"/>
        </w:rPr>
      </w:pPr>
    </w:p>
    <w:p w14:paraId="6F54339D">
      <w:pPr>
        <w:spacing w:line="360" w:lineRule="auto"/>
        <w:ind w:firstLine="0" w:firstLineChars="0"/>
        <w:rPr>
          <w:rFonts w:hint="eastAsia" w:hAnsi="宋体"/>
          <w:bCs/>
          <w:color w:val="auto"/>
          <w:sz w:val="21"/>
          <w:szCs w:val="21"/>
          <w:highlight w:val="none"/>
          <w:lang w:val="en-US" w:eastAsia="zh-CN"/>
        </w:rPr>
      </w:pPr>
    </w:p>
    <w:p w14:paraId="0A88BE5C">
      <w:pPr>
        <w:spacing w:line="360" w:lineRule="auto"/>
        <w:ind w:firstLine="0" w:firstLineChars="0"/>
        <w:rPr>
          <w:rFonts w:hint="eastAsia" w:hAnsi="宋体"/>
          <w:bCs/>
          <w:color w:val="auto"/>
          <w:sz w:val="21"/>
          <w:szCs w:val="21"/>
          <w:highlight w:val="none"/>
          <w:lang w:val="en-US" w:eastAsia="zh-CN"/>
        </w:rPr>
      </w:pPr>
    </w:p>
    <w:p w14:paraId="6ACF473F">
      <w:pPr>
        <w:spacing w:line="360" w:lineRule="auto"/>
        <w:ind w:firstLine="0" w:firstLineChars="0"/>
        <w:rPr>
          <w:rFonts w:hint="eastAsia" w:hAnsi="宋体"/>
          <w:bCs/>
          <w:color w:val="auto"/>
          <w:sz w:val="21"/>
          <w:szCs w:val="21"/>
          <w:highlight w:val="none"/>
          <w:lang w:val="en-US" w:eastAsia="zh-CN"/>
        </w:rPr>
      </w:pPr>
    </w:p>
    <w:p w14:paraId="6633B762">
      <w:pPr>
        <w:spacing w:line="360" w:lineRule="auto"/>
        <w:ind w:firstLine="0" w:firstLineChars="0"/>
        <w:rPr>
          <w:rFonts w:hint="eastAsia" w:hAnsi="宋体"/>
          <w:bCs/>
          <w:color w:val="auto"/>
          <w:sz w:val="21"/>
          <w:szCs w:val="21"/>
          <w:highlight w:val="none"/>
        </w:rPr>
      </w:pPr>
      <w:r>
        <w:rPr>
          <w:rFonts w:hint="eastAsia" w:hAnsi="宋体"/>
          <w:bCs/>
          <w:color w:val="auto"/>
          <w:sz w:val="21"/>
          <w:szCs w:val="21"/>
          <w:highlight w:val="none"/>
          <w:lang w:val="en-US" w:eastAsia="zh-CN"/>
        </w:rPr>
        <w:t xml:space="preserve"> 箱变安装要求</w:t>
      </w:r>
      <w:r>
        <w:rPr>
          <w:rFonts w:hint="eastAsia" w:hAnsi="宋体"/>
          <w:bCs/>
          <w:color w:val="auto"/>
          <w:sz w:val="21"/>
          <w:szCs w:val="21"/>
          <w:highlight w:val="none"/>
        </w:rPr>
        <w:t>：</w:t>
      </w:r>
    </w:p>
    <w:p w14:paraId="5A5D09D0">
      <w:pPr>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1.箱变必须设置在用地红线内。</w:t>
      </w:r>
    </w:p>
    <w:p w14:paraId="045A17F1">
      <w:pPr>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2.箱变基础必须避开地下室基坑支护边线3m , 保证安全间距。</w:t>
      </w:r>
    </w:p>
    <w:p w14:paraId="1DE76D96">
      <w:pPr>
        <w:autoSpaceDE/>
        <w:autoSpaceDN/>
        <w:spacing w:line="360" w:lineRule="auto"/>
        <w:ind w:firstLine="0" w:firstLineChars="0"/>
        <w:jc w:val="center"/>
        <w:rPr>
          <w:rFonts w:hint="eastAsia" w:hAnsi="宋体"/>
          <w:bCs/>
          <w:color w:val="auto"/>
          <w:sz w:val="21"/>
          <w:szCs w:val="21"/>
          <w:highlight w:val="none"/>
        </w:rPr>
      </w:pPr>
    </w:p>
    <w:p w14:paraId="0A88398D">
      <w:pPr>
        <w:pStyle w:val="2"/>
        <w:spacing w:line="360" w:lineRule="auto"/>
        <w:ind w:left="425" w:hanging="425"/>
        <w:rPr>
          <w:rFonts w:hAnsi="宋体"/>
          <w:b/>
          <w:bCs/>
          <w:color w:val="auto"/>
          <w:highlight w:val="none"/>
        </w:rPr>
      </w:pPr>
      <w:r>
        <w:rPr>
          <w:rFonts w:hint="eastAsia" w:hAnsi="宋体"/>
          <w:b/>
          <w:bCs/>
          <w:color w:val="auto"/>
          <w:highlight w:val="none"/>
        </w:rPr>
        <w:t>二、主要设备材料</w:t>
      </w:r>
    </w:p>
    <w:tbl>
      <w:tblPr>
        <w:tblStyle w:val="53"/>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85"/>
        <w:gridCol w:w="2126"/>
        <w:gridCol w:w="3660"/>
      </w:tblGrid>
      <w:tr w14:paraId="2B57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51" w:type="dxa"/>
            <w:vAlign w:val="center"/>
          </w:tcPr>
          <w:p w14:paraId="782DB8E8">
            <w:pPr>
              <w:spacing w:line="360" w:lineRule="auto"/>
              <w:jc w:val="center"/>
              <w:rPr>
                <w:rFonts w:hAnsi="宋体"/>
                <w:color w:val="auto"/>
                <w:sz w:val="21"/>
                <w:szCs w:val="21"/>
                <w:highlight w:val="none"/>
              </w:rPr>
            </w:pPr>
            <w:r>
              <w:rPr>
                <w:rFonts w:hint="eastAsia" w:hAnsi="宋体"/>
                <w:color w:val="auto"/>
                <w:sz w:val="21"/>
                <w:szCs w:val="21"/>
                <w:highlight w:val="none"/>
              </w:rPr>
              <w:t>序号</w:t>
            </w:r>
          </w:p>
        </w:tc>
        <w:tc>
          <w:tcPr>
            <w:tcW w:w="1985" w:type="dxa"/>
            <w:vAlign w:val="center"/>
          </w:tcPr>
          <w:p w14:paraId="7ED05DEF">
            <w:pPr>
              <w:spacing w:line="360" w:lineRule="auto"/>
              <w:rPr>
                <w:rFonts w:hAnsi="宋体"/>
                <w:color w:val="auto"/>
                <w:sz w:val="21"/>
                <w:szCs w:val="21"/>
                <w:highlight w:val="none"/>
              </w:rPr>
            </w:pPr>
            <w:r>
              <w:rPr>
                <w:rFonts w:hint="eastAsia" w:hAnsi="宋体"/>
                <w:color w:val="auto"/>
                <w:sz w:val="21"/>
                <w:szCs w:val="21"/>
                <w:highlight w:val="none"/>
              </w:rPr>
              <w:t>材料设备名称</w:t>
            </w:r>
          </w:p>
        </w:tc>
        <w:tc>
          <w:tcPr>
            <w:tcW w:w="2126" w:type="dxa"/>
            <w:vAlign w:val="center"/>
          </w:tcPr>
          <w:p w14:paraId="0B379AF3">
            <w:pPr>
              <w:spacing w:line="360" w:lineRule="auto"/>
              <w:rPr>
                <w:rFonts w:hAnsi="宋体"/>
                <w:color w:val="auto"/>
                <w:sz w:val="21"/>
                <w:szCs w:val="21"/>
                <w:highlight w:val="none"/>
              </w:rPr>
            </w:pPr>
            <w:r>
              <w:rPr>
                <w:rFonts w:hint="eastAsia" w:hAnsi="宋体"/>
                <w:color w:val="auto"/>
                <w:sz w:val="21"/>
                <w:szCs w:val="21"/>
                <w:highlight w:val="none"/>
              </w:rPr>
              <w:t>选用规格型号</w:t>
            </w:r>
          </w:p>
        </w:tc>
        <w:tc>
          <w:tcPr>
            <w:tcW w:w="3660" w:type="dxa"/>
            <w:vAlign w:val="center"/>
          </w:tcPr>
          <w:p w14:paraId="308DE6B3">
            <w:pPr>
              <w:spacing w:line="360" w:lineRule="auto"/>
              <w:rPr>
                <w:rFonts w:hAnsi="宋体"/>
                <w:color w:val="auto"/>
                <w:sz w:val="21"/>
                <w:szCs w:val="21"/>
                <w:highlight w:val="none"/>
              </w:rPr>
            </w:pPr>
            <w:r>
              <w:rPr>
                <w:rFonts w:hint="eastAsia" w:hAnsi="宋体"/>
                <w:color w:val="auto"/>
                <w:sz w:val="21"/>
                <w:szCs w:val="21"/>
                <w:highlight w:val="none"/>
              </w:rPr>
              <w:t>材料要求</w:t>
            </w:r>
          </w:p>
        </w:tc>
      </w:tr>
      <w:tr w14:paraId="50D0A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851" w:type="dxa"/>
            <w:vAlign w:val="center"/>
          </w:tcPr>
          <w:p w14:paraId="5BDD583A">
            <w:pPr>
              <w:spacing w:line="360" w:lineRule="auto"/>
              <w:jc w:val="center"/>
              <w:rPr>
                <w:rFonts w:hAnsi="宋体"/>
                <w:color w:val="auto"/>
                <w:sz w:val="21"/>
                <w:szCs w:val="21"/>
                <w:highlight w:val="none"/>
              </w:rPr>
            </w:pPr>
            <w:r>
              <w:rPr>
                <w:rFonts w:hAnsi="宋体"/>
                <w:color w:val="auto"/>
                <w:sz w:val="21"/>
                <w:szCs w:val="21"/>
                <w:highlight w:val="none"/>
              </w:rPr>
              <w:t>1</w:t>
            </w:r>
          </w:p>
        </w:tc>
        <w:tc>
          <w:tcPr>
            <w:tcW w:w="1985" w:type="dxa"/>
            <w:vAlign w:val="center"/>
          </w:tcPr>
          <w:p w14:paraId="11CD08A2">
            <w:pPr>
              <w:spacing w:line="360" w:lineRule="auto"/>
              <w:rPr>
                <w:rFonts w:hAnsi="宋体"/>
                <w:color w:val="auto"/>
                <w:sz w:val="21"/>
                <w:szCs w:val="21"/>
                <w:highlight w:val="none"/>
              </w:rPr>
            </w:pPr>
            <w:r>
              <w:rPr>
                <w:rFonts w:hint="eastAsia" w:hAnsi="宋体"/>
                <w:color w:val="auto"/>
                <w:sz w:val="21"/>
                <w:szCs w:val="21"/>
                <w:highlight w:val="none"/>
              </w:rPr>
              <w:t>电线电缆</w:t>
            </w:r>
          </w:p>
        </w:tc>
        <w:tc>
          <w:tcPr>
            <w:tcW w:w="2126" w:type="dxa"/>
            <w:vAlign w:val="center"/>
          </w:tcPr>
          <w:p w14:paraId="4105ACD0">
            <w:pPr>
              <w:spacing w:line="360" w:lineRule="auto"/>
              <w:rPr>
                <w:rFonts w:hAnsi="宋体"/>
                <w:color w:val="auto"/>
                <w:sz w:val="21"/>
                <w:szCs w:val="21"/>
                <w:highlight w:val="none"/>
              </w:rPr>
            </w:pPr>
            <w:r>
              <w:rPr>
                <w:rFonts w:hint="eastAsia" w:hAnsi="宋体"/>
                <w:color w:val="auto"/>
                <w:sz w:val="21"/>
                <w:szCs w:val="21"/>
                <w:highlight w:val="none"/>
              </w:rPr>
              <w:t>按设计标配</w:t>
            </w:r>
          </w:p>
        </w:tc>
        <w:tc>
          <w:tcPr>
            <w:tcW w:w="3660" w:type="dxa"/>
            <w:vAlign w:val="center"/>
          </w:tcPr>
          <w:p w14:paraId="00E88112">
            <w:pPr>
              <w:spacing w:line="300" w:lineRule="auto"/>
              <w:rPr>
                <w:rFonts w:hAnsi="宋体"/>
                <w:color w:val="auto"/>
                <w:sz w:val="21"/>
                <w:szCs w:val="21"/>
                <w:highlight w:val="none"/>
              </w:rPr>
            </w:pPr>
            <w:r>
              <w:rPr>
                <w:rFonts w:hint="eastAsia" w:hAnsi="宋体"/>
                <w:color w:val="auto"/>
                <w:sz w:val="21"/>
                <w:szCs w:val="21"/>
                <w:highlight w:val="none"/>
              </w:rPr>
              <w:t>外观完好无损，铠装无锈蚀，无机械损伤，无明显皱褶和扭曲现象，外皮绝缘层无老化和裂纹。</w:t>
            </w:r>
          </w:p>
        </w:tc>
      </w:tr>
      <w:tr w14:paraId="7E552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51" w:type="dxa"/>
            <w:vAlign w:val="center"/>
          </w:tcPr>
          <w:p w14:paraId="68EB4E03">
            <w:pPr>
              <w:spacing w:line="360" w:lineRule="auto"/>
              <w:jc w:val="center"/>
              <w:rPr>
                <w:rFonts w:hAnsi="宋体"/>
                <w:color w:val="auto"/>
                <w:sz w:val="21"/>
                <w:szCs w:val="21"/>
                <w:highlight w:val="none"/>
              </w:rPr>
            </w:pPr>
            <w:r>
              <w:rPr>
                <w:rFonts w:hAnsi="宋体"/>
                <w:color w:val="auto"/>
                <w:sz w:val="21"/>
                <w:szCs w:val="21"/>
                <w:highlight w:val="none"/>
              </w:rPr>
              <w:t>2</w:t>
            </w:r>
          </w:p>
        </w:tc>
        <w:tc>
          <w:tcPr>
            <w:tcW w:w="1985" w:type="dxa"/>
            <w:vAlign w:val="center"/>
          </w:tcPr>
          <w:p w14:paraId="296FF0D2">
            <w:pPr>
              <w:spacing w:line="360" w:lineRule="auto"/>
              <w:rPr>
                <w:rFonts w:hAnsi="宋体"/>
                <w:color w:val="auto"/>
                <w:sz w:val="21"/>
                <w:szCs w:val="21"/>
                <w:highlight w:val="none"/>
              </w:rPr>
            </w:pPr>
            <w:r>
              <w:rPr>
                <w:rFonts w:hAnsi="宋体"/>
                <w:color w:val="auto"/>
                <w:sz w:val="21"/>
                <w:szCs w:val="21"/>
                <w:highlight w:val="none"/>
              </w:rPr>
              <w:t>PVC</w:t>
            </w:r>
            <w:r>
              <w:rPr>
                <w:rFonts w:hint="eastAsia" w:hAnsi="宋体"/>
                <w:color w:val="auto"/>
                <w:sz w:val="21"/>
                <w:szCs w:val="21"/>
                <w:highlight w:val="none"/>
              </w:rPr>
              <w:t>管以及镀锌钢管</w:t>
            </w:r>
          </w:p>
        </w:tc>
        <w:tc>
          <w:tcPr>
            <w:tcW w:w="2126" w:type="dxa"/>
            <w:vAlign w:val="center"/>
          </w:tcPr>
          <w:p w14:paraId="4859A656">
            <w:pPr>
              <w:spacing w:line="360" w:lineRule="auto"/>
              <w:rPr>
                <w:rFonts w:hAnsi="宋体"/>
                <w:color w:val="auto"/>
                <w:sz w:val="21"/>
                <w:szCs w:val="21"/>
                <w:highlight w:val="none"/>
              </w:rPr>
            </w:pPr>
            <w:r>
              <w:rPr>
                <w:rFonts w:hint="eastAsia" w:hAnsi="宋体"/>
                <w:color w:val="auto"/>
                <w:sz w:val="21"/>
                <w:szCs w:val="21"/>
                <w:highlight w:val="none"/>
              </w:rPr>
              <w:t>按设计标配</w:t>
            </w:r>
          </w:p>
        </w:tc>
        <w:tc>
          <w:tcPr>
            <w:tcW w:w="3660" w:type="dxa"/>
            <w:vAlign w:val="center"/>
          </w:tcPr>
          <w:p w14:paraId="2C20F3B9">
            <w:pPr>
              <w:spacing w:line="300" w:lineRule="auto"/>
              <w:rPr>
                <w:rFonts w:hAnsi="宋体"/>
                <w:color w:val="auto"/>
                <w:sz w:val="21"/>
                <w:szCs w:val="21"/>
                <w:highlight w:val="none"/>
              </w:rPr>
            </w:pPr>
            <w:r>
              <w:rPr>
                <w:rFonts w:hint="eastAsia" w:hAnsi="宋体"/>
                <w:color w:val="auto"/>
                <w:sz w:val="21"/>
                <w:szCs w:val="21"/>
                <w:highlight w:val="none"/>
              </w:rPr>
              <w:t>管子内外壁应光滑、无突棱、凹陷、针孔及气泡，管壁厚度应均匀一致。</w:t>
            </w:r>
          </w:p>
        </w:tc>
      </w:tr>
      <w:tr w14:paraId="71329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851" w:type="dxa"/>
            <w:vAlign w:val="center"/>
          </w:tcPr>
          <w:p w14:paraId="71DD0445">
            <w:pPr>
              <w:jc w:val="center"/>
              <w:rPr>
                <w:rFonts w:hAnsi="宋体"/>
                <w:color w:val="auto"/>
                <w:sz w:val="21"/>
                <w:szCs w:val="21"/>
                <w:highlight w:val="none"/>
              </w:rPr>
            </w:pPr>
            <w:r>
              <w:rPr>
                <w:rFonts w:hAnsi="宋体"/>
                <w:color w:val="auto"/>
                <w:sz w:val="21"/>
                <w:szCs w:val="21"/>
                <w:highlight w:val="none"/>
              </w:rPr>
              <w:t>3</w:t>
            </w:r>
          </w:p>
        </w:tc>
        <w:tc>
          <w:tcPr>
            <w:tcW w:w="1985" w:type="dxa"/>
            <w:vAlign w:val="center"/>
          </w:tcPr>
          <w:p w14:paraId="765A597F">
            <w:pPr>
              <w:rPr>
                <w:rFonts w:hAnsi="宋体"/>
                <w:color w:val="auto"/>
                <w:sz w:val="21"/>
                <w:szCs w:val="21"/>
                <w:highlight w:val="none"/>
              </w:rPr>
            </w:pPr>
            <w:r>
              <w:rPr>
                <w:rFonts w:hint="eastAsia" w:hAnsi="宋体"/>
                <w:color w:val="auto"/>
                <w:sz w:val="21"/>
                <w:szCs w:val="21"/>
                <w:highlight w:val="none"/>
                <w:lang w:val="en-US" w:eastAsia="zh-CN"/>
              </w:rPr>
              <w:t>干式箱式</w:t>
            </w:r>
            <w:r>
              <w:rPr>
                <w:rFonts w:hint="eastAsia" w:hAnsi="宋体"/>
                <w:color w:val="auto"/>
                <w:sz w:val="21"/>
                <w:szCs w:val="21"/>
                <w:highlight w:val="none"/>
              </w:rPr>
              <w:t>变压器</w:t>
            </w:r>
          </w:p>
        </w:tc>
        <w:tc>
          <w:tcPr>
            <w:tcW w:w="2126" w:type="dxa"/>
            <w:vAlign w:val="center"/>
          </w:tcPr>
          <w:p w14:paraId="3813A323">
            <w:pPr>
              <w:spacing w:line="360" w:lineRule="auto"/>
              <w:rPr>
                <w:rFonts w:hAnsi="宋体"/>
                <w:color w:val="auto"/>
                <w:sz w:val="21"/>
                <w:szCs w:val="21"/>
                <w:highlight w:val="none"/>
              </w:rPr>
            </w:pPr>
            <w:r>
              <w:rPr>
                <w:rFonts w:hint="eastAsia" w:hAnsi="宋体"/>
                <w:color w:val="auto"/>
                <w:highlight w:val="none"/>
              </w:rPr>
              <w:t>S</w:t>
            </w:r>
            <w:r>
              <w:rPr>
                <w:rFonts w:hint="eastAsia" w:hAnsi="宋体"/>
                <w:color w:val="auto"/>
                <w:highlight w:val="none"/>
                <w:lang w:val="en-US" w:eastAsia="zh-CN"/>
              </w:rPr>
              <w:t>CB12</w:t>
            </w:r>
            <w:r>
              <w:rPr>
                <w:rFonts w:hint="eastAsia" w:hAnsi="宋体"/>
                <w:color w:val="auto"/>
                <w:highlight w:val="none"/>
              </w:rPr>
              <w:t>-</w:t>
            </w:r>
            <w:r>
              <w:rPr>
                <w:rFonts w:hint="eastAsia" w:hAnsi="宋体"/>
                <w:color w:val="auto"/>
                <w:highlight w:val="none"/>
                <w:lang w:val="en-US" w:eastAsia="zh-CN"/>
              </w:rPr>
              <w:t>8</w:t>
            </w:r>
            <w:r>
              <w:rPr>
                <w:rFonts w:hint="eastAsia" w:hAnsi="宋体"/>
                <w:color w:val="auto"/>
                <w:highlight w:val="none"/>
              </w:rPr>
              <w:t>00kVA</w:t>
            </w:r>
            <w:r>
              <w:rPr>
                <w:rFonts w:hAnsi="宋体"/>
                <w:color w:val="auto"/>
                <w:highlight w:val="none"/>
              </w:rPr>
              <w:t>，10</w:t>
            </w:r>
            <w:r>
              <w:rPr>
                <w:rFonts w:hint="eastAsia" w:hAnsi="宋体"/>
                <w:color w:val="auto"/>
                <w:highlight w:val="none"/>
              </w:rPr>
              <w:t>±</w:t>
            </w:r>
            <w:r>
              <w:rPr>
                <w:rFonts w:hAnsi="宋体"/>
                <w:color w:val="auto"/>
                <w:highlight w:val="none"/>
              </w:rPr>
              <w:t>5%/0.4KV D.yn11</w:t>
            </w:r>
          </w:p>
        </w:tc>
        <w:tc>
          <w:tcPr>
            <w:tcW w:w="3660" w:type="dxa"/>
            <w:vAlign w:val="center"/>
          </w:tcPr>
          <w:p w14:paraId="351740D1">
            <w:pPr>
              <w:rPr>
                <w:rFonts w:hAnsi="宋体"/>
                <w:color w:val="auto"/>
                <w:sz w:val="21"/>
                <w:szCs w:val="21"/>
                <w:highlight w:val="none"/>
              </w:rPr>
            </w:pPr>
            <w:r>
              <w:rPr>
                <w:rFonts w:hint="eastAsia" w:hAnsi="宋体"/>
                <w:color w:val="auto"/>
                <w:sz w:val="21"/>
                <w:szCs w:val="21"/>
                <w:highlight w:val="none"/>
              </w:rPr>
              <w:t>全铜，外观包装完好，无损伤</w:t>
            </w:r>
          </w:p>
        </w:tc>
      </w:tr>
      <w:tr w14:paraId="59654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851" w:type="dxa"/>
            <w:vAlign w:val="center"/>
          </w:tcPr>
          <w:p w14:paraId="4420550E">
            <w:pPr>
              <w:jc w:val="center"/>
              <w:rPr>
                <w:rFonts w:hAnsi="宋体"/>
                <w:color w:val="auto"/>
                <w:sz w:val="21"/>
                <w:szCs w:val="21"/>
                <w:highlight w:val="none"/>
              </w:rPr>
            </w:pPr>
            <w:r>
              <w:rPr>
                <w:rFonts w:hAnsi="宋体"/>
                <w:color w:val="auto"/>
                <w:sz w:val="21"/>
                <w:szCs w:val="21"/>
                <w:highlight w:val="none"/>
              </w:rPr>
              <w:t>4</w:t>
            </w:r>
          </w:p>
        </w:tc>
        <w:tc>
          <w:tcPr>
            <w:tcW w:w="1985" w:type="dxa"/>
            <w:vAlign w:val="center"/>
          </w:tcPr>
          <w:p w14:paraId="2E007ACE">
            <w:pPr>
              <w:rPr>
                <w:rFonts w:hAnsi="宋体"/>
                <w:color w:val="auto"/>
                <w:sz w:val="21"/>
                <w:szCs w:val="21"/>
                <w:highlight w:val="none"/>
              </w:rPr>
            </w:pPr>
            <w:r>
              <w:rPr>
                <w:rFonts w:hint="eastAsia" w:hAnsi="宋体"/>
                <w:color w:val="auto"/>
                <w:sz w:val="21"/>
                <w:szCs w:val="21"/>
                <w:highlight w:val="none"/>
              </w:rPr>
              <w:t>高压柜</w:t>
            </w:r>
          </w:p>
        </w:tc>
        <w:tc>
          <w:tcPr>
            <w:tcW w:w="2126" w:type="dxa"/>
            <w:vAlign w:val="center"/>
          </w:tcPr>
          <w:p w14:paraId="4D5D2161">
            <w:pPr>
              <w:spacing w:line="360" w:lineRule="auto"/>
              <w:rPr>
                <w:rFonts w:hAnsi="宋体"/>
                <w:color w:val="auto"/>
                <w:sz w:val="21"/>
                <w:szCs w:val="21"/>
                <w:highlight w:val="none"/>
              </w:rPr>
            </w:pPr>
            <w:r>
              <w:rPr>
                <w:rFonts w:hint="eastAsia" w:hAnsi="宋体"/>
                <w:color w:val="auto"/>
                <w:sz w:val="21"/>
                <w:szCs w:val="21"/>
                <w:highlight w:val="none"/>
              </w:rPr>
              <w:t>按设计图</w:t>
            </w:r>
          </w:p>
        </w:tc>
        <w:tc>
          <w:tcPr>
            <w:tcW w:w="3660" w:type="dxa"/>
            <w:vAlign w:val="center"/>
          </w:tcPr>
          <w:p w14:paraId="3D99C492">
            <w:pPr>
              <w:rPr>
                <w:rFonts w:hAnsi="宋体"/>
                <w:color w:val="auto"/>
                <w:sz w:val="21"/>
                <w:szCs w:val="21"/>
                <w:highlight w:val="none"/>
              </w:rPr>
            </w:pPr>
            <w:r>
              <w:rPr>
                <w:rFonts w:hint="eastAsia" w:hAnsi="宋体"/>
                <w:color w:val="auto"/>
                <w:sz w:val="21"/>
                <w:szCs w:val="21"/>
                <w:highlight w:val="none"/>
              </w:rPr>
              <w:t>外观包装完好，无损伤</w:t>
            </w:r>
          </w:p>
        </w:tc>
      </w:tr>
      <w:tr w14:paraId="7E6B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51" w:type="dxa"/>
            <w:vAlign w:val="center"/>
          </w:tcPr>
          <w:p w14:paraId="1AFFFD3C">
            <w:pPr>
              <w:ind w:left="-26" w:leftChars="-85" w:hanging="178" w:hangingChars="85"/>
              <w:jc w:val="center"/>
              <w:rPr>
                <w:rFonts w:hAnsi="宋体"/>
                <w:color w:val="auto"/>
                <w:sz w:val="21"/>
                <w:szCs w:val="21"/>
                <w:highlight w:val="none"/>
              </w:rPr>
            </w:pPr>
            <w:r>
              <w:rPr>
                <w:rFonts w:hAnsi="宋体"/>
                <w:color w:val="auto"/>
                <w:sz w:val="21"/>
                <w:szCs w:val="21"/>
                <w:highlight w:val="none"/>
              </w:rPr>
              <w:t xml:space="preserve"> 5</w:t>
            </w:r>
          </w:p>
        </w:tc>
        <w:tc>
          <w:tcPr>
            <w:tcW w:w="1985" w:type="dxa"/>
            <w:vAlign w:val="center"/>
          </w:tcPr>
          <w:p w14:paraId="09D17F8C">
            <w:pPr>
              <w:rPr>
                <w:rFonts w:hAnsi="宋体"/>
                <w:color w:val="auto"/>
                <w:sz w:val="21"/>
                <w:szCs w:val="21"/>
                <w:highlight w:val="none"/>
              </w:rPr>
            </w:pPr>
            <w:r>
              <w:rPr>
                <w:rFonts w:hint="eastAsia" w:hAnsi="宋体"/>
                <w:color w:val="auto"/>
                <w:sz w:val="21"/>
                <w:szCs w:val="21"/>
                <w:highlight w:val="none"/>
              </w:rPr>
              <w:t>低压柜</w:t>
            </w:r>
          </w:p>
        </w:tc>
        <w:tc>
          <w:tcPr>
            <w:tcW w:w="2126" w:type="dxa"/>
            <w:vAlign w:val="center"/>
          </w:tcPr>
          <w:p w14:paraId="0D2B0C08">
            <w:pPr>
              <w:spacing w:line="360" w:lineRule="auto"/>
              <w:rPr>
                <w:rFonts w:hAnsi="宋体"/>
                <w:color w:val="auto"/>
                <w:sz w:val="21"/>
                <w:szCs w:val="21"/>
                <w:highlight w:val="none"/>
              </w:rPr>
            </w:pPr>
            <w:r>
              <w:rPr>
                <w:rFonts w:hint="eastAsia" w:hAnsi="宋体"/>
                <w:color w:val="auto"/>
                <w:sz w:val="21"/>
                <w:szCs w:val="21"/>
                <w:highlight w:val="none"/>
              </w:rPr>
              <w:t>按设计图</w:t>
            </w:r>
          </w:p>
        </w:tc>
        <w:tc>
          <w:tcPr>
            <w:tcW w:w="3660" w:type="dxa"/>
            <w:vAlign w:val="center"/>
          </w:tcPr>
          <w:p w14:paraId="7D89E62F">
            <w:pPr>
              <w:rPr>
                <w:rFonts w:hAnsi="宋体"/>
                <w:color w:val="auto"/>
                <w:sz w:val="21"/>
                <w:szCs w:val="21"/>
                <w:highlight w:val="none"/>
              </w:rPr>
            </w:pPr>
            <w:r>
              <w:rPr>
                <w:rFonts w:hint="eastAsia" w:hAnsi="宋体"/>
                <w:color w:val="auto"/>
                <w:sz w:val="21"/>
                <w:szCs w:val="21"/>
                <w:highlight w:val="none"/>
              </w:rPr>
              <w:t>外观包装完好，无损伤</w:t>
            </w:r>
          </w:p>
        </w:tc>
      </w:tr>
    </w:tbl>
    <w:p w14:paraId="7A4CB9E3">
      <w:pPr>
        <w:pStyle w:val="2"/>
        <w:spacing w:line="360" w:lineRule="auto"/>
        <w:ind w:left="425" w:hanging="425"/>
        <w:rPr>
          <w:rFonts w:hAnsi="宋体"/>
          <w:b/>
          <w:bCs/>
          <w:color w:val="auto"/>
          <w:highlight w:val="none"/>
        </w:rPr>
      </w:pPr>
      <w:r>
        <w:rPr>
          <w:rFonts w:hint="eastAsia" w:hAnsi="宋体"/>
          <w:b/>
          <w:bCs/>
          <w:color w:val="auto"/>
          <w:highlight w:val="none"/>
        </w:rPr>
        <w:t>三、主要设备技术要求</w:t>
      </w:r>
    </w:p>
    <w:p w14:paraId="5ED89A76">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（一）</w:t>
      </w:r>
      <w:r>
        <w:rPr>
          <w:rFonts w:hint="eastAsia" w:ascii="宋体" w:eastAsia="宋体"/>
          <w:color w:val="auto"/>
          <w:sz w:val="21"/>
          <w:szCs w:val="21"/>
          <w:highlight w:val="none"/>
          <w:lang w:val="en-US" w:eastAsia="zh-CN"/>
        </w:rPr>
        <w:t>干式</w:t>
      </w:r>
      <w:r>
        <w:rPr>
          <w:rFonts w:hint="eastAsia" w:ascii="宋体" w:eastAsia="宋体"/>
          <w:color w:val="auto"/>
          <w:sz w:val="21"/>
          <w:szCs w:val="21"/>
          <w:highlight w:val="none"/>
        </w:rPr>
        <w:t>箱式变压器技术要求：</w:t>
      </w:r>
    </w:p>
    <w:p w14:paraId="6539BBAE">
      <w:pPr>
        <w:pStyle w:val="77"/>
        <w:spacing w:line="360" w:lineRule="auto"/>
        <w:ind w:firstLine="428" w:firstLineChars="204"/>
        <w:rPr>
          <w:rFonts w:ascii="宋体" w:eastAsia="宋体"/>
          <w:color w:val="auto"/>
          <w:sz w:val="21"/>
          <w:szCs w:val="21"/>
          <w:highlight w:val="none"/>
        </w:rPr>
      </w:pPr>
      <w:r>
        <w:rPr>
          <w:rFonts w:ascii="宋体" w:eastAsia="宋体"/>
          <w:color w:val="auto"/>
          <w:sz w:val="21"/>
          <w:szCs w:val="21"/>
          <w:highlight w:val="none"/>
        </w:rPr>
        <w:t>1.</w:t>
      </w:r>
      <w:r>
        <w:rPr>
          <w:rFonts w:hint="eastAsia" w:ascii="宋体" w:eastAsia="宋体"/>
          <w:color w:val="auto"/>
          <w:sz w:val="21"/>
          <w:szCs w:val="21"/>
          <w:highlight w:val="none"/>
        </w:rPr>
        <w:t>系统额定电压：</w:t>
      </w:r>
      <w:r>
        <w:rPr>
          <w:rFonts w:ascii="宋体" w:eastAsia="宋体"/>
          <w:color w:val="auto"/>
          <w:sz w:val="21"/>
          <w:szCs w:val="21"/>
          <w:highlight w:val="none"/>
        </w:rPr>
        <w:t>10kV</w:t>
      </w:r>
      <w:r>
        <w:rPr>
          <w:rFonts w:hint="eastAsia" w:ascii="宋体" w:eastAsia="宋体"/>
          <w:color w:val="auto"/>
          <w:sz w:val="21"/>
          <w:szCs w:val="21"/>
          <w:highlight w:val="none"/>
        </w:rPr>
        <w:t>，最高电压：</w:t>
      </w:r>
      <w:r>
        <w:rPr>
          <w:rFonts w:ascii="宋体" w:eastAsia="宋体"/>
          <w:color w:val="auto"/>
          <w:sz w:val="21"/>
          <w:szCs w:val="21"/>
          <w:highlight w:val="none"/>
        </w:rPr>
        <w:t>12kV</w:t>
      </w:r>
      <w:r>
        <w:rPr>
          <w:rFonts w:hint="eastAsia" w:ascii="宋体" w:eastAsia="宋体"/>
          <w:color w:val="auto"/>
          <w:sz w:val="21"/>
          <w:szCs w:val="21"/>
          <w:highlight w:val="none"/>
        </w:rPr>
        <w:t>；</w:t>
      </w:r>
    </w:p>
    <w:p w14:paraId="1DF2A1E5">
      <w:pPr>
        <w:pStyle w:val="77"/>
        <w:spacing w:line="360" w:lineRule="auto"/>
        <w:ind w:firstLine="428" w:firstLineChars="204"/>
        <w:rPr>
          <w:rFonts w:ascii="宋体" w:eastAsia="宋体"/>
          <w:color w:val="auto"/>
          <w:sz w:val="21"/>
          <w:szCs w:val="21"/>
          <w:highlight w:val="none"/>
        </w:rPr>
      </w:pPr>
      <w:r>
        <w:rPr>
          <w:rFonts w:ascii="宋体" w:eastAsia="宋体"/>
          <w:color w:val="auto"/>
          <w:sz w:val="21"/>
          <w:szCs w:val="21"/>
          <w:highlight w:val="none"/>
        </w:rPr>
        <w:t>2.</w:t>
      </w:r>
      <w:r>
        <w:rPr>
          <w:rFonts w:hint="eastAsia" w:ascii="宋体" w:eastAsia="宋体"/>
          <w:color w:val="auto"/>
          <w:sz w:val="21"/>
          <w:szCs w:val="21"/>
          <w:highlight w:val="none"/>
        </w:rPr>
        <w:t>额定频率：</w:t>
      </w:r>
      <w:r>
        <w:rPr>
          <w:rFonts w:ascii="宋体" w:eastAsia="宋体"/>
          <w:color w:val="auto"/>
          <w:sz w:val="21"/>
          <w:szCs w:val="21"/>
          <w:highlight w:val="none"/>
        </w:rPr>
        <w:t>50Hz</w:t>
      </w:r>
    </w:p>
    <w:p w14:paraId="0FA15AEC">
      <w:pPr>
        <w:pStyle w:val="77"/>
        <w:spacing w:line="360" w:lineRule="auto"/>
        <w:ind w:firstLine="428" w:firstLineChars="204"/>
        <w:rPr>
          <w:rFonts w:ascii="宋体" w:eastAsia="宋体"/>
          <w:color w:val="auto"/>
          <w:sz w:val="21"/>
          <w:szCs w:val="21"/>
          <w:highlight w:val="none"/>
        </w:rPr>
      </w:pPr>
      <w:r>
        <w:rPr>
          <w:rFonts w:ascii="宋体" w:eastAsia="宋体"/>
          <w:color w:val="auto"/>
          <w:sz w:val="21"/>
          <w:szCs w:val="21"/>
          <w:highlight w:val="none"/>
        </w:rPr>
        <w:t>3.</w:t>
      </w:r>
      <w:r>
        <w:rPr>
          <w:rFonts w:hint="eastAsia" w:ascii="宋体" w:eastAsia="宋体"/>
          <w:color w:val="auto"/>
          <w:sz w:val="21"/>
          <w:szCs w:val="21"/>
          <w:highlight w:val="none"/>
        </w:rPr>
        <w:t>变压器高压侧额定电压</w:t>
      </w:r>
      <w:r>
        <w:rPr>
          <w:rFonts w:ascii="宋体" w:eastAsia="宋体"/>
          <w:color w:val="auto"/>
          <w:sz w:val="21"/>
          <w:szCs w:val="21"/>
          <w:highlight w:val="none"/>
        </w:rPr>
        <w:t>10</w:t>
      </w:r>
      <w:r>
        <w:rPr>
          <w:rFonts w:hint="eastAsia" w:ascii="宋体" w:eastAsia="宋体"/>
          <w:color w:val="auto"/>
          <w:sz w:val="21"/>
          <w:szCs w:val="21"/>
          <w:highlight w:val="none"/>
        </w:rPr>
        <w:t>±</w:t>
      </w:r>
      <w:r>
        <w:rPr>
          <w:rFonts w:ascii="宋体" w:eastAsia="宋体"/>
          <w:color w:val="auto"/>
          <w:sz w:val="21"/>
          <w:szCs w:val="21"/>
          <w:highlight w:val="none"/>
        </w:rPr>
        <w:t>5%kV</w:t>
      </w:r>
      <w:r>
        <w:rPr>
          <w:rFonts w:hint="eastAsia" w:ascii="宋体" w:eastAsia="宋体"/>
          <w:color w:val="auto"/>
          <w:sz w:val="21"/>
          <w:szCs w:val="21"/>
          <w:highlight w:val="none"/>
        </w:rPr>
        <w:t>，低压侧额定电压：</w:t>
      </w:r>
      <w:r>
        <w:rPr>
          <w:rFonts w:ascii="宋体" w:eastAsia="宋体"/>
          <w:color w:val="auto"/>
          <w:sz w:val="21"/>
          <w:szCs w:val="21"/>
          <w:highlight w:val="none"/>
        </w:rPr>
        <w:t>0.4kV</w:t>
      </w:r>
      <w:r>
        <w:rPr>
          <w:rFonts w:hint="eastAsia" w:ascii="宋体" w:eastAsia="宋体"/>
          <w:color w:val="auto"/>
          <w:sz w:val="21"/>
          <w:szCs w:val="21"/>
          <w:highlight w:val="none"/>
        </w:rPr>
        <w:t>；</w:t>
      </w:r>
    </w:p>
    <w:p w14:paraId="4ABE9D43">
      <w:pPr>
        <w:pStyle w:val="77"/>
        <w:spacing w:line="360" w:lineRule="auto"/>
        <w:ind w:firstLine="428" w:firstLineChars="204"/>
        <w:rPr>
          <w:rFonts w:ascii="宋体" w:eastAsia="宋体"/>
          <w:color w:val="auto"/>
          <w:sz w:val="21"/>
          <w:szCs w:val="21"/>
          <w:highlight w:val="none"/>
        </w:rPr>
      </w:pPr>
      <w:r>
        <w:rPr>
          <w:rFonts w:ascii="宋体" w:eastAsia="宋体"/>
          <w:color w:val="auto"/>
          <w:sz w:val="21"/>
          <w:szCs w:val="21"/>
          <w:highlight w:val="none"/>
        </w:rPr>
        <w:t>4.</w:t>
      </w:r>
      <w:r>
        <w:rPr>
          <w:rFonts w:hint="eastAsia" w:ascii="宋体" w:eastAsia="宋体"/>
          <w:color w:val="auto"/>
          <w:sz w:val="21"/>
          <w:szCs w:val="21"/>
          <w:highlight w:val="none"/>
        </w:rPr>
        <w:t>雷电冲击耐受电压（对地、相间）：</w:t>
      </w:r>
      <w:r>
        <w:rPr>
          <w:rFonts w:ascii="宋体" w:eastAsia="宋体"/>
          <w:color w:val="auto"/>
          <w:sz w:val="21"/>
          <w:szCs w:val="21"/>
          <w:highlight w:val="none"/>
        </w:rPr>
        <w:t>75kV</w:t>
      </w:r>
      <w:r>
        <w:rPr>
          <w:rFonts w:hint="eastAsia" w:ascii="宋体" w:eastAsia="宋体"/>
          <w:color w:val="auto"/>
          <w:sz w:val="21"/>
          <w:szCs w:val="21"/>
          <w:highlight w:val="none"/>
        </w:rPr>
        <w:t>、（真空断口、隔离断口）：</w:t>
      </w:r>
      <w:r>
        <w:rPr>
          <w:rFonts w:ascii="宋体" w:eastAsia="宋体"/>
          <w:color w:val="auto"/>
          <w:sz w:val="21"/>
          <w:szCs w:val="21"/>
          <w:highlight w:val="none"/>
        </w:rPr>
        <w:t>85kV</w:t>
      </w:r>
      <w:r>
        <w:rPr>
          <w:rFonts w:hint="eastAsia" w:ascii="宋体" w:eastAsia="宋体"/>
          <w:color w:val="auto"/>
          <w:sz w:val="21"/>
          <w:szCs w:val="21"/>
          <w:highlight w:val="none"/>
        </w:rPr>
        <w:t>；</w:t>
      </w:r>
    </w:p>
    <w:p w14:paraId="543DC698">
      <w:pPr>
        <w:pStyle w:val="77"/>
        <w:spacing w:line="360" w:lineRule="auto"/>
        <w:ind w:firstLine="428" w:firstLineChars="204"/>
        <w:rPr>
          <w:rFonts w:ascii="宋体" w:eastAsia="宋体"/>
          <w:color w:val="auto"/>
          <w:sz w:val="21"/>
          <w:szCs w:val="21"/>
          <w:highlight w:val="none"/>
        </w:rPr>
      </w:pPr>
      <w:r>
        <w:rPr>
          <w:rFonts w:ascii="宋体" w:eastAsia="宋体"/>
          <w:color w:val="auto"/>
          <w:sz w:val="21"/>
          <w:szCs w:val="21"/>
          <w:highlight w:val="none"/>
        </w:rPr>
        <w:t>5.</w:t>
      </w:r>
      <w:r>
        <w:rPr>
          <w:rFonts w:hint="eastAsia" w:ascii="宋体" w:eastAsia="宋体"/>
          <w:color w:val="auto"/>
          <w:sz w:val="21"/>
          <w:szCs w:val="21"/>
          <w:highlight w:val="none"/>
        </w:rPr>
        <w:t>箱壳防护等级：</w:t>
      </w:r>
      <w:r>
        <w:rPr>
          <w:rFonts w:ascii="宋体" w:eastAsia="宋体"/>
          <w:color w:val="auto"/>
          <w:sz w:val="21"/>
          <w:szCs w:val="21"/>
          <w:highlight w:val="none"/>
        </w:rPr>
        <w:t>IP</w:t>
      </w:r>
      <w:r>
        <w:rPr>
          <w:rFonts w:hint="eastAsia" w:ascii="宋体" w:eastAsia="宋体"/>
          <w:color w:val="auto"/>
          <w:sz w:val="21"/>
          <w:szCs w:val="21"/>
          <w:highlight w:val="none"/>
        </w:rPr>
        <w:t>30及以上；</w:t>
      </w:r>
    </w:p>
    <w:p w14:paraId="50EBDFEE">
      <w:pPr>
        <w:pStyle w:val="77"/>
        <w:spacing w:line="360" w:lineRule="auto"/>
        <w:ind w:firstLine="428" w:firstLineChars="204"/>
        <w:rPr>
          <w:rFonts w:ascii="宋体" w:eastAsia="宋体"/>
          <w:color w:val="auto"/>
          <w:sz w:val="21"/>
          <w:szCs w:val="21"/>
          <w:highlight w:val="none"/>
        </w:rPr>
      </w:pPr>
      <w:r>
        <w:rPr>
          <w:rFonts w:ascii="宋体" w:eastAsia="宋体"/>
          <w:color w:val="auto"/>
          <w:sz w:val="21"/>
          <w:szCs w:val="21"/>
          <w:highlight w:val="none"/>
        </w:rPr>
        <w:t>6.</w:t>
      </w:r>
      <w:r>
        <w:rPr>
          <w:rFonts w:hint="eastAsia" w:ascii="宋体" w:eastAsia="宋体"/>
          <w:color w:val="auto"/>
          <w:sz w:val="21"/>
          <w:szCs w:val="21"/>
          <w:highlight w:val="none"/>
        </w:rPr>
        <w:t>变压器采用高压负荷开关</w:t>
      </w:r>
      <w:r>
        <w:rPr>
          <w:rFonts w:ascii="宋体" w:eastAsia="宋体"/>
          <w:color w:val="auto"/>
          <w:sz w:val="21"/>
          <w:szCs w:val="21"/>
          <w:highlight w:val="none"/>
        </w:rPr>
        <w:t>-</w:t>
      </w:r>
      <w:r>
        <w:rPr>
          <w:rFonts w:hint="eastAsia" w:ascii="宋体" w:eastAsia="宋体"/>
          <w:color w:val="auto"/>
          <w:sz w:val="21"/>
          <w:szCs w:val="21"/>
          <w:highlight w:val="none"/>
        </w:rPr>
        <w:t>熔丝保护；</w:t>
      </w:r>
    </w:p>
    <w:p w14:paraId="29436F24">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7.额定电流：所有断路器均采用</w:t>
      </w:r>
      <w:r>
        <w:rPr>
          <w:rFonts w:ascii="宋体" w:eastAsia="宋体"/>
          <w:color w:val="auto"/>
          <w:sz w:val="21"/>
          <w:szCs w:val="21"/>
          <w:highlight w:val="none"/>
        </w:rPr>
        <w:t>630A</w:t>
      </w:r>
    </w:p>
    <w:p w14:paraId="75D21C6D">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8.最大关合电流（峰值）：</w:t>
      </w:r>
      <w:r>
        <w:rPr>
          <w:rFonts w:ascii="宋体" w:eastAsia="宋体"/>
          <w:color w:val="auto"/>
          <w:sz w:val="21"/>
          <w:szCs w:val="21"/>
          <w:highlight w:val="none"/>
        </w:rPr>
        <w:t>63kA</w:t>
      </w:r>
    </w:p>
    <w:p w14:paraId="14C6AF9D">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9.</w:t>
      </w:r>
      <w:r>
        <w:rPr>
          <w:rFonts w:ascii="宋体" w:eastAsia="宋体"/>
          <w:color w:val="auto"/>
          <w:sz w:val="21"/>
          <w:szCs w:val="21"/>
          <w:highlight w:val="none"/>
        </w:rPr>
        <w:t>4s</w:t>
      </w:r>
      <w:r>
        <w:rPr>
          <w:rFonts w:hint="eastAsia" w:ascii="宋体" w:eastAsia="宋体"/>
          <w:color w:val="auto"/>
          <w:sz w:val="21"/>
          <w:szCs w:val="21"/>
          <w:highlight w:val="none"/>
        </w:rPr>
        <w:t>热稳定电流（有效值）：</w:t>
      </w:r>
      <w:r>
        <w:rPr>
          <w:rFonts w:ascii="宋体" w:eastAsia="宋体"/>
          <w:color w:val="auto"/>
          <w:sz w:val="21"/>
          <w:szCs w:val="21"/>
          <w:highlight w:val="none"/>
        </w:rPr>
        <w:t>25kA</w:t>
      </w:r>
    </w:p>
    <w:p w14:paraId="63B8AB6D">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10.额定绝缘水平：</w:t>
      </w:r>
      <w:r>
        <w:rPr>
          <w:rFonts w:ascii="宋体" w:eastAsia="宋体"/>
          <w:color w:val="auto"/>
          <w:sz w:val="21"/>
          <w:szCs w:val="21"/>
          <w:highlight w:val="none"/>
        </w:rPr>
        <w:t>1min</w:t>
      </w:r>
      <w:r>
        <w:rPr>
          <w:rFonts w:hint="eastAsia" w:ascii="宋体" w:eastAsia="宋体"/>
          <w:color w:val="auto"/>
          <w:sz w:val="21"/>
          <w:szCs w:val="21"/>
          <w:highlight w:val="none"/>
        </w:rPr>
        <w:t>工频耐受电压（有效值）：</w:t>
      </w:r>
      <w:r>
        <w:rPr>
          <w:rFonts w:ascii="宋体" w:eastAsia="宋体"/>
          <w:color w:val="auto"/>
          <w:sz w:val="21"/>
          <w:szCs w:val="21"/>
          <w:highlight w:val="none"/>
        </w:rPr>
        <w:t>42kV</w:t>
      </w:r>
    </w:p>
    <w:p w14:paraId="2917FDD1">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11.雷电冲击耐受电压（对地、相间）：</w:t>
      </w:r>
      <w:r>
        <w:rPr>
          <w:rFonts w:ascii="宋体" w:eastAsia="宋体"/>
          <w:color w:val="auto"/>
          <w:sz w:val="21"/>
          <w:szCs w:val="21"/>
          <w:highlight w:val="none"/>
        </w:rPr>
        <w:t>75kV</w:t>
      </w:r>
      <w:r>
        <w:rPr>
          <w:rFonts w:hint="eastAsia" w:ascii="宋体" w:eastAsia="宋体"/>
          <w:color w:val="auto"/>
          <w:sz w:val="21"/>
          <w:szCs w:val="21"/>
          <w:highlight w:val="none"/>
        </w:rPr>
        <w:t>、（真空断口、隔离断口）：</w:t>
      </w:r>
      <w:r>
        <w:rPr>
          <w:rFonts w:ascii="宋体" w:eastAsia="宋体"/>
          <w:color w:val="auto"/>
          <w:sz w:val="21"/>
          <w:szCs w:val="21"/>
          <w:highlight w:val="none"/>
        </w:rPr>
        <w:t>85kV</w:t>
      </w:r>
    </w:p>
    <w:p w14:paraId="58C9CE4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12.寿命：额定电流开断次数</w:t>
      </w:r>
      <w:r>
        <w:rPr>
          <w:rFonts w:ascii="宋体" w:eastAsia="宋体"/>
          <w:color w:val="auto"/>
          <w:sz w:val="21"/>
          <w:szCs w:val="21"/>
          <w:highlight w:val="none"/>
        </w:rPr>
        <w:t>10000</w:t>
      </w:r>
      <w:r>
        <w:rPr>
          <w:rFonts w:hint="eastAsia" w:ascii="宋体" w:eastAsia="宋体"/>
          <w:color w:val="auto"/>
          <w:sz w:val="21"/>
          <w:szCs w:val="21"/>
          <w:highlight w:val="none"/>
        </w:rPr>
        <w:t>次</w:t>
      </w:r>
    </w:p>
    <w:p w14:paraId="5B673924">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13.断路器操作时间：合闸时间：</w:t>
      </w:r>
      <w:r>
        <w:rPr>
          <w:rFonts w:ascii="宋体" w:eastAsia="宋体"/>
          <w:color w:val="auto"/>
          <w:sz w:val="21"/>
          <w:szCs w:val="21"/>
          <w:highlight w:val="none"/>
        </w:rPr>
        <w:t>&lt;70ms</w:t>
      </w:r>
      <w:r>
        <w:rPr>
          <w:rFonts w:hint="eastAsia" w:ascii="宋体" w:eastAsia="宋体"/>
          <w:color w:val="auto"/>
          <w:sz w:val="21"/>
          <w:szCs w:val="21"/>
          <w:highlight w:val="none"/>
        </w:rPr>
        <w:t>；分闸时间：</w:t>
      </w:r>
      <w:r>
        <w:rPr>
          <w:rFonts w:ascii="宋体" w:eastAsia="宋体"/>
          <w:color w:val="auto"/>
          <w:sz w:val="21"/>
          <w:szCs w:val="21"/>
          <w:highlight w:val="none"/>
        </w:rPr>
        <w:t>&lt;50ms</w:t>
      </w:r>
      <w:r>
        <w:rPr>
          <w:rFonts w:hint="eastAsia" w:ascii="宋体" w:eastAsia="宋体"/>
          <w:color w:val="auto"/>
          <w:sz w:val="21"/>
          <w:szCs w:val="21"/>
          <w:highlight w:val="none"/>
        </w:rPr>
        <w:t>；全开断时间：</w:t>
      </w:r>
      <w:r>
        <w:rPr>
          <w:rFonts w:ascii="宋体" w:eastAsia="宋体"/>
          <w:color w:val="auto"/>
          <w:sz w:val="21"/>
          <w:szCs w:val="21"/>
          <w:highlight w:val="none"/>
        </w:rPr>
        <w:t>&lt;70ms</w:t>
      </w:r>
      <w:r>
        <w:rPr>
          <w:rFonts w:hint="eastAsia" w:ascii="宋体" w:eastAsia="宋体"/>
          <w:color w:val="auto"/>
          <w:sz w:val="21"/>
          <w:szCs w:val="21"/>
          <w:highlight w:val="none"/>
        </w:rPr>
        <w:t>；</w:t>
      </w:r>
    </w:p>
    <w:p w14:paraId="6A40BBA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14.断路器应具有快速操作循环功能：</w:t>
      </w:r>
      <w:r>
        <w:rPr>
          <w:rFonts w:ascii="宋体" w:eastAsia="宋体"/>
          <w:color w:val="auto"/>
          <w:sz w:val="21"/>
          <w:szCs w:val="21"/>
          <w:highlight w:val="none"/>
        </w:rPr>
        <w:t>0-0.3s-CO-180s-CO</w:t>
      </w:r>
      <w:r>
        <w:rPr>
          <w:rFonts w:hint="eastAsia" w:ascii="宋体" w:eastAsia="宋体"/>
          <w:color w:val="auto"/>
          <w:sz w:val="21"/>
          <w:szCs w:val="21"/>
          <w:highlight w:val="none"/>
        </w:rPr>
        <w:t>；</w:t>
      </w:r>
    </w:p>
    <w:p w14:paraId="06D01E4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15.断路器灭弧室应采用最先进的真空纵磁场开断技术，触头采用铜铬合金确保小的截流值；</w:t>
      </w:r>
    </w:p>
    <w:p w14:paraId="1B6C3EB1">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16.断路器应具有弹簧贮能操作机构，该机械控制电压为直流</w:t>
      </w:r>
      <w:r>
        <w:rPr>
          <w:rFonts w:ascii="宋体" w:eastAsia="宋体"/>
          <w:color w:val="auto"/>
          <w:sz w:val="21"/>
          <w:szCs w:val="21"/>
          <w:highlight w:val="none"/>
        </w:rPr>
        <w:t>220V</w:t>
      </w:r>
      <w:r>
        <w:rPr>
          <w:rFonts w:hint="eastAsia" w:ascii="宋体" w:eastAsia="宋体"/>
          <w:color w:val="auto"/>
          <w:sz w:val="21"/>
          <w:szCs w:val="21"/>
          <w:highlight w:val="none"/>
        </w:rPr>
        <w:t>，跳合闸控制回路电压为直流</w:t>
      </w:r>
      <w:r>
        <w:rPr>
          <w:rFonts w:ascii="宋体" w:eastAsia="宋体"/>
          <w:color w:val="auto"/>
          <w:sz w:val="21"/>
          <w:szCs w:val="21"/>
          <w:highlight w:val="none"/>
        </w:rPr>
        <w:t>220V</w:t>
      </w:r>
      <w:r>
        <w:rPr>
          <w:rFonts w:hint="eastAsia" w:ascii="宋体" w:eastAsia="宋体"/>
          <w:color w:val="auto"/>
          <w:sz w:val="21"/>
          <w:szCs w:val="21"/>
          <w:highlight w:val="none"/>
        </w:rPr>
        <w:t>；</w:t>
      </w:r>
    </w:p>
    <w:p w14:paraId="77C70784">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17.除断路器自身控制回路（如跳合闸、储能等）所用辅助接点外，其余辅助接点（</w:t>
      </w:r>
      <w:r>
        <w:rPr>
          <w:rFonts w:ascii="宋体" w:eastAsia="宋体"/>
          <w:color w:val="auto"/>
          <w:sz w:val="21"/>
          <w:szCs w:val="21"/>
          <w:highlight w:val="none"/>
        </w:rPr>
        <w:t>8</w:t>
      </w:r>
      <w:r>
        <w:rPr>
          <w:rFonts w:hint="eastAsia" w:ascii="宋体" w:eastAsia="宋体"/>
          <w:color w:val="auto"/>
          <w:sz w:val="21"/>
          <w:szCs w:val="21"/>
          <w:highlight w:val="none"/>
        </w:rPr>
        <w:t>常开</w:t>
      </w:r>
      <w:r>
        <w:rPr>
          <w:rFonts w:ascii="宋体" w:eastAsia="宋体"/>
          <w:color w:val="auto"/>
          <w:sz w:val="21"/>
          <w:szCs w:val="21"/>
          <w:highlight w:val="none"/>
        </w:rPr>
        <w:t>8</w:t>
      </w:r>
      <w:r>
        <w:rPr>
          <w:rFonts w:hint="eastAsia" w:ascii="宋体" w:eastAsia="宋体"/>
          <w:color w:val="auto"/>
          <w:sz w:val="21"/>
          <w:szCs w:val="21"/>
          <w:highlight w:val="none"/>
        </w:rPr>
        <w:t>常闭）全部外引；</w:t>
      </w:r>
    </w:p>
    <w:p w14:paraId="2D11210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18.断路器应具有安装抽架，以确保其在开关柜中的安装精度和安全互换性。</w:t>
      </w:r>
    </w:p>
    <w:p w14:paraId="1C5908BD">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19.真空断路器开关柜尺寸：国标尺寸；</w:t>
      </w:r>
    </w:p>
    <w:p w14:paraId="698E44A3">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20.断路器机械寿命要求达到</w:t>
      </w:r>
      <w:r>
        <w:rPr>
          <w:rFonts w:ascii="宋体" w:eastAsia="宋体"/>
          <w:color w:val="auto"/>
          <w:sz w:val="21"/>
          <w:szCs w:val="21"/>
          <w:highlight w:val="none"/>
        </w:rPr>
        <w:t>10000</w:t>
      </w:r>
      <w:r>
        <w:rPr>
          <w:rFonts w:hint="eastAsia" w:ascii="宋体" w:eastAsia="宋体"/>
          <w:color w:val="auto"/>
          <w:sz w:val="21"/>
          <w:szCs w:val="21"/>
          <w:highlight w:val="none"/>
        </w:rPr>
        <w:t>次；</w:t>
      </w:r>
    </w:p>
    <w:p w14:paraId="79469900">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（二）断路器要求：无</w:t>
      </w:r>
    </w:p>
    <w:p w14:paraId="07DD434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（三）柜体结构：详见设计图。</w:t>
      </w:r>
    </w:p>
    <w:p w14:paraId="04981CA6">
      <w:pPr>
        <w:pStyle w:val="2"/>
        <w:spacing w:line="360" w:lineRule="auto"/>
        <w:ind w:left="425" w:hanging="425"/>
        <w:rPr>
          <w:rFonts w:hAnsi="宋体"/>
          <w:b/>
          <w:bCs/>
          <w:color w:val="auto"/>
          <w:highlight w:val="none"/>
        </w:rPr>
      </w:pPr>
      <w:r>
        <w:rPr>
          <w:rFonts w:hint="eastAsia" w:hAnsi="宋体"/>
          <w:b/>
          <w:bCs/>
          <w:color w:val="auto"/>
          <w:highlight w:val="none"/>
        </w:rPr>
        <w:t>四、服务要求</w:t>
      </w:r>
    </w:p>
    <w:p w14:paraId="4F209D86">
      <w:pPr>
        <w:pStyle w:val="77"/>
        <w:spacing w:line="360" w:lineRule="auto"/>
        <w:ind w:firstLine="430" w:firstLineChars="204"/>
        <w:rPr>
          <w:rFonts w:ascii="宋体" w:eastAsia="宋体"/>
          <w:b/>
          <w:bCs/>
          <w:color w:val="auto"/>
          <w:sz w:val="21"/>
          <w:szCs w:val="21"/>
          <w:highlight w:val="none"/>
        </w:rPr>
      </w:pPr>
      <w:r>
        <w:rPr>
          <w:rFonts w:hint="eastAsia" w:ascii="宋体" w:eastAsia="宋体"/>
          <w:b/>
          <w:bCs/>
          <w:color w:val="auto"/>
          <w:sz w:val="21"/>
          <w:szCs w:val="21"/>
          <w:highlight w:val="none"/>
        </w:rPr>
        <w:t>（一）包装、保险及发运、保管要求</w:t>
      </w:r>
    </w:p>
    <w:p w14:paraId="603DC896">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1、货物材料的包装须是制造商原厂包装，其包装均应有良好的防湿、防锈、防潮、防雨、防腐及防碰撞的措施。凡由于包装不良造成的损失和由此产生的费用均由供应商承担。</w:t>
      </w:r>
    </w:p>
    <w:p w14:paraId="27B3FE5E">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2、成交供应商负责将货物材料到达现场过程中的全部运输，包括装卸车、货物现场的搬运。</w:t>
      </w:r>
    </w:p>
    <w:p w14:paraId="03FAA64B">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3、各种货物必须提供装箱清单，按装箱清单验收货物。</w:t>
      </w:r>
    </w:p>
    <w:p w14:paraId="48C1EE2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4、货物在现场的保管由成交供应商负责，直至项目安装、验收完毕。</w:t>
      </w:r>
    </w:p>
    <w:p w14:paraId="475EF30A">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5、货物在工程安装调试验收合格前的保险由成交供应商负责，成交供应商负责其派出的现场服务人员人身意外保险。</w:t>
      </w:r>
    </w:p>
    <w:p w14:paraId="468FE5E4">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6、货物至采购人指定的使用现场的包装、保险及发运等环节和费用均由成交供应商负责。</w:t>
      </w:r>
    </w:p>
    <w:p w14:paraId="4577FAFF">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（二）安装、调试与验收</w:t>
      </w:r>
    </w:p>
    <w:p w14:paraId="79641FBB">
      <w:pPr>
        <w:pStyle w:val="77"/>
        <w:spacing w:line="360" w:lineRule="auto"/>
        <w:ind w:firstLine="428" w:firstLineChars="204"/>
        <w:rPr>
          <w:rFonts w:hint="eastAsia" w:ascii="宋体" w:eastAsia="宋体"/>
          <w:color w:val="auto"/>
          <w:sz w:val="21"/>
          <w:szCs w:val="21"/>
          <w:highlight w:val="none"/>
        </w:rPr>
      </w:pPr>
      <w:r>
        <w:rPr>
          <w:rFonts w:hint="eastAsia" w:ascii="宋体" w:eastAsia="宋体"/>
          <w:color w:val="auto"/>
          <w:sz w:val="21"/>
          <w:szCs w:val="21"/>
          <w:highlight w:val="none"/>
        </w:rPr>
        <w:t>1、成交供应商必须依照采购文件中施工图纸的要求和响应文件的承诺，将电力设施系统安装并调试至正常运行的最佳状态。安装中，成交供应商应注意成品保护，如因粗暴作业引起损坏</w:t>
      </w:r>
      <w:r>
        <w:rPr>
          <w:rFonts w:hint="eastAsia" w:ascii="宋体" w:eastAsia="宋体"/>
          <w:color w:val="auto"/>
          <w:sz w:val="21"/>
          <w:szCs w:val="21"/>
          <w:highlight w:val="none"/>
          <w:lang w:val="en-US" w:eastAsia="zh-CN"/>
        </w:rPr>
        <w:t>采购人</w:t>
      </w:r>
      <w:r>
        <w:rPr>
          <w:rFonts w:hint="eastAsia" w:ascii="宋体" w:eastAsia="宋体"/>
          <w:color w:val="auto"/>
          <w:sz w:val="21"/>
          <w:szCs w:val="21"/>
          <w:highlight w:val="none"/>
        </w:rPr>
        <w:t>设备设施的，须作修复或照价赔偿。</w:t>
      </w:r>
    </w:p>
    <w:p w14:paraId="1C148283">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2、货物若有国家标准按照国家标准验收，若无国家标准按行业标准验收，货物为原制造商制造的全新产品，整机无污染，无侵权行为、表面无划损、无任何缺陷隐患，在中国境内可依常规安全合法使用。</w:t>
      </w:r>
    </w:p>
    <w:p w14:paraId="591AEE0B">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3、货物为原制造商未启封全新包装，具出厂合格证，序列号、包装箱号与出厂批号一致，并可追索查阅。所有随货物的附件必须齐全。</w:t>
      </w:r>
    </w:p>
    <w:p w14:paraId="7C995EEB">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4、成交供应商应将关键主机货物的用户手册、保修手册、有关单证资料及配备件、随机工具等交付给采购人，使用操作及安全须知等重要资料应附有中文说明。</w:t>
      </w:r>
    </w:p>
    <w:p w14:paraId="77EB1E4C">
      <w:pPr>
        <w:pStyle w:val="77"/>
        <w:spacing w:line="360" w:lineRule="auto"/>
        <w:ind w:firstLine="428" w:firstLineChars="204"/>
        <w:rPr>
          <w:rFonts w:hint="eastAsia" w:ascii="宋体" w:eastAsia="宋体"/>
          <w:color w:val="auto"/>
          <w:sz w:val="21"/>
          <w:szCs w:val="21"/>
          <w:highlight w:val="none"/>
        </w:rPr>
      </w:pPr>
      <w:r>
        <w:rPr>
          <w:rFonts w:hint="eastAsia" w:ascii="宋体" w:eastAsia="宋体"/>
          <w:color w:val="auto"/>
          <w:sz w:val="21"/>
          <w:szCs w:val="21"/>
          <w:highlight w:val="none"/>
        </w:rPr>
        <w:t>5、采购人组成验收小组按国家有关规定、规范进行验收，必要时邀请相关的专业人员或机构参与验收。因工程或货物的质量问题发生争议时，由本地质量技术监督部门鉴定。货物符合质量技术标准的，鉴定费由采购人承担，否则鉴定费由成交供应商承担。</w:t>
      </w:r>
    </w:p>
    <w:p w14:paraId="5FABBEA7">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lang w:val="en-US" w:eastAsia="zh-CN"/>
        </w:rPr>
        <w:t>6、</w:t>
      </w:r>
      <w:r>
        <w:rPr>
          <w:rFonts w:hint="eastAsia" w:ascii="宋体" w:eastAsia="宋体"/>
          <w:color w:val="auto"/>
          <w:sz w:val="21"/>
          <w:szCs w:val="21"/>
          <w:highlight w:val="none"/>
        </w:rPr>
        <w:t>若工程未能通过验收，</w:t>
      </w:r>
      <w:r>
        <w:rPr>
          <w:rFonts w:hint="eastAsia" w:ascii="宋体" w:eastAsia="宋体"/>
          <w:color w:val="auto"/>
          <w:sz w:val="21"/>
          <w:szCs w:val="21"/>
          <w:highlight w:val="none"/>
          <w:lang w:eastAsia="zh-CN"/>
        </w:rPr>
        <w:t>成交人</w:t>
      </w:r>
      <w:r>
        <w:rPr>
          <w:rFonts w:hint="eastAsia" w:ascii="宋体" w:eastAsia="宋体"/>
          <w:color w:val="auto"/>
          <w:sz w:val="21"/>
          <w:szCs w:val="21"/>
          <w:highlight w:val="none"/>
        </w:rPr>
        <w:t>应于3个日历天内整改完毕。</w:t>
      </w:r>
    </w:p>
    <w:p w14:paraId="186B3347">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（三）质保期及售后服务要求</w:t>
      </w:r>
    </w:p>
    <w:p w14:paraId="0FA60706">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1、质保期：工程从验收合格之日起要求保修不少于二年，所需全部费用包括在本项目总报价中。</w:t>
      </w:r>
    </w:p>
    <w:p w14:paraId="4E2D96C4">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2、质保期内成交供应商对所供货物实行包修、包换、包退。</w:t>
      </w:r>
    </w:p>
    <w:p w14:paraId="3467D524">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3、质保期内，如货物或零部件因非人为因素出现故障而造成短期停用时，则质保期和免费维修期相应顺延。如停用时间累计超过60天则质保期重新计算。</w:t>
      </w:r>
    </w:p>
    <w:p w14:paraId="54287565">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4、在质保期内，成交供应商应对影响货物正常运转的故障负责，相关费用由成交供应商承担，所有服务由成交供应商上门进行，不得收取任何费用。</w:t>
      </w:r>
    </w:p>
    <w:p w14:paraId="034877A7">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5、服务响应时间：对采购人的服务通知，成交供应商在接报后4小时内响应，8小时内到达现场，24小时内处理完毕。</w:t>
      </w:r>
    </w:p>
    <w:p w14:paraId="7649498B">
      <w:pPr>
        <w:pStyle w:val="7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6、若设备</w:t>
      </w:r>
      <w:r>
        <w:rPr>
          <w:rFonts w:ascii="宋体" w:eastAsia="宋体"/>
          <w:color w:val="auto"/>
          <w:sz w:val="21"/>
          <w:szCs w:val="21"/>
          <w:highlight w:val="none"/>
        </w:rPr>
        <w:t>发生故障，</w:t>
      </w:r>
      <w:r>
        <w:rPr>
          <w:rFonts w:hint="eastAsia" w:ascii="宋体" w:eastAsia="宋体"/>
          <w:color w:val="auto"/>
          <w:sz w:val="21"/>
          <w:szCs w:val="21"/>
          <w:highlight w:val="none"/>
        </w:rPr>
        <w:t>在24小时内仍未能有效解决，成交供应商须免费提供同档次的设备予采购人临时使用。</w:t>
      </w:r>
    </w:p>
    <w:p w14:paraId="0C084439">
      <w:pPr>
        <w:pStyle w:val="2"/>
        <w:spacing w:line="360" w:lineRule="auto"/>
        <w:ind w:left="425" w:hanging="425"/>
        <w:rPr>
          <w:rFonts w:hAnsi="宋体"/>
          <w:b/>
          <w:bCs/>
          <w:color w:val="auto"/>
          <w:highlight w:val="none"/>
        </w:rPr>
      </w:pPr>
      <w:r>
        <w:rPr>
          <w:rFonts w:hint="eastAsia" w:hAnsi="宋体"/>
          <w:b/>
          <w:bCs/>
          <w:color w:val="auto"/>
          <w:highlight w:val="none"/>
        </w:rPr>
        <w:t>五、付款方式</w:t>
      </w:r>
    </w:p>
    <w:p w14:paraId="266A8D47">
      <w:pPr>
        <w:spacing w:line="360" w:lineRule="auto"/>
        <w:ind w:firstLine="460" w:firstLineChars="200"/>
        <w:rPr>
          <w:rFonts w:hint="eastAsia" w:hAnsi="宋体"/>
          <w:bCs/>
          <w:color w:val="auto"/>
          <w:spacing w:val="10"/>
          <w:sz w:val="21"/>
          <w:szCs w:val="21"/>
          <w:highlight w:val="none"/>
        </w:rPr>
      </w:pPr>
      <w:r>
        <w:rPr>
          <w:rFonts w:hint="eastAsia" w:hAnsi="宋体"/>
          <w:bCs/>
          <w:color w:val="auto"/>
          <w:spacing w:val="10"/>
          <w:sz w:val="21"/>
          <w:szCs w:val="21"/>
          <w:highlight w:val="none"/>
        </w:rPr>
        <w:t>（1）合同签订后，乙方在取得供电局批复的正式供电方案后，丙方收到乙方等额增值税专用发票及请款资料后十五个工作日内，丙方支付合同总价的10%；</w:t>
      </w:r>
    </w:p>
    <w:p w14:paraId="62061B3A">
      <w:pPr>
        <w:spacing w:line="360" w:lineRule="auto"/>
        <w:ind w:firstLine="460" w:firstLineChars="200"/>
        <w:rPr>
          <w:rFonts w:hint="eastAsia" w:hAnsi="宋体"/>
          <w:bCs/>
          <w:color w:val="auto"/>
          <w:spacing w:val="10"/>
          <w:sz w:val="21"/>
          <w:szCs w:val="21"/>
          <w:highlight w:val="none"/>
        </w:rPr>
      </w:pPr>
      <w:r>
        <w:rPr>
          <w:rFonts w:hint="eastAsia" w:hAnsi="宋体"/>
          <w:bCs/>
          <w:color w:val="auto"/>
          <w:spacing w:val="10"/>
          <w:sz w:val="21"/>
          <w:szCs w:val="21"/>
          <w:highlight w:val="none"/>
        </w:rPr>
        <w:t>（2）全部设备进场和工程竣工验收后，丙方收到乙方提供开具的等额增值税专用发票及请款资料后十五个工作日内支付至合同总价的的70%；</w:t>
      </w:r>
    </w:p>
    <w:p w14:paraId="2C9EE99F">
      <w:pPr>
        <w:spacing w:line="360" w:lineRule="auto"/>
        <w:ind w:firstLine="460" w:firstLineChars="200"/>
        <w:rPr>
          <w:rFonts w:hint="eastAsia" w:hAnsi="宋体"/>
          <w:bCs/>
          <w:color w:val="auto"/>
          <w:spacing w:val="10"/>
          <w:sz w:val="21"/>
          <w:szCs w:val="21"/>
          <w:highlight w:val="none"/>
        </w:rPr>
      </w:pPr>
      <w:r>
        <w:rPr>
          <w:rFonts w:hint="eastAsia" w:hAnsi="宋体"/>
          <w:bCs/>
          <w:color w:val="auto"/>
          <w:spacing w:val="10"/>
          <w:sz w:val="21"/>
          <w:szCs w:val="21"/>
          <w:highlight w:val="none"/>
        </w:rPr>
        <w:t>（3）三方完成结算后，丙方在收到等额增值税专用发票及请款资料后十五个工作日内支付至合同结算金额的97%；</w:t>
      </w:r>
    </w:p>
    <w:p w14:paraId="7B2C2DD8">
      <w:pPr>
        <w:pStyle w:val="2"/>
        <w:spacing w:line="360" w:lineRule="auto"/>
        <w:ind w:left="425" w:hanging="425"/>
        <w:rPr>
          <w:rFonts w:hint="eastAsia" w:hAnsi="宋体"/>
          <w:b/>
          <w:bCs/>
          <w:color w:val="auto"/>
          <w:highlight w:val="none"/>
        </w:rPr>
      </w:pPr>
      <w:r>
        <w:rPr>
          <w:rFonts w:hint="eastAsia" w:hAnsi="宋体"/>
          <w:bCs/>
          <w:color w:val="auto"/>
          <w:spacing w:val="10"/>
          <w:sz w:val="21"/>
          <w:szCs w:val="21"/>
          <w:highlight w:val="none"/>
        </w:rPr>
        <w:t>（4）质保期满通过质保期验收后，丙方在收到等额增值税专用发票及请款资料后十五个工作日内支付剩余结算总价的3%。</w:t>
      </w:r>
    </w:p>
    <w:p w14:paraId="5305ABAE">
      <w:pPr>
        <w:pStyle w:val="2"/>
        <w:spacing w:line="360" w:lineRule="auto"/>
        <w:ind w:left="425" w:hanging="425"/>
        <w:rPr>
          <w:rFonts w:hAnsi="宋体"/>
          <w:b/>
          <w:bCs/>
          <w:color w:val="auto"/>
          <w:highlight w:val="none"/>
        </w:rPr>
      </w:pPr>
      <w:r>
        <w:rPr>
          <w:rFonts w:hint="eastAsia" w:hAnsi="宋体"/>
          <w:b/>
          <w:bCs/>
          <w:color w:val="auto"/>
          <w:highlight w:val="none"/>
        </w:rPr>
        <w:t>六、报价要求</w:t>
      </w:r>
    </w:p>
    <w:p w14:paraId="65B6CEEC">
      <w:pPr>
        <w:spacing w:line="360" w:lineRule="auto"/>
        <w:ind w:firstLine="420" w:firstLineChars="200"/>
        <w:rPr>
          <w:rFonts w:hAnsi="宋体"/>
          <w:b/>
          <w:bCs/>
          <w:color w:val="auto"/>
          <w:sz w:val="21"/>
          <w:szCs w:val="21"/>
          <w:highlight w:val="none"/>
        </w:rPr>
      </w:pPr>
      <w:r>
        <w:rPr>
          <w:rFonts w:hint="eastAsia" w:hAnsi="宋体"/>
          <w:color w:val="auto"/>
          <w:sz w:val="21"/>
          <w:szCs w:val="21"/>
          <w:highlight w:val="none"/>
        </w:rPr>
        <w:t>本项目采用总价包干的形式进行报价。成交价包图纸深化设计、包报装、包验收通电、包工包料、包机械设备、包工期、包质量、包安全、包税收、利润和相关部门验收费等与本项目有关的所有费用。供应商应综合考虑并自行填报该工程实际发生的规费、税金情况，未填报或填报内容及费率错误的视为报价中已包含在各分项综合单价中。</w:t>
      </w:r>
    </w:p>
    <w:p w14:paraId="7EC7F189">
      <w:pPr>
        <w:pStyle w:val="2"/>
        <w:spacing w:line="360" w:lineRule="auto"/>
        <w:rPr>
          <w:rFonts w:hAnsi="宋体"/>
          <w:b/>
          <w:bCs/>
          <w:color w:val="auto"/>
          <w:highlight w:val="none"/>
        </w:rPr>
      </w:pPr>
      <w:r>
        <w:rPr>
          <w:rFonts w:hint="eastAsia" w:hAnsi="宋体"/>
          <w:b/>
          <w:bCs/>
          <w:color w:val="auto"/>
          <w:highlight w:val="none"/>
        </w:rPr>
        <w:t>七、工程建设及质量技术要求</w:t>
      </w:r>
    </w:p>
    <w:p w14:paraId="46E43DA2">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（一）工程建设要求</w:t>
      </w:r>
    </w:p>
    <w:p w14:paraId="680430F8">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1、施工工期：30日历天内完工、通电。（实际开工时间以采购人下发的开工令为准）；</w:t>
      </w:r>
    </w:p>
    <w:p w14:paraId="0AE74FBD">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2、技术要求：工程施工内容满足国家、省、市及行业规范要求。</w:t>
      </w:r>
    </w:p>
    <w:p w14:paraId="269447B6">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3、工程验收：由采购人及供电部门或行业主管部门组织验收。</w:t>
      </w:r>
    </w:p>
    <w:p w14:paraId="3B82126C">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（二）建设质量要求</w:t>
      </w:r>
    </w:p>
    <w:p w14:paraId="36E779EF">
      <w:pPr>
        <w:spacing w:line="360" w:lineRule="auto"/>
        <w:ind w:firstLine="420" w:firstLineChars="200"/>
        <w:rPr>
          <w:color w:val="auto"/>
          <w:sz w:val="21"/>
          <w:szCs w:val="21"/>
          <w:highlight w:val="none"/>
        </w:rPr>
      </w:pPr>
      <w:r>
        <w:rPr>
          <w:rFonts w:hint="eastAsia" w:hAnsi="宋体"/>
          <w:color w:val="auto"/>
          <w:sz w:val="21"/>
          <w:szCs w:val="21"/>
          <w:highlight w:val="none"/>
        </w:rPr>
        <w:t>1、合格，通过主管部门的验收，并正常</w:t>
      </w:r>
      <w:r>
        <w:rPr>
          <w:rFonts w:hint="eastAsia"/>
          <w:color w:val="auto"/>
          <w:sz w:val="21"/>
          <w:szCs w:val="21"/>
          <w:highlight w:val="none"/>
        </w:rPr>
        <w:t>供电；</w:t>
      </w:r>
    </w:p>
    <w:p w14:paraId="0AF96613">
      <w:pPr>
        <w:spacing w:line="360" w:lineRule="auto"/>
        <w:ind w:firstLine="420" w:firstLineChars="200"/>
        <w:rPr>
          <w:color w:val="auto"/>
          <w:sz w:val="21"/>
          <w:szCs w:val="21"/>
          <w:highlight w:val="none"/>
        </w:rPr>
      </w:pPr>
      <w:r>
        <w:rPr>
          <w:rFonts w:hint="eastAsia"/>
          <w:color w:val="auto"/>
          <w:sz w:val="21"/>
          <w:szCs w:val="21"/>
          <w:highlight w:val="none"/>
        </w:rPr>
        <w:t>2、工程保质期（自竣工验收合格并送电之日算起）：2年。</w:t>
      </w:r>
    </w:p>
    <w:p w14:paraId="46AE942F">
      <w:pPr>
        <w:spacing w:line="360" w:lineRule="auto"/>
        <w:ind w:firstLine="420" w:firstLineChars="200"/>
        <w:rPr>
          <w:color w:val="auto"/>
          <w:sz w:val="21"/>
          <w:szCs w:val="21"/>
          <w:highlight w:val="none"/>
        </w:rPr>
      </w:pPr>
      <w:r>
        <w:rPr>
          <w:rFonts w:hint="eastAsia"/>
          <w:color w:val="auto"/>
          <w:sz w:val="21"/>
          <w:szCs w:val="21"/>
          <w:highlight w:val="none"/>
        </w:rPr>
        <w:t>（三）施工要求</w:t>
      </w:r>
    </w:p>
    <w:p w14:paraId="2E856778">
      <w:pPr>
        <w:spacing w:line="360" w:lineRule="auto"/>
        <w:ind w:firstLine="420" w:firstLineChars="200"/>
        <w:rPr>
          <w:color w:val="auto"/>
          <w:sz w:val="21"/>
          <w:szCs w:val="21"/>
          <w:highlight w:val="none"/>
        </w:rPr>
      </w:pPr>
      <w:r>
        <w:rPr>
          <w:rFonts w:hint="eastAsia"/>
          <w:color w:val="auto"/>
          <w:sz w:val="21"/>
          <w:szCs w:val="21"/>
          <w:highlight w:val="none"/>
        </w:rPr>
        <w:t>1、按施工图要求施工。</w:t>
      </w:r>
    </w:p>
    <w:bookmarkEnd w:id="161"/>
    <w:bookmarkEnd w:id="162"/>
    <w:bookmarkEnd w:id="163"/>
    <w:bookmarkEnd w:id="164"/>
    <w:bookmarkEnd w:id="165"/>
    <w:p w14:paraId="17109336">
      <w:pPr>
        <w:rPr>
          <w:color w:val="auto"/>
          <w:highlight w:val="none"/>
        </w:rPr>
      </w:pPr>
    </w:p>
    <w:p w14:paraId="40F24ADE">
      <w:pPr>
        <w:pStyle w:val="2"/>
        <w:keepNext/>
        <w:keepLines/>
        <w:pageBreakBefore/>
        <w:numPr>
          <w:ilvl w:val="0"/>
          <w:numId w:val="12"/>
        </w:numPr>
        <w:shd w:val="clear"/>
        <w:spacing w:line="360" w:lineRule="auto"/>
        <w:jc w:val="center"/>
        <w:rPr>
          <w:rFonts w:hAnsi="宋体"/>
          <w:b/>
          <w:bCs/>
          <w:color w:val="auto"/>
          <w:kern w:val="44"/>
          <w:sz w:val="28"/>
          <w:szCs w:val="28"/>
          <w:highlight w:val="none"/>
          <w:lang w:val="zh-CN"/>
        </w:rPr>
      </w:pPr>
      <w:r>
        <w:rPr>
          <w:rFonts w:hint="eastAsia" w:hAnsi="宋体"/>
          <w:b/>
          <w:bCs/>
          <w:color w:val="auto"/>
          <w:kern w:val="44"/>
          <w:sz w:val="28"/>
          <w:szCs w:val="28"/>
          <w:highlight w:val="none"/>
          <w:lang w:val="zh-CN"/>
        </w:rPr>
        <w:t>评审工作大纲</w:t>
      </w:r>
      <w:bookmarkEnd w:id="166"/>
    </w:p>
    <w:p w14:paraId="27B3E85A">
      <w:pPr>
        <w:pStyle w:val="20"/>
        <w:shd w:val="clear"/>
        <w:spacing w:line="360" w:lineRule="auto"/>
        <w:ind w:firstLine="422" w:firstLineChars="200"/>
        <w:jc w:val="both"/>
        <w:rPr>
          <w:rFonts w:hAnsi="宋体"/>
          <w:color w:val="auto"/>
          <w:sz w:val="21"/>
          <w:szCs w:val="21"/>
          <w:highlight w:val="none"/>
        </w:rPr>
      </w:pPr>
      <w:r>
        <w:rPr>
          <w:rFonts w:hint="eastAsia" w:hAnsi="宋体"/>
          <w:color w:val="auto"/>
          <w:sz w:val="21"/>
          <w:szCs w:val="21"/>
          <w:highlight w:val="none"/>
        </w:rPr>
        <w:t>一、磋商小组对响应文件进行初审，初审包括资格性审查和符合性审查。</w:t>
      </w:r>
    </w:p>
    <w:tbl>
      <w:tblPr>
        <w:tblStyle w:val="53"/>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5801"/>
        <w:gridCol w:w="1230"/>
      </w:tblGrid>
      <w:tr w14:paraId="3BCFA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Align w:val="center"/>
          </w:tcPr>
          <w:p w14:paraId="3B188691">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审查项目</w:t>
            </w:r>
          </w:p>
        </w:tc>
        <w:tc>
          <w:tcPr>
            <w:tcW w:w="5801" w:type="dxa"/>
            <w:vAlign w:val="center"/>
          </w:tcPr>
          <w:p w14:paraId="285BE4A1">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内容</w:t>
            </w:r>
          </w:p>
        </w:tc>
        <w:tc>
          <w:tcPr>
            <w:tcW w:w="1230" w:type="dxa"/>
          </w:tcPr>
          <w:p w14:paraId="3BF4BC9D">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是否符合</w:t>
            </w:r>
          </w:p>
        </w:tc>
      </w:tr>
      <w:tr w14:paraId="0167F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5EB7F990">
            <w:pPr>
              <w:pStyle w:val="146"/>
              <w:shd w:val="clear"/>
              <w:spacing w:line="360" w:lineRule="auto"/>
              <w:ind w:firstLine="0" w:firstLineChars="0"/>
              <w:jc w:val="center"/>
              <w:rPr>
                <w:rFonts w:ascii="宋体" w:hAnsi="宋体"/>
                <w:bCs/>
                <w:color w:val="auto"/>
                <w:szCs w:val="21"/>
                <w:highlight w:val="none"/>
              </w:rPr>
            </w:pPr>
            <w:r>
              <w:rPr>
                <w:rFonts w:hint="eastAsia" w:ascii="宋体" w:hAnsi="宋体"/>
                <w:bCs/>
                <w:color w:val="auto"/>
                <w:szCs w:val="21"/>
                <w:highlight w:val="none"/>
              </w:rPr>
              <w:t>资格性审查</w:t>
            </w:r>
          </w:p>
        </w:tc>
        <w:tc>
          <w:tcPr>
            <w:tcW w:w="5801" w:type="dxa"/>
            <w:vAlign w:val="center"/>
          </w:tcPr>
          <w:p w14:paraId="0AC8A4BE">
            <w:pPr>
              <w:shd w:val="clear"/>
              <w:spacing w:line="360" w:lineRule="auto"/>
              <w:rPr>
                <w:rFonts w:hAnsi="宋体"/>
                <w:color w:val="auto"/>
                <w:sz w:val="21"/>
                <w:szCs w:val="21"/>
                <w:highlight w:val="none"/>
              </w:rPr>
            </w:pPr>
            <w:r>
              <w:rPr>
                <w:rFonts w:hint="eastAsia" w:hAnsi="宋体"/>
                <w:color w:val="auto"/>
                <w:sz w:val="21"/>
                <w:szCs w:val="21"/>
                <w:highlight w:val="none"/>
              </w:rPr>
              <w:t>资格瑕疵</w:t>
            </w:r>
          </w:p>
        </w:tc>
        <w:tc>
          <w:tcPr>
            <w:tcW w:w="1230" w:type="dxa"/>
          </w:tcPr>
          <w:p w14:paraId="515C286E">
            <w:pPr>
              <w:pStyle w:val="146"/>
              <w:shd w:val="clear"/>
              <w:spacing w:line="360" w:lineRule="auto"/>
              <w:ind w:firstLine="0" w:firstLineChars="0"/>
              <w:jc w:val="left"/>
              <w:rPr>
                <w:rFonts w:ascii="宋体" w:hAnsi="宋体"/>
                <w:bCs/>
                <w:color w:val="auto"/>
                <w:szCs w:val="21"/>
                <w:highlight w:val="none"/>
              </w:rPr>
            </w:pPr>
          </w:p>
        </w:tc>
      </w:tr>
      <w:tr w14:paraId="35572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29C042EE">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07C1C50B">
            <w:pPr>
              <w:shd w:val="clear"/>
              <w:spacing w:line="360" w:lineRule="auto"/>
              <w:rPr>
                <w:rFonts w:hAnsi="宋体"/>
                <w:color w:val="auto"/>
                <w:sz w:val="21"/>
                <w:szCs w:val="21"/>
                <w:highlight w:val="none"/>
              </w:rPr>
            </w:pPr>
            <w:r>
              <w:rPr>
                <w:rFonts w:hint="eastAsia" w:hAnsi="宋体"/>
                <w:color w:val="auto"/>
                <w:sz w:val="21"/>
                <w:szCs w:val="21"/>
                <w:highlight w:val="none"/>
              </w:rPr>
              <w:t>磋商保证金瑕疵</w:t>
            </w:r>
          </w:p>
        </w:tc>
        <w:tc>
          <w:tcPr>
            <w:tcW w:w="1230" w:type="dxa"/>
          </w:tcPr>
          <w:p w14:paraId="27403A3F">
            <w:pPr>
              <w:pStyle w:val="146"/>
              <w:shd w:val="clear"/>
              <w:spacing w:line="360" w:lineRule="auto"/>
              <w:ind w:firstLine="0" w:firstLineChars="0"/>
              <w:jc w:val="left"/>
              <w:rPr>
                <w:rFonts w:ascii="宋体" w:hAnsi="宋体"/>
                <w:bCs/>
                <w:color w:val="auto"/>
                <w:szCs w:val="21"/>
                <w:highlight w:val="none"/>
              </w:rPr>
            </w:pPr>
          </w:p>
        </w:tc>
      </w:tr>
      <w:tr w14:paraId="0CA2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39ED5DDB">
            <w:pPr>
              <w:pStyle w:val="146"/>
              <w:shd w:val="clear"/>
              <w:spacing w:line="360" w:lineRule="auto"/>
              <w:ind w:firstLine="0" w:firstLineChars="0"/>
              <w:jc w:val="center"/>
              <w:rPr>
                <w:rFonts w:ascii="宋体" w:hAnsi="宋体"/>
                <w:bCs/>
                <w:color w:val="auto"/>
                <w:szCs w:val="21"/>
                <w:highlight w:val="none"/>
              </w:rPr>
            </w:pPr>
            <w:r>
              <w:rPr>
                <w:rFonts w:hint="eastAsia" w:ascii="宋体" w:hAnsi="宋体"/>
                <w:bCs/>
                <w:color w:val="auto"/>
                <w:szCs w:val="21"/>
                <w:highlight w:val="none"/>
              </w:rPr>
              <w:t>符合性审查</w:t>
            </w:r>
          </w:p>
        </w:tc>
        <w:tc>
          <w:tcPr>
            <w:tcW w:w="5801" w:type="dxa"/>
            <w:vAlign w:val="center"/>
          </w:tcPr>
          <w:p w14:paraId="0B63D9E4">
            <w:pPr>
              <w:shd w:val="clear"/>
              <w:spacing w:line="360" w:lineRule="auto"/>
              <w:rPr>
                <w:rFonts w:hAnsi="宋体"/>
                <w:color w:val="auto"/>
                <w:sz w:val="21"/>
                <w:szCs w:val="21"/>
                <w:highlight w:val="none"/>
              </w:rPr>
            </w:pPr>
            <w:r>
              <w:rPr>
                <w:rFonts w:hint="eastAsia" w:hAnsi="宋体"/>
                <w:color w:val="auto"/>
                <w:sz w:val="21"/>
                <w:szCs w:val="21"/>
                <w:highlight w:val="none"/>
              </w:rPr>
              <w:t>供应商代表身份审查</w:t>
            </w:r>
          </w:p>
        </w:tc>
        <w:tc>
          <w:tcPr>
            <w:tcW w:w="1230" w:type="dxa"/>
          </w:tcPr>
          <w:p w14:paraId="7E2908C5">
            <w:pPr>
              <w:pStyle w:val="146"/>
              <w:shd w:val="clear"/>
              <w:spacing w:line="360" w:lineRule="auto"/>
              <w:ind w:firstLine="0" w:firstLineChars="0"/>
              <w:jc w:val="left"/>
              <w:rPr>
                <w:rFonts w:ascii="宋体" w:hAnsi="宋体"/>
                <w:bCs/>
                <w:color w:val="auto"/>
                <w:szCs w:val="21"/>
                <w:highlight w:val="none"/>
              </w:rPr>
            </w:pPr>
          </w:p>
        </w:tc>
      </w:tr>
      <w:tr w14:paraId="7B1C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0A46E335">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28548361">
            <w:pPr>
              <w:shd w:val="clear"/>
              <w:spacing w:line="360" w:lineRule="auto"/>
              <w:rPr>
                <w:rFonts w:hAnsi="宋体"/>
                <w:color w:val="auto"/>
                <w:sz w:val="21"/>
                <w:szCs w:val="21"/>
                <w:highlight w:val="none"/>
              </w:rPr>
            </w:pPr>
            <w:r>
              <w:rPr>
                <w:rFonts w:hint="eastAsia" w:hAnsi="宋体"/>
                <w:color w:val="auto"/>
                <w:sz w:val="21"/>
                <w:szCs w:val="21"/>
                <w:highlight w:val="none"/>
              </w:rPr>
              <w:t>磋商响应文件的有效性、完整性瑕疵</w:t>
            </w:r>
          </w:p>
        </w:tc>
        <w:tc>
          <w:tcPr>
            <w:tcW w:w="1230" w:type="dxa"/>
          </w:tcPr>
          <w:p w14:paraId="1EA45233">
            <w:pPr>
              <w:pStyle w:val="146"/>
              <w:shd w:val="clear"/>
              <w:spacing w:line="360" w:lineRule="auto"/>
              <w:ind w:firstLine="0" w:firstLineChars="0"/>
              <w:jc w:val="left"/>
              <w:rPr>
                <w:rFonts w:ascii="宋体" w:hAnsi="宋体"/>
                <w:bCs/>
                <w:color w:val="auto"/>
                <w:szCs w:val="21"/>
                <w:highlight w:val="none"/>
              </w:rPr>
            </w:pPr>
          </w:p>
        </w:tc>
      </w:tr>
      <w:tr w14:paraId="279F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347104FC">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4CBFFC2B">
            <w:pPr>
              <w:shd w:val="clear"/>
              <w:spacing w:line="360" w:lineRule="auto"/>
              <w:rPr>
                <w:rFonts w:hAnsi="宋体"/>
                <w:color w:val="auto"/>
                <w:sz w:val="21"/>
                <w:szCs w:val="21"/>
                <w:highlight w:val="none"/>
              </w:rPr>
            </w:pPr>
            <w:r>
              <w:rPr>
                <w:rFonts w:hint="eastAsia" w:hAnsi="宋体"/>
                <w:color w:val="auto"/>
                <w:sz w:val="21"/>
                <w:szCs w:val="21"/>
                <w:highlight w:val="none"/>
              </w:rPr>
              <w:t>技术响应瑕疵</w:t>
            </w:r>
          </w:p>
        </w:tc>
        <w:tc>
          <w:tcPr>
            <w:tcW w:w="1230" w:type="dxa"/>
          </w:tcPr>
          <w:p w14:paraId="74EA2CE0">
            <w:pPr>
              <w:pStyle w:val="146"/>
              <w:shd w:val="clear"/>
              <w:spacing w:line="360" w:lineRule="auto"/>
              <w:ind w:firstLine="0" w:firstLineChars="0"/>
              <w:jc w:val="left"/>
              <w:rPr>
                <w:rFonts w:ascii="宋体" w:hAnsi="宋体"/>
                <w:bCs/>
                <w:color w:val="auto"/>
                <w:szCs w:val="21"/>
                <w:highlight w:val="none"/>
              </w:rPr>
            </w:pPr>
          </w:p>
        </w:tc>
      </w:tr>
      <w:tr w14:paraId="47457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4064753F">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45D7E060">
            <w:pPr>
              <w:shd w:val="clear"/>
              <w:spacing w:line="360" w:lineRule="auto"/>
              <w:rPr>
                <w:rFonts w:hAnsi="宋体"/>
                <w:color w:val="auto"/>
                <w:sz w:val="21"/>
                <w:szCs w:val="21"/>
                <w:highlight w:val="none"/>
              </w:rPr>
            </w:pPr>
            <w:r>
              <w:rPr>
                <w:rFonts w:hint="eastAsia" w:hAnsi="宋体"/>
                <w:color w:val="auto"/>
                <w:sz w:val="21"/>
                <w:szCs w:val="21"/>
                <w:highlight w:val="none"/>
              </w:rPr>
              <w:t>商务响应瑕疵</w:t>
            </w:r>
          </w:p>
        </w:tc>
        <w:tc>
          <w:tcPr>
            <w:tcW w:w="1230" w:type="dxa"/>
          </w:tcPr>
          <w:p w14:paraId="58B7CF58">
            <w:pPr>
              <w:pStyle w:val="146"/>
              <w:shd w:val="clear"/>
              <w:spacing w:line="360" w:lineRule="auto"/>
              <w:ind w:firstLine="0" w:firstLineChars="0"/>
              <w:jc w:val="left"/>
              <w:rPr>
                <w:rFonts w:ascii="宋体" w:hAnsi="宋体"/>
                <w:bCs/>
                <w:color w:val="auto"/>
                <w:szCs w:val="21"/>
                <w:highlight w:val="none"/>
              </w:rPr>
            </w:pPr>
          </w:p>
        </w:tc>
      </w:tr>
      <w:tr w14:paraId="1BD5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199303E6">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5AC6BB15">
            <w:pPr>
              <w:shd w:val="clear"/>
              <w:spacing w:line="360" w:lineRule="auto"/>
              <w:rPr>
                <w:rFonts w:hAnsi="宋体"/>
                <w:color w:val="auto"/>
                <w:sz w:val="21"/>
                <w:szCs w:val="21"/>
                <w:highlight w:val="none"/>
              </w:rPr>
            </w:pPr>
            <w:r>
              <w:rPr>
                <w:rFonts w:hint="eastAsia" w:hAnsi="宋体"/>
                <w:color w:val="auto"/>
                <w:sz w:val="21"/>
                <w:szCs w:val="21"/>
                <w:highlight w:val="none"/>
              </w:rPr>
              <w:t>报价</w:t>
            </w:r>
          </w:p>
        </w:tc>
        <w:tc>
          <w:tcPr>
            <w:tcW w:w="1230" w:type="dxa"/>
          </w:tcPr>
          <w:p w14:paraId="5484B84A">
            <w:pPr>
              <w:pStyle w:val="146"/>
              <w:shd w:val="clear"/>
              <w:spacing w:line="360" w:lineRule="auto"/>
              <w:ind w:firstLine="0" w:firstLineChars="0"/>
              <w:jc w:val="left"/>
              <w:rPr>
                <w:rFonts w:ascii="宋体" w:hAnsi="宋体"/>
                <w:bCs/>
                <w:color w:val="auto"/>
                <w:szCs w:val="21"/>
                <w:highlight w:val="none"/>
              </w:rPr>
            </w:pPr>
          </w:p>
        </w:tc>
      </w:tr>
      <w:tr w14:paraId="45C72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714" w:type="dxa"/>
            <w:vMerge w:val="continue"/>
            <w:vAlign w:val="center"/>
          </w:tcPr>
          <w:p w14:paraId="7FAD5302">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18A2D9BC">
            <w:pPr>
              <w:shd w:val="clear"/>
              <w:spacing w:line="360" w:lineRule="auto"/>
              <w:rPr>
                <w:rFonts w:hAnsi="宋体"/>
                <w:color w:val="auto"/>
                <w:sz w:val="21"/>
                <w:szCs w:val="21"/>
                <w:highlight w:val="none"/>
              </w:rPr>
            </w:pPr>
            <w:r>
              <w:rPr>
                <w:rFonts w:hint="eastAsia" w:hAnsi="宋体"/>
                <w:color w:val="auto"/>
                <w:sz w:val="21"/>
                <w:szCs w:val="21"/>
                <w:highlight w:val="none"/>
              </w:rPr>
              <w:t>违规行为</w:t>
            </w:r>
          </w:p>
        </w:tc>
        <w:tc>
          <w:tcPr>
            <w:tcW w:w="1230" w:type="dxa"/>
          </w:tcPr>
          <w:p w14:paraId="2541DA7A">
            <w:pPr>
              <w:pStyle w:val="146"/>
              <w:shd w:val="clear"/>
              <w:spacing w:line="360" w:lineRule="auto"/>
              <w:ind w:firstLine="0" w:firstLineChars="0"/>
              <w:jc w:val="left"/>
              <w:rPr>
                <w:rFonts w:ascii="宋体" w:hAnsi="宋体"/>
                <w:bCs/>
                <w:color w:val="auto"/>
                <w:szCs w:val="21"/>
                <w:highlight w:val="none"/>
              </w:rPr>
            </w:pPr>
          </w:p>
        </w:tc>
      </w:tr>
      <w:tr w14:paraId="2243B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77FB0C69">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69A06BCC">
            <w:pPr>
              <w:shd w:val="clear"/>
              <w:spacing w:line="360" w:lineRule="auto"/>
              <w:rPr>
                <w:rFonts w:hAnsi="宋体"/>
                <w:color w:val="auto"/>
                <w:sz w:val="21"/>
                <w:szCs w:val="21"/>
                <w:highlight w:val="none"/>
              </w:rPr>
            </w:pPr>
            <w:r>
              <w:rPr>
                <w:rFonts w:hint="eastAsia" w:hAnsi="宋体"/>
                <w:color w:val="auto"/>
                <w:sz w:val="21"/>
                <w:szCs w:val="21"/>
                <w:highlight w:val="none"/>
              </w:rPr>
              <w:t>法律法规及磋商文件中规定的其它情形。</w:t>
            </w:r>
          </w:p>
        </w:tc>
        <w:tc>
          <w:tcPr>
            <w:tcW w:w="1230" w:type="dxa"/>
          </w:tcPr>
          <w:p w14:paraId="365413A7">
            <w:pPr>
              <w:pStyle w:val="146"/>
              <w:shd w:val="clear"/>
              <w:spacing w:line="360" w:lineRule="auto"/>
              <w:ind w:firstLine="0" w:firstLineChars="0"/>
              <w:jc w:val="left"/>
              <w:rPr>
                <w:rFonts w:ascii="宋体" w:hAnsi="宋体"/>
                <w:bCs/>
                <w:color w:val="auto"/>
                <w:szCs w:val="21"/>
                <w:highlight w:val="none"/>
              </w:rPr>
            </w:pPr>
          </w:p>
        </w:tc>
      </w:tr>
    </w:tbl>
    <w:p w14:paraId="63CB72EF">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（一）资格性检查</w:t>
      </w:r>
    </w:p>
    <w:p w14:paraId="5CB92641">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1)资格瑕疵</w:t>
      </w:r>
    </w:p>
    <w:p w14:paraId="23950647">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38C463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①资格证明文件未提供或不符合磋商文件要求的；</w:t>
      </w:r>
    </w:p>
    <w:p w14:paraId="03C0645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②供应商与采购人、采购代理机构有利害关系的。</w:t>
      </w:r>
    </w:p>
    <w:p w14:paraId="78E9338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2)磋商保证金瑕疵</w:t>
      </w:r>
    </w:p>
    <w:p w14:paraId="759BB6A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2F6408C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①供应商未提交磋商文件保证金或金额不足；</w:t>
      </w:r>
    </w:p>
    <w:p w14:paraId="2C4240C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②提交方式、提交时间不符合采购要求；</w:t>
      </w:r>
    </w:p>
    <w:p w14:paraId="48262AB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③磋商文件保证金有效期不符合采购要求的。</w:t>
      </w:r>
    </w:p>
    <w:p w14:paraId="4FAECF7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（二）符合性检查</w:t>
      </w:r>
    </w:p>
    <w:p w14:paraId="03A6BD4C">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1)供应商代表身份审查</w:t>
      </w:r>
    </w:p>
    <w:p w14:paraId="2C17719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3CDAD90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①供应商代表无有效授权；</w:t>
      </w:r>
    </w:p>
    <w:p w14:paraId="230A8B3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②核对供应商代表身份时，不能提供相应的身份证明或不相符。</w:t>
      </w:r>
    </w:p>
    <w:p w14:paraId="154F2F8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2)响应文件的有效性、完整性瑕疵</w:t>
      </w:r>
    </w:p>
    <w:p w14:paraId="461FF4F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728381AC">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①响应文件的数量、制作、密封、标记不符合要求；</w:t>
      </w:r>
    </w:p>
    <w:p w14:paraId="58532633">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②响应文件无法定代表人或其授权代表签字，或签字人无法定代表人有效授权的；</w:t>
      </w:r>
    </w:p>
    <w:p w14:paraId="5EC4900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③签字盖章不符合磋商文件要求的；</w:t>
      </w:r>
    </w:p>
    <w:p w14:paraId="5595001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④响应文件内容有严重缺漏项的；</w:t>
      </w:r>
    </w:p>
    <w:p w14:paraId="18D9590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⑤报价有严重缺漏项的；</w:t>
      </w:r>
    </w:p>
    <w:p w14:paraId="4FD90DB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⑥响应文件的关键内容字迹模糊、无法辨认的。</w:t>
      </w:r>
    </w:p>
    <w:p w14:paraId="355650B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3)技术响应瑕疵</w:t>
      </w:r>
    </w:p>
    <w:p w14:paraId="12474F9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68F54E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①响应文件不满足磋商文件中加注星号（★）的主要参数要求或加注星号的主要参数无技术资料支持的；</w:t>
      </w:r>
    </w:p>
    <w:p w14:paraId="6E04B524">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②一般参数超出允许偏离的最大范围或最高项数的；</w:t>
      </w:r>
    </w:p>
    <w:p w14:paraId="4AA98B8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③响应文件技术响应与事实不符或虚假磋商的；</w:t>
      </w:r>
    </w:p>
    <w:p w14:paraId="6E7E85A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④《技术规格偏离表》填写不明或不实的；</w:t>
      </w:r>
    </w:p>
    <w:p w14:paraId="1B2394F5">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⑤将一个包中的内容拆开磋商的；</w:t>
      </w:r>
    </w:p>
    <w:p w14:paraId="36A8F4A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⑥供应商对同一货物或服务磋商时，同时提供两套或两套以上的磋商方案的；</w:t>
      </w:r>
    </w:p>
    <w:p w14:paraId="6582699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⑦明显不符合技术规格、技术标准要求的；</w:t>
      </w:r>
    </w:p>
    <w:p w14:paraId="3F234FB9">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⑧其他未实质性响应磋商文件技术要求的。</w:t>
      </w:r>
    </w:p>
    <w:p w14:paraId="28EFA1F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4)商务响应瑕疵</w:t>
      </w:r>
    </w:p>
    <w:p w14:paraId="38BB01B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5B65B80">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①磋商文件加注星号（★）的商务要求负偏离的；</w:t>
      </w:r>
    </w:p>
    <w:p w14:paraId="2B6B2813">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②项目完成期未满足磋商文件要求的；</w:t>
      </w:r>
    </w:p>
    <w:p w14:paraId="62BF8576">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③报价超出采购预算</w:t>
      </w:r>
      <w:r>
        <w:rPr>
          <w:rFonts w:hint="eastAsia" w:hAnsi="宋体"/>
          <w:b w:val="0"/>
          <w:bCs w:val="0"/>
          <w:color w:val="auto"/>
          <w:sz w:val="21"/>
          <w:szCs w:val="21"/>
          <w:highlight w:val="none"/>
          <w:lang w:val="en-US" w:eastAsia="zh-CN"/>
        </w:rPr>
        <w:t>/最高限价</w:t>
      </w:r>
      <w:r>
        <w:rPr>
          <w:rFonts w:hint="eastAsia" w:hAnsi="宋体"/>
          <w:b w:val="0"/>
          <w:bCs w:val="0"/>
          <w:color w:val="auto"/>
          <w:sz w:val="21"/>
          <w:szCs w:val="21"/>
          <w:highlight w:val="none"/>
        </w:rPr>
        <w:t>的。</w:t>
      </w:r>
    </w:p>
    <w:p w14:paraId="2CAC93A8">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④《商务条款偏离表》填写不明或不实的；</w:t>
      </w:r>
    </w:p>
    <w:p w14:paraId="3E4C8F5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⑤供应商低于成本报价竞标的；</w:t>
      </w:r>
    </w:p>
    <w:p w14:paraId="3813B18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⑥响应文件附有采购人不能接受的条件的；</w:t>
      </w:r>
    </w:p>
    <w:p w14:paraId="421C347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⑦其他未实质性响应磋商文件商务要求的。</w:t>
      </w:r>
    </w:p>
    <w:p w14:paraId="1F7CE48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5）报价</w:t>
      </w:r>
    </w:p>
    <w:p w14:paraId="30656FC8">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包括但不限于：报价不得超过本磋商文件明确的项目</w:t>
      </w:r>
      <w:r>
        <w:rPr>
          <w:rFonts w:hint="eastAsia" w:hAnsi="宋体"/>
          <w:b w:val="0"/>
          <w:bCs w:val="0"/>
          <w:color w:val="auto"/>
          <w:sz w:val="21"/>
          <w:szCs w:val="21"/>
          <w:highlight w:val="none"/>
          <w:lang w:eastAsia="zh-CN"/>
        </w:rPr>
        <w:t>最高限价</w:t>
      </w:r>
      <w:r>
        <w:rPr>
          <w:rFonts w:hint="eastAsia" w:hAnsi="宋体"/>
          <w:b w:val="0"/>
          <w:bCs w:val="0"/>
          <w:color w:val="auto"/>
          <w:sz w:val="21"/>
          <w:szCs w:val="21"/>
          <w:highlight w:val="none"/>
        </w:rPr>
        <w:t>。</w:t>
      </w:r>
    </w:p>
    <w:p w14:paraId="57A885B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6）违规行为</w:t>
      </w:r>
    </w:p>
    <w:p w14:paraId="35F56054">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41AC91F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①以他人的名义磋商、串通磋商、以行贿手段谋取成交或者以其他弄虚作假方式参与磋商的；</w:t>
      </w:r>
    </w:p>
    <w:p w14:paraId="51F83EBA">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②拒不按照要求对响应文件进行澄清、说明或者补正的；</w:t>
      </w:r>
    </w:p>
    <w:p w14:paraId="0926768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③扰乱开标、评标秩序，干扰磋商工作正常进行的。</w:t>
      </w:r>
    </w:p>
    <w:p w14:paraId="6FA085BD">
      <w:pPr>
        <w:pStyle w:val="20"/>
        <w:numPr>
          <w:ilvl w:val="0"/>
          <w:numId w:val="13"/>
        </w:numPr>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法律法规及磋商文件中规定的其它情形。</w:t>
      </w:r>
    </w:p>
    <w:p w14:paraId="138DF205">
      <w:pPr>
        <w:pStyle w:val="20"/>
        <w:numPr>
          <w:ilvl w:val="0"/>
          <w:numId w:val="14"/>
        </w:numPr>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经过磋商阶段后，磋商小组按照磋商文件确定的评审标准和方法对提交最后报价的供应商的响应文件进行评审和比较，推荐候选成交供应商，编制评审报告。</w:t>
      </w:r>
    </w:p>
    <w:p w14:paraId="32AEAE2B">
      <w:pPr>
        <w:pStyle w:val="28"/>
        <w:shd w:val="clear"/>
        <w:spacing w:line="360" w:lineRule="auto"/>
        <w:ind w:firstLine="422" w:firstLineChars="200"/>
        <w:outlineLvl w:val="0"/>
        <w:rPr>
          <w:rFonts w:hAnsi="宋体"/>
          <w:b/>
          <w:bCs/>
          <w:color w:val="auto"/>
          <w:szCs w:val="21"/>
          <w:highlight w:val="none"/>
        </w:rPr>
      </w:pPr>
      <w:r>
        <w:rPr>
          <w:rFonts w:hint="eastAsia" w:hAnsi="宋体"/>
          <w:b/>
          <w:bCs/>
          <w:color w:val="auto"/>
          <w:szCs w:val="21"/>
          <w:highlight w:val="none"/>
        </w:rPr>
        <w:t>三、评审因素及评分权重</w:t>
      </w:r>
      <w:bookmarkEnd w:id="167"/>
    </w:p>
    <w:p w14:paraId="6AD6B38F">
      <w:pPr>
        <w:shd w:val="clear"/>
        <w:tabs>
          <w:tab w:val="left" w:pos="660"/>
        </w:tabs>
        <w:autoSpaceDE/>
        <w:autoSpaceDN/>
        <w:adjustRightInd/>
        <w:spacing w:line="360" w:lineRule="auto"/>
        <w:ind w:firstLine="420" w:firstLineChars="200"/>
        <w:jc w:val="both"/>
        <w:rPr>
          <w:rFonts w:hAnsi="宋体"/>
          <w:color w:val="auto"/>
          <w:sz w:val="21"/>
          <w:szCs w:val="21"/>
          <w:highlight w:val="none"/>
        </w:rPr>
      </w:pPr>
      <w:r>
        <w:rPr>
          <w:rFonts w:hint="eastAsia" w:hAnsi="宋体"/>
          <w:color w:val="auto"/>
          <w:sz w:val="21"/>
          <w:szCs w:val="21"/>
          <w:highlight w:val="none"/>
        </w:rPr>
        <w:t>1、评委考核打分的评分因素及分值:总分100分</w:t>
      </w:r>
    </w:p>
    <w:tbl>
      <w:tblPr>
        <w:tblStyle w:val="53"/>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0"/>
        <w:gridCol w:w="1747"/>
        <w:gridCol w:w="827"/>
        <w:gridCol w:w="5935"/>
      </w:tblGrid>
      <w:tr w14:paraId="047F9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A65389">
            <w:pPr>
              <w:pStyle w:val="77"/>
              <w:shd w:val="clear"/>
              <w:spacing w:line="360" w:lineRule="auto"/>
              <w:ind w:firstLine="0" w:firstLineChars="0"/>
              <w:jc w:val="center"/>
              <w:rPr>
                <w:rFonts w:ascii="宋体" w:eastAsia="宋体"/>
                <w:b/>
                <w:bCs/>
                <w:color w:val="auto"/>
                <w:sz w:val="21"/>
                <w:szCs w:val="21"/>
                <w:highlight w:val="none"/>
              </w:rPr>
            </w:pPr>
            <w:r>
              <w:rPr>
                <w:rFonts w:hint="eastAsia" w:ascii="宋体" w:eastAsia="宋体"/>
                <w:b/>
                <w:bCs/>
                <w:color w:val="auto"/>
                <w:sz w:val="21"/>
                <w:szCs w:val="21"/>
                <w:highlight w:val="none"/>
              </w:rPr>
              <w:t>序号</w:t>
            </w:r>
          </w:p>
        </w:tc>
        <w:tc>
          <w:tcPr>
            <w:tcW w:w="1807" w:type="dxa"/>
            <w:gridSpan w:val="2"/>
            <w:tcBorders>
              <w:top w:val="single" w:color="auto" w:sz="4" w:space="0"/>
              <w:left w:val="single" w:color="auto" w:sz="4" w:space="0"/>
              <w:bottom w:val="single" w:color="auto" w:sz="4" w:space="0"/>
              <w:right w:val="single" w:color="auto" w:sz="4" w:space="0"/>
            </w:tcBorders>
            <w:vAlign w:val="center"/>
          </w:tcPr>
          <w:p w14:paraId="1076DB29">
            <w:pPr>
              <w:pStyle w:val="77"/>
              <w:shd w:val="clear"/>
              <w:spacing w:line="360" w:lineRule="auto"/>
              <w:ind w:firstLine="0" w:firstLineChars="0"/>
              <w:jc w:val="center"/>
              <w:rPr>
                <w:rFonts w:ascii="宋体" w:eastAsia="宋体"/>
                <w:b/>
                <w:bCs/>
                <w:color w:val="auto"/>
                <w:sz w:val="21"/>
                <w:szCs w:val="21"/>
                <w:highlight w:val="none"/>
              </w:rPr>
            </w:pPr>
            <w:r>
              <w:rPr>
                <w:rFonts w:hint="eastAsia" w:ascii="宋体" w:eastAsia="宋体"/>
                <w:b/>
                <w:bCs/>
                <w:color w:val="auto"/>
                <w:sz w:val="21"/>
                <w:szCs w:val="21"/>
                <w:highlight w:val="none"/>
              </w:rPr>
              <w:t>评审项目</w:t>
            </w:r>
          </w:p>
        </w:tc>
        <w:tc>
          <w:tcPr>
            <w:tcW w:w="827" w:type="dxa"/>
            <w:tcBorders>
              <w:top w:val="single" w:color="auto" w:sz="4" w:space="0"/>
              <w:left w:val="single" w:color="auto" w:sz="4" w:space="0"/>
              <w:bottom w:val="single" w:color="auto" w:sz="4" w:space="0"/>
              <w:right w:val="single" w:color="auto" w:sz="4" w:space="0"/>
            </w:tcBorders>
            <w:vAlign w:val="center"/>
          </w:tcPr>
          <w:p w14:paraId="4804E812">
            <w:pPr>
              <w:pStyle w:val="77"/>
              <w:shd w:val="clear"/>
              <w:spacing w:line="360" w:lineRule="auto"/>
              <w:ind w:firstLine="0" w:firstLineChars="0"/>
              <w:jc w:val="center"/>
              <w:rPr>
                <w:rFonts w:ascii="宋体" w:eastAsia="宋体"/>
                <w:b/>
                <w:bCs/>
                <w:color w:val="auto"/>
                <w:sz w:val="21"/>
                <w:szCs w:val="21"/>
                <w:highlight w:val="none"/>
              </w:rPr>
            </w:pPr>
            <w:r>
              <w:rPr>
                <w:rFonts w:hint="eastAsia" w:ascii="宋体" w:eastAsia="宋体"/>
                <w:b/>
                <w:bCs/>
                <w:color w:val="auto"/>
                <w:sz w:val="21"/>
                <w:szCs w:val="21"/>
                <w:highlight w:val="none"/>
              </w:rPr>
              <w:t>分值</w:t>
            </w:r>
          </w:p>
        </w:tc>
        <w:tc>
          <w:tcPr>
            <w:tcW w:w="5935" w:type="dxa"/>
            <w:tcBorders>
              <w:top w:val="single" w:color="auto" w:sz="4" w:space="0"/>
              <w:left w:val="single" w:color="auto" w:sz="4" w:space="0"/>
              <w:bottom w:val="single" w:color="auto" w:sz="4" w:space="0"/>
              <w:right w:val="single" w:color="auto" w:sz="4" w:space="0"/>
            </w:tcBorders>
            <w:vAlign w:val="center"/>
          </w:tcPr>
          <w:p w14:paraId="17670F61">
            <w:pPr>
              <w:pStyle w:val="77"/>
              <w:shd w:val="clear"/>
              <w:spacing w:line="360" w:lineRule="auto"/>
              <w:ind w:firstLine="0" w:firstLineChars="0"/>
              <w:jc w:val="center"/>
              <w:rPr>
                <w:rFonts w:ascii="宋体" w:eastAsia="宋体"/>
                <w:b/>
                <w:bCs/>
                <w:color w:val="auto"/>
                <w:sz w:val="21"/>
                <w:szCs w:val="21"/>
                <w:highlight w:val="none"/>
              </w:rPr>
            </w:pPr>
            <w:r>
              <w:rPr>
                <w:rFonts w:hint="eastAsia" w:ascii="宋体" w:eastAsia="宋体"/>
                <w:b/>
                <w:bCs/>
                <w:color w:val="auto"/>
                <w:sz w:val="21"/>
                <w:szCs w:val="21"/>
                <w:highlight w:val="none"/>
              </w:rPr>
              <w:t>评审细则</w:t>
            </w:r>
          </w:p>
        </w:tc>
      </w:tr>
      <w:tr w14:paraId="2772A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4164B7EE">
            <w:pPr>
              <w:pStyle w:val="77"/>
              <w:shd w:val="clear"/>
              <w:spacing w:line="360" w:lineRule="auto"/>
              <w:ind w:firstLine="0" w:firstLineChars="0"/>
              <w:jc w:val="center"/>
              <w:rPr>
                <w:rFonts w:ascii="宋体" w:eastAsia="宋体"/>
                <w:b/>
                <w:bCs/>
                <w:color w:val="auto"/>
                <w:sz w:val="21"/>
                <w:szCs w:val="21"/>
                <w:highlight w:val="none"/>
              </w:rPr>
            </w:pPr>
            <w:r>
              <w:rPr>
                <w:rFonts w:hint="eastAsia" w:ascii="宋体" w:eastAsia="宋体"/>
                <w:b/>
                <w:color w:val="auto"/>
                <w:sz w:val="21"/>
                <w:szCs w:val="21"/>
                <w:highlight w:val="none"/>
              </w:rPr>
              <w:t>商务评分（</w:t>
            </w:r>
            <w:r>
              <w:rPr>
                <w:rFonts w:hint="eastAsia" w:ascii="宋体" w:eastAsia="宋体"/>
                <w:b/>
                <w:color w:val="auto"/>
                <w:sz w:val="21"/>
                <w:szCs w:val="21"/>
                <w:highlight w:val="none"/>
                <w:lang w:val="en-US" w:eastAsia="zh-CN"/>
              </w:rPr>
              <w:t>25</w:t>
            </w:r>
            <w:r>
              <w:rPr>
                <w:rFonts w:hint="eastAsia" w:ascii="宋体" w:eastAsia="宋体"/>
                <w:b/>
                <w:color w:val="auto"/>
                <w:sz w:val="21"/>
                <w:szCs w:val="21"/>
                <w:highlight w:val="none"/>
              </w:rPr>
              <w:t>分）</w:t>
            </w:r>
          </w:p>
        </w:tc>
      </w:tr>
      <w:tr w14:paraId="28E60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094668DB">
            <w:pPr>
              <w:shd w:val="clear"/>
              <w:spacing w:line="360" w:lineRule="auto"/>
              <w:jc w:val="center"/>
              <w:rPr>
                <w:color w:val="auto"/>
                <w:sz w:val="21"/>
                <w:szCs w:val="21"/>
                <w:highlight w:val="none"/>
              </w:rPr>
            </w:pPr>
            <w:r>
              <w:rPr>
                <w:rFonts w:hint="eastAsia" w:hAnsi="宋体"/>
                <w:color w:val="auto"/>
                <w:sz w:val="21"/>
                <w:szCs w:val="21"/>
                <w:highlight w:val="none"/>
              </w:rPr>
              <w:t>1</w:t>
            </w:r>
          </w:p>
        </w:tc>
        <w:tc>
          <w:tcPr>
            <w:tcW w:w="1747" w:type="dxa"/>
            <w:tcBorders>
              <w:top w:val="single" w:color="auto" w:sz="4" w:space="0"/>
              <w:left w:val="single" w:color="auto" w:sz="4" w:space="0"/>
              <w:right w:val="single" w:color="auto" w:sz="4" w:space="0"/>
            </w:tcBorders>
            <w:vAlign w:val="center"/>
          </w:tcPr>
          <w:p w14:paraId="08B1DCBB">
            <w:pPr>
              <w:spacing w:line="360"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同类项目业绩</w:t>
            </w:r>
          </w:p>
        </w:tc>
        <w:tc>
          <w:tcPr>
            <w:tcW w:w="827" w:type="dxa"/>
            <w:tcBorders>
              <w:top w:val="single" w:color="auto" w:sz="4" w:space="0"/>
              <w:left w:val="single" w:color="auto" w:sz="4" w:space="0"/>
              <w:bottom w:val="single" w:color="auto" w:sz="4" w:space="0"/>
              <w:right w:val="single" w:color="auto" w:sz="4" w:space="0"/>
            </w:tcBorders>
            <w:vAlign w:val="center"/>
          </w:tcPr>
          <w:p w14:paraId="1A45F671">
            <w:pPr>
              <w:autoSpaceDE w:val="0"/>
              <w:autoSpaceDN w:val="0"/>
              <w:adjustRightInd w:val="0"/>
              <w:spacing w:line="360"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15分</w:t>
            </w:r>
          </w:p>
        </w:tc>
        <w:tc>
          <w:tcPr>
            <w:tcW w:w="5935" w:type="dxa"/>
            <w:tcBorders>
              <w:top w:val="single" w:color="auto" w:sz="4" w:space="0"/>
              <w:left w:val="single" w:color="auto" w:sz="4" w:space="0"/>
              <w:bottom w:val="single" w:color="auto" w:sz="4" w:space="0"/>
              <w:right w:val="single" w:color="auto" w:sz="4" w:space="0"/>
            </w:tcBorders>
            <w:vAlign w:val="center"/>
          </w:tcPr>
          <w:p w14:paraId="1820F9F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供应商自20</w:t>
            </w:r>
            <w:r>
              <w:rPr>
                <w:rFonts w:hint="eastAsia" w:hAnsi="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9月1日</w:t>
            </w:r>
            <w:r>
              <w:rPr>
                <w:rFonts w:hint="eastAsia" w:ascii="宋体" w:hAnsi="宋体" w:eastAsia="宋体" w:cs="宋体"/>
                <w:color w:val="auto"/>
                <w:sz w:val="21"/>
                <w:szCs w:val="21"/>
                <w:highlight w:val="none"/>
              </w:rPr>
              <w:t>至今（以合同签订时间为准）已完成配电类项目业绩，每个得3分，最高得15分。</w:t>
            </w:r>
          </w:p>
          <w:p w14:paraId="4FB4B1C3">
            <w:pPr>
              <w:pStyle w:val="17"/>
              <w:spacing w:before="0"/>
              <w:rPr>
                <w:rFonts w:hint="eastAsia" w:ascii="宋体" w:hAnsi="宋体" w:eastAsia="宋体" w:cs="宋体"/>
                <w:bCs/>
                <w:color w:val="auto"/>
                <w:sz w:val="21"/>
                <w:szCs w:val="21"/>
                <w:highlight w:val="none"/>
                <w:lang w:val="zh-CN" w:eastAsia="zh-CN" w:bidi="ar-SA"/>
              </w:rPr>
            </w:pPr>
            <w:r>
              <w:rPr>
                <w:rFonts w:hint="eastAsia" w:ascii="宋体" w:hAnsi="宋体" w:eastAsia="宋体" w:cs="宋体"/>
                <w:b/>
                <w:bCs/>
                <w:color w:val="auto"/>
                <w:kern w:val="0"/>
                <w:sz w:val="21"/>
                <w:szCs w:val="21"/>
                <w:highlight w:val="none"/>
              </w:rPr>
              <w:t>注：须同时提供以下证明材料加盖公章：1）合同主要页复印件；2）竣工验收报告或验收证明；3）与项目相关的发票等材料（张数不限）4</w:t>
            </w:r>
            <w:r>
              <w:rPr>
                <w:rFonts w:hint="eastAsia" w:ascii="宋体" w:hAnsi="宋体" w:eastAsia="宋体" w:cs="宋体"/>
                <w:b/>
                <w:bCs/>
                <w:color w:val="auto"/>
                <w:kern w:val="0"/>
                <w:sz w:val="21"/>
                <w:szCs w:val="21"/>
                <w:highlight w:val="none"/>
                <w:lang w:val="en-US" w:eastAsia="zh-CN"/>
              </w:rPr>
              <w:t>）</w:t>
            </w:r>
            <w:r>
              <w:rPr>
                <w:rFonts w:hint="eastAsia" w:ascii="宋体" w:hAnsi="宋体" w:eastAsia="宋体" w:cs="宋体"/>
                <w:b/>
                <w:bCs/>
                <w:color w:val="auto"/>
                <w:kern w:val="0"/>
                <w:sz w:val="21"/>
                <w:szCs w:val="21"/>
                <w:highlight w:val="none"/>
              </w:rPr>
              <w:t>同一项目的业绩不能重复计分，如重复时按高分值计取。</w:t>
            </w:r>
          </w:p>
        </w:tc>
      </w:tr>
      <w:tr w14:paraId="52BC5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4AB16C24">
            <w:pPr>
              <w:shd w:val="clear"/>
              <w:spacing w:line="360" w:lineRule="auto"/>
              <w:jc w:val="center"/>
              <w:rPr>
                <w:rFonts w:hAnsi="宋体"/>
                <w:color w:val="auto"/>
                <w:sz w:val="21"/>
                <w:szCs w:val="21"/>
                <w:highlight w:val="none"/>
              </w:rPr>
            </w:pPr>
            <w:r>
              <w:rPr>
                <w:rFonts w:hint="eastAsia" w:hAnsi="宋体"/>
                <w:color w:val="auto"/>
                <w:sz w:val="21"/>
                <w:szCs w:val="21"/>
                <w:highlight w:val="none"/>
              </w:rPr>
              <w:t>2</w:t>
            </w:r>
          </w:p>
        </w:tc>
        <w:tc>
          <w:tcPr>
            <w:tcW w:w="1747" w:type="dxa"/>
            <w:tcBorders>
              <w:top w:val="single" w:color="auto" w:sz="4" w:space="0"/>
              <w:left w:val="single" w:color="auto" w:sz="4" w:space="0"/>
              <w:right w:val="single" w:color="auto" w:sz="4" w:space="0"/>
            </w:tcBorders>
            <w:vAlign w:val="center"/>
          </w:tcPr>
          <w:p w14:paraId="354DAED8">
            <w:pPr>
              <w:spacing w:line="360" w:lineRule="auto"/>
              <w:jc w:val="center"/>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rPr>
              <w:t>拟投入本项目的项目负责人</w:t>
            </w:r>
          </w:p>
        </w:tc>
        <w:tc>
          <w:tcPr>
            <w:tcW w:w="827" w:type="dxa"/>
            <w:tcBorders>
              <w:top w:val="single" w:color="auto" w:sz="4" w:space="0"/>
              <w:left w:val="single" w:color="auto" w:sz="4" w:space="0"/>
              <w:bottom w:val="single" w:color="auto" w:sz="4" w:space="0"/>
              <w:right w:val="single" w:color="auto" w:sz="4" w:space="0"/>
            </w:tcBorders>
            <w:vAlign w:val="center"/>
          </w:tcPr>
          <w:p w14:paraId="250C8E85">
            <w:pPr>
              <w:autoSpaceDE w:val="0"/>
              <w:autoSpaceDN w:val="0"/>
              <w:adjustRightInd w:val="0"/>
              <w:spacing w:line="360" w:lineRule="auto"/>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5分</w:t>
            </w:r>
          </w:p>
        </w:tc>
        <w:tc>
          <w:tcPr>
            <w:tcW w:w="5935" w:type="dxa"/>
            <w:tcBorders>
              <w:top w:val="single" w:color="auto" w:sz="4" w:space="0"/>
              <w:left w:val="single" w:color="auto" w:sz="4" w:space="0"/>
              <w:bottom w:val="single" w:color="auto" w:sz="4" w:space="0"/>
              <w:right w:val="single" w:color="auto" w:sz="4" w:space="0"/>
            </w:tcBorders>
            <w:vAlign w:val="center"/>
          </w:tcPr>
          <w:p w14:paraId="4E13E0C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拟派本项目的项目负责人具有机电工程类二级注册建造师，且具有安全生产考核合格证书（证书信息须为项目负责人，即“建安B”类），得2分；供应商拟派本项目的项目负责人具有机电工程类一级注册建造师，且具有安全生产考核合格证书（证书信息须为项目负责人，即“建安B”类），得5分。</w:t>
            </w:r>
          </w:p>
          <w:p w14:paraId="45DA0132">
            <w:pPr>
              <w:spacing w:line="360" w:lineRule="auto"/>
              <w:jc w:val="both"/>
              <w:rPr>
                <w:rFonts w:hint="eastAsia" w:ascii="宋体" w:hAnsi="宋体" w:eastAsia="宋体" w:cs="宋体"/>
                <w:bCs/>
                <w:color w:val="auto"/>
                <w:sz w:val="21"/>
                <w:szCs w:val="21"/>
                <w:highlight w:val="none"/>
                <w:lang w:val="zh-CN" w:eastAsia="zh-CN" w:bidi="ar-SA"/>
              </w:rPr>
            </w:pPr>
            <w:r>
              <w:rPr>
                <w:rFonts w:hint="eastAsia" w:ascii="宋体" w:hAnsi="宋体" w:eastAsia="宋体" w:cs="宋体"/>
                <w:b/>
                <w:bCs/>
                <w:color w:val="auto"/>
                <w:sz w:val="21"/>
                <w:szCs w:val="21"/>
                <w:highlight w:val="none"/>
              </w:rPr>
              <w:t>注：须提供项目负责人建造师证书及供应商为其缴纳最近3个月（不含开标当月）的社保证明复印件加盖公章。若阶段性减免社会保险费而导致无法打印社保缴费证明的需提供书面说明及相关政策文件并加盖供应商公章。</w:t>
            </w:r>
          </w:p>
        </w:tc>
      </w:tr>
      <w:tr w14:paraId="0C2C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174E67D3">
            <w:pPr>
              <w:shd w:val="clear"/>
              <w:spacing w:line="360" w:lineRule="auto"/>
              <w:jc w:val="center"/>
              <w:rPr>
                <w:rFonts w:hAnsi="宋体"/>
                <w:color w:val="auto"/>
                <w:sz w:val="21"/>
                <w:szCs w:val="21"/>
                <w:highlight w:val="none"/>
              </w:rPr>
            </w:pPr>
            <w:r>
              <w:rPr>
                <w:rFonts w:hint="eastAsia" w:hAnsi="宋体"/>
                <w:color w:val="auto"/>
                <w:sz w:val="21"/>
                <w:szCs w:val="21"/>
                <w:highlight w:val="none"/>
              </w:rPr>
              <w:t>3</w:t>
            </w:r>
          </w:p>
        </w:tc>
        <w:tc>
          <w:tcPr>
            <w:tcW w:w="1747" w:type="dxa"/>
            <w:tcBorders>
              <w:top w:val="single" w:color="auto" w:sz="4" w:space="0"/>
              <w:left w:val="single" w:color="auto" w:sz="4" w:space="0"/>
              <w:right w:val="single" w:color="auto" w:sz="4" w:space="0"/>
            </w:tcBorders>
            <w:vAlign w:val="center"/>
          </w:tcPr>
          <w:p w14:paraId="5B31FB6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拟投入本项目的技术人员</w:t>
            </w:r>
          </w:p>
        </w:tc>
        <w:tc>
          <w:tcPr>
            <w:tcW w:w="827" w:type="dxa"/>
            <w:tcBorders>
              <w:top w:val="single" w:color="auto" w:sz="4" w:space="0"/>
              <w:left w:val="single" w:color="auto" w:sz="4" w:space="0"/>
              <w:bottom w:val="single" w:color="auto" w:sz="4" w:space="0"/>
              <w:right w:val="single" w:color="auto" w:sz="4" w:space="0"/>
            </w:tcBorders>
            <w:vAlign w:val="center"/>
          </w:tcPr>
          <w:p w14:paraId="0431AFF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5分</w:t>
            </w:r>
          </w:p>
        </w:tc>
        <w:tc>
          <w:tcPr>
            <w:tcW w:w="5935" w:type="dxa"/>
            <w:tcBorders>
              <w:top w:val="single" w:color="auto" w:sz="4" w:space="0"/>
              <w:left w:val="single" w:color="auto" w:sz="4" w:space="0"/>
              <w:bottom w:val="single" w:color="auto" w:sz="4" w:space="0"/>
              <w:right w:val="single" w:color="auto" w:sz="4" w:space="0"/>
            </w:tcBorders>
            <w:vAlign w:val="center"/>
          </w:tcPr>
          <w:p w14:paraId="61F2228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供应商拟投入本项目的技术人员（项目负责人除外）：</w:t>
            </w:r>
          </w:p>
          <w:p w14:paraId="087AADF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具有机电工程类二级（或以上）注册建造师，或具有电气（力）类或机电工程类中级（或以上）工程师职称，每个得1.5分，最高得3分，其他不得分。</w:t>
            </w:r>
          </w:p>
          <w:p w14:paraId="30A108D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具有安全员安全生产考核合格证书（证书信息须为安全生产专职人员或以上，即“建安C”类或以上）的，每个得0.5分，最高得0.5分。</w:t>
            </w:r>
          </w:p>
          <w:p w14:paraId="1B866A1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具有特种作业操作证（准操项目为高压电工作业）或电工进网作业许可证，每个得0.5分，最高得1.5分。</w:t>
            </w:r>
          </w:p>
          <w:p w14:paraId="0265F7D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本项满分为5分。</w:t>
            </w:r>
          </w:p>
          <w:p w14:paraId="006DCF7D">
            <w:pPr>
              <w:pStyle w:val="17"/>
              <w:spacing w:before="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注：须提供以上人员的相关证书及供应商为其缴纳最近3个月（不含开标当月）的社保证明复印件加盖公章。若阶段性减免社会保险费而导致无法打印社保缴费证明的需提供书面说明及相关政策文件并加盖供应商公章。</w:t>
            </w:r>
          </w:p>
        </w:tc>
      </w:tr>
      <w:tr w14:paraId="38B5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1FD56849">
            <w:pPr>
              <w:pStyle w:val="77"/>
              <w:shd w:val="clear"/>
              <w:spacing w:line="360" w:lineRule="auto"/>
              <w:ind w:firstLine="0" w:firstLineChars="0"/>
              <w:jc w:val="center"/>
              <w:rPr>
                <w:rFonts w:ascii="宋体" w:eastAsia="宋体"/>
                <w:bCs/>
                <w:color w:val="auto"/>
                <w:sz w:val="21"/>
                <w:szCs w:val="21"/>
                <w:highlight w:val="none"/>
                <w:lang w:val="zh-CN"/>
              </w:rPr>
            </w:pPr>
            <w:r>
              <w:rPr>
                <w:rFonts w:hint="eastAsia" w:ascii="宋体" w:eastAsia="宋体"/>
                <w:b/>
                <w:color w:val="auto"/>
                <w:sz w:val="21"/>
                <w:szCs w:val="21"/>
                <w:highlight w:val="none"/>
              </w:rPr>
              <w:t>技术评分（</w:t>
            </w:r>
            <w:r>
              <w:rPr>
                <w:rFonts w:hint="eastAsia" w:ascii="宋体" w:eastAsia="宋体"/>
                <w:b/>
                <w:color w:val="auto"/>
                <w:sz w:val="21"/>
                <w:szCs w:val="21"/>
                <w:highlight w:val="none"/>
                <w:lang w:val="en-US" w:eastAsia="zh-CN"/>
              </w:rPr>
              <w:t>45</w:t>
            </w:r>
            <w:r>
              <w:rPr>
                <w:rFonts w:hint="eastAsia" w:ascii="宋体" w:eastAsia="宋体"/>
                <w:b/>
                <w:color w:val="auto"/>
                <w:sz w:val="21"/>
                <w:szCs w:val="21"/>
                <w:highlight w:val="none"/>
              </w:rPr>
              <w:t>分）</w:t>
            </w:r>
          </w:p>
        </w:tc>
      </w:tr>
      <w:tr w14:paraId="5444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1E5A39B3">
            <w:pPr>
              <w:shd w:val="clear"/>
              <w:spacing w:line="360" w:lineRule="auto"/>
              <w:jc w:val="center"/>
              <w:rPr>
                <w:rFonts w:hAnsi="宋体"/>
                <w:b/>
                <w:color w:val="auto"/>
                <w:sz w:val="21"/>
                <w:szCs w:val="21"/>
                <w:highlight w:val="none"/>
                <w:lang w:val="zh-CN"/>
              </w:rPr>
            </w:pPr>
            <w:r>
              <w:rPr>
                <w:rFonts w:hint="eastAsia" w:hAnsi="宋体"/>
                <w:color w:val="auto"/>
                <w:sz w:val="21"/>
                <w:szCs w:val="21"/>
                <w:highlight w:val="none"/>
              </w:rPr>
              <w:t>1</w:t>
            </w:r>
          </w:p>
        </w:tc>
        <w:tc>
          <w:tcPr>
            <w:tcW w:w="1747" w:type="dxa"/>
            <w:tcBorders>
              <w:top w:val="single" w:color="auto" w:sz="4" w:space="0"/>
              <w:left w:val="single" w:color="auto" w:sz="4" w:space="0"/>
              <w:bottom w:val="single" w:color="auto" w:sz="4" w:space="0"/>
              <w:right w:val="single" w:color="auto" w:sz="4" w:space="0"/>
            </w:tcBorders>
            <w:vAlign w:val="center"/>
          </w:tcPr>
          <w:p w14:paraId="4A743BC3">
            <w:pPr>
              <w:spacing w:line="360" w:lineRule="auto"/>
              <w:ind w:left="0" w:leftChars="0" w:firstLine="0" w:firstLineChars="0"/>
              <w:jc w:val="center"/>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施工方案</w:t>
            </w:r>
          </w:p>
        </w:tc>
        <w:tc>
          <w:tcPr>
            <w:tcW w:w="827" w:type="dxa"/>
            <w:tcBorders>
              <w:top w:val="single" w:color="auto" w:sz="4" w:space="0"/>
              <w:left w:val="single" w:color="auto" w:sz="4" w:space="0"/>
              <w:bottom w:val="single" w:color="auto" w:sz="4" w:space="0"/>
              <w:right w:val="single" w:color="auto" w:sz="4" w:space="0"/>
            </w:tcBorders>
            <w:vAlign w:val="center"/>
          </w:tcPr>
          <w:p w14:paraId="21DEA449">
            <w:pPr>
              <w:spacing w:line="360" w:lineRule="auto"/>
              <w:jc w:val="center"/>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9分</w:t>
            </w:r>
          </w:p>
        </w:tc>
        <w:tc>
          <w:tcPr>
            <w:tcW w:w="5935" w:type="dxa"/>
            <w:tcBorders>
              <w:top w:val="single" w:color="auto" w:sz="4" w:space="0"/>
              <w:left w:val="single" w:color="auto" w:sz="4" w:space="0"/>
              <w:bottom w:val="single" w:color="auto" w:sz="4" w:space="0"/>
              <w:right w:val="single" w:color="auto" w:sz="4" w:space="0"/>
            </w:tcBorders>
            <w:vAlign w:val="top"/>
          </w:tcPr>
          <w:p w14:paraId="11DE345C">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根据施工方案的施工方法及技术措施、质量保证、安全文明施工的措施进行综合评审：</w:t>
            </w:r>
          </w:p>
          <w:p w14:paraId="349A1244">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1、施工方法及技术措施针对性强、先进科学、方案可行可靠，措施具体、成熟、操作性强；质量保证、安全文明施工的措施得力、详细，得9分；</w:t>
            </w:r>
          </w:p>
          <w:p w14:paraId="6E68EF7A">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2、施工方法及技术措施针对性较强、比较科学、方案可行可靠，措施比较具体、成熟、操作性较强；质量保证、安全文明施工的措施比较得力、详细，得5分；</w:t>
            </w:r>
          </w:p>
          <w:p w14:paraId="4CC458F8">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3、施工方法及技术措施针对性一般、科学性一般，措施成熟、操作性一般；质量保证、安全文明施工的措施一般，得3分；</w:t>
            </w:r>
          </w:p>
          <w:p w14:paraId="4955A620">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4、施工方法及技术措施针对性差、方案不可靠，措施不成熟、操作性差；质量保证、安全文明施工的措施差，得1分。</w:t>
            </w:r>
          </w:p>
          <w:p w14:paraId="2CDB6CA7">
            <w:pPr>
              <w:spacing w:line="360" w:lineRule="auto"/>
              <w:ind w:left="420" w:leftChars="0" w:hanging="420" w:hangingChars="200"/>
              <w:jc w:val="both"/>
              <w:rPr>
                <w:rFonts w:hint="eastAsia" w:ascii="宋体" w:hAnsi="Calibri" w:eastAsia="宋体" w:cs="宋体"/>
                <w:color w:val="auto"/>
                <w:sz w:val="21"/>
                <w:szCs w:val="21"/>
                <w:highlight w:val="none"/>
                <w:lang w:val="en-US" w:eastAsia="zh-CN" w:bidi="ar-SA"/>
              </w:rPr>
            </w:pPr>
            <w:r>
              <w:rPr>
                <w:rFonts w:hint="eastAsia" w:hAnsi="宋体"/>
                <w:color w:val="auto"/>
                <w:sz w:val="21"/>
                <w:szCs w:val="21"/>
                <w:highlight w:val="none"/>
              </w:rPr>
              <w:t>不提供方案不得分。</w:t>
            </w:r>
          </w:p>
        </w:tc>
      </w:tr>
      <w:tr w14:paraId="2F75A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0474C454">
            <w:pPr>
              <w:shd w:val="clear"/>
              <w:spacing w:line="360" w:lineRule="auto"/>
              <w:jc w:val="center"/>
              <w:rPr>
                <w:rFonts w:hAnsi="宋体"/>
                <w:color w:val="auto"/>
                <w:sz w:val="21"/>
                <w:szCs w:val="21"/>
                <w:highlight w:val="none"/>
              </w:rPr>
            </w:pPr>
            <w:r>
              <w:rPr>
                <w:rFonts w:hint="eastAsia" w:hAnsi="宋体"/>
                <w:color w:val="auto"/>
                <w:sz w:val="21"/>
                <w:szCs w:val="21"/>
                <w:highlight w:val="none"/>
              </w:rPr>
              <w:t>2</w:t>
            </w:r>
          </w:p>
        </w:tc>
        <w:tc>
          <w:tcPr>
            <w:tcW w:w="1747" w:type="dxa"/>
            <w:tcBorders>
              <w:top w:val="single" w:color="auto" w:sz="4" w:space="0"/>
              <w:left w:val="single" w:color="auto" w:sz="4" w:space="0"/>
              <w:bottom w:val="single" w:color="auto" w:sz="4" w:space="0"/>
              <w:right w:val="single" w:color="auto" w:sz="4" w:space="0"/>
            </w:tcBorders>
            <w:vAlign w:val="center"/>
          </w:tcPr>
          <w:p w14:paraId="4E8F19C4">
            <w:pPr>
              <w:spacing w:line="360" w:lineRule="auto"/>
              <w:ind w:left="0" w:leftChars="0" w:firstLine="0" w:firstLineChars="0"/>
              <w:jc w:val="center"/>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施工部署、技术力量及进度措施</w:t>
            </w:r>
          </w:p>
        </w:tc>
        <w:tc>
          <w:tcPr>
            <w:tcW w:w="827" w:type="dxa"/>
            <w:tcBorders>
              <w:top w:val="single" w:color="auto" w:sz="4" w:space="0"/>
              <w:left w:val="single" w:color="auto" w:sz="4" w:space="0"/>
              <w:bottom w:val="single" w:color="auto" w:sz="4" w:space="0"/>
              <w:right w:val="single" w:color="auto" w:sz="4" w:space="0"/>
            </w:tcBorders>
            <w:vAlign w:val="center"/>
          </w:tcPr>
          <w:p w14:paraId="54452FA1">
            <w:pPr>
              <w:spacing w:line="360" w:lineRule="auto"/>
              <w:jc w:val="center"/>
              <w:rPr>
                <w:rFonts w:hint="eastAsia" w:ascii="宋体" w:hAnsi="宋体" w:eastAsia="宋体" w:cs="宋体"/>
                <w:snapToGrid w:val="0"/>
                <w:color w:val="auto"/>
                <w:sz w:val="21"/>
                <w:szCs w:val="21"/>
                <w:highlight w:val="none"/>
                <w:lang w:val="en-US" w:eastAsia="zh-CN" w:bidi="ar-SA"/>
              </w:rPr>
            </w:pPr>
            <w:r>
              <w:rPr>
                <w:rFonts w:hint="eastAsia" w:hAnsi="宋体"/>
                <w:color w:val="auto"/>
                <w:sz w:val="21"/>
                <w:szCs w:val="21"/>
                <w:highlight w:val="none"/>
              </w:rPr>
              <w:t>9分</w:t>
            </w:r>
          </w:p>
        </w:tc>
        <w:tc>
          <w:tcPr>
            <w:tcW w:w="5935" w:type="dxa"/>
            <w:tcBorders>
              <w:top w:val="single" w:color="auto" w:sz="4" w:space="0"/>
              <w:left w:val="single" w:color="auto" w:sz="4" w:space="0"/>
              <w:bottom w:val="single" w:color="auto" w:sz="4" w:space="0"/>
              <w:right w:val="single" w:color="auto" w:sz="4" w:space="0"/>
            </w:tcBorders>
            <w:vAlign w:val="center"/>
          </w:tcPr>
          <w:p w14:paraId="6903BC97">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根据施工部署、技术力量及进度措施方案进行综合评审：</w:t>
            </w:r>
          </w:p>
          <w:p w14:paraId="22FD19D4">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1、施工组织安排合理，技术力量雄厚、进度控制措施计划科学、合理，得9分；</w:t>
            </w:r>
          </w:p>
          <w:p w14:paraId="62DDAD03">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2、施工组织安排比较合理，技术力量比较雄厚、进度控制措施计划比较科学、合理，得5分；</w:t>
            </w:r>
          </w:p>
          <w:p w14:paraId="0D9173B9">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3、施工组织安排一般合理，技术力量一般、进度控制措施计划一般，得3分；</w:t>
            </w:r>
          </w:p>
          <w:p w14:paraId="0D31FF10">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4、施工组织安排差，技术力量差、进度控制措施计划差，得1分。</w:t>
            </w:r>
          </w:p>
          <w:p w14:paraId="45DF34C3">
            <w:pPr>
              <w:spacing w:line="360" w:lineRule="auto"/>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不提供方案不得分。</w:t>
            </w:r>
          </w:p>
        </w:tc>
      </w:tr>
      <w:tr w14:paraId="1373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242837CB">
            <w:pPr>
              <w:shd w:val="clear"/>
              <w:spacing w:line="360" w:lineRule="auto"/>
              <w:jc w:val="center"/>
              <w:rPr>
                <w:rFonts w:hAnsi="宋体"/>
                <w:color w:val="auto"/>
                <w:sz w:val="21"/>
                <w:szCs w:val="21"/>
                <w:highlight w:val="none"/>
              </w:rPr>
            </w:pPr>
            <w:r>
              <w:rPr>
                <w:rFonts w:hint="eastAsia" w:hAnsi="宋体"/>
                <w:color w:val="auto"/>
                <w:sz w:val="21"/>
                <w:szCs w:val="21"/>
                <w:highlight w:val="none"/>
              </w:rPr>
              <w:t>3</w:t>
            </w:r>
          </w:p>
        </w:tc>
        <w:tc>
          <w:tcPr>
            <w:tcW w:w="1747" w:type="dxa"/>
            <w:tcBorders>
              <w:top w:val="single" w:color="auto" w:sz="4" w:space="0"/>
              <w:left w:val="single" w:color="auto" w:sz="4" w:space="0"/>
              <w:bottom w:val="single" w:color="auto" w:sz="4" w:space="0"/>
              <w:right w:val="single" w:color="auto" w:sz="4" w:space="0"/>
            </w:tcBorders>
            <w:vAlign w:val="center"/>
          </w:tcPr>
          <w:p w14:paraId="7A12034E">
            <w:pPr>
              <w:spacing w:line="360" w:lineRule="auto"/>
              <w:ind w:left="0" w:leftChars="0" w:firstLine="0" w:firstLineChars="0"/>
              <w:jc w:val="center"/>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质量安全保证、文明施工及环境保护措施</w:t>
            </w:r>
          </w:p>
        </w:tc>
        <w:tc>
          <w:tcPr>
            <w:tcW w:w="827" w:type="dxa"/>
            <w:tcBorders>
              <w:top w:val="single" w:color="auto" w:sz="4" w:space="0"/>
              <w:left w:val="single" w:color="auto" w:sz="4" w:space="0"/>
              <w:bottom w:val="single" w:color="auto" w:sz="4" w:space="0"/>
              <w:right w:val="single" w:color="auto" w:sz="4" w:space="0"/>
            </w:tcBorders>
            <w:vAlign w:val="center"/>
          </w:tcPr>
          <w:p w14:paraId="2EE8A977">
            <w:pPr>
              <w:spacing w:line="360" w:lineRule="auto"/>
              <w:jc w:val="center"/>
              <w:rPr>
                <w:rFonts w:hint="default" w:ascii="宋体" w:hAnsi="宋体" w:eastAsia="宋体" w:cs="宋体"/>
                <w:snapToGrid w:val="0"/>
                <w:color w:val="auto"/>
                <w:sz w:val="21"/>
                <w:szCs w:val="21"/>
                <w:highlight w:val="none"/>
                <w:lang w:val="en-US" w:eastAsia="zh-CN" w:bidi="ar-SA"/>
              </w:rPr>
            </w:pPr>
            <w:r>
              <w:rPr>
                <w:rFonts w:hint="eastAsia" w:hAnsi="宋体"/>
                <w:color w:val="auto"/>
                <w:sz w:val="21"/>
                <w:szCs w:val="21"/>
                <w:highlight w:val="none"/>
              </w:rPr>
              <w:t>9分</w:t>
            </w:r>
          </w:p>
        </w:tc>
        <w:tc>
          <w:tcPr>
            <w:tcW w:w="5935" w:type="dxa"/>
            <w:tcBorders>
              <w:top w:val="single" w:color="auto" w:sz="4" w:space="0"/>
              <w:left w:val="single" w:color="auto" w:sz="4" w:space="0"/>
              <w:bottom w:val="single" w:color="auto" w:sz="4" w:space="0"/>
              <w:right w:val="single" w:color="auto" w:sz="4" w:space="0"/>
            </w:tcBorders>
            <w:vAlign w:val="center"/>
          </w:tcPr>
          <w:p w14:paraId="5483165D">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根据质量安全保证、文明施工及环境保护措施的具体程度、可行性、可操作性进行综合评审：</w:t>
            </w:r>
          </w:p>
          <w:p w14:paraId="126119F8">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1、质量安全保证、文明施工及环境保护措施得力、详细，可行性、可操作性高，得9分；</w:t>
            </w:r>
          </w:p>
          <w:p w14:paraId="317D9F30">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2、质量安全保证、文明施工及环境保护措施比较得力、详细，可行性、可操作性比较高，得5分；</w:t>
            </w:r>
          </w:p>
          <w:p w14:paraId="419CBCE1">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3、质量安全保证、文明施工及环境保护措施一般，可行性、可操作性一般，得3分；</w:t>
            </w:r>
          </w:p>
          <w:p w14:paraId="3EBB19CD">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4、质量安全保证、文明施工及环境保护措施差，可行性、可操作性差，得1分。</w:t>
            </w:r>
          </w:p>
          <w:p w14:paraId="0CA22852">
            <w:pPr>
              <w:spacing w:line="360" w:lineRule="auto"/>
              <w:rPr>
                <w:rFonts w:hint="eastAsia" w:ascii="宋体" w:hAnsi="宋体" w:eastAsia="宋体" w:cs="宋体"/>
                <w:color w:val="auto"/>
                <w:sz w:val="21"/>
                <w:szCs w:val="21"/>
                <w:highlight w:val="none"/>
                <w:lang w:val="zh-CN" w:eastAsia="zh-CN" w:bidi="ar-SA"/>
              </w:rPr>
            </w:pPr>
            <w:r>
              <w:rPr>
                <w:rFonts w:hint="eastAsia" w:hAnsi="宋体"/>
                <w:color w:val="auto"/>
                <w:sz w:val="21"/>
                <w:szCs w:val="21"/>
                <w:highlight w:val="none"/>
              </w:rPr>
              <w:t>不提供方案不得分。</w:t>
            </w:r>
          </w:p>
        </w:tc>
      </w:tr>
      <w:tr w14:paraId="27139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372CC677">
            <w:pPr>
              <w:shd w:val="clear"/>
              <w:spacing w:line="360" w:lineRule="auto"/>
              <w:jc w:val="center"/>
              <w:rPr>
                <w:rFonts w:hint="eastAsia" w:hAnsi="宋体" w:eastAsia="宋体"/>
                <w:bCs/>
                <w:color w:val="auto"/>
                <w:sz w:val="21"/>
                <w:szCs w:val="21"/>
                <w:highlight w:val="none"/>
                <w:lang w:val="en-US" w:eastAsia="zh-CN"/>
              </w:rPr>
            </w:pPr>
            <w:r>
              <w:rPr>
                <w:rFonts w:hint="eastAsia" w:hAnsi="宋体"/>
                <w:bCs/>
                <w:color w:val="auto"/>
                <w:sz w:val="21"/>
                <w:szCs w:val="21"/>
                <w:highlight w:val="none"/>
                <w:lang w:val="en-US" w:eastAsia="zh-CN"/>
              </w:rPr>
              <w:t>4</w:t>
            </w:r>
          </w:p>
        </w:tc>
        <w:tc>
          <w:tcPr>
            <w:tcW w:w="1747" w:type="dxa"/>
            <w:tcBorders>
              <w:top w:val="single" w:color="auto" w:sz="4" w:space="0"/>
              <w:left w:val="single" w:color="auto" w:sz="4" w:space="0"/>
              <w:bottom w:val="single" w:color="auto" w:sz="4" w:space="0"/>
              <w:right w:val="single" w:color="auto" w:sz="4" w:space="0"/>
            </w:tcBorders>
            <w:vAlign w:val="center"/>
          </w:tcPr>
          <w:p w14:paraId="1FAB6674">
            <w:pPr>
              <w:spacing w:line="360" w:lineRule="auto"/>
              <w:ind w:left="0" w:leftChars="0" w:firstLine="0" w:firstLineChars="0"/>
              <w:jc w:val="center"/>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设备配置方案</w:t>
            </w:r>
          </w:p>
        </w:tc>
        <w:tc>
          <w:tcPr>
            <w:tcW w:w="827" w:type="dxa"/>
            <w:tcBorders>
              <w:top w:val="single" w:color="auto" w:sz="4" w:space="0"/>
              <w:left w:val="single" w:color="auto" w:sz="4" w:space="0"/>
              <w:bottom w:val="single" w:color="auto" w:sz="4" w:space="0"/>
              <w:right w:val="single" w:color="auto" w:sz="4" w:space="0"/>
            </w:tcBorders>
            <w:vAlign w:val="center"/>
          </w:tcPr>
          <w:p w14:paraId="3802D02C">
            <w:pPr>
              <w:spacing w:line="360" w:lineRule="auto"/>
              <w:jc w:val="center"/>
              <w:rPr>
                <w:rFonts w:hint="eastAsia" w:ascii="宋体" w:hAnsi="宋体" w:eastAsia="宋体" w:cs="宋体"/>
                <w:snapToGrid w:val="0"/>
                <w:color w:val="auto"/>
                <w:sz w:val="21"/>
                <w:szCs w:val="21"/>
                <w:highlight w:val="none"/>
                <w:lang w:val="en-US" w:eastAsia="zh-CN" w:bidi="ar-SA"/>
              </w:rPr>
            </w:pPr>
            <w:r>
              <w:rPr>
                <w:rFonts w:hint="eastAsia" w:hAnsi="宋体"/>
                <w:color w:val="auto"/>
                <w:sz w:val="21"/>
                <w:szCs w:val="21"/>
                <w:highlight w:val="none"/>
              </w:rPr>
              <w:t>9分</w:t>
            </w:r>
          </w:p>
        </w:tc>
        <w:tc>
          <w:tcPr>
            <w:tcW w:w="5935" w:type="dxa"/>
            <w:tcBorders>
              <w:top w:val="single" w:color="auto" w:sz="4" w:space="0"/>
              <w:left w:val="single" w:color="auto" w:sz="4" w:space="0"/>
              <w:bottom w:val="single" w:color="auto" w:sz="4" w:space="0"/>
              <w:right w:val="single" w:color="auto" w:sz="4" w:space="0"/>
            </w:tcBorders>
            <w:vAlign w:val="center"/>
          </w:tcPr>
          <w:p w14:paraId="55DFCDFD">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根据供应商拟投入本项目的设备设施配备方案进行综合评价：</w:t>
            </w:r>
          </w:p>
          <w:p w14:paraId="16DBA187">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1、设备配置方案完整、科学，性能高，有利于项目的实施，得9分；</w:t>
            </w:r>
          </w:p>
          <w:p w14:paraId="4A9AF73E">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2、设备配置方案比较完整、科学，性能比较高，比较有利于项目的实施，得5分；</w:t>
            </w:r>
          </w:p>
          <w:p w14:paraId="5382CAA9">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3、设备配置方案基本完整、性能一般，得3分；</w:t>
            </w:r>
          </w:p>
          <w:p w14:paraId="659E44D7">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4、设备配置方案残缺、性能差，得1分。</w:t>
            </w:r>
          </w:p>
          <w:p w14:paraId="650582B7">
            <w:pPr>
              <w:spacing w:line="360" w:lineRule="auto"/>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不提供方案不得分。</w:t>
            </w:r>
          </w:p>
        </w:tc>
      </w:tr>
      <w:tr w14:paraId="3F62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52EB5455">
            <w:pPr>
              <w:shd w:val="clear"/>
              <w:spacing w:line="360" w:lineRule="auto"/>
              <w:jc w:val="center"/>
              <w:rPr>
                <w:rFonts w:hAnsi="宋体"/>
                <w:color w:val="auto"/>
                <w:sz w:val="21"/>
                <w:szCs w:val="21"/>
                <w:highlight w:val="none"/>
              </w:rPr>
            </w:pPr>
            <w:r>
              <w:rPr>
                <w:rFonts w:hint="eastAsia" w:hAnsi="宋体"/>
                <w:bCs/>
                <w:color w:val="auto"/>
                <w:sz w:val="21"/>
                <w:szCs w:val="21"/>
                <w:highlight w:val="none"/>
                <w:lang w:val="en-US" w:eastAsia="zh-CN"/>
              </w:rPr>
              <w:t>5</w:t>
            </w:r>
          </w:p>
        </w:tc>
        <w:tc>
          <w:tcPr>
            <w:tcW w:w="1747" w:type="dxa"/>
            <w:tcBorders>
              <w:top w:val="single" w:color="auto" w:sz="4" w:space="0"/>
              <w:left w:val="single" w:color="auto" w:sz="4" w:space="0"/>
              <w:bottom w:val="single" w:color="auto" w:sz="4" w:space="0"/>
              <w:right w:val="single" w:color="auto" w:sz="4" w:space="0"/>
            </w:tcBorders>
            <w:vAlign w:val="center"/>
          </w:tcPr>
          <w:p w14:paraId="057AC0C0">
            <w:pPr>
              <w:spacing w:line="360" w:lineRule="auto"/>
              <w:ind w:left="0" w:leftChars="0" w:firstLine="0" w:firstLineChars="0"/>
              <w:jc w:val="center"/>
              <w:rPr>
                <w:rFonts w:hint="eastAsia" w:ascii="宋体" w:hAnsi="宋体" w:eastAsia="宋体" w:cs="宋体"/>
                <w:color w:val="auto"/>
                <w:sz w:val="21"/>
                <w:szCs w:val="21"/>
                <w:highlight w:val="none"/>
                <w:lang w:val="en-US" w:eastAsia="zh-CN" w:bidi="ar-SA"/>
              </w:rPr>
            </w:pPr>
            <w:r>
              <w:rPr>
                <w:rFonts w:hint="eastAsia" w:hAnsi="宋体"/>
                <w:color w:val="auto"/>
                <w:sz w:val="21"/>
                <w:szCs w:val="21"/>
                <w:highlight w:val="none"/>
              </w:rPr>
              <w:t>应急预案</w:t>
            </w:r>
          </w:p>
        </w:tc>
        <w:tc>
          <w:tcPr>
            <w:tcW w:w="827" w:type="dxa"/>
            <w:tcBorders>
              <w:top w:val="single" w:color="auto" w:sz="4" w:space="0"/>
              <w:left w:val="single" w:color="auto" w:sz="4" w:space="0"/>
              <w:bottom w:val="single" w:color="auto" w:sz="4" w:space="0"/>
              <w:right w:val="single" w:color="auto" w:sz="4" w:space="0"/>
            </w:tcBorders>
            <w:vAlign w:val="center"/>
          </w:tcPr>
          <w:p w14:paraId="691F9D1B">
            <w:pPr>
              <w:spacing w:line="360" w:lineRule="auto"/>
              <w:jc w:val="center"/>
              <w:rPr>
                <w:rFonts w:hint="eastAsia" w:ascii="宋体" w:hAnsi="宋体" w:eastAsia="宋体" w:cs="宋体"/>
                <w:snapToGrid w:val="0"/>
                <w:color w:val="auto"/>
                <w:sz w:val="21"/>
                <w:szCs w:val="21"/>
                <w:highlight w:val="none"/>
                <w:lang w:val="en-US" w:eastAsia="zh-CN" w:bidi="ar-SA"/>
              </w:rPr>
            </w:pPr>
            <w:r>
              <w:rPr>
                <w:rFonts w:hint="eastAsia" w:hAnsi="宋体"/>
                <w:color w:val="auto"/>
                <w:sz w:val="21"/>
                <w:szCs w:val="21"/>
                <w:highlight w:val="none"/>
              </w:rPr>
              <w:t>9分</w:t>
            </w:r>
          </w:p>
        </w:tc>
        <w:tc>
          <w:tcPr>
            <w:tcW w:w="5935" w:type="dxa"/>
            <w:tcBorders>
              <w:top w:val="single" w:color="auto" w:sz="4" w:space="0"/>
              <w:left w:val="single" w:color="auto" w:sz="4" w:space="0"/>
              <w:bottom w:val="single" w:color="auto" w:sz="4" w:space="0"/>
              <w:right w:val="single" w:color="auto" w:sz="4" w:space="0"/>
            </w:tcBorders>
            <w:vAlign w:val="center"/>
          </w:tcPr>
          <w:p w14:paraId="3D200117">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根据供应商提供的应急预案不限于应对台风、暴雨等天气影响；节假日或活动等特殊情况制定的应急处置方案(包括传达机制、人员和设备调配、责任分工等是否能够很好地应对紧急情况)等进行综合评审：</w:t>
            </w:r>
          </w:p>
          <w:p w14:paraId="6B2F0A1C">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1、方案完整合理、可行性强，得9分；</w:t>
            </w:r>
          </w:p>
          <w:p w14:paraId="4524E487">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2、方案完整合理、可行性较强，得5分；</w:t>
            </w:r>
          </w:p>
          <w:p w14:paraId="5BC28FB3">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3、方案基本完整、可行性一般得3分；</w:t>
            </w:r>
          </w:p>
          <w:p w14:paraId="5E25206F">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4、方案片面、可行性较差，得1分。</w:t>
            </w:r>
          </w:p>
          <w:p w14:paraId="0907FA57">
            <w:pPr>
              <w:spacing w:line="360" w:lineRule="auto"/>
              <w:rPr>
                <w:rFonts w:hint="eastAsia" w:ascii="宋体" w:hAnsi="宋体" w:eastAsia="宋体" w:cs="宋体"/>
                <w:color w:val="auto"/>
                <w:sz w:val="21"/>
                <w:szCs w:val="21"/>
                <w:highlight w:val="none"/>
                <w:lang w:val="zh-CN" w:eastAsia="zh-CN" w:bidi="ar-SA"/>
              </w:rPr>
            </w:pPr>
            <w:r>
              <w:rPr>
                <w:rFonts w:hint="eastAsia" w:hAnsi="宋体"/>
                <w:color w:val="auto"/>
                <w:sz w:val="21"/>
                <w:szCs w:val="21"/>
                <w:highlight w:val="none"/>
              </w:rPr>
              <w:t>不提供方案不得分。</w:t>
            </w:r>
          </w:p>
        </w:tc>
      </w:tr>
      <w:tr w14:paraId="7E7E9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7576B8BA">
            <w:pPr>
              <w:numPr>
                <w:ilvl w:val="-1"/>
                <w:numId w:val="0"/>
              </w:numPr>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注：</w:t>
            </w:r>
          </w:p>
          <w:p w14:paraId="36EC7547">
            <w:pPr>
              <w:numPr>
                <w:ilvl w:val="0"/>
                <w:numId w:val="15"/>
              </w:numPr>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无特殊说明外，以上评审项，同一证明文件不重复计分。</w:t>
            </w:r>
          </w:p>
          <w:p w14:paraId="2DA67B4E">
            <w:pPr>
              <w:numPr>
                <w:ilvl w:val="0"/>
                <w:numId w:val="15"/>
              </w:numPr>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供应商根据以上评分要求提供的投标村料因模糊不清导致磋商小组无法清晰辨认进行评审的，视为无效材料。</w:t>
            </w:r>
            <w:r>
              <w:rPr>
                <w:rFonts w:hint="eastAsia" w:hAnsi="宋体"/>
                <w:color w:val="auto"/>
                <w:sz w:val="21"/>
                <w:szCs w:val="21"/>
                <w:highlight w:val="none"/>
                <w:lang w:val="en-US" w:eastAsia="zh-CN"/>
              </w:rPr>
              <w:tab/>
            </w:r>
          </w:p>
        </w:tc>
      </w:tr>
      <w:tr w14:paraId="74D8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01DD8871">
            <w:pPr>
              <w:pStyle w:val="77"/>
              <w:shd w:val="clear"/>
              <w:spacing w:line="360" w:lineRule="auto"/>
              <w:ind w:firstLine="0" w:firstLineChars="0"/>
              <w:jc w:val="center"/>
              <w:rPr>
                <w:rFonts w:ascii="宋体" w:eastAsia="宋体"/>
                <w:color w:val="auto"/>
                <w:sz w:val="21"/>
                <w:szCs w:val="21"/>
                <w:highlight w:val="none"/>
                <w:lang w:val="zh-CN"/>
              </w:rPr>
            </w:pPr>
            <w:r>
              <w:rPr>
                <w:rFonts w:hint="eastAsia" w:ascii="宋体" w:eastAsia="宋体"/>
                <w:b/>
                <w:bCs/>
                <w:color w:val="auto"/>
                <w:sz w:val="21"/>
                <w:szCs w:val="21"/>
                <w:highlight w:val="none"/>
              </w:rPr>
              <w:t>价格评审（</w:t>
            </w:r>
            <w:r>
              <w:rPr>
                <w:rFonts w:hint="eastAsia" w:ascii="宋体" w:eastAsia="宋体"/>
                <w:b/>
                <w:bCs/>
                <w:color w:val="auto"/>
                <w:sz w:val="21"/>
                <w:szCs w:val="21"/>
                <w:highlight w:val="none"/>
                <w:lang w:val="en-US" w:eastAsia="zh-CN"/>
              </w:rPr>
              <w:t>3</w:t>
            </w:r>
            <w:r>
              <w:rPr>
                <w:rFonts w:hint="eastAsia" w:ascii="宋体" w:eastAsia="宋体"/>
                <w:b/>
                <w:bCs/>
                <w:color w:val="auto"/>
                <w:sz w:val="21"/>
                <w:szCs w:val="21"/>
                <w:highlight w:val="none"/>
              </w:rPr>
              <w:t>0分）</w:t>
            </w:r>
          </w:p>
        </w:tc>
      </w:tr>
      <w:tr w14:paraId="32F2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96EAC27">
            <w:pPr>
              <w:pStyle w:val="47"/>
              <w:spacing w:line="360" w:lineRule="auto"/>
              <w:jc w:val="center"/>
              <w:rPr>
                <w:rFonts w:ascii="宋体" w:eastAsia="宋体"/>
                <w:color w:val="auto"/>
                <w:sz w:val="21"/>
                <w:szCs w:val="21"/>
                <w:highlight w:val="none"/>
              </w:rPr>
            </w:pPr>
            <w:r>
              <w:rPr>
                <w:rFonts w:hint="eastAsia"/>
                <w:color w:val="auto"/>
                <w:kern w:val="2"/>
                <w:sz w:val="21"/>
                <w:szCs w:val="21"/>
                <w:highlight w:val="none"/>
              </w:rPr>
              <w:t>1</w:t>
            </w:r>
          </w:p>
        </w:tc>
        <w:tc>
          <w:tcPr>
            <w:tcW w:w="1807" w:type="dxa"/>
            <w:gridSpan w:val="2"/>
            <w:tcBorders>
              <w:top w:val="single" w:color="auto" w:sz="4" w:space="0"/>
              <w:left w:val="single" w:color="auto" w:sz="4" w:space="0"/>
              <w:bottom w:val="single" w:color="auto" w:sz="4" w:space="0"/>
              <w:right w:val="single" w:color="auto" w:sz="4" w:space="0"/>
            </w:tcBorders>
            <w:vAlign w:val="center"/>
          </w:tcPr>
          <w:p w14:paraId="76A121D2">
            <w:pPr>
              <w:pStyle w:val="47"/>
              <w:spacing w:line="360" w:lineRule="auto"/>
              <w:jc w:val="center"/>
              <w:rPr>
                <w:rFonts w:hAnsi="宋体"/>
                <w:color w:val="auto"/>
                <w:kern w:val="2"/>
                <w:sz w:val="21"/>
                <w:szCs w:val="21"/>
                <w:highlight w:val="none"/>
              </w:rPr>
            </w:pPr>
            <w:r>
              <w:rPr>
                <w:rFonts w:hint="eastAsia"/>
                <w:color w:val="auto"/>
                <w:kern w:val="2"/>
                <w:sz w:val="21"/>
                <w:szCs w:val="21"/>
                <w:highlight w:val="none"/>
                <w:lang w:eastAsia="zh-CN"/>
              </w:rPr>
              <w:t>总价部分</w:t>
            </w:r>
          </w:p>
        </w:tc>
        <w:tc>
          <w:tcPr>
            <w:tcW w:w="827" w:type="dxa"/>
            <w:tcBorders>
              <w:top w:val="single" w:color="auto" w:sz="4" w:space="0"/>
              <w:left w:val="single" w:color="auto" w:sz="4" w:space="0"/>
              <w:bottom w:val="single" w:color="auto" w:sz="4" w:space="0"/>
              <w:right w:val="single" w:color="auto" w:sz="4" w:space="0"/>
            </w:tcBorders>
            <w:vAlign w:val="center"/>
          </w:tcPr>
          <w:p w14:paraId="1044F13B">
            <w:pPr>
              <w:pStyle w:val="47"/>
              <w:spacing w:line="360" w:lineRule="auto"/>
              <w:jc w:val="center"/>
              <w:rPr>
                <w:rFonts w:hAnsi="宋体"/>
                <w:color w:val="auto"/>
                <w:kern w:val="2"/>
                <w:sz w:val="21"/>
                <w:szCs w:val="21"/>
                <w:highlight w:val="none"/>
              </w:rPr>
            </w:pPr>
            <w:r>
              <w:rPr>
                <w:rFonts w:hint="eastAsia"/>
                <w:color w:val="auto"/>
                <w:kern w:val="2"/>
                <w:sz w:val="21"/>
                <w:szCs w:val="21"/>
                <w:highlight w:val="none"/>
                <w:lang w:val="en-US" w:eastAsia="zh-CN"/>
              </w:rPr>
              <w:t>30</w:t>
            </w:r>
            <w:r>
              <w:rPr>
                <w:rFonts w:hint="eastAsia"/>
                <w:color w:val="auto"/>
                <w:kern w:val="2"/>
                <w:sz w:val="21"/>
                <w:szCs w:val="21"/>
                <w:highlight w:val="none"/>
              </w:rPr>
              <w:t>分</w:t>
            </w:r>
          </w:p>
        </w:tc>
        <w:tc>
          <w:tcPr>
            <w:tcW w:w="5935" w:type="dxa"/>
            <w:tcBorders>
              <w:top w:val="single" w:color="auto" w:sz="4" w:space="0"/>
              <w:left w:val="single" w:color="auto" w:sz="4" w:space="0"/>
              <w:bottom w:val="single" w:color="auto" w:sz="4" w:space="0"/>
              <w:right w:val="single" w:color="auto" w:sz="4" w:space="0"/>
            </w:tcBorders>
            <w:vAlign w:val="center"/>
          </w:tcPr>
          <w:p w14:paraId="0D75C0F3">
            <w:pPr>
              <w:pStyle w:val="47"/>
              <w:spacing w:line="360" w:lineRule="auto"/>
              <w:rPr>
                <w:rFonts w:hAnsi="宋体"/>
                <w:color w:val="auto"/>
                <w:kern w:val="2"/>
                <w:sz w:val="21"/>
                <w:szCs w:val="21"/>
                <w:highlight w:val="none"/>
              </w:rPr>
            </w:pPr>
            <w:r>
              <w:rPr>
                <w:rFonts w:hint="eastAsia"/>
                <w:color w:val="auto"/>
                <w:kern w:val="2"/>
                <w:sz w:val="21"/>
                <w:szCs w:val="21"/>
                <w:highlight w:val="none"/>
              </w:rPr>
              <w:t>价格分计算方法：满足磋商文件要求且磋商价格最低的磋商报价</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含税</w:t>
            </w:r>
            <w:r>
              <w:rPr>
                <w:rFonts w:hint="eastAsia"/>
                <w:color w:val="auto"/>
                <w:sz w:val="21"/>
                <w:szCs w:val="21"/>
                <w:highlight w:val="none"/>
                <w:lang w:val="en-US" w:eastAsia="zh-CN"/>
              </w:rPr>
              <w:t>报</w:t>
            </w:r>
            <w:r>
              <w:rPr>
                <w:rFonts w:hint="eastAsia" w:hAnsi="宋体"/>
                <w:color w:val="auto"/>
                <w:sz w:val="21"/>
                <w:szCs w:val="21"/>
                <w:highlight w:val="none"/>
                <w:lang w:val="en-US" w:eastAsia="zh-CN"/>
              </w:rPr>
              <w:t>价</w:t>
            </w:r>
            <w:r>
              <w:rPr>
                <w:rFonts w:hint="eastAsia" w:hAnsi="宋体"/>
                <w:color w:val="auto"/>
                <w:sz w:val="21"/>
                <w:szCs w:val="21"/>
                <w:highlight w:val="none"/>
                <w:lang w:eastAsia="zh-CN"/>
              </w:rPr>
              <w:t>）</w:t>
            </w:r>
            <w:r>
              <w:rPr>
                <w:rFonts w:hint="eastAsia"/>
                <w:color w:val="auto"/>
                <w:kern w:val="2"/>
                <w:sz w:val="21"/>
                <w:szCs w:val="21"/>
                <w:highlight w:val="none"/>
              </w:rPr>
              <w:t>为评标基准价，其价格分为满分。其他供应商的价格分统一按照下列公式计算：磋商报价得分=(评标基准价／磋商报价)×价格权重×100</w:t>
            </w:r>
          </w:p>
        </w:tc>
      </w:tr>
    </w:tbl>
    <w:p w14:paraId="23299AAC">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注：</w:t>
      </w:r>
    </w:p>
    <w:p w14:paraId="37F3C9E4">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（1）上证明文件均提供加盖公章复印件。</w:t>
      </w:r>
    </w:p>
    <w:p w14:paraId="03440FE8">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2）若开标当日磋商小组需要查看以上证明文件原件，供应商请在接到通知后规定时间内携带原件到达评标会场，接受核查，如因迟到或是其他原因不能携原件到达现场接受检查，其造成的所有后果供应商自行承担。</w:t>
      </w:r>
    </w:p>
    <w:p w14:paraId="2DEB6B58">
      <w:pPr>
        <w:widowControl/>
        <w:shd w:val="clear"/>
        <w:spacing w:line="360" w:lineRule="auto"/>
        <w:rPr>
          <w:rFonts w:hAnsi="宋体"/>
          <w:bCs/>
          <w:color w:val="auto"/>
          <w:sz w:val="21"/>
          <w:szCs w:val="21"/>
          <w:highlight w:val="none"/>
        </w:rPr>
      </w:pPr>
      <w:r>
        <w:rPr>
          <w:rFonts w:hint="eastAsia" w:hAnsi="宋体"/>
          <w:bCs/>
          <w:color w:val="auto"/>
          <w:sz w:val="21"/>
          <w:szCs w:val="21"/>
          <w:highlight w:val="none"/>
        </w:rPr>
        <w:t>（3）若成交将在发放成交通知书前逐一核对核查原件，请勿提供虚假、过期材料，否则将依据相关规定严肃处理。</w:t>
      </w:r>
    </w:p>
    <w:p w14:paraId="2190A892">
      <w:pPr>
        <w:pStyle w:val="28"/>
        <w:shd w:val="clear"/>
        <w:spacing w:line="360" w:lineRule="auto"/>
        <w:ind w:firstLine="422" w:firstLineChars="200"/>
        <w:rPr>
          <w:rFonts w:hAnsi="宋体"/>
          <w:b/>
          <w:color w:val="auto"/>
          <w:szCs w:val="21"/>
          <w:highlight w:val="none"/>
        </w:rPr>
      </w:pPr>
    </w:p>
    <w:p w14:paraId="240AD411">
      <w:pPr>
        <w:pStyle w:val="28"/>
        <w:shd w:val="clear"/>
        <w:spacing w:line="360" w:lineRule="auto"/>
        <w:ind w:firstLine="422" w:firstLineChars="200"/>
        <w:outlineLvl w:val="0"/>
        <w:rPr>
          <w:rFonts w:hAnsi="宋体"/>
          <w:b/>
          <w:color w:val="auto"/>
          <w:szCs w:val="21"/>
          <w:highlight w:val="none"/>
        </w:rPr>
      </w:pPr>
      <w:bookmarkStart w:id="168" w:name="_Toc15603"/>
      <w:r>
        <w:rPr>
          <w:rFonts w:hint="eastAsia" w:hAnsi="宋体"/>
          <w:b/>
          <w:color w:val="auto"/>
          <w:szCs w:val="21"/>
          <w:highlight w:val="none"/>
        </w:rPr>
        <w:t>四、技术评审</w:t>
      </w:r>
      <w:bookmarkEnd w:id="168"/>
    </w:p>
    <w:p w14:paraId="61DE0C1E">
      <w:pPr>
        <w:shd w:val="clear"/>
        <w:spacing w:line="360" w:lineRule="auto"/>
        <w:ind w:firstLine="420" w:firstLineChars="200"/>
        <w:rPr>
          <w:rFonts w:hAnsi="宋体"/>
          <w:bCs/>
          <w:color w:val="auto"/>
          <w:sz w:val="21"/>
          <w:szCs w:val="21"/>
          <w:highlight w:val="none"/>
        </w:rPr>
      </w:pPr>
      <w:r>
        <w:rPr>
          <w:rFonts w:hint="eastAsia" w:hAnsi="宋体"/>
          <w:color w:val="auto"/>
          <w:sz w:val="21"/>
          <w:szCs w:val="21"/>
          <w:highlight w:val="none"/>
        </w:rPr>
        <w:t>1.由磋商小组对所有响应文件的技术部分响应和指标进行审核和分析；对响应文件中文字、图纸说明和指标响应进行评分，填写《技术评分表》。</w:t>
      </w:r>
    </w:p>
    <w:p w14:paraId="0D01C48E">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2.磋商小组按评标标准独立对技术标进行评审，得出技术标评分。当磋商小组为五人时，在所有评委对同一份</w:t>
      </w:r>
      <w:r>
        <w:rPr>
          <w:rFonts w:hint="eastAsia" w:hAnsi="宋体"/>
          <w:color w:val="auto"/>
          <w:szCs w:val="21"/>
          <w:highlight w:val="none"/>
          <w:lang w:val="en-US" w:eastAsia="zh-CN"/>
        </w:rPr>
        <w:t>响应</w:t>
      </w:r>
      <w:r>
        <w:rPr>
          <w:rFonts w:hint="eastAsia" w:hAnsi="宋体"/>
          <w:color w:val="auto"/>
          <w:szCs w:val="21"/>
          <w:highlight w:val="none"/>
        </w:rPr>
        <w:t>文件技术标评审的总评分中，去掉一个最高分和一个最低分，计算剩余总评分的算术平均值即为该供应商技术标的最终综合得分；当磋商小组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w:t>
      </w:r>
      <w:r>
        <w:rPr>
          <w:rFonts w:hint="eastAsia" w:hAnsi="宋体"/>
          <w:color w:val="auto"/>
          <w:szCs w:val="21"/>
          <w:highlight w:val="none"/>
          <w:lang w:val="en-US" w:eastAsia="zh-CN"/>
        </w:rPr>
        <w:t>响应</w:t>
      </w:r>
      <w:r>
        <w:rPr>
          <w:rFonts w:hint="eastAsia" w:hAnsi="宋体"/>
          <w:color w:val="auto"/>
          <w:szCs w:val="21"/>
          <w:highlight w:val="none"/>
        </w:rPr>
        <w:t>文件技术部分评审的总评分中，去掉一个最高分和一个最低分，计算剩余总评分的算术平均值即为该供应商技术部分的最终综合得分。</w:t>
      </w:r>
    </w:p>
    <w:p w14:paraId="4EB0AB04">
      <w:pPr>
        <w:pStyle w:val="28"/>
        <w:shd w:val="clear"/>
        <w:spacing w:line="360" w:lineRule="auto"/>
        <w:ind w:firstLine="422" w:firstLineChars="200"/>
        <w:rPr>
          <w:rFonts w:hAnsi="宋体"/>
          <w:b/>
          <w:color w:val="auto"/>
          <w:szCs w:val="21"/>
          <w:highlight w:val="none"/>
        </w:rPr>
      </w:pPr>
    </w:p>
    <w:p w14:paraId="380297F7">
      <w:pPr>
        <w:pStyle w:val="28"/>
        <w:shd w:val="clear"/>
        <w:spacing w:line="360" w:lineRule="auto"/>
        <w:ind w:firstLine="422" w:firstLineChars="200"/>
        <w:outlineLvl w:val="0"/>
        <w:rPr>
          <w:rFonts w:hAnsi="宋体"/>
          <w:b/>
          <w:color w:val="auto"/>
          <w:szCs w:val="21"/>
          <w:highlight w:val="none"/>
        </w:rPr>
      </w:pPr>
      <w:bookmarkStart w:id="169" w:name="_Toc4394"/>
      <w:r>
        <w:rPr>
          <w:rFonts w:hint="eastAsia" w:hAnsi="宋体"/>
          <w:b/>
          <w:color w:val="auto"/>
          <w:szCs w:val="21"/>
          <w:highlight w:val="none"/>
        </w:rPr>
        <w:t>五、商务评审</w:t>
      </w:r>
      <w:bookmarkEnd w:id="169"/>
    </w:p>
    <w:p w14:paraId="355795CB">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1.由磋商小组评价每个供应商的商务条件，填写《商务评分表》。</w:t>
      </w:r>
    </w:p>
    <w:p w14:paraId="15922F10">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2.将每一个磋商小组成员的评分汇总，取其算术平均值，为该供应商的商务得分。</w:t>
      </w:r>
    </w:p>
    <w:p w14:paraId="62CB8E65">
      <w:pPr>
        <w:pStyle w:val="28"/>
        <w:shd w:val="clear"/>
        <w:spacing w:line="360" w:lineRule="auto"/>
        <w:ind w:firstLine="422" w:firstLineChars="200"/>
        <w:rPr>
          <w:rFonts w:hAnsi="宋体"/>
          <w:b/>
          <w:color w:val="auto"/>
          <w:szCs w:val="21"/>
          <w:highlight w:val="none"/>
        </w:rPr>
      </w:pPr>
    </w:p>
    <w:p w14:paraId="452FE2BA">
      <w:pPr>
        <w:pStyle w:val="28"/>
        <w:shd w:val="clear"/>
        <w:spacing w:line="360" w:lineRule="auto"/>
        <w:ind w:firstLine="422" w:firstLineChars="200"/>
        <w:outlineLvl w:val="0"/>
        <w:rPr>
          <w:rFonts w:hAnsi="宋体"/>
          <w:b/>
          <w:color w:val="auto"/>
          <w:szCs w:val="21"/>
          <w:highlight w:val="none"/>
        </w:rPr>
      </w:pPr>
      <w:bookmarkStart w:id="170" w:name="_Toc19007"/>
      <w:r>
        <w:rPr>
          <w:rFonts w:hint="eastAsia" w:hAnsi="宋体"/>
          <w:b/>
          <w:color w:val="auto"/>
          <w:szCs w:val="21"/>
          <w:highlight w:val="none"/>
        </w:rPr>
        <w:t>六、报价评审</w:t>
      </w:r>
      <w:bookmarkEnd w:id="170"/>
    </w:p>
    <w:p w14:paraId="09C45B32">
      <w:pPr>
        <w:shd w:val="clear"/>
        <w:tabs>
          <w:tab w:val="left" w:pos="1365"/>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1.价格核准：磋商小组对有效供应商的详细报价进行复核，审查是否有计算上的错误或供货范围上的错误。对错误修正的原则如下：</w:t>
      </w:r>
    </w:p>
    <w:p w14:paraId="117A8D0D">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1.1响应文件的大写金额和小写金额不一致的，以大写金额为准；</w:t>
      </w:r>
    </w:p>
    <w:p w14:paraId="5439A1E8">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1.2当单价和数量的乘积与总价不一致时，以单价为准，并修正总价，但单价金额小数点有明显错误的除外；</w:t>
      </w:r>
    </w:p>
    <w:p w14:paraId="68DD42D0">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1.3当分项之和与总价不一致时，以单价为准，并修正总价。</w:t>
      </w:r>
    </w:p>
    <w:p w14:paraId="39A2E5BD">
      <w:pPr>
        <w:shd w:val="clear"/>
        <w:tabs>
          <w:tab w:val="left" w:pos="1365"/>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2.价格评分：</w:t>
      </w:r>
    </w:p>
    <w:p w14:paraId="070DEF7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将磋商小组修正后的入围供应商的磋商报价，以最后报价最低的供应商的价格</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含税报价</w:t>
      </w:r>
      <w:r>
        <w:rPr>
          <w:rFonts w:hint="eastAsia" w:hAnsi="宋体"/>
          <w:color w:val="auto"/>
          <w:sz w:val="21"/>
          <w:szCs w:val="21"/>
          <w:highlight w:val="none"/>
          <w:lang w:eastAsia="zh-CN"/>
        </w:rPr>
        <w:t>）</w:t>
      </w:r>
      <w:r>
        <w:rPr>
          <w:rFonts w:hint="eastAsia" w:hAnsi="宋体"/>
          <w:color w:val="auto"/>
          <w:sz w:val="21"/>
          <w:szCs w:val="21"/>
          <w:highlight w:val="none"/>
        </w:rPr>
        <w:t>为磋商基准价，定基准价的价格评分。其他磋商报价得分＝价格评分×(磋商基准价／最后磋商报价)。由此算出各供应商的报价得分。</w:t>
      </w:r>
    </w:p>
    <w:p w14:paraId="4BC8058B">
      <w:pPr>
        <w:pStyle w:val="28"/>
        <w:shd w:val="clear"/>
        <w:tabs>
          <w:tab w:val="left" w:pos="1365"/>
        </w:tabs>
        <w:spacing w:line="360" w:lineRule="auto"/>
        <w:ind w:left="16" w:firstLine="422" w:firstLineChars="200"/>
        <w:rPr>
          <w:rFonts w:hAnsi="宋体"/>
          <w:b/>
          <w:color w:val="auto"/>
          <w:szCs w:val="21"/>
          <w:highlight w:val="none"/>
        </w:rPr>
      </w:pPr>
    </w:p>
    <w:p w14:paraId="666A3FF3">
      <w:pPr>
        <w:pStyle w:val="28"/>
        <w:shd w:val="clear"/>
        <w:tabs>
          <w:tab w:val="left" w:pos="1365"/>
        </w:tabs>
        <w:spacing w:line="360" w:lineRule="auto"/>
        <w:ind w:left="16" w:firstLine="422" w:firstLineChars="200"/>
        <w:outlineLvl w:val="0"/>
        <w:rPr>
          <w:rFonts w:hAnsi="宋体"/>
          <w:b/>
          <w:color w:val="auto"/>
          <w:szCs w:val="21"/>
          <w:highlight w:val="none"/>
        </w:rPr>
      </w:pPr>
      <w:bookmarkStart w:id="171" w:name="_Toc3331"/>
      <w:r>
        <w:rPr>
          <w:rFonts w:hint="eastAsia" w:hAnsi="宋体"/>
          <w:b/>
          <w:color w:val="auto"/>
          <w:szCs w:val="21"/>
          <w:highlight w:val="none"/>
        </w:rPr>
        <w:t>七、综合得分的计算</w:t>
      </w:r>
      <w:bookmarkEnd w:id="171"/>
    </w:p>
    <w:p w14:paraId="7565D0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1.综合得分=技术评审得分+商务评审得分+磋商报价得分。</w:t>
      </w:r>
    </w:p>
    <w:p w14:paraId="6C43BB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将综合得分从高到低排出名次，总分第一名为第一成交候选供应商，第二名为第二成交候选供应商，第三名为第三成交候选供应商（综合得分相同的，按磋商报价得分顺序推荐；综合得分相同且磋商报价得分相同的，按技术得分顺序排列）。</w:t>
      </w:r>
    </w:p>
    <w:p w14:paraId="4A64789A">
      <w:pPr>
        <w:shd w:val="clear"/>
        <w:rPr>
          <w:color w:val="auto"/>
          <w:highlight w:val="none"/>
          <w:lang w:val="zh-CN"/>
        </w:rPr>
      </w:pPr>
    </w:p>
    <w:p w14:paraId="073BF0D5">
      <w:pPr>
        <w:pStyle w:val="2"/>
        <w:keepNext/>
        <w:keepLines/>
        <w:pageBreakBefore/>
        <w:numPr>
          <w:ilvl w:val="0"/>
          <w:numId w:val="12"/>
        </w:numPr>
        <w:shd w:val="clear"/>
        <w:spacing w:line="360" w:lineRule="auto"/>
        <w:jc w:val="center"/>
        <w:rPr>
          <w:rFonts w:hAnsi="宋体"/>
          <w:b/>
          <w:bCs/>
          <w:color w:val="auto"/>
          <w:highlight w:val="none"/>
        </w:rPr>
      </w:pPr>
      <w:bookmarkStart w:id="172" w:name="_Toc3360"/>
      <w:bookmarkStart w:id="173" w:name="_Toc15636"/>
      <w:bookmarkStart w:id="174" w:name="_Toc396137242"/>
      <w:bookmarkStart w:id="175" w:name="_Toc9129"/>
      <w:bookmarkStart w:id="176" w:name="_Toc8470"/>
      <w:r>
        <w:rPr>
          <w:rFonts w:hint="eastAsia" w:hAnsi="宋体"/>
          <w:b/>
          <w:bCs/>
          <w:color w:val="auto"/>
          <w:kern w:val="44"/>
          <w:sz w:val="28"/>
          <w:szCs w:val="28"/>
          <w:highlight w:val="none"/>
          <w:lang w:val="zh-CN"/>
        </w:rPr>
        <w:t>合同条款格式</w:t>
      </w:r>
      <w:bookmarkEnd w:id="172"/>
      <w:bookmarkEnd w:id="173"/>
    </w:p>
    <w:p w14:paraId="715FB04F">
      <w:pPr>
        <w:spacing w:line="400" w:lineRule="exact"/>
        <w:jc w:val="center"/>
        <w:rPr>
          <w:rFonts w:hint="eastAsia" w:hAnsi="宋体"/>
          <w:b/>
          <w:bCs/>
          <w:color w:val="auto"/>
          <w:sz w:val="36"/>
          <w:szCs w:val="36"/>
          <w:highlight w:val="none"/>
        </w:rPr>
      </w:pPr>
    </w:p>
    <w:p w14:paraId="68A21EDC">
      <w:pPr>
        <w:spacing w:before="156" w:beforeLines="50" w:after="156" w:afterLines="50" w:line="360" w:lineRule="auto"/>
        <w:ind w:left="480" w:leftChars="200"/>
        <w:jc w:val="left"/>
        <w:rPr>
          <w:rFonts w:hint="eastAsia" w:ascii="宋体" w:hAnsi="宋体"/>
          <w:b/>
          <w:bCs/>
          <w:color w:val="auto"/>
          <w:kern w:val="44"/>
          <w:sz w:val="28"/>
          <w:szCs w:val="28"/>
          <w:highlight w:val="none"/>
          <w:lang w:val="en-US" w:eastAsia="zh-CN"/>
        </w:rPr>
      </w:pPr>
      <w:r>
        <w:rPr>
          <w:rFonts w:hint="eastAsia" w:ascii="宋体" w:hAnsi="宋体"/>
          <w:b/>
          <w:bCs/>
          <w:color w:val="auto"/>
          <w:kern w:val="44"/>
          <w:sz w:val="28"/>
          <w:szCs w:val="28"/>
          <w:highlight w:val="none"/>
          <w:lang w:val="en-US" w:eastAsia="zh-CN"/>
        </w:rPr>
        <w:t>合同编号：</w:t>
      </w:r>
    </w:p>
    <w:p w14:paraId="7A5E8251">
      <w:pPr>
        <w:spacing w:line="400" w:lineRule="exact"/>
        <w:jc w:val="center"/>
        <w:rPr>
          <w:rFonts w:hint="eastAsia" w:hAnsi="宋体"/>
          <w:b/>
          <w:bCs/>
          <w:color w:val="auto"/>
          <w:sz w:val="36"/>
          <w:szCs w:val="36"/>
          <w:highlight w:val="none"/>
        </w:rPr>
      </w:pPr>
    </w:p>
    <w:p w14:paraId="3B45DD23">
      <w:pPr>
        <w:spacing w:line="400" w:lineRule="exact"/>
        <w:jc w:val="center"/>
        <w:rPr>
          <w:rFonts w:hint="eastAsia" w:hAnsi="宋体"/>
          <w:b/>
          <w:bCs/>
          <w:color w:val="auto"/>
          <w:sz w:val="36"/>
          <w:szCs w:val="36"/>
          <w:highlight w:val="none"/>
        </w:rPr>
      </w:pPr>
    </w:p>
    <w:p w14:paraId="232C2747">
      <w:pPr>
        <w:pStyle w:val="20"/>
        <w:spacing w:before="7"/>
        <w:rPr>
          <w:color w:val="auto"/>
          <w:sz w:val="29"/>
          <w:highlight w:val="none"/>
        </w:rPr>
      </w:pPr>
    </w:p>
    <w:p w14:paraId="3643B9D9">
      <w:pPr>
        <w:pStyle w:val="3"/>
        <w:jc w:val="center"/>
        <w:rPr>
          <w:rFonts w:hint="eastAsia" w:eastAsia="黑体"/>
          <w:b w:val="0"/>
          <w:bCs/>
          <w:color w:val="auto"/>
          <w:sz w:val="44"/>
          <w:szCs w:val="21"/>
          <w:highlight w:val="none"/>
        </w:rPr>
      </w:pPr>
      <w:r>
        <w:rPr>
          <w:rFonts w:hint="eastAsia" w:eastAsia="黑体"/>
          <w:b/>
          <w:bCs/>
          <w:color w:val="auto"/>
          <w:sz w:val="52"/>
          <w:highlight w:val="none"/>
          <w:u w:val="single"/>
          <w:lang w:val="en-US" w:eastAsia="zh-CN"/>
        </w:rPr>
        <w:t>大塘村优质产业空间项目（北一期）新建1台500KVA箱变工程合同</w:t>
      </w:r>
    </w:p>
    <w:p w14:paraId="33D6A485">
      <w:pPr>
        <w:rPr>
          <w:color w:val="auto"/>
          <w:highlight w:val="none"/>
        </w:rPr>
      </w:pPr>
    </w:p>
    <w:p w14:paraId="2B508D4D">
      <w:pPr>
        <w:rPr>
          <w:color w:val="auto"/>
          <w:highlight w:val="none"/>
        </w:rPr>
      </w:pPr>
      <w:r>
        <w:rPr>
          <w:rFonts w:hint="eastAsia"/>
          <w:color w:val="auto"/>
          <w:highlight w:val="none"/>
        </w:rPr>
        <w:t xml:space="preserve">    </w:t>
      </w:r>
    </w:p>
    <w:p w14:paraId="064B31A3">
      <w:pPr>
        <w:rPr>
          <w:color w:val="auto"/>
          <w:highlight w:val="none"/>
        </w:rPr>
      </w:pPr>
    </w:p>
    <w:p w14:paraId="42C632EA">
      <w:pPr>
        <w:rPr>
          <w:color w:val="auto"/>
          <w:highlight w:val="none"/>
        </w:rPr>
      </w:pPr>
    </w:p>
    <w:p w14:paraId="0484F0C2">
      <w:pPr>
        <w:rPr>
          <w:color w:val="auto"/>
          <w:highlight w:val="none"/>
        </w:rPr>
      </w:pPr>
    </w:p>
    <w:p w14:paraId="3610E117">
      <w:pPr>
        <w:rPr>
          <w:color w:val="auto"/>
          <w:highlight w:val="none"/>
        </w:rPr>
      </w:pPr>
    </w:p>
    <w:p w14:paraId="656DF315">
      <w:pPr>
        <w:tabs>
          <w:tab w:val="left" w:pos="180"/>
        </w:tabs>
        <w:spacing w:line="360" w:lineRule="auto"/>
        <w:ind w:left="0" w:leftChars="0" w:firstLine="720" w:firstLineChars="300"/>
        <w:rPr>
          <w:rFonts w:hint="eastAsia"/>
          <w:color w:val="auto"/>
          <w:highlight w:val="none"/>
          <w:lang w:val="en-US" w:eastAsia="zh-CN"/>
        </w:rPr>
      </w:pPr>
      <w:r>
        <w:rPr>
          <w:rFonts w:hint="eastAsia"/>
          <w:color w:val="auto"/>
          <w:highlight w:val="none"/>
        </w:rPr>
        <w:t>项目</w:t>
      </w:r>
      <w:r>
        <w:rPr>
          <w:color w:val="auto"/>
          <w:highlight w:val="none"/>
        </w:rPr>
        <w:t>名称</w:t>
      </w:r>
      <w:r>
        <w:rPr>
          <w:rFonts w:hint="eastAsia"/>
          <w:color w:val="auto"/>
          <w:highlight w:val="none"/>
        </w:rPr>
        <w:t>：</w:t>
      </w:r>
      <w:r>
        <w:rPr>
          <w:rFonts w:hint="eastAsia"/>
          <w:color w:val="auto"/>
          <w:highlight w:val="none"/>
          <w:u w:val="single"/>
          <w:lang w:val="en-US" w:eastAsia="zh-CN"/>
        </w:rPr>
        <w:t>大塘村优质产业空间项目（北一期）新建1台500KVA箱变工程</w:t>
      </w:r>
    </w:p>
    <w:p w14:paraId="662D97AD">
      <w:pPr>
        <w:tabs>
          <w:tab w:val="left" w:pos="180"/>
        </w:tabs>
        <w:spacing w:line="360" w:lineRule="auto"/>
        <w:ind w:left="0" w:leftChars="0" w:firstLine="720" w:firstLineChars="300"/>
        <w:rPr>
          <w:color w:val="auto"/>
          <w:highlight w:val="none"/>
          <w:u w:val="single"/>
        </w:rPr>
      </w:pPr>
      <w:r>
        <w:rPr>
          <w:color w:val="auto"/>
          <w:highlight w:val="none"/>
        </w:rPr>
        <w:t>委托方</w:t>
      </w:r>
      <w:r>
        <w:rPr>
          <w:rFonts w:hint="eastAsia"/>
          <w:color w:val="auto"/>
          <w:highlight w:val="none"/>
        </w:rPr>
        <w:t>（甲方）</w:t>
      </w:r>
      <w:r>
        <w:rPr>
          <w:color w:val="auto"/>
          <w:highlight w:val="none"/>
        </w:rPr>
        <w:t>：</w:t>
      </w:r>
      <w:r>
        <w:rPr>
          <w:rFonts w:hint="eastAsia"/>
          <w:color w:val="auto"/>
          <w:highlight w:val="none"/>
          <w:u w:val="single"/>
          <w:lang w:val="en-US" w:eastAsia="zh-CN"/>
        </w:rPr>
        <w:t>东莞市旗创产业投资有限公司</w:t>
      </w:r>
      <w:r>
        <w:rPr>
          <w:rFonts w:hint="eastAsia" w:hAnsi="宋体"/>
          <w:color w:val="auto"/>
          <w:sz w:val="21"/>
          <w:szCs w:val="21"/>
          <w:highlight w:val="none"/>
          <w:u w:val="single"/>
        </w:rPr>
        <w:t xml:space="preserve"> </w:t>
      </w:r>
    </w:p>
    <w:p w14:paraId="5766DA70">
      <w:pPr>
        <w:tabs>
          <w:tab w:val="left" w:pos="180"/>
        </w:tabs>
        <w:spacing w:line="360" w:lineRule="auto"/>
        <w:ind w:left="240" w:leftChars="100" w:firstLine="480" w:firstLineChars="200"/>
        <w:rPr>
          <w:color w:val="auto"/>
          <w:highlight w:val="none"/>
        </w:rPr>
      </w:pPr>
    </w:p>
    <w:p w14:paraId="026E02D0">
      <w:pPr>
        <w:tabs>
          <w:tab w:val="left" w:pos="180"/>
        </w:tabs>
        <w:spacing w:line="360" w:lineRule="auto"/>
        <w:ind w:left="240" w:leftChars="100" w:firstLine="480" w:firstLineChars="200"/>
        <w:rPr>
          <w:rFonts w:hint="eastAsia"/>
          <w:color w:val="auto"/>
          <w:highlight w:val="none"/>
          <w:u w:val="single"/>
        </w:rPr>
      </w:pPr>
      <w:r>
        <w:rPr>
          <w:rFonts w:hint="eastAsia"/>
          <w:color w:val="auto"/>
          <w:highlight w:val="none"/>
        </w:rPr>
        <w:t>承接</w:t>
      </w:r>
      <w:r>
        <w:rPr>
          <w:color w:val="auto"/>
          <w:highlight w:val="none"/>
        </w:rPr>
        <w:t>方</w:t>
      </w:r>
      <w:r>
        <w:rPr>
          <w:rFonts w:hint="eastAsia"/>
          <w:color w:val="auto"/>
          <w:highlight w:val="none"/>
        </w:rPr>
        <w:t>（乙方）</w:t>
      </w:r>
      <w:r>
        <w:rPr>
          <w:color w:val="auto"/>
          <w:highlight w:val="none"/>
        </w:rPr>
        <w:t>：</w:t>
      </w:r>
      <w:r>
        <w:rPr>
          <w:rFonts w:hint="eastAsia"/>
          <w:color w:val="auto"/>
          <w:highlight w:val="none"/>
          <w:u w:val="single"/>
        </w:rPr>
        <w:t xml:space="preserve">                          </w:t>
      </w:r>
    </w:p>
    <w:p w14:paraId="48A575A0">
      <w:pPr>
        <w:tabs>
          <w:tab w:val="left" w:pos="180"/>
        </w:tabs>
        <w:spacing w:line="360" w:lineRule="auto"/>
        <w:ind w:left="240" w:leftChars="100" w:firstLine="480" w:firstLineChars="200"/>
        <w:rPr>
          <w:rFonts w:hint="eastAsia"/>
          <w:color w:val="auto"/>
          <w:highlight w:val="none"/>
          <w:u w:val="single"/>
        </w:rPr>
      </w:pPr>
    </w:p>
    <w:p w14:paraId="1C84586C">
      <w:pPr>
        <w:tabs>
          <w:tab w:val="left" w:pos="180"/>
        </w:tabs>
        <w:spacing w:line="360" w:lineRule="auto"/>
        <w:ind w:left="240" w:leftChars="100" w:firstLine="480" w:firstLineChars="200"/>
        <w:rPr>
          <w:rFonts w:hint="eastAsia"/>
          <w:color w:val="auto"/>
          <w:highlight w:val="none"/>
          <w:u w:val="single"/>
        </w:rPr>
      </w:pPr>
      <w:r>
        <w:rPr>
          <w:rFonts w:hint="eastAsia"/>
          <w:color w:val="auto"/>
          <w:highlight w:val="none"/>
          <w:lang w:val="en-US" w:eastAsia="zh-CN"/>
        </w:rPr>
        <w:t>建设单位</w:t>
      </w:r>
      <w:r>
        <w:rPr>
          <w:rFonts w:hint="eastAsia"/>
          <w:color w:val="auto"/>
          <w:highlight w:val="none"/>
        </w:rPr>
        <w:t>（</w:t>
      </w:r>
      <w:r>
        <w:rPr>
          <w:rFonts w:hint="eastAsia"/>
          <w:color w:val="auto"/>
          <w:highlight w:val="none"/>
          <w:lang w:val="en-US" w:eastAsia="zh-CN"/>
        </w:rPr>
        <w:t>丙</w:t>
      </w:r>
      <w:r>
        <w:rPr>
          <w:rFonts w:hint="eastAsia"/>
          <w:color w:val="auto"/>
          <w:highlight w:val="none"/>
        </w:rPr>
        <w:t>方）</w:t>
      </w:r>
      <w:r>
        <w:rPr>
          <w:color w:val="auto"/>
          <w:highlight w:val="none"/>
        </w:rPr>
        <w:t>：</w:t>
      </w:r>
      <w:r>
        <w:rPr>
          <w:rFonts w:hint="eastAsia" w:ascii="宋体" w:hAnsi="宋体"/>
          <w:color w:val="auto"/>
          <w:szCs w:val="21"/>
          <w:highlight w:val="none"/>
          <w:u w:val="single"/>
          <w:lang w:val="en-US" w:eastAsia="zh-CN"/>
        </w:rPr>
        <w:t>东莞市大岭山镇大塘实业投资有限公司</w:t>
      </w:r>
      <w:r>
        <w:rPr>
          <w:rFonts w:hint="eastAsia" w:hAnsi="宋体"/>
          <w:color w:val="auto"/>
          <w:sz w:val="21"/>
          <w:szCs w:val="21"/>
          <w:highlight w:val="none"/>
          <w:u w:val="single"/>
        </w:rPr>
        <w:t xml:space="preserve">  </w:t>
      </w:r>
    </w:p>
    <w:p w14:paraId="5D064D8F">
      <w:pPr>
        <w:tabs>
          <w:tab w:val="left" w:pos="180"/>
        </w:tabs>
        <w:spacing w:line="360" w:lineRule="auto"/>
        <w:ind w:left="240" w:leftChars="100" w:firstLine="480" w:firstLineChars="200"/>
        <w:jc w:val="center"/>
        <w:rPr>
          <w:color w:val="auto"/>
          <w:szCs w:val="21"/>
          <w:highlight w:val="none"/>
        </w:rPr>
      </w:pPr>
    </w:p>
    <w:p w14:paraId="393DAE62">
      <w:pPr>
        <w:tabs>
          <w:tab w:val="left" w:pos="180"/>
        </w:tabs>
        <w:spacing w:line="360" w:lineRule="auto"/>
        <w:ind w:left="240" w:leftChars="100" w:firstLine="480" w:firstLineChars="200"/>
        <w:rPr>
          <w:rFonts w:hint="eastAsia"/>
          <w:color w:val="auto"/>
          <w:szCs w:val="21"/>
          <w:highlight w:val="none"/>
        </w:rPr>
      </w:pPr>
      <w:r>
        <w:rPr>
          <w:rFonts w:hint="eastAsia"/>
          <w:color w:val="auto"/>
          <w:szCs w:val="21"/>
          <w:highlight w:val="none"/>
        </w:rPr>
        <w:t>签订日期：</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rPr>
        <w:t>年</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505AF154">
      <w:pPr>
        <w:tabs>
          <w:tab w:val="left" w:pos="180"/>
        </w:tabs>
        <w:spacing w:line="360" w:lineRule="auto"/>
        <w:ind w:left="240" w:leftChars="100" w:firstLine="480" w:firstLineChars="200"/>
        <w:rPr>
          <w:rFonts w:hint="eastAsia"/>
          <w:color w:val="auto"/>
          <w:szCs w:val="21"/>
          <w:highlight w:val="none"/>
        </w:rPr>
      </w:pPr>
    </w:p>
    <w:p w14:paraId="27242172">
      <w:pPr>
        <w:tabs>
          <w:tab w:val="left" w:pos="180"/>
        </w:tabs>
        <w:spacing w:line="360" w:lineRule="auto"/>
        <w:ind w:left="240" w:leftChars="100" w:firstLine="480" w:firstLineChars="200"/>
        <w:rPr>
          <w:rFonts w:hint="eastAsia"/>
          <w:color w:val="auto"/>
          <w:szCs w:val="21"/>
          <w:highlight w:val="none"/>
        </w:rPr>
      </w:pPr>
    </w:p>
    <w:p w14:paraId="17DEA8E0">
      <w:pPr>
        <w:tabs>
          <w:tab w:val="left" w:pos="180"/>
        </w:tabs>
        <w:spacing w:line="360" w:lineRule="auto"/>
        <w:ind w:left="240" w:leftChars="100" w:firstLine="480" w:firstLineChars="200"/>
        <w:rPr>
          <w:rFonts w:hint="eastAsia"/>
          <w:color w:val="auto"/>
          <w:szCs w:val="21"/>
          <w:highlight w:val="none"/>
        </w:rPr>
      </w:pPr>
    </w:p>
    <w:p w14:paraId="5C28DD8A">
      <w:pPr>
        <w:tabs>
          <w:tab w:val="left" w:pos="180"/>
        </w:tabs>
        <w:spacing w:line="360" w:lineRule="auto"/>
        <w:ind w:left="240" w:leftChars="100" w:firstLine="480" w:firstLineChars="200"/>
        <w:rPr>
          <w:rFonts w:hint="eastAsia"/>
          <w:color w:val="auto"/>
          <w:szCs w:val="21"/>
          <w:highlight w:val="none"/>
        </w:rPr>
      </w:pPr>
    </w:p>
    <w:p w14:paraId="6ECA1BAD">
      <w:pPr>
        <w:tabs>
          <w:tab w:val="left" w:pos="180"/>
        </w:tabs>
        <w:spacing w:line="360" w:lineRule="auto"/>
        <w:ind w:left="240" w:leftChars="100" w:firstLine="480" w:firstLineChars="200"/>
        <w:rPr>
          <w:rFonts w:hint="eastAsia"/>
          <w:color w:val="auto"/>
          <w:szCs w:val="21"/>
          <w:highlight w:val="none"/>
        </w:rPr>
      </w:pPr>
    </w:p>
    <w:p w14:paraId="6D3D7E44">
      <w:pPr>
        <w:tabs>
          <w:tab w:val="left" w:pos="180"/>
        </w:tabs>
        <w:spacing w:line="360" w:lineRule="auto"/>
        <w:ind w:left="240" w:leftChars="100" w:firstLine="480" w:firstLineChars="200"/>
        <w:rPr>
          <w:rFonts w:hint="eastAsia"/>
          <w:color w:val="auto"/>
          <w:szCs w:val="21"/>
          <w:highlight w:val="none"/>
        </w:rPr>
      </w:pPr>
    </w:p>
    <w:p w14:paraId="325A558C">
      <w:pPr>
        <w:tabs>
          <w:tab w:val="left" w:pos="180"/>
        </w:tabs>
        <w:spacing w:line="360" w:lineRule="auto"/>
        <w:ind w:left="240" w:leftChars="100" w:firstLine="480" w:firstLineChars="200"/>
        <w:rPr>
          <w:rFonts w:hint="eastAsia"/>
          <w:color w:val="auto"/>
          <w:szCs w:val="21"/>
          <w:highlight w:val="none"/>
        </w:rPr>
      </w:pPr>
    </w:p>
    <w:p w14:paraId="451F1B1E">
      <w:pPr>
        <w:pageBreakBefore w:val="0"/>
        <w:widowControl w:val="0"/>
        <w:kinsoku/>
        <w:wordWrap/>
        <w:overflowPunct/>
        <w:topLinePunct w:val="0"/>
        <w:autoSpaceDE/>
        <w:autoSpaceDN/>
        <w:bidi w:val="0"/>
        <w:adjustRightInd/>
        <w:snapToGrid/>
        <w:ind w:firstLine="0" w:firstLineChars="0"/>
        <w:textAlignment w:val="auto"/>
        <w:rPr>
          <w:rFonts w:hint="eastAsia" w:hAnsi="宋体"/>
          <w:color w:val="auto"/>
          <w:sz w:val="24"/>
          <w:szCs w:val="24"/>
          <w:highlight w:val="none"/>
        </w:rPr>
      </w:pPr>
      <w:r>
        <w:rPr>
          <w:rFonts w:hint="eastAsia" w:hAnsi="宋体"/>
          <w:b/>
          <w:color w:val="auto"/>
          <w:sz w:val="24"/>
          <w:szCs w:val="24"/>
          <w:highlight w:val="none"/>
        </w:rPr>
        <w:t>发包人：</w:t>
      </w:r>
      <w:r>
        <w:rPr>
          <w:rFonts w:hint="eastAsia"/>
          <w:color w:val="auto"/>
          <w:sz w:val="24"/>
          <w:szCs w:val="24"/>
          <w:highlight w:val="none"/>
          <w:u w:val="single"/>
          <w:lang w:val="en-US" w:eastAsia="zh-CN"/>
        </w:rPr>
        <w:t>东莞市旗创产业投资有限公司</w:t>
      </w:r>
      <w:r>
        <w:rPr>
          <w:rFonts w:hint="eastAsia" w:hAnsi="宋体"/>
          <w:color w:val="auto"/>
          <w:sz w:val="24"/>
          <w:szCs w:val="24"/>
          <w:highlight w:val="none"/>
        </w:rPr>
        <w:t>（以下简称甲方）</w:t>
      </w:r>
    </w:p>
    <w:p w14:paraId="69F56958">
      <w:pPr>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Times New Roman"/>
          <w:b w:val="0"/>
          <w:bCs w:val="0"/>
          <w:color w:val="auto"/>
          <w:sz w:val="24"/>
          <w:szCs w:val="24"/>
          <w:highlight w:val="none"/>
          <w:lang w:val="en-US" w:eastAsia="zh-CN" w:bidi="ar-SA"/>
        </w:rPr>
      </w:pPr>
      <w:r>
        <w:rPr>
          <w:rFonts w:hint="default" w:ascii="宋体" w:hAnsi="宋体" w:eastAsia="宋体" w:cs="Times New Roman"/>
          <w:b w:val="0"/>
          <w:bCs w:val="0"/>
          <w:color w:val="auto"/>
          <w:sz w:val="24"/>
          <w:szCs w:val="24"/>
          <w:highlight w:val="none"/>
          <w:lang w:val="en-US" w:eastAsia="zh-CN" w:bidi="ar-SA"/>
        </w:rPr>
        <w:t>法定代表人：</w:t>
      </w:r>
      <w:r>
        <w:rPr>
          <w:rFonts w:hint="eastAsia" w:ascii="宋体" w:hAnsi="宋体" w:eastAsia="宋体" w:cs="Times New Roman"/>
          <w:b w:val="0"/>
          <w:bCs w:val="0"/>
          <w:color w:val="auto"/>
          <w:sz w:val="24"/>
          <w:szCs w:val="24"/>
          <w:highlight w:val="none"/>
          <w:u w:val="single"/>
          <w:lang w:val="en-US" w:eastAsia="zh-CN" w:bidi="ar-SA"/>
        </w:rPr>
        <w:t xml:space="preserve">                       </w:t>
      </w:r>
      <w:r>
        <w:rPr>
          <w:rFonts w:hint="eastAsia" w:ascii="宋体" w:hAnsi="宋体" w:eastAsia="宋体" w:cs="Times New Roman"/>
          <w:b w:val="0"/>
          <w:bCs w:val="0"/>
          <w:color w:val="auto"/>
          <w:sz w:val="24"/>
          <w:szCs w:val="24"/>
          <w:highlight w:val="none"/>
          <w:lang w:val="en-US" w:eastAsia="zh-CN" w:bidi="ar-SA"/>
        </w:rPr>
        <w:t xml:space="preserve">             </w:t>
      </w:r>
    </w:p>
    <w:p w14:paraId="4F7EF9C3">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宋体"/>
          <w:color w:val="auto"/>
          <w:sz w:val="24"/>
          <w:szCs w:val="24"/>
          <w:highlight w:val="none"/>
        </w:rPr>
      </w:pPr>
      <w:r>
        <w:rPr>
          <w:rFonts w:hint="default" w:ascii="宋体" w:hAnsi="宋体" w:eastAsia="宋体" w:cs="Times New Roman"/>
          <w:b w:val="0"/>
          <w:bCs w:val="0"/>
          <w:color w:val="auto"/>
          <w:sz w:val="24"/>
          <w:szCs w:val="24"/>
          <w:highlight w:val="none"/>
          <w:lang w:val="en-US" w:eastAsia="zh-CN" w:bidi="ar-SA"/>
        </w:rPr>
        <w:t>联系地址：</w:t>
      </w:r>
      <w:r>
        <w:rPr>
          <w:rFonts w:hint="eastAsia" w:ascii="宋体" w:hAnsi="宋体" w:eastAsia="宋体" w:cs="Times New Roman"/>
          <w:b w:val="0"/>
          <w:bCs w:val="0"/>
          <w:color w:val="auto"/>
          <w:sz w:val="24"/>
          <w:szCs w:val="24"/>
          <w:highlight w:val="none"/>
          <w:u w:val="single"/>
          <w:lang w:val="en-US" w:eastAsia="zh-CN"/>
        </w:rPr>
        <w:t xml:space="preserve">                     </w:t>
      </w:r>
      <w:r>
        <w:rPr>
          <w:rFonts w:hint="eastAsia" w:hAnsi="宋体" w:cs="Times New Roman"/>
          <w:b w:val="0"/>
          <w:bCs w:val="0"/>
          <w:color w:val="auto"/>
          <w:sz w:val="24"/>
          <w:szCs w:val="24"/>
          <w:highlight w:val="none"/>
          <w:u w:val="single"/>
          <w:lang w:val="en-US" w:eastAsia="zh-CN"/>
        </w:rPr>
        <w:t xml:space="preserve"> </w:t>
      </w:r>
      <w:r>
        <w:rPr>
          <w:rFonts w:hint="eastAsia" w:ascii="宋体" w:hAnsi="宋体" w:eastAsia="宋体" w:cs="Times New Roman"/>
          <w:b w:val="0"/>
          <w:bCs w:val="0"/>
          <w:color w:val="auto"/>
          <w:sz w:val="24"/>
          <w:szCs w:val="24"/>
          <w:highlight w:val="none"/>
          <w:u w:val="single"/>
          <w:lang w:val="en-US" w:eastAsia="zh-CN"/>
        </w:rPr>
        <w:t xml:space="preserve">   </w:t>
      </w:r>
    </w:p>
    <w:p w14:paraId="2F43857C">
      <w:pPr>
        <w:pageBreakBefore w:val="0"/>
        <w:widowControl w:val="0"/>
        <w:kinsoku/>
        <w:wordWrap/>
        <w:overflowPunct/>
        <w:topLinePunct w:val="0"/>
        <w:autoSpaceDE/>
        <w:autoSpaceDN/>
        <w:bidi w:val="0"/>
        <w:adjustRightInd/>
        <w:snapToGrid/>
        <w:spacing w:line="600" w:lineRule="exact"/>
        <w:textAlignment w:val="auto"/>
        <w:rPr>
          <w:rFonts w:hint="eastAsia" w:hAnsi="宋体"/>
          <w:color w:val="auto"/>
          <w:sz w:val="24"/>
          <w:szCs w:val="24"/>
          <w:highlight w:val="none"/>
        </w:rPr>
      </w:pPr>
      <w:r>
        <w:rPr>
          <w:rFonts w:hint="eastAsia" w:hAnsi="宋体"/>
          <w:b/>
          <w:color w:val="auto"/>
          <w:sz w:val="24"/>
          <w:szCs w:val="24"/>
          <w:highlight w:val="none"/>
        </w:rPr>
        <w:t>承包人</w:t>
      </w:r>
      <w:r>
        <w:rPr>
          <w:rFonts w:hint="eastAsia" w:hAnsi="宋体"/>
          <w:b/>
          <w:color w:val="auto"/>
          <w:sz w:val="24"/>
          <w:szCs w:val="24"/>
          <w:highlight w:val="none"/>
          <w:u w:val="none"/>
        </w:rPr>
        <w:t>：</w:t>
      </w:r>
      <w:r>
        <w:rPr>
          <w:rFonts w:hint="eastAsia" w:ascii="Times New Roman" w:hAnsi="Times New Roman" w:eastAsia="宋体" w:cs="Times New Roman"/>
          <w:color w:val="auto"/>
          <w:sz w:val="24"/>
          <w:szCs w:val="24"/>
          <w:highlight w:val="none"/>
          <w:u w:val="single"/>
          <w:lang w:val="en-US" w:eastAsia="zh-CN"/>
        </w:rPr>
        <w:t xml:space="preserve">                              </w:t>
      </w:r>
      <w:r>
        <w:rPr>
          <w:rFonts w:hint="eastAsia" w:hAnsi="宋体"/>
          <w:color w:val="auto"/>
          <w:sz w:val="24"/>
          <w:szCs w:val="24"/>
          <w:highlight w:val="none"/>
        </w:rPr>
        <w:t>（以下简称乙方）</w:t>
      </w:r>
    </w:p>
    <w:p w14:paraId="66952E9F">
      <w:pPr>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Times New Roman"/>
          <w:b w:val="0"/>
          <w:bCs w:val="0"/>
          <w:color w:val="auto"/>
          <w:sz w:val="24"/>
          <w:szCs w:val="24"/>
          <w:highlight w:val="none"/>
          <w:u w:val="single"/>
          <w:lang w:val="en-US" w:eastAsia="zh-CN"/>
        </w:rPr>
      </w:pPr>
      <w:r>
        <w:rPr>
          <w:rFonts w:hint="default" w:ascii="宋体" w:hAnsi="宋体" w:eastAsia="宋体" w:cs="Times New Roman"/>
          <w:b w:val="0"/>
          <w:bCs w:val="0"/>
          <w:color w:val="auto"/>
          <w:sz w:val="24"/>
          <w:szCs w:val="24"/>
          <w:highlight w:val="none"/>
          <w:lang w:val="en-US" w:eastAsia="zh-CN"/>
        </w:rPr>
        <w:t>法定代表人：</w:t>
      </w:r>
      <w:r>
        <w:rPr>
          <w:rFonts w:hint="eastAsia" w:ascii="宋体" w:hAnsi="宋体" w:eastAsia="宋体" w:cs="Times New Roman"/>
          <w:b w:val="0"/>
          <w:bCs w:val="0"/>
          <w:color w:val="auto"/>
          <w:sz w:val="24"/>
          <w:szCs w:val="24"/>
          <w:highlight w:val="none"/>
          <w:u w:val="single"/>
          <w:lang w:val="en-US" w:eastAsia="zh-CN"/>
        </w:rPr>
        <w:t xml:space="preserve">                      </w:t>
      </w:r>
    </w:p>
    <w:p w14:paraId="03AE174F">
      <w:pPr>
        <w:pStyle w:val="3"/>
        <w:pageBreakBefore w:val="0"/>
        <w:widowControl w:val="0"/>
        <w:kinsoku/>
        <w:wordWrap/>
        <w:overflowPunct/>
        <w:topLinePunct w:val="0"/>
        <w:autoSpaceDE/>
        <w:autoSpaceDN/>
        <w:bidi w:val="0"/>
        <w:adjustRightInd/>
        <w:snapToGrid/>
        <w:spacing w:before="0" w:after="0"/>
        <w:ind w:firstLine="480" w:firstLineChars="200"/>
        <w:textAlignment w:val="auto"/>
        <w:rPr>
          <w:rFonts w:hint="default" w:eastAsia="宋体"/>
          <w:color w:val="auto"/>
          <w:sz w:val="24"/>
          <w:szCs w:val="24"/>
          <w:highlight w:val="none"/>
          <w:lang w:val="en-US" w:eastAsia="zh-CN"/>
        </w:rPr>
      </w:pPr>
      <w:r>
        <w:rPr>
          <w:rFonts w:hint="default" w:ascii="宋体" w:hAnsi="宋体" w:eastAsia="宋体" w:cs="Times New Roman"/>
          <w:b w:val="0"/>
          <w:bCs w:val="0"/>
          <w:color w:val="auto"/>
          <w:sz w:val="24"/>
          <w:szCs w:val="24"/>
          <w:highlight w:val="none"/>
          <w:lang w:val="en-US" w:eastAsia="zh-CN"/>
        </w:rPr>
        <w:t>联系</w:t>
      </w:r>
      <w:r>
        <w:rPr>
          <w:rFonts w:hint="default" w:ascii="宋体" w:hAnsi="宋体" w:eastAsia="宋体" w:cs="Times New Roman"/>
          <w:b w:val="0"/>
          <w:bCs w:val="0"/>
          <w:color w:val="auto"/>
          <w:sz w:val="24"/>
          <w:szCs w:val="24"/>
          <w:highlight w:val="none"/>
        </w:rPr>
        <w:t>地址：</w:t>
      </w:r>
      <w:r>
        <w:rPr>
          <w:rFonts w:hint="eastAsia" w:ascii="宋体" w:hAnsi="宋体" w:eastAsia="宋体" w:cs="Times New Roman"/>
          <w:b w:val="0"/>
          <w:bCs w:val="0"/>
          <w:color w:val="auto"/>
          <w:sz w:val="24"/>
          <w:szCs w:val="24"/>
          <w:highlight w:val="none"/>
          <w:u w:val="single"/>
          <w:lang w:val="en-US" w:eastAsia="zh-CN"/>
        </w:rPr>
        <w:t xml:space="preserve"> </w:t>
      </w:r>
      <w:r>
        <w:rPr>
          <w:rFonts w:hint="eastAsia" w:cs="Times New Roman"/>
          <w:b w:val="0"/>
          <w:bCs w:val="0"/>
          <w:color w:val="auto"/>
          <w:sz w:val="24"/>
          <w:szCs w:val="24"/>
          <w:highlight w:val="none"/>
          <w:u w:val="single"/>
          <w:lang w:val="en-US" w:eastAsia="zh-CN"/>
        </w:rPr>
        <w:t xml:space="preserve">                       </w:t>
      </w:r>
    </w:p>
    <w:p w14:paraId="461FED73">
      <w:pPr>
        <w:pageBreakBefore w:val="0"/>
        <w:widowControl w:val="0"/>
        <w:kinsoku/>
        <w:wordWrap/>
        <w:overflowPunct/>
        <w:topLinePunct w:val="0"/>
        <w:autoSpaceDE/>
        <w:autoSpaceDN/>
        <w:bidi w:val="0"/>
        <w:adjustRightInd/>
        <w:snapToGrid/>
        <w:spacing w:line="600" w:lineRule="exact"/>
        <w:textAlignment w:val="auto"/>
        <w:rPr>
          <w:rFonts w:hint="eastAsia" w:hAnsi="宋体"/>
          <w:color w:val="auto"/>
          <w:sz w:val="24"/>
          <w:szCs w:val="24"/>
          <w:highlight w:val="none"/>
        </w:rPr>
      </w:pPr>
      <w:r>
        <w:rPr>
          <w:rFonts w:hint="eastAsia" w:hAnsi="宋体"/>
          <w:b/>
          <w:color w:val="auto"/>
          <w:sz w:val="24"/>
          <w:szCs w:val="24"/>
          <w:highlight w:val="none"/>
          <w:lang w:val="en-US" w:eastAsia="zh-CN"/>
        </w:rPr>
        <w:t>建设单位</w:t>
      </w:r>
      <w:r>
        <w:rPr>
          <w:rFonts w:hint="eastAsia" w:hAnsi="宋体"/>
          <w:b/>
          <w:color w:val="auto"/>
          <w:sz w:val="24"/>
          <w:szCs w:val="24"/>
          <w:highlight w:val="none"/>
        </w:rPr>
        <w:t>：</w:t>
      </w:r>
      <w:r>
        <w:rPr>
          <w:rFonts w:hint="eastAsia" w:ascii="宋体" w:hAnsi="宋体"/>
          <w:color w:val="auto"/>
          <w:sz w:val="24"/>
          <w:szCs w:val="24"/>
          <w:highlight w:val="none"/>
          <w:u w:val="single"/>
          <w:lang w:val="en-US" w:eastAsia="zh-CN"/>
        </w:rPr>
        <w:t>东莞市大岭山镇大塘实业投资有限公司</w:t>
      </w:r>
      <w:r>
        <w:rPr>
          <w:rFonts w:hint="eastAsia" w:hAnsi="宋体"/>
          <w:color w:val="auto"/>
          <w:sz w:val="24"/>
          <w:szCs w:val="24"/>
          <w:highlight w:val="none"/>
        </w:rPr>
        <w:t>（以下简称</w:t>
      </w:r>
      <w:r>
        <w:rPr>
          <w:rFonts w:hint="eastAsia" w:hAnsi="宋体"/>
          <w:color w:val="auto"/>
          <w:sz w:val="24"/>
          <w:szCs w:val="24"/>
          <w:highlight w:val="none"/>
          <w:lang w:val="en-US" w:eastAsia="zh-CN"/>
        </w:rPr>
        <w:t>丙</w:t>
      </w:r>
      <w:r>
        <w:rPr>
          <w:rFonts w:hint="eastAsia" w:hAnsi="宋体"/>
          <w:color w:val="auto"/>
          <w:sz w:val="24"/>
          <w:szCs w:val="24"/>
          <w:highlight w:val="none"/>
        </w:rPr>
        <w:t>方）</w:t>
      </w:r>
    </w:p>
    <w:p w14:paraId="51686959">
      <w:pPr>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Times New Roman"/>
          <w:b w:val="0"/>
          <w:bCs w:val="0"/>
          <w:color w:val="auto"/>
          <w:sz w:val="24"/>
          <w:szCs w:val="24"/>
          <w:highlight w:val="none"/>
          <w:u w:val="single"/>
          <w:lang w:val="en-US" w:eastAsia="zh-CN"/>
        </w:rPr>
      </w:pPr>
      <w:r>
        <w:rPr>
          <w:rFonts w:hint="default" w:ascii="宋体" w:hAnsi="宋体" w:eastAsia="宋体" w:cs="Times New Roman"/>
          <w:b w:val="0"/>
          <w:bCs w:val="0"/>
          <w:color w:val="auto"/>
          <w:sz w:val="24"/>
          <w:szCs w:val="24"/>
          <w:highlight w:val="none"/>
          <w:lang w:val="en-US" w:eastAsia="zh-CN"/>
        </w:rPr>
        <w:t>法定代表人：</w:t>
      </w:r>
      <w:r>
        <w:rPr>
          <w:rFonts w:hint="eastAsia" w:ascii="宋体" w:hAnsi="宋体" w:eastAsia="宋体" w:cs="Times New Roman"/>
          <w:b w:val="0"/>
          <w:bCs w:val="0"/>
          <w:color w:val="auto"/>
          <w:sz w:val="24"/>
          <w:szCs w:val="24"/>
          <w:highlight w:val="none"/>
          <w:u w:val="single"/>
          <w:lang w:val="en-US" w:eastAsia="zh-CN"/>
        </w:rPr>
        <w:t xml:space="preserve">                      </w:t>
      </w:r>
    </w:p>
    <w:p w14:paraId="6F4A8504">
      <w:pPr>
        <w:pStyle w:val="3"/>
        <w:pageBreakBefore w:val="0"/>
        <w:widowControl w:val="0"/>
        <w:kinsoku/>
        <w:wordWrap/>
        <w:overflowPunct/>
        <w:topLinePunct w:val="0"/>
        <w:autoSpaceDE/>
        <w:autoSpaceDN/>
        <w:bidi w:val="0"/>
        <w:adjustRightInd/>
        <w:snapToGrid/>
        <w:spacing w:before="0" w:after="0"/>
        <w:ind w:firstLine="480" w:firstLineChars="200"/>
        <w:textAlignment w:val="auto"/>
        <w:rPr>
          <w:rFonts w:hint="default" w:eastAsia="宋体"/>
          <w:color w:val="auto"/>
          <w:sz w:val="24"/>
          <w:szCs w:val="24"/>
          <w:highlight w:val="none"/>
          <w:lang w:val="en-US" w:eastAsia="zh-CN"/>
        </w:rPr>
      </w:pPr>
      <w:r>
        <w:rPr>
          <w:rFonts w:hint="default" w:ascii="宋体" w:hAnsi="宋体" w:eastAsia="宋体" w:cs="Times New Roman"/>
          <w:b w:val="0"/>
          <w:bCs w:val="0"/>
          <w:color w:val="auto"/>
          <w:sz w:val="24"/>
          <w:szCs w:val="24"/>
          <w:highlight w:val="none"/>
          <w:lang w:val="en-US" w:eastAsia="zh-CN"/>
        </w:rPr>
        <w:t>联系</w:t>
      </w:r>
      <w:r>
        <w:rPr>
          <w:rFonts w:hint="default" w:ascii="宋体" w:hAnsi="宋体" w:eastAsia="宋体" w:cs="Times New Roman"/>
          <w:b w:val="0"/>
          <w:bCs w:val="0"/>
          <w:color w:val="auto"/>
          <w:sz w:val="24"/>
          <w:szCs w:val="24"/>
          <w:highlight w:val="none"/>
        </w:rPr>
        <w:t>地址：</w:t>
      </w:r>
      <w:r>
        <w:rPr>
          <w:rFonts w:hint="eastAsia" w:ascii="宋体" w:hAnsi="宋体" w:eastAsia="宋体" w:cs="Times New Roman"/>
          <w:b w:val="0"/>
          <w:bCs w:val="0"/>
          <w:color w:val="auto"/>
          <w:sz w:val="24"/>
          <w:szCs w:val="24"/>
          <w:highlight w:val="none"/>
          <w:u w:val="single"/>
          <w:lang w:val="en-US" w:eastAsia="zh-CN"/>
        </w:rPr>
        <w:t xml:space="preserve"> </w:t>
      </w:r>
      <w:r>
        <w:rPr>
          <w:rFonts w:hint="eastAsia" w:cs="Times New Roman"/>
          <w:b w:val="0"/>
          <w:bCs w:val="0"/>
          <w:color w:val="auto"/>
          <w:sz w:val="24"/>
          <w:szCs w:val="24"/>
          <w:highlight w:val="none"/>
          <w:u w:val="single"/>
          <w:lang w:val="en-US" w:eastAsia="zh-CN"/>
        </w:rPr>
        <w:t xml:space="preserve">                       </w:t>
      </w:r>
    </w:p>
    <w:p w14:paraId="3E238629">
      <w:pPr>
        <w:spacing w:line="360" w:lineRule="auto"/>
        <w:ind w:firstLine="0" w:firstLineChars="0"/>
        <w:rPr>
          <w:rFonts w:hint="eastAsia" w:hAnsi="宋体"/>
          <w:color w:val="auto"/>
          <w:sz w:val="24"/>
          <w:szCs w:val="24"/>
          <w:highlight w:val="none"/>
        </w:rPr>
      </w:pPr>
    </w:p>
    <w:p w14:paraId="490DCDE9">
      <w:pPr>
        <w:tabs>
          <w:tab w:val="left" w:pos="2470"/>
          <w:tab w:val="left" w:pos="3982"/>
          <w:tab w:val="left" w:pos="8764"/>
        </w:tabs>
        <w:spacing w:before="35" w:line="360" w:lineRule="auto"/>
        <w:ind w:left="0" w:right="114" w:firstLine="480" w:firstLineChars="200"/>
        <w:jc w:val="both"/>
        <w:rPr>
          <w:rFonts w:hint="eastAsia" w:ascii="宋体" w:hAnsi="宋体"/>
          <w:color w:val="auto"/>
          <w:szCs w:val="21"/>
          <w:highlight w:val="none"/>
          <w:lang w:eastAsia="zh-CN"/>
        </w:rPr>
      </w:pPr>
      <w:r>
        <w:rPr>
          <w:rFonts w:hint="eastAsia" w:ascii="宋体" w:hAnsi="宋体"/>
          <w:color w:val="auto"/>
          <w:szCs w:val="21"/>
          <w:highlight w:val="none"/>
          <w:lang w:val="en-US" w:eastAsia="zh-CN"/>
        </w:rPr>
        <w:t>东莞市大岭山镇大塘实业投资有限公司</w:t>
      </w:r>
      <w:r>
        <w:rPr>
          <w:rFonts w:hint="eastAsia" w:ascii="宋体" w:hAnsi="宋体"/>
          <w:color w:val="auto"/>
          <w:szCs w:val="21"/>
          <w:highlight w:val="none"/>
          <w:lang w:eastAsia="zh-CN"/>
        </w:rPr>
        <w:t>（以下简称建设单位），</w:t>
      </w:r>
      <w:r>
        <w:rPr>
          <w:rFonts w:hint="eastAsia" w:ascii="宋体" w:hAnsi="宋体"/>
          <w:color w:val="auto"/>
          <w:szCs w:val="21"/>
          <w:highlight w:val="none"/>
          <w:lang w:val="en-US" w:eastAsia="zh-CN"/>
        </w:rPr>
        <w:t>作</w:t>
      </w:r>
      <w:r>
        <w:rPr>
          <w:rFonts w:hint="eastAsia" w:ascii="宋体" w:hAnsi="宋体"/>
          <w:color w:val="auto"/>
          <w:szCs w:val="21"/>
          <w:highlight w:val="none"/>
          <w:lang w:eastAsia="zh-CN"/>
        </w:rPr>
        <w:t>为</w:t>
      </w:r>
      <w:r>
        <w:rPr>
          <w:rFonts w:hint="eastAsia" w:ascii="宋体" w:hAnsi="宋体"/>
          <w:color w:val="auto"/>
          <w:szCs w:val="21"/>
          <w:highlight w:val="none"/>
          <w:lang w:val="en-US" w:eastAsia="zh-CN"/>
        </w:rPr>
        <w:t>大岭山大塘村优质产业空间项目（北一期）新建1台</w:t>
      </w:r>
      <w:r>
        <w:rPr>
          <w:rFonts w:hint="eastAsia" w:hAnsi="宋体"/>
          <w:color w:val="auto"/>
          <w:szCs w:val="21"/>
          <w:highlight w:val="none"/>
          <w:lang w:val="en-US" w:eastAsia="zh-CN"/>
        </w:rPr>
        <w:t>500KVA箱变工程</w:t>
      </w:r>
      <w:r>
        <w:rPr>
          <w:rFonts w:hint="eastAsia" w:ascii="宋体" w:hAnsi="宋体"/>
          <w:color w:val="auto"/>
          <w:szCs w:val="21"/>
          <w:highlight w:val="none"/>
          <w:lang w:eastAsia="zh-CN"/>
        </w:rPr>
        <w:t>的投资主体及建设</w:t>
      </w:r>
      <w:r>
        <w:rPr>
          <w:rFonts w:hint="eastAsia" w:ascii="宋体" w:hAnsi="宋体"/>
          <w:color w:val="auto"/>
          <w:szCs w:val="21"/>
          <w:highlight w:val="none"/>
          <w:lang w:val="en-US" w:eastAsia="zh-CN"/>
        </w:rPr>
        <w:t>单位</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已</w:t>
      </w:r>
      <w:r>
        <w:rPr>
          <w:rFonts w:hint="eastAsia" w:ascii="宋体" w:hAnsi="宋体"/>
          <w:color w:val="auto"/>
          <w:szCs w:val="21"/>
          <w:highlight w:val="none"/>
          <w:lang w:eastAsia="zh-CN"/>
        </w:rPr>
        <w:t>委托</w:t>
      </w:r>
      <w:r>
        <w:rPr>
          <w:rFonts w:hint="eastAsia" w:ascii="宋体" w:hAnsi="宋体"/>
          <w:color w:val="auto"/>
          <w:szCs w:val="21"/>
          <w:highlight w:val="none"/>
          <w:lang w:val="en-US" w:eastAsia="zh-CN"/>
        </w:rPr>
        <w:t>东莞市旗创产业投资有限公司</w:t>
      </w:r>
      <w:r>
        <w:rPr>
          <w:rFonts w:hint="eastAsia" w:ascii="宋体" w:hAnsi="宋体"/>
          <w:color w:val="auto"/>
          <w:szCs w:val="21"/>
          <w:highlight w:val="none"/>
          <w:lang w:eastAsia="zh-CN"/>
        </w:rPr>
        <w:t>（以下简称发包人）</w:t>
      </w:r>
      <w:r>
        <w:rPr>
          <w:rFonts w:hint="eastAsia" w:ascii="宋体" w:hAnsi="宋体"/>
          <w:color w:val="auto"/>
          <w:szCs w:val="21"/>
          <w:highlight w:val="none"/>
          <w:lang w:val="en-US" w:eastAsia="zh-CN"/>
        </w:rPr>
        <w:t>承担</w:t>
      </w:r>
      <w:r>
        <w:rPr>
          <w:rFonts w:hint="eastAsia" w:ascii="宋体" w:hAnsi="宋体"/>
          <w:color w:val="auto"/>
          <w:szCs w:val="21"/>
          <w:highlight w:val="none"/>
          <w:lang w:eastAsia="zh-CN"/>
        </w:rPr>
        <w:t>该项目的</w:t>
      </w:r>
      <w:r>
        <w:rPr>
          <w:rFonts w:hint="eastAsia" w:ascii="宋体" w:hAnsi="宋体"/>
          <w:color w:val="auto"/>
          <w:szCs w:val="21"/>
          <w:highlight w:val="none"/>
          <w:lang w:val="en-US" w:eastAsia="zh-CN"/>
        </w:rPr>
        <w:t>代建服务工作</w:t>
      </w:r>
      <w:r>
        <w:rPr>
          <w:rFonts w:hint="eastAsia" w:ascii="宋体" w:hAnsi="宋体"/>
          <w:color w:val="auto"/>
          <w:szCs w:val="21"/>
          <w:highlight w:val="none"/>
          <w:lang w:eastAsia="zh-CN"/>
        </w:rPr>
        <w:t>。根据《中华人民共和国民法典》、《中华人民共和国建筑法》及有关法律规定，以及建设单位、发包人双方签订的《</w:t>
      </w:r>
      <w:r>
        <w:rPr>
          <w:rFonts w:hint="eastAsia" w:ascii="宋体" w:hAnsi="宋体"/>
          <w:color w:val="auto"/>
          <w:szCs w:val="21"/>
          <w:highlight w:val="none"/>
          <w:lang w:val="en-US" w:eastAsia="zh-CN"/>
        </w:rPr>
        <w:t>大岭山镇大塘优质产业空间项目北地块一期工程代建合同</w:t>
      </w:r>
      <w:r>
        <w:rPr>
          <w:rFonts w:hint="eastAsia" w:ascii="宋体" w:hAnsi="宋体"/>
          <w:color w:val="auto"/>
          <w:szCs w:val="21"/>
          <w:highlight w:val="none"/>
          <w:lang w:eastAsia="zh-CN"/>
        </w:rPr>
        <w:t>》，遵循平等、自愿、公平和诚实信用的原则，建设单位、发包人、承包人三方就承包人负责本项目工程总承包事项协商一致，共同达成如下协议：</w:t>
      </w:r>
    </w:p>
    <w:p w14:paraId="022EB8A6">
      <w:pPr>
        <w:tabs>
          <w:tab w:val="left" w:pos="2470"/>
          <w:tab w:val="left" w:pos="3982"/>
          <w:tab w:val="left" w:pos="8764"/>
        </w:tabs>
        <w:spacing w:before="35" w:line="360" w:lineRule="auto"/>
        <w:ind w:left="0" w:right="114" w:firstLine="480" w:firstLineChars="200"/>
        <w:jc w:val="both"/>
        <w:rPr>
          <w:rFonts w:hint="eastAsia" w:ascii="宋体" w:hAnsi="宋体"/>
          <w:color w:val="auto"/>
          <w:szCs w:val="21"/>
          <w:highlight w:val="none"/>
          <w:lang w:eastAsia="zh-CN"/>
        </w:rPr>
      </w:pPr>
    </w:p>
    <w:p w14:paraId="417D11D9">
      <w:pPr>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rPr>
        <w:t>一、工程概况</w:t>
      </w:r>
    </w:p>
    <w:p w14:paraId="068B6FCD">
      <w:pPr>
        <w:spacing w:line="360" w:lineRule="auto"/>
        <w:ind w:firstLine="480" w:firstLineChars="200"/>
        <w:rPr>
          <w:rFonts w:ascii="宋体" w:hAnsi="宋体" w:cs="仿宋_GB2312"/>
          <w:color w:val="auto"/>
          <w:sz w:val="24"/>
          <w:szCs w:val="24"/>
          <w:highlight w:val="none"/>
        </w:rPr>
      </w:pPr>
      <w:r>
        <w:rPr>
          <w:rFonts w:hint="eastAsia" w:ascii="宋体" w:hAnsi="宋体" w:cs="仿宋_GB2312"/>
          <w:color w:val="auto"/>
          <w:sz w:val="24"/>
          <w:szCs w:val="24"/>
          <w:highlight w:val="none"/>
        </w:rPr>
        <w:t>1.1 工程名称：</w:t>
      </w:r>
      <w:r>
        <w:rPr>
          <w:rFonts w:hint="eastAsia" w:hAnsi="宋体" w:cs="宋体"/>
          <w:b w:val="0"/>
          <w:bCs w:val="0"/>
          <w:color w:val="auto"/>
          <w:sz w:val="24"/>
          <w:szCs w:val="24"/>
          <w:highlight w:val="none"/>
          <w:u w:val="single"/>
          <w:lang w:val="en-US" w:eastAsia="zh-CN"/>
        </w:rPr>
        <w:t>大塘村优质产业空间项目（北一期）新建1台500KVA箱变工程</w:t>
      </w:r>
      <w:r>
        <w:rPr>
          <w:rFonts w:hint="eastAsia" w:hAnsi="宋体" w:cs="仿宋_GB2312"/>
          <w:color w:val="auto"/>
          <w:sz w:val="24"/>
          <w:szCs w:val="24"/>
          <w:highlight w:val="none"/>
        </w:rPr>
        <w:t xml:space="preserve">  </w:t>
      </w:r>
    </w:p>
    <w:p w14:paraId="231A2112">
      <w:pPr>
        <w:spacing w:line="360" w:lineRule="auto"/>
        <w:ind w:firstLine="480" w:firstLineChars="200"/>
        <w:rPr>
          <w:rFonts w:hint="eastAsia" w:hAnsi="宋体" w:cs="宋体"/>
          <w:color w:val="auto"/>
          <w:sz w:val="24"/>
          <w:szCs w:val="24"/>
          <w:highlight w:val="none"/>
          <w:u w:val="single"/>
        </w:rPr>
      </w:pPr>
      <w:r>
        <w:rPr>
          <w:rFonts w:hint="eastAsia" w:ascii="宋体" w:hAnsi="宋体" w:cs="仿宋_GB2312"/>
          <w:color w:val="auto"/>
          <w:sz w:val="24"/>
          <w:szCs w:val="24"/>
          <w:highlight w:val="none"/>
        </w:rPr>
        <w:t>1.2 工程地点：</w:t>
      </w:r>
      <w:r>
        <w:rPr>
          <w:rFonts w:hint="eastAsia" w:hAnsi="宋体" w:cs="宋体"/>
          <w:color w:val="auto"/>
          <w:sz w:val="24"/>
          <w:szCs w:val="24"/>
          <w:highlight w:val="none"/>
          <w:u w:val="single"/>
          <w:lang w:val="en-US" w:eastAsia="zh-CN"/>
        </w:rPr>
        <w:t>东莞市大岭山镇大塘村</w:t>
      </w:r>
      <w:r>
        <w:rPr>
          <w:rFonts w:hint="eastAsia" w:hAnsi="宋体" w:cs="宋体"/>
          <w:color w:val="auto"/>
          <w:sz w:val="24"/>
          <w:szCs w:val="24"/>
          <w:highlight w:val="none"/>
          <w:u w:val="single"/>
        </w:rPr>
        <w:t xml:space="preserve"> </w:t>
      </w:r>
    </w:p>
    <w:p w14:paraId="51C72876">
      <w:pPr>
        <w:spacing w:line="360" w:lineRule="auto"/>
        <w:ind w:firstLine="480" w:firstLineChars="200"/>
        <w:rPr>
          <w:rFonts w:hint="eastAsia" w:ascii="宋体" w:hAnsi="宋体" w:cs="仿宋_GB2312"/>
          <w:color w:val="auto"/>
          <w:sz w:val="24"/>
          <w:szCs w:val="24"/>
          <w:highlight w:val="none"/>
        </w:rPr>
      </w:pPr>
      <w:r>
        <w:rPr>
          <w:rFonts w:hint="eastAsia" w:ascii="宋体" w:hAnsi="宋体" w:cs="仿宋_GB2312"/>
          <w:color w:val="auto"/>
          <w:sz w:val="24"/>
          <w:szCs w:val="24"/>
          <w:highlight w:val="none"/>
        </w:rPr>
        <w:t>1.3 工程规模：</w:t>
      </w:r>
      <w:r>
        <w:rPr>
          <w:rFonts w:hint="eastAsia" w:ascii="宋体" w:hAnsi="宋体" w:cs="仿宋_GB2312"/>
          <w:color w:val="auto"/>
          <w:sz w:val="24"/>
          <w:szCs w:val="24"/>
          <w:highlight w:val="none"/>
          <w:u w:val="single"/>
        </w:rPr>
        <w:t>ZCYJV22-8</w:t>
      </w:r>
      <w:r>
        <w:rPr>
          <w:rFonts w:hint="eastAsia" w:hAnsi="宋体" w:cs="仿宋_GB2312"/>
          <w:color w:val="auto"/>
          <w:sz w:val="24"/>
          <w:szCs w:val="24"/>
          <w:highlight w:val="none"/>
          <w:u w:val="single"/>
          <w:lang w:val="en-US" w:eastAsia="zh-CN"/>
        </w:rPr>
        <w:t>.</w:t>
      </w:r>
      <w:r>
        <w:rPr>
          <w:rFonts w:hint="eastAsia" w:ascii="宋体" w:hAnsi="宋体" w:cs="仿宋_GB2312"/>
          <w:color w:val="auto"/>
          <w:sz w:val="24"/>
          <w:szCs w:val="24"/>
          <w:highlight w:val="none"/>
          <w:u w:val="single"/>
        </w:rPr>
        <w:t>7</w:t>
      </w:r>
      <w:r>
        <w:rPr>
          <w:rFonts w:hint="eastAsia" w:hAnsi="宋体" w:cs="仿宋_GB2312"/>
          <w:color w:val="auto"/>
          <w:sz w:val="24"/>
          <w:szCs w:val="24"/>
          <w:highlight w:val="none"/>
          <w:u w:val="single"/>
          <w:lang w:val="en-US" w:eastAsia="zh-CN"/>
        </w:rPr>
        <w:t>/</w:t>
      </w:r>
      <w:r>
        <w:rPr>
          <w:rFonts w:hint="eastAsia" w:ascii="宋体" w:hAnsi="宋体" w:cs="仿宋_GB2312"/>
          <w:color w:val="auto"/>
          <w:sz w:val="24"/>
          <w:szCs w:val="24"/>
          <w:highlight w:val="none"/>
          <w:u w:val="single"/>
        </w:rPr>
        <w:t>15 kV-3</w:t>
      </w:r>
      <w:r>
        <w:rPr>
          <w:rFonts w:hint="eastAsia" w:hAnsi="宋体" w:cs="仿宋_GB2312"/>
          <w:color w:val="auto"/>
          <w:highlight w:val="none"/>
          <w:u w:val="single"/>
        </w:rPr>
        <w:t>×</w:t>
      </w:r>
      <w:r>
        <w:rPr>
          <w:rFonts w:hint="eastAsia" w:ascii="宋体" w:hAnsi="宋体" w:cs="仿宋_GB2312"/>
          <w:color w:val="auto"/>
          <w:sz w:val="24"/>
          <w:szCs w:val="24"/>
          <w:highlight w:val="none"/>
          <w:u w:val="single"/>
        </w:rPr>
        <w:t>95</w:t>
      </w:r>
      <w:r>
        <w:rPr>
          <w:rFonts w:hint="eastAsia" w:hAnsi="宋体" w:cs="仿宋_GB2312"/>
          <w:color w:val="auto"/>
          <w:highlight w:val="none"/>
          <w:u w:val="single"/>
        </w:rPr>
        <w:t>mm²</w:t>
      </w:r>
      <w:r>
        <w:rPr>
          <w:rFonts w:hint="eastAsia" w:hAnsi="宋体" w:cs="仿宋_GB2312"/>
          <w:color w:val="auto"/>
          <w:highlight w:val="none"/>
          <w:u w:val="single"/>
          <w:lang w:val="en-US" w:eastAsia="zh-CN"/>
        </w:rPr>
        <w:t>电缆约49米，500KVA临时箱变1台。（具体规模以设计图纸及工程量清单为准）</w:t>
      </w:r>
      <w:r>
        <w:rPr>
          <w:rFonts w:hint="eastAsia" w:ascii="宋体" w:hAnsi="宋体" w:cs="仿宋_GB2312"/>
          <w:color w:val="auto"/>
          <w:sz w:val="24"/>
          <w:szCs w:val="24"/>
          <w:highlight w:val="none"/>
        </w:rPr>
        <w:t>。</w:t>
      </w:r>
    </w:p>
    <w:p w14:paraId="648CBFE8">
      <w:pPr>
        <w:spacing w:line="360" w:lineRule="auto"/>
        <w:ind w:firstLine="480" w:firstLineChars="200"/>
        <w:rPr>
          <w:rFonts w:hint="eastAsia" w:ascii="宋体" w:hAnsi="宋体" w:cs="仿宋_GB2312"/>
          <w:color w:val="auto"/>
          <w:sz w:val="24"/>
          <w:szCs w:val="24"/>
          <w:highlight w:val="none"/>
        </w:rPr>
      </w:pPr>
    </w:p>
    <w:p w14:paraId="2585776E">
      <w:pPr>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rPr>
        <w:t>二、工程</w:t>
      </w:r>
      <w:r>
        <w:rPr>
          <w:rFonts w:hint="eastAsia" w:hAnsi="宋体"/>
          <w:b/>
          <w:bCs/>
          <w:color w:val="auto"/>
          <w:sz w:val="24"/>
          <w:szCs w:val="24"/>
          <w:highlight w:val="none"/>
          <w:lang w:val="en-US" w:eastAsia="zh-CN"/>
        </w:rPr>
        <w:t>范围及内容</w:t>
      </w:r>
      <w:r>
        <w:rPr>
          <w:rFonts w:hint="eastAsia" w:hAnsi="宋体"/>
          <w:b/>
          <w:bCs/>
          <w:color w:val="auto"/>
          <w:sz w:val="24"/>
          <w:szCs w:val="24"/>
          <w:highlight w:val="none"/>
        </w:rPr>
        <w:t>：</w:t>
      </w:r>
    </w:p>
    <w:p w14:paraId="43DF4B11">
      <w:pPr>
        <w:spacing w:line="360" w:lineRule="auto"/>
        <w:ind w:firstLine="482" w:firstLineChars="200"/>
        <w:rPr>
          <w:rFonts w:hint="eastAsia" w:ascii="宋体" w:hAnsi="宋体" w:eastAsia="宋体" w:cs="宋体"/>
          <w:b w:val="0"/>
          <w:bCs w:val="0"/>
          <w:color w:val="auto"/>
          <w:sz w:val="24"/>
          <w:szCs w:val="24"/>
          <w:highlight w:val="none"/>
          <w:u w:val="none"/>
          <w:lang w:val="en-US" w:eastAsia="zh-CN"/>
        </w:rPr>
      </w:pPr>
      <w:r>
        <w:rPr>
          <w:rFonts w:hint="eastAsia" w:hAnsi="宋体"/>
          <w:b/>
          <w:bCs/>
          <w:color w:val="auto"/>
          <w:sz w:val="24"/>
          <w:szCs w:val="24"/>
          <w:highlight w:val="none"/>
          <w:lang w:val="en-US" w:eastAsia="zh-CN"/>
        </w:rPr>
        <w:t>2.1</w:t>
      </w:r>
      <w:r>
        <w:rPr>
          <w:rFonts w:hint="eastAsia" w:hAnsi="宋体"/>
          <w:b/>
          <w:bCs/>
          <w:color w:val="auto"/>
          <w:sz w:val="24"/>
          <w:szCs w:val="24"/>
          <w:highlight w:val="none"/>
        </w:rPr>
        <w:t>工程内容：</w:t>
      </w:r>
      <w:r>
        <w:rPr>
          <w:rFonts w:hint="eastAsia" w:hAnsi="宋体" w:cs="宋体"/>
          <w:b w:val="0"/>
          <w:bCs w:val="0"/>
          <w:color w:val="auto"/>
          <w:sz w:val="24"/>
          <w:szCs w:val="24"/>
          <w:highlight w:val="none"/>
          <w:u w:val="none"/>
          <w:lang w:val="en-US" w:eastAsia="zh-CN"/>
        </w:rPr>
        <w:t>大塘村优质产业空间项目（北一期）新建1台500KVA箱变工程</w:t>
      </w:r>
      <w:r>
        <w:rPr>
          <w:rFonts w:hint="eastAsia" w:ascii="宋体" w:hAnsi="宋体" w:eastAsia="宋体" w:cs="宋体"/>
          <w:b w:val="0"/>
          <w:bCs w:val="0"/>
          <w:color w:val="auto"/>
          <w:sz w:val="24"/>
          <w:szCs w:val="24"/>
          <w:highlight w:val="none"/>
          <w:u w:val="none"/>
          <w:lang w:val="en-US" w:eastAsia="zh-CN"/>
        </w:rPr>
        <w:t>图纸范围内的全部设备采购、安装、施工及保修等内容，具体内容详见附件工程量清单及图纸。</w:t>
      </w:r>
    </w:p>
    <w:p w14:paraId="714A5CF7">
      <w:pPr>
        <w:pStyle w:val="64"/>
        <w:spacing w:line="360" w:lineRule="auto"/>
        <w:ind w:firstLine="420"/>
        <w:rPr>
          <w:rFonts w:hAnsi="宋体"/>
          <w:b/>
          <w:bCs/>
          <w:i w:val="0"/>
          <w:iCs w:val="0"/>
          <w:color w:val="auto"/>
          <w:kern w:val="2"/>
          <w:sz w:val="24"/>
          <w:szCs w:val="24"/>
          <w:highlight w:val="none"/>
          <w:lang w:val="en-US"/>
        </w:rPr>
      </w:pPr>
      <w:r>
        <w:rPr>
          <w:rFonts w:hint="eastAsia" w:hAnsi="宋体"/>
          <w:b/>
          <w:bCs/>
          <w:i w:val="0"/>
          <w:iCs w:val="0"/>
          <w:color w:val="auto"/>
          <w:kern w:val="2"/>
          <w:sz w:val="24"/>
          <w:szCs w:val="24"/>
          <w:highlight w:val="none"/>
          <w:lang w:val="en-US" w:eastAsia="zh-CN"/>
        </w:rPr>
        <w:t>2.2 施工</w:t>
      </w:r>
      <w:r>
        <w:rPr>
          <w:rFonts w:hint="eastAsia" w:hAnsi="宋体"/>
          <w:b/>
          <w:bCs/>
          <w:i w:val="0"/>
          <w:iCs w:val="0"/>
          <w:color w:val="auto"/>
          <w:kern w:val="2"/>
          <w:sz w:val="24"/>
          <w:szCs w:val="24"/>
          <w:highlight w:val="none"/>
          <w:lang w:val="en-US"/>
        </w:rPr>
        <w:t>要求：</w:t>
      </w:r>
    </w:p>
    <w:p w14:paraId="28504CBD">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1、</w:t>
      </w:r>
      <w:r>
        <w:rPr>
          <w:rFonts w:hint="eastAsia" w:ascii="宋体" w:eastAsia="宋体"/>
          <w:color w:val="auto"/>
          <w:sz w:val="24"/>
          <w:szCs w:val="24"/>
          <w:highlight w:val="none"/>
          <w:lang w:val="en-US" w:eastAsia="zh-CN"/>
        </w:rPr>
        <w:t>设备</w:t>
      </w:r>
      <w:r>
        <w:rPr>
          <w:rFonts w:hint="eastAsia" w:ascii="宋体" w:eastAsia="宋体"/>
          <w:color w:val="auto"/>
          <w:sz w:val="24"/>
          <w:szCs w:val="24"/>
          <w:highlight w:val="none"/>
        </w:rPr>
        <w:t>包装、发运、保管</w:t>
      </w:r>
      <w:r>
        <w:rPr>
          <w:rFonts w:hint="eastAsia" w:ascii="宋体" w:eastAsia="宋体"/>
          <w:color w:val="auto"/>
          <w:sz w:val="24"/>
          <w:szCs w:val="24"/>
          <w:highlight w:val="none"/>
          <w:lang w:val="en-US" w:eastAsia="zh-CN"/>
        </w:rPr>
        <w:t>及保险</w:t>
      </w:r>
      <w:r>
        <w:rPr>
          <w:rFonts w:hint="eastAsia" w:ascii="宋体" w:eastAsia="宋体"/>
          <w:color w:val="auto"/>
          <w:sz w:val="24"/>
          <w:szCs w:val="24"/>
          <w:highlight w:val="none"/>
        </w:rPr>
        <w:t>要求</w:t>
      </w:r>
    </w:p>
    <w:p w14:paraId="05292EBD">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1）货物材料的包装须是制造商原厂包装，其包装均应有良好的防湿、防锈、防潮、防雨、防腐及防碰撞的措施。对于包装不良的货物材料，乙方应要求供应商更换，否则由于包装不良造成货物材料损失，由乙方承担。</w:t>
      </w:r>
    </w:p>
    <w:p w14:paraId="20FF4901">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（2）乙方负责将货物材料到达现场过程中的全部运输，包括装卸车、货物现场的搬运。</w:t>
      </w:r>
    </w:p>
    <w:p w14:paraId="76CE3ECC">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（3）各种货物必须提供装箱清单，按装箱清单验收货物。</w:t>
      </w:r>
    </w:p>
    <w:p w14:paraId="6029DE33">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（4）货物在现场的保管由乙方负责，直至项目安装、验收完毕。</w:t>
      </w:r>
    </w:p>
    <w:p w14:paraId="7E86A20C">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（5）货物在工程验收合格前的保险由乙方负责，乙方负责其派出的现场服务人员人身意外保险。</w:t>
      </w:r>
    </w:p>
    <w:p w14:paraId="7FF66C05">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（6）货物至甲方指定的</w:t>
      </w:r>
      <w:r>
        <w:rPr>
          <w:rFonts w:hint="eastAsia" w:ascii="宋体" w:eastAsia="宋体"/>
          <w:color w:val="auto"/>
          <w:sz w:val="24"/>
          <w:szCs w:val="24"/>
          <w:highlight w:val="none"/>
          <w:lang w:val="en-US" w:eastAsia="zh-CN"/>
        </w:rPr>
        <w:t>施工</w:t>
      </w:r>
      <w:r>
        <w:rPr>
          <w:rFonts w:hint="eastAsia" w:ascii="宋体" w:eastAsia="宋体"/>
          <w:color w:val="auto"/>
          <w:sz w:val="24"/>
          <w:szCs w:val="24"/>
          <w:highlight w:val="none"/>
        </w:rPr>
        <w:t>现场的包装、保险及发运等环节和费用均由乙方负责。</w:t>
      </w:r>
    </w:p>
    <w:p w14:paraId="3507A07B">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2、安装、调试与验收</w:t>
      </w:r>
    </w:p>
    <w:p w14:paraId="1433D427">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（1）乙方必须依照采购文件中施工图纸的要求和响应文件的承诺，将电力设施系统安装并调试至正常运行的最佳状态。安装中，乙方应注意成品保护，如因粗暴作业</w:t>
      </w:r>
      <w:r>
        <w:rPr>
          <w:rFonts w:hint="eastAsia" w:ascii="宋体" w:eastAsia="宋体"/>
          <w:color w:val="auto"/>
          <w:sz w:val="24"/>
          <w:szCs w:val="24"/>
          <w:highlight w:val="none"/>
          <w:lang w:val="en-US" w:eastAsia="zh-CN"/>
        </w:rPr>
        <w:t>造成丙方</w:t>
      </w:r>
      <w:r>
        <w:rPr>
          <w:rFonts w:hint="eastAsia" w:ascii="宋体" w:eastAsia="宋体"/>
          <w:color w:val="auto"/>
          <w:sz w:val="24"/>
          <w:szCs w:val="24"/>
          <w:highlight w:val="none"/>
        </w:rPr>
        <w:t>设备设施损坏的，须作修复或照价赔偿。另拆除出来的设备统一移交回</w:t>
      </w:r>
      <w:r>
        <w:rPr>
          <w:rFonts w:hint="eastAsia" w:ascii="宋体" w:eastAsia="宋体"/>
          <w:color w:val="auto"/>
          <w:sz w:val="24"/>
          <w:szCs w:val="24"/>
          <w:highlight w:val="none"/>
          <w:lang w:val="en-US" w:eastAsia="zh-CN"/>
        </w:rPr>
        <w:t>丙</w:t>
      </w:r>
      <w:r>
        <w:rPr>
          <w:rFonts w:hint="eastAsia" w:ascii="宋体" w:eastAsia="宋体"/>
          <w:color w:val="auto"/>
          <w:sz w:val="24"/>
          <w:szCs w:val="24"/>
          <w:highlight w:val="none"/>
        </w:rPr>
        <w:t>保管。</w:t>
      </w:r>
    </w:p>
    <w:p w14:paraId="26A10763">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（2）货物若有国家标准按照国家标准验收，若无国家标准按行业标准验收，货物应为原制造商制造的全新产品，整机无污染，无侵权行为、表面无划损、无任何缺陷隐患，在中国境内可依常规安全合法使用。</w:t>
      </w:r>
    </w:p>
    <w:p w14:paraId="4A5E7E88">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（3）货物应为原制造商未启封全新包装，具出厂合格证，序列号、包装箱号应与出厂批号一致，并可追索查阅。所有随货物的附件必须齐全。</w:t>
      </w:r>
    </w:p>
    <w:p w14:paraId="66A75140">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（4）乙方应将关键主机货物的用户手册、保修手册、有关单证资料及配备件、随机工具等交付给甲方，</w:t>
      </w:r>
      <w:r>
        <w:rPr>
          <w:rFonts w:hint="eastAsia" w:ascii="宋体" w:eastAsia="宋体"/>
          <w:color w:val="auto"/>
          <w:sz w:val="24"/>
          <w:szCs w:val="24"/>
          <w:highlight w:val="none"/>
          <w:lang w:val="en-US" w:eastAsia="zh-CN"/>
        </w:rPr>
        <w:t>甲方确认无误后统一移交至丙方，</w:t>
      </w:r>
      <w:r>
        <w:rPr>
          <w:rFonts w:hint="eastAsia" w:ascii="宋体" w:eastAsia="宋体"/>
          <w:color w:val="auto"/>
          <w:sz w:val="24"/>
          <w:szCs w:val="24"/>
          <w:highlight w:val="none"/>
        </w:rPr>
        <w:t>使用操作及安全须知等重要资料应附有中文说明。</w:t>
      </w:r>
    </w:p>
    <w:p w14:paraId="4CBE6DFB">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5）甲方组成验收小组按国家有关规定、规范进行验收，必要时邀请相关的专业人员或机构参与验收。因工程或货物的质量问题发生争议时，由本地质量技术监督部门鉴定。货物符合质量技术标准的，鉴定费由甲方承担，否则鉴定费由乙方承担。</w:t>
      </w:r>
    </w:p>
    <w:p w14:paraId="1677F1BE">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（6）若工程未能通过验收，乙方应于3个日历天内整改完毕。</w:t>
      </w:r>
    </w:p>
    <w:p w14:paraId="72FFED27">
      <w:pPr>
        <w:spacing w:line="360" w:lineRule="auto"/>
        <w:ind w:firstLine="482" w:firstLineChars="200"/>
        <w:rPr>
          <w:rFonts w:hint="eastAsia" w:hAnsi="宋体"/>
          <w:b/>
          <w:bCs/>
          <w:color w:val="auto"/>
          <w:sz w:val="24"/>
          <w:szCs w:val="24"/>
          <w:highlight w:val="none"/>
          <w:lang w:val="en-US" w:eastAsia="zh-CN"/>
        </w:rPr>
      </w:pPr>
    </w:p>
    <w:p w14:paraId="638F787E">
      <w:pPr>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lang w:val="en-US" w:eastAsia="zh-CN"/>
        </w:rPr>
        <w:t>三</w:t>
      </w:r>
      <w:r>
        <w:rPr>
          <w:rFonts w:hint="eastAsia" w:hAnsi="宋体"/>
          <w:b/>
          <w:bCs/>
          <w:color w:val="auto"/>
          <w:sz w:val="24"/>
          <w:szCs w:val="24"/>
          <w:highlight w:val="none"/>
        </w:rPr>
        <w:t>、工期要求</w:t>
      </w:r>
    </w:p>
    <w:p w14:paraId="048853C5">
      <w:pPr>
        <w:spacing w:line="360" w:lineRule="auto"/>
        <w:ind w:firstLine="480" w:firstLineChars="200"/>
        <w:rPr>
          <w:rFonts w:hint="eastAsia"/>
          <w:color w:val="auto"/>
          <w:sz w:val="24"/>
          <w:szCs w:val="24"/>
          <w:highlight w:val="none"/>
        </w:rPr>
      </w:pPr>
      <w:r>
        <w:rPr>
          <w:rFonts w:hint="eastAsia"/>
          <w:color w:val="auto"/>
          <w:sz w:val="24"/>
          <w:szCs w:val="24"/>
          <w:highlight w:val="none"/>
        </w:rPr>
        <w:t>施工工期：</w:t>
      </w:r>
      <w:r>
        <w:rPr>
          <w:rFonts w:hint="eastAsia"/>
          <w:color w:val="auto"/>
          <w:sz w:val="24"/>
          <w:szCs w:val="24"/>
          <w:highlight w:val="none"/>
          <w:u w:val="single"/>
        </w:rPr>
        <w:t xml:space="preserve"> </w:t>
      </w:r>
      <w:r>
        <w:rPr>
          <w:rFonts w:hint="eastAsia"/>
          <w:color w:val="auto"/>
          <w:sz w:val="24"/>
          <w:szCs w:val="24"/>
          <w:highlight w:val="none"/>
          <w:u w:val="single"/>
          <w:lang w:val="en-US" w:eastAsia="zh-CN"/>
        </w:rPr>
        <w:t>30</w:t>
      </w:r>
      <w:r>
        <w:rPr>
          <w:rFonts w:hint="eastAsia"/>
          <w:color w:val="auto"/>
          <w:sz w:val="24"/>
          <w:szCs w:val="24"/>
          <w:highlight w:val="none"/>
          <w:u w:val="single"/>
        </w:rPr>
        <w:t xml:space="preserve"> </w:t>
      </w:r>
      <w:r>
        <w:rPr>
          <w:rFonts w:hint="eastAsia"/>
          <w:color w:val="auto"/>
          <w:sz w:val="24"/>
          <w:szCs w:val="24"/>
          <w:highlight w:val="none"/>
        </w:rPr>
        <w:t>日历天内完工</w:t>
      </w:r>
      <w:r>
        <w:rPr>
          <w:rFonts w:hint="eastAsia"/>
          <w:color w:val="auto"/>
          <w:sz w:val="24"/>
          <w:szCs w:val="24"/>
          <w:highlight w:val="none"/>
          <w:lang w:val="en-US" w:eastAsia="zh-CN"/>
        </w:rPr>
        <w:t>、</w:t>
      </w:r>
      <w:r>
        <w:rPr>
          <w:rFonts w:hint="eastAsia"/>
          <w:color w:val="auto"/>
          <w:sz w:val="24"/>
          <w:szCs w:val="24"/>
          <w:highlight w:val="none"/>
        </w:rPr>
        <w:t>通电</w:t>
      </w:r>
      <w:r>
        <w:rPr>
          <w:rFonts w:hint="eastAsia" w:hAnsi="宋体"/>
          <w:color w:val="auto"/>
          <w:sz w:val="24"/>
          <w:szCs w:val="24"/>
          <w:highlight w:val="none"/>
          <w:lang w:eastAsia="zh-CN"/>
        </w:rPr>
        <w:t>（</w:t>
      </w:r>
      <w:r>
        <w:rPr>
          <w:rFonts w:hint="eastAsia"/>
          <w:color w:val="auto"/>
          <w:sz w:val="24"/>
          <w:szCs w:val="24"/>
          <w:highlight w:val="none"/>
        </w:rPr>
        <w:t>实际开工时间以</w:t>
      </w:r>
      <w:r>
        <w:rPr>
          <w:rFonts w:hint="eastAsia" w:hAnsi="宋体"/>
          <w:color w:val="auto"/>
          <w:sz w:val="24"/>
          <w:szCs w:val="24"/>
          <w:highlight w:val="none"/>
          <w:lang w:val="en-US" w:eastAsia="zh-CN"/>
        </w:rPr>
        <w:t>甲方</w:t>
      </w:r>
      <w:r>
        <w:rPr>
          <w:rFonts w:hint="eastAsia"/>
          <w:color w:val="auto"/>
          <w:sz w:val="24"/>
          <w:szCs w:val="24"/>
          <w:highlight w:val="none"/>
        </w:rPr>
        <w:t>下发的开工令为准）。</w:t>
      </w:r>
    </w:p>
    <w:p w14:paraId="5A4A131A">
      <w:pPr>
        <w:spacing w:line="360" w:lineRule="auto"/>
        <w:ind w:firstLine="482" w:firstLineChars="200"/>
        <w:rPr>
          <w:rFonts w:hint="eastAsia"/>
          <w:b/>
          <w:bCs/>
          <w:color w:val="auto"/>
          <w:sz w:val="24"/>
          <w:szCs w:val="24"/>
          <w:highlight w:val="none"/>
          <w:lang w:val="en-US" w:eastAsia="zh-CN"/>
        </w:rPr>
      </w:pPr>
    </w:p>
    <w:p w14:paraId="740B9C8A">
      <w:pPr>
        <w:spacing w:line="360" w:lineRule="auto"/>
        <w:ind w:firstLine="482" w:firstLineChars="200"/>
        <w:rPr>
          <w:rFonts w:hint="default" w:hAnsi="宋体" w:eastAsia="宋体"/>
          <w:b/>
          <w:bCs/>
          <w:color w:val="auto"/>
          <w:sz w:val="24"/>
          <w:szCs w:val="24"/>
          <w:highlight w:val="none"/>
          <w:lang w:val="en-US" w:eastAsia="zh-CN"/>
        </w:rPr>
      </w:pPr>
      <w:r>
        <w:rPr>
          <w:rFonts w:hint="eastAsia"/>
          <w:b/>
          <w:bCs/>
          <w:color w:val="auto"/>
          <w:sz w:val="24"/>
          <w:szCs w:val="24"/>
          <w:highlight w:val="none"/>
          <w:lang w:val="en-US" w:eastAsia="zh-CN"/>
        </w:rPr>
        <w:t>四</w:t>
      </w:r>
      <w:r>
        <w:rPr>
          <w:rFonts w:hint="eastAsia" w:hAnsi="宋体"/>
          <w:b/>
          <w:bCs/>
          <w:color w:val="auto"/>
          <w:sz w:val="24"/>
          <w:szCs w:val="24"/>
          <w:highlight w:val="none"/>
        </w:rPr>
        <w:t>、工程质量</w:t>
      </w:r>
      <w:r>
        <w:rPr>
          <w:rFonts w:hint="eastAsia" w:hAnsi="宋体"/>
          <w:b/>
          <w:bCs/>
          <w:color w:val="auto"/>
          <w:sz w:val="24"/>
          <w:szCs w:val="24"/>
          <w:highlight w:val="none"/>
          <w:lang w:eastAsia="zh-CN"/>
        </w:rPr>
        <w:t>、</w:t>
      </w:r>
      <w:r>
        <w:rPr>
          <w:rFonts w:hint="eastAsia" w:hAnsi="宋体"/>
          <w:b/>
          <w:bCs/>
          <w:color w:val="auto"/>
          <w:sz w:val="24"/>
          <w:szCs w:val="24"/>
          <w:highlight w:val="none"/>
        </w:rPr>
        <w:t>验收</w:t>
      </w:r>
      <w:r>
        <w:rPr>
          <w:rFonts w:hint="eastAsia" w:hAnsi="宋体"/>
          <w:b/>
          <w:bCs/>
          <w:color w:val="auto"/>
          <w:sz w:val="24"/>
          <w:szCs w:val="24"/>
          <w:highlight w:val="none"/>
          <w:lang w:val="en-US" w:eastAsia="zh-CN"/>
        </w:rPr>
        <w:t>及质保</w:t>
      </w:r>
    </w:p>
    <w:p w14:paraId="35F10263">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4.1</w:t>
      </w:r>
      <w:r>
        <w:rPr>
          <w:rFonts w:hint="eastAsia" w:hAnsi="宋体"/>
          <w:color w:val="auto"/>
          <w:sz w:val="24"/>
          <w:szCs w:val="24"/>
          <w:highlight w:val="none"/>
        </w:rPr>
        <w:t>工程质量</w:t>
      </w:r>
    </w:p>
    <w:p w14:paraId="29F8A996">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乙方应严格按照供电局及相关部门审批通过的设计图纸、说明文件和国家颁发的建筑工程规范、规程和标准进行施工，符合工程所在地相关施工规范及中华人民共和国现行国家标准、国家优质工程验收标准，并接受甲方现场代表的监督。乙方应在施工现场采取维护安全、防范风险、预防火灾等措施并对施工现场实行封闭管理。乙方应当遵守有关环境保护和安全生产的法律、法规的规定，采取控制和处理施工现场的各种粉尘、废气、废水、固体废物以及噪声、振动对环境的污染和危害的措施。乙方负责市容、环保、交通、派出所、街道等部门和周边居民的协调工作，甲方</w:t>
      </w:r>
      <w:r>
        <w:rPr>
          <w:rFonts w:hint="eastAsia" w:hAnsi="宋体"/>
          <w:color w:val="auto"/>
          <w:sz w:val="24"/>
          <w:szCs w:val="24"/>
          <w:highlight w:val="none"/>
          <w:lang w:val="en-US" w:eastAsia="zh-CN"/>
        </w:rPr>
        <w:t>及丙方</w:t>
      </w:r>
      <w:r>
        <w:rPr>
          <w:rFonts w:hint="eastAsia" w:hAnsi="宋体"/>
          <w:color w:val="auto"/>
          <w:sz w:val="24"/>
          <w:szCs w:val="24"/>
          <w:highlight w:val="none"/>
        </w:rPr>
        <w:t>应提供协助。</w:t>
      </w:r>
    </w:p>
    <w:p w14:paraId="06681C0A">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 xml:space="preserve">4.2 </w:t>
      </w:r>
      <w:r>
        <w:rPr>
          <w:rFonts w:hint="eastAsia" w:hAnsi="宋体"/>
          <w:color w:val="auto"/>
          <w:sz w:val="24"/>
          <w:szCs w:val="24"/>
          <w:highlight w:val="none"/>
        </w:rPr>
        <w:t>验收</w:t>
      </w:r>
    </w:p>
    <w:p w14:paraId="0CAB31F6">
      <w:pPr>
        <w:pStyle w:val="202"/>
        <w:spacing w:line="360" w:lineRule="auto"/>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达到国家或行业质量检验评定的合格标准，且需满足南方电网及广东电网的有关技术标准；</w:t>
      </w:r>
    </w:p>
    <w:p w14:paraId="39B37E14">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（2）</w:t>
      </w:r>
      <w:r>
        <w:rPr>
          <w:rFonts w:hint="eastAsia" w:hAnsi="宋体"/>
          <w:color w:val="auto"/>
          <w:sz w:val="24"/>
          <w:szCs w:val="24"/>
          <w:highlight w:val="none"/>
        </w:rPr>
        <w:t>满足设计和使用要求，严格按照设计图纸和施工验收规范进行施工，符合国家和当地供电局的质量检验评定标准。本工程质量验收等级：合格，并满足国家及地方现行最新规范要求。</w:t>
      </w:r>
    </w:p>
    <w:p w14:paraId="3185604D">
      <w:pPr>
        <w:spacing w:line="360" w:lineRule="auto"/>
        <w:ind w:firstLine="480" w:firstLineChars="200"/>
        <w:rPr>
          <w:rFonts w:hint="default" w:ascii="Times New Roman" w:hAnsi="宋体" w:eastAsia="宋体" w:cs="Times New Roman"/>
          <w:color w:val="auto"/>
          <w:sz w:val="24"/>
          <w:szCs w:val="24"/>
          <w:highlight w:val="none"/>
          <w:lang w:val="en-US" w:eastAsia="zh-CN"/>
        </w:rPr>
      </w:pPr>
      <w:r>
        <w:rPr>
          <w:rFonts w:hint="eastAsia" w:ascii="Times New Roman" w:hAnsi="宋体" w:eastAsia="宋体" w:cs="Times New Roman"/>
          <w:color w:val="auto"/>
          <w:sz w:val="24"/>
          <w:szCs w:val="24"/>
          <w:highlight w:val="none"/>
          <w:lang w:val="en-US" w:eastAsia="zh-CN"/>
        </w:rPr>
        <w:t>4.3 质保期及质保服务要求</w:t>
      </w:r>
    </w:p>
    <w:p w14:paraId="07D95E7F">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（1）质保期：自工程验收合格之日起二年。</w:t>
      </w:r>
    </w:p>
    <w:p w14:paraId="40E8E683">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（2）质保期内</w:t>
      </w:r>
      <w:r>
        <w:rPr>
          <w:rFonts w:hint="eastAsia" w:ascii="宋体" w:eastAsia="宋体"/>
          <w:color w:val="auto"/>
          <w:sz w:val="24"/>
          <w:szCs w:val="24"/>
          <w:highlight w:val="none"/>
          <w:lang w:eastAsia="zh-CN"/>
        </w:rPr>
        <w:t>，</w:t>
      </w:r>
      <w:r>
        <w:rPr>
          <w:rFonts w:hint="eastAsia" w:ascii="宋体" w:eastAsia="宋体"/>
          <w:color w:val="auto"/>
          <w:sz w:val="24"/>
          <w:szCs w:val="24"/>
          <w:highlight w:val="none"/>
        </w:rPr>
        <w:t>乙方施工项目在保修期限内出现问题，由乙方进行保修，保修范围为乙方施工的工程项目（以工程结算书所列项目为准）。乙方对所供货物实行包修、包换、包退。</w:t>
      </w:r>
    </w:p>
    <w:p w14:paraId="1FA05946">
      <w:pPr>
        <w:pStyle w:val="77"/>
        <w:spacing w:line="360" w:lineRule="auto"/>
        <w:ind w:firstLine="484" w:firstLineChars="202"/>
        <w:rPr>
          <w:rFonts w:ascii="宋体" w:eastAsia="宋体"/>
          <w:color w:val="auto"/>
          <w:sz w:val="24"/>
          <w:szCs w:val="24"/>
          <w:highlight w:val="none"/>
        </w:rPr>
      </w:pPr>
      <w:r>
        <w:rPr>
          <w:rFonts w:hint="eastAsia" w:ascii="宋体" w:eastAsia="宋体"/>
          <w:color w:val="auto"/>
          <w:sz w:val="24"/>
          <w:szCs w:val="24"/>
          <w:highlight w:val="none"/>
        </w:rPr>
        <w:t>（3）质保期内，如货物或零部件因非人为因素出现故障而造成短期停用时，则质保期相应顺延。如停用时间累计超过60天则质保期重新计算。乙方应对影响货物正常运转的故障负责，相关费用由乙方承担，所有服务由乙方上门进行，不得收取任何费用。</w:t>
      </w:r>
    </w:p>
    <w:p w14:paraId="15ED1380">
      <w:pPr>
        <w:pStyle w:val="77"/>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（4）在质保期内，因乙方原因出现质量问题由乙方负责保修的人工费和材料费，因乙方工程质量原因造成的</w:t>
      </w:r>
      <w:r>
        <w:rPr>
          <w:rFonts w:hint="eastAsia" w:ascii="宋体" w:eastAsia="宋体"/>
          <w:color w:val="auto"/>
          <w:sz w:val="24"/>
          <w:szCs w:val="24"/>
          <w:highlight w:val="none"/>
          <w:lang w:eastAsia="zh-CN"/>
        </w:rPr>
        <w:t>其他</w:t>
      </w:r>
      <w:r>
        <w:rPr>
          <w:rFonts w:hint="eastAsia" w:ascii="宋体" w:eastAsia="宋体"/>
          <w:color w:val="auto"/>
          <w:sz w:val="24"/>
          <w:szCs w:val="24"/>
          <w:highlight w:val="none"/>
        </w:rPr>
        <w:t>损失，由乙方按当时市场价格全额赔偿。</w:t>
      </w:r>
    </w:p>
    <w:p w14:paraId="67C5E8BF">
      <w:pPr>
        <w:pStyle w:val="77"/>
        <w:spacing w:line="360" w:lineRule="auto"/>
        <w:ind w:firstLine="484" w:firstLineChars="202"/>
        <w:rPr>
          <w:rFonts w:hint="eastAsia" w:ascii="宋体" w:eastAsia="宋体" w:cs="Times New Roman"/>
          <w:b w:val="0"/>
          <w:color w:val="auto"/>
          <w:kern w:val="0"/>
          <w:sz w:val="24"/>
          <w:szCs w:val="24"/>
          <w:highlight w:val="none"/>
        </w:rPr>
      </w:pPr>
      <w:r>
        <w:rPr>
          <w:rFonts w:hint="eastAsia" w:ascii="宋体" w:eastAsia="宋体" w:cs="Times New Roman"/>
          <w:b w:val="0"/>
          <w:color w:val="auto"/>
          <w:kern w:val="0"/>
          <w:sz w:val="24"/>
          <w:szCs w:val="24"/>
          <w:highlight w:val="none"/>
        </w:rPr>
        <w:t>（5）服务响应时间：乙方在接报后 4 小时内响应，8 小时内到达现场，24 小时内处理完毕。</w:t>
      </w:r>
      <w:r>
        <w:rPr>
          <w:rFonts w:hint="eastAsia" w:ascii="宋体" w:eastAsia="宋体" w:cs="Times New Roman"/>
          <w:b w:val="0"/>
          <w:color w:val="auto"/>
          <w:kern w:val="0"/>
          <w:sz w:val="24"/>
          <w:szCs w:val="24"/>
          <w:highlight w:val="none"/>
          <w:lang w:val="en-US" w:eastAsia="zh-CN"/>
        </w:rPr>
        <w:t>若乙方在接报后4小时内未做响应、8小时内未到现场或者24小时内未能有效解决故障的，</w:t>
      </w:r>
      <w:r>
        <w:rPr>
          <w:rFonts w:hint="eastAsia" w:ascii="宋体" w:eastAsia="宋体" w:cs="Times New Roman"/>
          <w:b w:val="0"/>
          <w:color w:val="auto"/>
          <w:kern w:val="0"/>
          <w:sz w:val="24"/>
          <w:szCs w:val="24"/>
          <w:highlight w:val="none"/>
        </w:rPr>
        <w:t>甲方</w:t>
      </w:r>
      <w:r>
        <w:rPr>
          <w:rFonts w:hint="eastAsia" w:ascii="宋体" w:eastAsia="宋体" w:cs="Times New Roman"/>
          <w:b w:val="0"/>
          <w:color w:val="auto"/>
          <w:kern w:val="0"/>
          <w:sz w:val="24"/>
          <w:szCs w:val="24"/>
          <w:highlight w:val="none"/>
          <w:lang w:val="en-US" w:eastAsia="zh-CN"/>
        </w:rPr>
        <w:t>及丙方</w:t>
      </w:r>
      <w:r>
        <w:rPr>
          <w:rFonts w:hint="eastAsia" w:ascii="宋体" w:eastAsia="宋体" w:cs="Times New Roman"/>
          <w:b w:val="0"/>
          <w:color w:val="auto"/>
          <w:kern w:val="0"/>
          <w:sz w:val="24"/>
          <w:szCs w:val="24"/>
          <w:highlight w:val="none"/>
        </w:rPr>
        <w:t>有权委托</w:t>
      </w:r>
      <w:r>
        <w:rPr>
          <w:rFonts w:hint="eastAsia" w:ascii="宋体" w:eastAsia="宋体" w:cs="Times New Roman"/>
          <w:b w:val="0"/>
          <w:color w:val="auto"/>
          <w:kern w:val="0"/>
          <w:sz w:val="24"/>
          <w:szCs w:val="24"/>
          <w:highlight w:val="none"/>
          <w:lang w:eastAsia="zh-CN"/>
        </w:rPr>
        <w:t>其他</w:t>
      </w:r>
      <w:r>
        <w:rPr>
          <w:rFonts w:hint="eastAsia" w:ascii="宋体" w:eastAsia="宋体" w:cs="Times New Roman"/>
          <w:b w:val="0"/>
          <w:color w:val="auto"/>
          <w:kern w:val="0"/>
          <w:sz w:val="24"/>
          <w:szCs w:val="24"/>
          <w:highlight w:val="none"/>
        </w:rPr>
        <w:t>单位或人员进行修复，维修费用</w:t>
      </w:r>
      <w:r>
        <w:rPr>
          <w:rFonts w:hint="eastAsia" w:ascii="宋体" w:eastAsia="宋体" w:cs="Times New Roman"/>
          <w:b w:val="0"/>
          <w:color w:val="auto"/>
          <w:kern w:val="0"/>
          <w:sz w:val="24"/>
          <w:szCs w:val="24"/>
          <w:highlight w:val="none"/>
          <w:lang w:val="en-US" w:eastAsia="zh-CN"/>
        </w:rPr>
        <w:t>丙方</w:t>
      </w:r>
      <w:r>
        <w:rPr>
          <w:rFonts w:hint="eastAsia" w:ascii="宋体" w:eastAsia="宋体" w:cs="Times New Roman"/>
          <w:b w:val="0"/>
          <w:color w:val="auto"/>
          <w:kern w:val="0"/>
          <w:sz w:val="24"/>
          <w:szCs w:val="24"/>
          <w:highlight w:val="none"/>
        </w:rPr>
        <w:t>有权从质保金中优先扣除，不足部分由乙方承担，且本工程的整体保修责任继续由乙方承担，直至保修期结束。若设备发生故障，在 24 小时内仍未能有效解决，乙方须免费提供同档次的设备予甲方</w:t>
      </w:r>
      <w:r>
        <w:rPr>
          <w:rFonts w:hint="eastAsia" w:ascii="宋体" w:eastAsia="宋体" w:cs="Times New Roman"/>
          <w:b w:val="0"/>
          <w:color w:val="auto"/>
          <w:kern w:val="0"/>
          <w:sz w:val="24"/>
          <w:szCs w:val="24"/>
          <w:highlight w:val="none"/>
          <w:lang w:val="en-US" w:eastAsia="zh-CN"/>
        </w:rPr>
        <w:t>及丙方</w:t>
      </w:r>
      <w:r>
        <w:rPr>
          <w:rFonts w:hint="eastAsia" w:ascii="宋体" w:eastAsia="宋体" w:cs="Times New Roman"/>
          <w:b w:val="0"/>
          <w:color w:val="auto"/>
          <w:kern w:val="0"/>
          <w:sz w:val="24"/>
          <w:szCs w:val="24"/>
          <w:highlight w:val="none"/>
        </w:rPr>
        <w:t>临时使用。</w:t>
      </w:r>
    </w:p>
    <w:p w14:paraId="64B28648">
      <w:pPr>
        <w:pStyle w:val="77"/>
        <w:spacing w:line="360" w:lineRule="auto"/>
        <w:ind w:firstLine="484" w:firstLineChars="202"/>
        <w:rPr>
          <w:rFonts w:hint="default" w:ascii="宋体" w:eastAsia="宋体" w:cs="Times New Roman"/>
          <w:b w:val="0"/>
          <w:color w:val="auto"/>
          <w:kern w:val="0"/>
          <w:sz w:val="24"/>
          <w:szCs w:val="24"/>
          <w:highlight w:val="none"/>
          <w:lang w:val="en-US" w:eastAsia="zh-CN"/>
        </w:rPr>
      </w:pPr>
    </w:p>
    <w:p w14:paraId="005C80F6">
      <w:pPr>
        <w:spacing w:line="360" w:lineRule="auto"/>
        <w:ind w:firstLine="482" w:firstLineChars="200"/>
        <w:rPr>
          <w:rFonts w:hAnsi="宋体"/>
          <w:color w:val="auto"/>
          <w:sz w:val="24"/>
          <w:szCs w:val="24"/>
          <w:highlight w:val="none"/>
        </w:rPr>
      </w:pPr>
      <w:r>
        <w:rPr>
          <w:rFonts w:hint="eastAsia" w:hAnsi="宋体"/>
          <w:b/>
          <w:bCs/>
          <w:color w:val="auto"/>
          <w:sz w:val="24"/>
          <w:szCs w:val="24"/>
          <w:highlight w:val="none"/>
          <w:lang w:val="en-US" w:eastAsia="zh-CN"/>
        </w:rPr>
        <w:t>五</w:t>
      </w:r>
      <w:r>
        <w:rPr>
          <w:rFonts w:hint="eastAsia" w:hAnsi="宋体"/>
          <w:b/>
          <w:bCs/>
          <w:color w:val="auto"/>
          <w:sz w:val="24"/>
          <w:szCs w:val="24"/>
          <w:highlight w:val="none"/>
        </w:rPr>
        <w:t>、合同价款</w:t>
      </w:r>
    </w:p>
    <w:p w14:paraId="468548C3">
      <w:pPr>
        <w:tabs>
          <w:tab w:val="left" w:pos="3405"/>
        </w:tabs>
        <w:spacing w:line="360" w:lineRule="auto"/>
        <w:ind w:firstLine="480" w:firstLineChars="200"/>
        <w:rPr>
          <w:rFonts w:hint="eastAsia" w:ascii="宋体" w:hAnsi="宋体" w:cs="宋体"/>
          <w:color w:val="auto"/>
          <w:sz w:val="24"/>
          <w:szCs w:val="24"/>
          <w:highlight w:val="none"/>
          <w:lang w:val="zh-CN"/>
        </w:rPr>
      </w:pPr>
      <w:r>
        <w:rPr>
          <w:rFonts w:hint="eastAsia" w:ascii="Times New Roman" w:hAnsi="宋体" w:eastAsia="宋体" w:cs="Times New Roman"/>
          <w:color w:val="auto"/>
          <w:sz w:val="24"/>
          <w:szCs w:val="24"/>
          <w:highlight w:val="none"/>
          <w:lang w:val="en-US" w:eastAsia="zh-CN"/>
        </w:rPr>
        <w:t>5.1.</w:t>
      </w:r>
      <w:r>
        <w:rPr>
          <w:rFonts w:hint="eastAsia" w:ascii="Times New Roman" w:hAnsi="宋体" w:eastAsia="宋体" w:cs="Times New Roman"/>
          <w:color w:val="auto"/>
          <w:sz w:val="24"/>
          <w:szCs w:val="24"/>
          <w:highlight w:val="none"/>
          <w:lang w:val="zh-CN" w:eastAsia="zh-CN"/>
        </w:rPr>
        <w:t>本</w:t>
      </w:r>
      <w:r>
        <w:rPr>
          <w:rFonts w:hint="eastAsia" w:ascii="宋体" w:hAnsi="宋体" w:cs="宋体"/>
          <w:color w:val="auto"/>
          <w:sz w:val="24"/>
          <w:szCs w:val="24"/>
          <w:highlight w:val="none"/>
          <w:lang w:val="zh-CN"/>
        </w:rPr>
        <w:t>合同（含税）总价款为￥</w:t>
      </w:r>
      <w:r>
        <w:rPr>
          <w:rFonts w:ascii="宋体" w:hAnsi="宋体" w:cs="宋体"/>
          <w:color w:val="auto"/>
          <w:sz w:val="24"/>
          <w:szCs w:val="24"/>
          <w:highlight w:val="none"/>
          <w:u w:val="single"/>
          <w:lang w:val="zh-CN"/>
        </w:rPr>
        <w:t xml:space="preserve">          </w:t>
      </w:r>
      <w:r>
        <w:rPr>
          <w:rFonts w:hint="eastAsia" w:ascii="宋体" w:hAnsi="宋体" w:cs="宋体"/>
          <w:color w:val="auto"/>
          <w:sz w:val="24"/>
          <w:szCs w:val="24"/>
          <w:highlight w:val="none"/>
          <w:lang w:val="zh-CN"/>
        </w:rPr>
        <w:t>元（大写人民币</w:t>
      </w:r>
      <w:r>
        <w:rPr>
          <w:rFonts w:ascii="宋体" w:hAnsi="宋体" w:cs="宋体"/>
          <w:color w:val="auto"/>
          <w:sz w:val="24"/>
          <w:szCs w:val="24"/>
          <w:highlight w:val="none"/>
          <w:u w:val="single"/>
          <w:lang w:val="zh-CN"/>
        </w:rPr>
        <w:t xml:space="preserve">           </w:t>
      </w:r>
      <w:r>
        <w:rPr>
          <w:rFonts w:hint="eastAsia" w:ascii="宋体" w:hAnsi="宋体" w:cs="宋体"/>
          <w:color w:val="auto"/>
          <w:sz w:val="24"/>
          <w:szCs w:val="24"/>
          <w:highlight w:val="none"/>
          <w:lang w:val="zh-CN"/>
        </w:rPr>
        <w:t>元），其中：增值税率为</w:t>
      </w:r>
      <w:r>
        <w:rPr>
          <w:rFonts w:ascii="宋体" w:hAnsi="宋体" w:cs="宋体"/>
          <w:color w:val="auto"/>
          <w:sz w:val="24"/>
          <w:szCs w:val="24"/>
          <w:highlight w:val="none"/>
          <w:u w:val="single"/>
          <w:lang w:val="zh-CN"/>
        </w:rPr>
        <w:t xml:space="preserve">   </w:t>
      </w:r>
      <w:r>
        <w:rPr>
          <w:rFonts w:ascii="宋体" w:hAnsi="宋体" w:cs="宋体"/>
          <w:color w:val="auto"/>
          <w:sz w:val="24"/>
          <w:szCs w:val="24"/>
          <w:highlight w:val="none"/>
          <w:lang w:val="zh-CN"/>
        </w:rPr>
        <w:t>%，税金金额￥</w:t>
      </w:r>
      <w:r>
        <w:rPr>
          <w:rFonts w:ascii="宋体" w:hAnsi="宋体" w:cs="宋体"/>
          <w:color w:val="auto"/>
          <w:sz w:val="24"/>
          <w:szCs w:val="24"/>
          <w:highlight w:val="none"/>
          <w:u w:val="single"/>
          <w:lang w:val="zh-CN"/>
        </w:rPr>
        <w:t xml:space="preserve">        </w:t>
      </w:r>
      <w:r>
        <w:rPr>
          <w:rFonts w:hint="eastAsia" w:ascii="宋体" w:hAnsi="宋体" w:cs="宋体"/>
          <w:color w:val="auto"/>
          <w:sz w:val="24"/>
          <w:szCs w:val="24"/>
          <w:highlight w:val="none"/>
          <w:lang w:val="zh-CN"/>
        </w:rPr>
        <w:t>元，不含税合同总价款为￥</w:t>
      </w:r>
      <w:r>
        <w:rPr>
          <w:rFonts w:ascii="宋体" w:hAnsi="宋体" w:cs="宋体"/>
          <w:color w:val="auto"/>
          <w:sz w:val="24"/>
          <w:szCs w:val="24"/>
          <w:highlight w:val="none"/>
          <w:u w:val="single"/>
          <w:lang w:val="zh-CN"/>
        </w:rPr>
        <w:t xml:space="preserve">           </w:t>
      </w:r>
      <w:r>
        <w:rPr>
          <w:rFonts w:hint="eastAsia" w:ascii="宋体" w:hAnsi="宋体" w:cs="宋体"/>
          <w:color w:val="auto"/>
          <w:sz w:val="24"/>
          <w:szCs w:val="24"/>
          <w:highlight w:val="none"/>
          <w:lang w:val="zh-CN"/>
        </w:rPr>
        <w:t>元。</w:t>
      </w:r>
    </w:p>
    <w:p w14:paraId="1A60966B">
      <w:pPr>
        <w:spacing w:line="360" w:lineRule="auto"/>
        <w:ind w:firstLine="480" w:firstLineChars="200"/>
        <w:rPr>
          <w:rFonts w:hint="eastAsia" w:ascii="宋体" w:hAnsi="宋体" w:eastAsia="宋体" w:cs="宋体"/>
          <w:color w:val="auto"/>
          <w:sz w:val="24"/>
          <w:szCs w:val="24"/>
          <w:highlight w:val="none"/>
          <w:lang w:val="en-US"/>
        </w:rPr>
      </w:pPr>
      <w:r>
        <w:rPr>
          <w:rFonts w:hint="eastAsia" w:hAnsi="宋体"/>
          <w:color w:val="auto"/>
          <w:sz w:val="24"/>
          <w:szCs w:val="24"/>
          <w:highlight w:val="none"/>
          <w:lang w:val="en-US" w:eastAsia="zh-CN"/>
        </w:rPr>
        <w:t>5.2.</w:t>
      </w:r>
      <w:r>
        <w:rPr>
          <w:rFonts w:hint="eastAsia" w:hAnsi="宋体"/>
          <w:color w:val="auto"/>
          <w:sz w:val="24"/>
          <w:szCs w:val="24"/>
          <w:highlight w:val="none"/>
        </w:rPr>
        <w:t>本项目</w:t>
      </w:r>
      <w:r>
        <w:rPr>
          <w:rFonts w:hint="eastAsia" w:hAnsi="宋体"/>
          <w:color w:val="auto"/>
          <w:sz w:val="24"/>
          <w:szCs w:val="24"/>
          <w:highlight w:val="none"/>
          <w:lang w:val="en-US" w:eastAsia="zh-CN"/>
        </w:rPr>
        <w:t>采用</w:t>
      </w:r>
      <w:r>
        <w:rPr>
          <w:rFonts w:hint="eastAsia" w:hAnsi="宋体"/>
          <w:color w:val="auto"/>
          <w:sz w:val="24"/>
          <w:szCs w:val="24"/>
          <w:highlight w:val="none"/>
        </w:rPr>
        <w:t>总价包干</w:t>
      </w:r>
      <w:r>
        <w:rPr>
          <w:rFonts w:hint="eastAsia" w:hAnsi="宋体"/>
          <w:color w:val="auto"/>
          <w:sz w:val="24"/>
          <w:szCs w:val="24"/>
          <w:highlight w:val="none"/>
          <w:lang w:val="en-US" w:eastAsia="zh-CN"/>
        </w:rPr>
        <w:t>方式</w:t>
      </w:r>
      <w:r>
        <w:rPr>
          <w:rFonts w:hint="eastAsia" w:hAnsi="宋体"/>
          <w:color w:val="auto"/>
          <w:sz w:val="24"/>
          <w:szCs w:val="24"/>
          <w:highlight w:val="none"/>
        </w:rPr>
        <w:t>，</w:t>
      </w:r>
      <w:r>
        <w:rPr>
          <w:rFonts w:hint="eastAsia" w:hAnsi="宋体"/>
          <w:color w:val="auto"/>
          <w:sz w:val="24"/>
          <w:szCs w:val="24"/>
          <w:highlight w:val="none"/>
          <w:lang w:val="en-US" w:eastAsia="zh-CN"/>
        </w:rPr>
        <w:t>合同</w:t>
      </w:r>
      <w:r>
        <w:rPr>
          <w:rFonts w:hint="eastAsia" w:hAnsi="宋体"/>
          <w:color w:val="auto"/>
          <w:sz w:val="24"/>
          <w:szCs w:val="24"/>
          <w:highlight w:val="none"/>
        </w:rPr>
        <w:t>价</w:t>
      </w:r>
      <w:r>
        <w:rPr>
          <w:rFonts w:hint="eastAsia" w:hAnsi="宋体"/>
          <w:color w:val="auto"/>
          <w:sz w:val="24"/>
          <w:szCs w:val="24"/>
          <w:highlight w:val="none"/>
          <w:lang w:val="en-US" w:eastAsia="zh-CN"/>
        </w:rPr>
        <w:t>包括但不限于</w:t>
      </w:r>
      <w:r>
        <w:rPr>
          <w:rFonts w:hint="eastAsia" w:hAnsi="宋体"/>
          <w:color w:val="auto"/>
          <w:sz w:val="24"/>
          <w:szCs w:val="24"/>
          <w:highlight w:val="none"/>
        </w:rPr>
        <w:t>图纸深化设计、包报装、包验收通电、包工包料、包机械设备、包工期、包质量、包安全、包税收、利润和相关部门验收费等与本项目有关的所有费用。履约过程可预见和不可预见的一切费用，且在合同执行过程中不作任何调整</w:t>
      </w:r>
      <w:r>
        <w:rPr>
          <w:rFonts w:hint="eastAsia" w:hAnsi="宋体"/>
          <w:color w:val="auto"/>
          <w:sz w:val="24"/>
          <w:szCs w:val="24"/>
          <w:highlight w:val="none"/>
          <w:lang w:eastAsia="zh-CN"/>
        </w:rPr>
        <w:t>。</w:t>
      </w:r>
    </w:p>
    <w:p w14:paraId="0985AAA9">
      <w:pPr>
        <w:spacing w:line="360" w:lineRule="auto"/>
        <w:ind w:firstLine="480" w:firstLineChars="200"/>
        <w:rPr>
          <w:rFonts w:hint="eastAsia" w:ascii="宋体" w:hAnsi="宋体" w:eastAsia="宋体" w:cs="宋体"/>
          <w:color w:val="auto"/>
          <w:sz w:val="24"/>
          <w:szCs w:val="24"/>
          <w:highlight w:val="none"/>
          <w:lang w:val="en-US" w:eastAsia="zh-CN"/>
        </w:rPr>
      </w:pPr>
    </w:p>
    <w:p w14:paraId="38460E72">
      <w:pPr>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lang w:val="en-US" w:eastAsia="zh-CN"/>
        </w:rPr>
        <w:t>六</w:t>
      </w:r>
      <w:r>
        <w:rPr>
          <w:rFonts w:hint="eastAsia" w:hAnsi="宋体"/>
          <w:b/>
          <w:bCs/>
          <w:color w:val="auto"/>
          <w:sz w:val="24"/>
          <w:szCs w:val="24"/>
          <w:highlight w:val="none"/>
        </w:rPr>
        <w:t>、付款方式</w:t>
      </w:r>
    </w:p>
    <w:p w14:paraId="35ED7112">
      <w:pPr>
        <w:spacing w:line="360" w:lineRule="auto"/>
        <w:ind w:firstLine="480" w:firstLineChars="200"/>
        <w:rPr>
          <w:rFonts w:hint="eastAsia" w:hAnsi="宋体" w:eastAsia="宋体" w:cs="Times New Roman"/>
          <w:color w:val="auto"/>
          <w:sz w:val="24"/>
          <w:szCs w:val="24"/>
          <w:highlight w:val="none"/>
          <w:lang w:val="en-US" w:eastAsia="zh-CN"/>
        </w:rPr>
      </w:pPr>
      <w:r>
        <w:rPr>
          <w:rFonts w:hint="eastAsia" w:hAnsi="宋体" w:eastAsia="宋体" w:cs="Times New Roman"/>
          <w:color w:val="auto"/>
          <w:sz w:val="24"/>
          <w:szCs w:val="24"/>
          <w:highlight w:val="none"/>
          <w:lang w:val="en-US" w:eastAsia="zh-CN"/>
        </w:rPr>
        <w:t>6.1 本合同工程款按以下方式分期支付：</w:t>
      </w:r>
    </w:p>
    <w:p w14:paraId="36913427">
      <w:pPr>
        <w:spacing w:line="360" w:lineRule="auto"/>
        <w:ind w:firstLine="480" w:firstLineChars="200"/>
        <w:rPr>
          <w:rFonts w:hint="eastAsia" w:hAnsi="宋体" w:eastAsia="宋体" w:cs="Times New Roman"/>
          <w:color w:val="auto"/>
          <w:sz w:val="24"/>
          <w:szCs w:val="24"/>
          <w:highlight w:val="none"/>
          <w:lang w:val="en-US" w:eastAsia="zh-CN"/>
        </w:rPr>
      </w:pPr>
      <w:r>
        <w:rPr>
          <w:rFonts w:hint="eastAsia" w:hAnsi="宋体" w:cs="Times New Roman"/>
          <w:color w:val="auto"/>
          <w:sz w:val="24"/>
          <w:szCs w:val="24"/>
          <w:highlight w:val="none"/>
          <w:lang w:val="en-US" w:eastAsia="zh-CN"/>
        </w:rPr>
        <w:t>（1）</w:t>
      </w:r>
      <w:r>
        <w:rPr>
          <w:rFonts w:hint="eastAsia" w:hAnsi="宋体" w:eastAsia="宋体" w:cs="Times New Roman"/>
          <w:color w:val="auto"/>
          <w:sz w:val="24"/>
          <w:szCs w:val="24"/>
          <w:highlight w:val="none"/>
          <w:lang w:val="en-US" w:eastAsia="zh-CN"/>
        </w:rPr>
        <w:t>合同签订后，乙方在取得供电局批复的正式供电方案</w:t>
      </w:r>
      <w:r>
        <w:rPr>
          <w:rFonts w:hint="eastAsia" w:hAnsi="宋体" w:cs="Times New Roman"/>
          <w:color w:val="auto"/>
          <w:sz w:val="24"/>
          <w:szCs w:val="24"/>
          <w:highlight w:val="none"/>
          <w:lang w:val="en-US" w:eastAsia="zh-CN"/>
        </w:rPr>
        <w:t>后，丙方收到乙方</w:t>
      </w:r>
      <w:r>
        <w:rPr>
          <w:rFonts w:hint="eastAsia" w:hAnsi="宋体" w:eastAsia="宋体" w:cs="Times New Roman"/>
          <w:color w:val="auto"/>
          <w:sz w:val="24"/>
          <w:szCs w:val="24"/>
          <w:highlight w:val="none"/>
        </w:rPr>
        <w:t>等额增值税专用发票及请款资料后十五个工作日</w:t>
      </w:r>
      <w:r>
        <w:rPr>
          <w:rFonts w:hint="eastAsia" w:hAnsi="宋体" w:cs="Times New Roman"/>
          <w:color w:val="auto"/>
          <w:sz w:val="24"/>
          <w:szCs w:val="24"/>
          <w:highlight w:val="none"/>
          <w:lang w:val="en-US" w:eastAsia="zh-CN"/>
        </w:rPr>
        <w:t>内</w:t>
      </w:r>
      <w:r>
        <w:rPr>
          <w:rFonts w:hint="eastAsia" w:hAnsi="宋体" w:eastAsia="宋体" w:cs="Times New Roman"/>
          <w:color w:val="auto"/>
          <w:sz w:val="24"/>
          <w:szCs w:val="24"/>
          <w:highlight w:val="none"/>
          <w:lang w:val="en-US" w:eastAsia="zh-CN"/>
        </w:rPr>
        <w:t>，</w:t>
      </w:r>
      <w:r>
        <w:rPr>
          <w:rFonts w:hint="eastAsia" w:hAnsi="宋体" w:cs="Times New Roman"/>
          <w:color w:val="auto"/>
          <w:sz w:val="24"/>
          <w:szCs w:val="24"/>
          <w:highlight w:val="none"/>
          <w:lang w:val="en-US" w:eastAsia="zh-CN"/>
        </w:rPr>
        <w:t>丙方</w:t>
      </w:r>
      <w:r>
        <w:rPr>
          <w:rFonts w:hint="eastAsia" w:hAnsi="宋体" w:eastAsia="宋体" w:cs="Times New Roman"/>
          <w:color w:val="auto"/>
          <w:sz w:val="24"/>
          <w:szCs w:val="24"/>
          <w:highlight w:val="none"/>
          <w:lang w:val="en-US" w:eastAsia="zh-CN"/>
        </w:rPr>
        <w:t>支付合同总价的10%；</w:t>
      </w:r>
    </w:p>
    <w:p w14:paraId="61EC72BD">
      <w:pPr>
        <w:spacing w:line="360" w:lineRule="auto"/>
        <w:ind w:firstLine="480" w:firstLineChars="200"/>
        <w:rPr>
          <w:rFonts w:hint="eastAsia" w:hAnsi="宋体" w:eastAsia="宋体" w:cs="Times New Roman"/>
          <w:color w:val="auto"/>
          <w:sz w:val="24"/>
          <w:szCs w:val="24"/>
          <w:highlight w:val="none"/>
          <w:lang w:val="en-US" w:eastAsia="zh-CN"/>
        </w:rPr>
      </w:pPr>
      <w:r>
        <w:rPr>
          <w:rFonts w:hint="eastAsia" w:hAnsi="宋体" w:cs="Times New Roman"/>
          <w:color w:val="auto"/>
          <w:sz w:val="24"/>
          <w:szCs w:val="24"/>
          <w:highlight w:val="none"/>
          <w:lang w:val="en-US" w:eastAsia="zh-CN"/>
        </w:rPr>
        <w:t>（2）</w:t>
      </w:r>
      <w:r>
        <w:rPr>
          <w:rFonts w:hint="eastAsia" w:hAnsi="宋体" w:eastAsia="宋体" w:cs="Times New Roman"/>
          <w:color w:val="auto"/>
          <w:sz w:val="24"/>
          <w:szCs w:val="24"/>
          <w:highlight w:val="none"/>
        </w:rPr>
        <w:t>全部设备进场和</w:t>
      </w:r>
      <w:r>
        <w:rPr>
          <w:rFonts w:hint="eastAsia" w:hAnsi="宋体" w:eastAsia="宋体" w:cs="Times New Roman"/>
          <w:color w:val="auto"/>
          <w:sz w:val="24"/>
          <w:szCs w:val="24"/>
          <w:highlight w:val="none"/>
          <w:lang w:val="en-US" w:eastAsia="zh-CN"/>
        </w:rPr>
        <w:t>工程</w:t>
      </w:r>
      <w:r>
        <w:rPr>
          <w:rFonts w:hint="eastAsia" w:hAnsi="宋体" w:eastAsia="宋体" w:cs="Times New Roman"/>
          <w:color w:val="auto"/>
          <w:sz w:val="24"/>
          <w:szCs w:val="24"/>
          <w:highlight w:val="none"/>
        </w:rPr>
        <w:t>竣工验收后，</w:t>
      </w:r>
      <w:r>
        <w:rPr>
          <w:rFonts w:hint="eastAsia" w:hAnsi="宋体" w:cs="Times New Roman"/>
          <w:color w:val="auto"/>
          <w:sz w:val="24"/>
          <w:szCs w:val="24"/>
          <w:highlight w:val="none"/>
          <w:lang w:val="en-US" w:eastAsia="zh-CN"/>
        </w:rPr>
        <w:t>丙方</w:t>
      </w:r>
      <w:r>
        <w:rPr>
          <w:rFonts w:hint="eastAsia" w:hAnsi="宋体" w:eastAsia="宋体" w:cs="Times New Roman"/>
          <w:color w:val="auto"/>
          <w:sz w:val="24"/>
          <w:szCs w:val="24"/>
          <w:highlight w:val="none"/>
        </w:rPr>
        <w:t>收到乙方提供开具的等额增值税专用发票及请款资料后十五个工作日内支付至合同总</w:t>
      </w:r>
      <w:r>
        <w:rPr>
          <w:rFonts w:hint="eastAsia" w:hAnsi="宋体" w:eastAsia="宋体" w:cs="Times New Roman"/>
          <w:color w:val="auto"/>
          <w:sz w:val="24"/>
          <w:szCs w:val="24"/>
          <w:highlight w:val="none"/>
          <w:lang w:val="en-US" w:eastAsia="zh-CN"/>
        </w:rPr>
        <w:t>价</w:t>
      </w:r>
      <w:r>
        <w:rPr>
          <w:rFonts w:hint="eastAsia" w:hAnsi="宋体" w:eastAsia="宋体" w:cs="Times New Roman"/>
          <w:color w:val="auto"/>
          <w:sz w:val="24"/>
          <w:szCs w:val="24"/>
          <w:highlight w:val="none"/>
        </w:rPr>
        <w:t>的</w:t>
      </w:r>
      <w:r>
        <w:rPr>
          <w:rFonts w:hint="eastAsia" w:hAnsi="宋体" w:eastAsia="宋体" w:cs="Times New Roman"/>
          <w:color w:val="auto"/>
          <w:sz w:val="24"/>
          <w:szCs w:val="24"/>
          <w:highlight w:val="none"/>
          <w:lang w:val="en-US" w:eastAsia="zh-CN"/>
        </w:rPr>
        <w:t>的70%；</w:t>
      </w:r>
    </w:p>
    <w:p w14:paraId="747D2D63">
      <w:pPr>
        <w:spacing w:line="360" w:lineRule="auto"/>
        <w:ind w:firstLine="480" w:firstLineChars="200"/>
        <w:rPr>
          <w:rFonts w:hint="eastAsia" w:hAnsi="宋体" w:eastAsia="宋体" w:cs="Times New Roman"/>
          <w:color w:val="auto"/>
          <w:sz w:val="24"/>
          <w:szCs w:val="24"/>
          <w:highlight w:val="none"/>
        </w:rPr>
      </w:pPr>
      <w:r>
        <w:rPr>
          <w:rFonts w:hint="eastAsia" w:hAnsi="宋体" w:cs="Times New Roman"/>
          <w:color w:val="auto"/>
          <w:sz w:val="24"/>
          <w:szCs w:val="24"/>
          <w:highlight w:val="none"/>
          <w:lang w:val="en-US" w:eastAsia="zh-CN"/>
        </w:rPr>
        <w:t>（3）三方完成</w:t>
      </w:r>
      <w:r>
        <w:rPr>
          <w:rFonts w:hint="eastAsia" w:hAnsi="宋体" w:eastAsia="宋体" w:cs="Times New Roman"/>
          <w:color w:val="auto"/>
          <w:sz w:val="24"/>
          <w:szCs w:val="24"/>
          <w:highlight w:val="none"/>
        </w:rPr>
        <w:t>结算后，</w:t>
      </w:r>
      <w:r>
        <w:rPr>
          <w:rFonts w:hint="eastAsia" w:hAnsi="宋体" w:cs="Times New Roman"/>
          <w:color w:val="auto"/>
          <w:sz w:val="24"/>
          <w:szCs w:val="24"/>
          <w:highlight w:val="none"/>
          <w:lang w:val="en-US" w:eastAsia="zh-CN"/>
        </w:rPr>
        <w:t>丙方</w:t>
      </w:r>
      <w:r>
        <w:rPr>
          <w:rFonts w:hint="eastAsia" w:hAnsi="宋体" w:eastAsia="宋体" w:cs="Times New Roman"/>
          <w:color w:val="auto"/>
          <w:sz w:val="24"/>
          <w:szCs w:val="24"/>
          <w:highlight w:val="none"/>
        </w:rPr>
        <w:t>在收到等额增值税专用发票及请款资料后十五个工作日内支付至合同结算金额的97%；</w:t>
      </w:r>
    </w:p>
    <w:p w14:paraId="0730624D">
      <w:pPr>
        <w:spacing w:line="360" w:lineRule="auto"/>
        <w:ind w:firstLine="480" w:firstLineChars="200"/>
        <w:rPr>
          <w:rFonts w:hint="eastAsia" w:hAnsi="宋体" w:eastAsia="宋体" w:cs="Times New Roman"/>
          <w:color w:val="auto"/>
          <w:sz w:val="24"/>
          <w:szCs w:val="24"/>
          <w:highlight w:val="none"/>
          <w:lang w:val="en-US" w:eastAsia="zh-CN"/>
        </w:rPr>
      </w:pPr>
      <w:r>
        <w:rPr>
          <w:rFonts w:hint="eastAsia" w:hAnsi="宋体" w:cs="Times New Roman"/>
          <w:color w:val="auto"/>
          <w:sz w:val="24"/>
          <w:szCs w:val="24"/>
          <w:highlight w:val="none"/>
          <w:lang w:eastAsia="zh-CN"/>
        </w:rPr>
        <w:t>（</w:t>
      </w:r>
      <w:r>
        <w:rPr>
          <w:rFonts w:hint="eastAsia" w:hAnsi="宋体" w:cs="Times New Roman"/>
          <w:color w:val="auto"/>
          <w:sz w:val="24"/>
          <w:szCs w:val="24"/>
          <w:highlight w:val="none"/>
          <w:lang w:val="en-US" w:eastAsia="zh-CN"/>
        </w:rPr>
        <w:t>4</w:t>
      </w:r>
      <w:r>
        <w:rPr>
          <w:rFonts w:hint="eastAsia" w:hAnsi="宋体" w:cs="Times New Roman"/>
          <w:color w:val="auto"/>
          <w:sz w:val="24"/>
          <w:szCs w:val="24"/>
          <w:highlight w:val="none"/>
          <w:lang w:eastAsia="zh-CN"/>
        </w:rPr>
        <w:t>）</w:t>
      </w:r>
      <w:r>
        <w:rPr>
          <w:rFonts w:hint="eastAsia" w:hAnsi="宋体" w:eastAsia="宋体" w:cs="Times New Roman"/>
          <w:color w:val="auto"/>
          <w:sz w:val="24"/>
          <w:szCs w:val="24"/>
          <w:highlight w:val="none"/>
        </w:rPr>
        <w:t>质保期满通过质保期验收后，</w:t>
      </w:r>
      <w:r>
        <w:rPr>
          <w:rFonts w:hint="eastAsia" w:hAnsi="宋体" w:cs="Times New Roman"/>
          <w:color w:val="auto"/>
          <w:sz w:val="24"/>
          <w:szCs w:val="24"/>
          <w:highlight w:val="none"/>
          <w:lang w:val="en-US" w:eastAsia="zh-CN"/>
        </w:rPr>
        <w:t>丙方</w:t>
      </w:r>
      <w:r>
        <w:rPr>
          <w:rFonts w:hint="eastAsia" w:hAnsi="宋体" w:eastAsia="宋体" w:cs="Times New Roman"/>
          <w:color w:val="auto"/>
          <w:sz w:val="24"/>
          <w:szCs w:val="24"/>
          <w:highlight w:val="none"/>
        </w:rPr>
        <w:t>在收到等额增值税专用发票及请款资料后十五个工作日内支付剩余结算总价的3%。</w:t>
      </w:r>
    </w:p>
    <w:p w14:paraId="5CB7928C">
      <w:pPr>
        <w:spacing w:line="360" w:lineRule="auto"/>
        <w:ind w:firstLine="480" w:firstLineChars="200"/>
        <w:rPr>
          <w:rFonts w:hAnsi="宋体"/>
          <w:b w:val="0"/>
          <w:bCs w:val="0"/>
          <w:color w:val="auto"/>
          <w:sz w:val="24"/>
          <w:szCs w:val="24"/>
          <w:highlight w:val="none"/>
        </w:rPr>
      </w:pPr>
      <w:r>
        <w:rPr>
          <w:rFonts w:hint="eastAsia" w:hAnsi="宋体"/>
          <w:b w:val="0"/>
          <w:bCs w:val="0"/>
          <w:color w:val="auto"/>
          <w:sz w:val="24"/>
          <w:szCs w:val="24"/>
          <w:highlight w:val="none"/>
          <w:lang w:val="en-US" w:eastAsia="zh-CN"/>
        </w:rPr>
        <w:t xml:space="preserve">6.2 </w:t>
      </w:r>
      <w:r>
        <w:rPr>
          <w:rFonts w:hint="eastAsia" w:hAnsi="宋体"/>
          <w:b w:val="0"/>
          <w:bCs w:val="0"/>
          <w:color w:val="auto"/>
          <w:sz w:val="24"/>
          <w:szCs w:val="24"/>
          <w:highlight w:val="none"/>
        </w:rPr>
        <w:t>乙方</w:t>
      </w:r>
      <w:r>
        <w:rPr>
          <w:rFonts w:hint="eastAsia" w:hAnsi="宋体"/>
          <w:b w:val="0"/>
          <w:bCs w:val="0"/>
          <w:color w:val="auto"/>
          <w:sz w:val="24"/>
          <w:szCs w:val="24"/>
          <w:highlight w:val="none"/>
          <w:lang w:val="en-US" w:eastAsia="zh-CN"/>
        </w:rPr>
        <w:t>收款</w:t>
      </w:r>
      <w:r>
        <w:rPr>
          <w:rFonts w:hint="eastAsia" w:hAnsi="宋体"/>
          <w:b w:val="0"/>
          <w:bCs w:val="0"/>
          <w:color w:val="auto"/>
          <w:sz w:val="24"/>
          <w:szCs w:val="24"/>
          <w:highlight w:val="none"/>
        </w:rPr>
        <w:t>账户信息：</w:t>
      </w:r>
    </w:p>
    <w:p w14:paraId="77477646">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户名：</w:t>
      </w:r>
      <w:r>
        <w:rPr>
          <w:rFonts w:hAnsi="宋体"/>
          <w:color w:val="auto"/>
          <w:sz w:val="24"/>
          <w:szCs w:val="24"/>
          <w:highlight w:val="none"/>
        </w:rPr>
        <w:t xml:space="preserve"> </w:t>
      </w:r>
    </w:p>
    <w:p w14:paraId="1DAE348A">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账号：</w:t>
      </w:r>
    </w:p>
    <w:p w14:paraId="622BE6D8">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开户行：</w:t>
      </w:r>
      <w:r>
        <w:rPr>
          <w:rFonts w:hAnsi="宋体"/>
          <w:color w:val="auto"/>
          <w:sz w:val="24"/>
          <w:szCs w:val="24"/>
          <w:highlight w:val="none"/>
        </w:rPr>
        <w:t xml:space="preserve"> </w:t>
      </w:r>
    </w:p>
    <w:p w14:paraId="60A5EF91">
      <w:pPr>
        <w:ind w:firstLine="480" w:firstLineChars="200"/>
        <w:rPr>
          <w:color w:val="auto"/>
          <w:sz w:val="24"/>
          <w:szCs w:val="24"/>
          <w:highlight w:val="none"/>
        </w:rPr>
      </w:pPr>
      <w:r>
        <w:rPr>
          <w:rFonts w:hint="eastAsia"/>
          <w:color w:val="auto"/>
          <w:sz w:val="24"/>
          <w:szCs w:val="24"/>
          <w:highlight w:val="none"/>
          <w:lang w:val="en-US" w:eastAsia="zh-CN"/>
        </w:rPr>
        <w:t>6.3 丙方</w:t>
      </w:r>
      <w:r>
        <w:rPr>
          <w:rFonts w:hint="eastAsia"/>
          <w:color w:val="auto"/>
          <w:sz w:val="24"/>
          <w:szCs w:val="24"/>
          <w:highlight w:val="none"/>
        </w:rPr>
        <w:t>发票信息：</w:t>
      </w:r>
      <w:r>
        <w:rPr>
          <w:color w:val="auto"/>
          <w:sz w:val="24"/>
          <w:szCs w:val="24"/>
          <w:highlight w:val="none"/>
        </w:rPr>
        <w:t xml:space="preserve"> </w:t>
      </w:r>
    </w:p>
    <w:p w14:paraId="139A1C15">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纳税人名称：</w:t>
      </w:r>
    </w:p>
    <w:p w14:paraId="2987C2E4">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纳税人识别号：</w:t>
      </w:r>
    </w:p>
    <w:p w14:paraId="552218A4">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公司地址、电话：</w:t>
      </w:r>
    </w:p>
    <w:p w14:paraId="2333BDEC">
      <w:pPr>
        <w:spacing w:line="360" w:lineRule="auto"/>
        <w:ind w:firstLine="480" w:firstLineChars="200"/>
        <w:rPr>
          <w:color w:val="auto"/>
          <w:sz w:val="24"/>
          <w:szCs w:val="24"/>
          <w:highlight w:val="none"/>
        </w:rPr>
      </w:pPr>
      <w:r>
        <w:rPr>
          <w:rFonts w:hint="eastAsia" w:hAnsi="宋体"/>
          <w:color w:val="auto"/>
          <w:sz w:val="24"/>
          <w:szCs w:val="24"/>
          <w:highlight w:val="none"/>
        </w:rPr>
        <w:t>开户行及账号：</w:t>
      </w:r>
    </w:p>
    <w:p w14:paraId="2DE162B6">
      <w:pPr>
        <w:tabs>
          <w:tab w:val="left" w:pos="3405"/>
        </w:tabs>
        <w:spacing w:line="360" w:lineRule="auto"/>
        <w:ind w:firstLine="480"/>
        <w:rPr>
          <w:rFonts w:hint="eastAsia" w:hAnsi="宋体"/>
          <w:color w:val="auto"/>
          <w:sz w:val="24"/>
          <w:szCs w:val="24"/>
          <w:highlight w:val="none"/>
          <w:lang w:val="zh-CN"/>
        </w:rPr>
      </w:pPr>
      <w:r>
        <w:rPr>
          <w:rFonts w:hint="eastAsia" w:hAnsi="宋体"/>
          <w:color w:val="auto"/>
          <w:sz w:val="24"/>
          <w:szCs w:val="24"/>
          <w:highlight w:val="none"/>
          <w:lang w:val="en-US" w:eastAsia="zh-CN"/>
        </w:rPr>
        <w:t xml:space="preserve">6.4 </w:t>
      </w:r>
      <w:r>
        <w:rPr>
          <w:rFonts w:hint="eastAsia" w:hAnsi="宋体"/>
          <w:color w:val="auto"/>
          <w:sz w:val="24"/>
          <w:szCs w:val="24"/>
          <w:highlight w:val="none"/>
          <w:lang w:val="zh-CN"/>
        </w:rPr>
        <w:t>每次付款前，乙方必须提供合法、有效、与本合同总价款条款中增值税税率一致的增值税专用发票及请款资料给</w:t>
      </w:r>
      <w:r>
        <w:rPr>
          <w:rFonts w:hint="eastAsia" w:hAnsi="宋体"/>
          <w:color w:val="auto"/>
          <w:sz w:val="24"/>
          <w:szCs w:val="24"/>
          <w:highlight w:val="none"/>
          <w:lang w:val="en-US" w:eastAsia="zh-CN"/>
        </w:rPr>
        <w:t>丙</w:t>
      </w:r>
      <w:r>
        <w:rPr>
          <w:rFonts w:hint="eastAsia" w:hAnsi="宋体"/>
          <w:color w:val="auto"/>
          <w:sz w:val="24"/>
          <w:szCs w:val="24"/>
          <w:highlight w:val="none"/>
          <w:lang w:val="zh-CN"/>
        </w:rPr>
        <w:t>方，否则</w:t>
      </w:r>
      <w:r>
        <w:rPr>
          <w:rFonts w:hint="eastAsia" w:hAnsi="宋体"/>
          <w:color w:val="auto"/>
          <w:sz w:val="24"/>
          <w:szCs w:val="24"/>
          <w:highlight w:val="none"/>
          <w:lang w:val="en-US" w:eastAsia="zh-CN"/>
        </w:rPr>
        <w:t>丙</w:t>
      </w:r>
      <w:r>
        <w:rPr>
          <w:rFonts w:hint="eastAsia" w:hAnsi="宋体"/>
          <w:color w:val="auto"/>
          <w:sz w:val="24"/>
          <w:szCs w:val="24"/>
          <w:highlight w:val="none"/>
          <w:lang w:val="zh-CN"/>
        </w:rPr>
        <w:t>方有权拒绝付款且不构成违约；在</w:t>
      </w:r>
      <w:r>
        <w:rPr>
          <w:rFonts w:hint="eastAsia" w:hAnsi="宋体"/>
          <w:color w:val="auto"/>
          <w:sz w:val="24"/>
          <w:szCs w:val="24"/>
          <w:highlight w:val="none"/>
          <w:lang w:val="en-US" w:eastAsia="zh-CN"/>
        </w:rPr>
        <w:t>丙</w:t>
      </w:r>
      <w:r>
        <w:rPr>
          <w:rFonts w:hint="eastAsia" w:hAnsi="宋体"/>
          <w:color w:val="auto"/>
          <w:sz w:val="24"/>
          <w:szCs w:val="24"/>
          <w:highlight w:val="none"/>
          <w:lang w:val="zh-CN"/>
        </w:rPr>
        <w:t>方除支付质保金外的最后一期款项前，乙方须连同当期支付款项发票和质保金发票一并提交给</w:t>
      </w:r>
      <w:r>
        <w:rPr>
          <w:rFonts w:hint="eastAsia" w:hAnsi="宋体"/>
          <w:color w:val="auto"/>
          <w:sz w:val="24"/>
          <w:szCs w:val="24"/>
          <w:highlight w:val="none"/>
          <w:lang w:val="en-US" w:eastAsia="zh-CN"/>
        </w:rPr>
        <w:t>丙</w:t>
      </w:r>
      <w:r>
        <w:rPr>
          <w:rFonts w:hint="eastAsia" w:hAnsi="宋体"/>
          <w:color w:val="auto"/>
          <w:sz w:val="24"/>
          <w:szCs w:val="24"/>
          <w:highlight w:val="none"/>
          <w:lang w:val="zh-CN"/>
        </w:rPr>
        <w:t>方；若后期出现质保问题，按照质保责任和条款，部分或全部扣除质保金的，不退还相应金额的发票。若合同执行期间，遇国家税务政策调整所引起的合同价格变化，按照不含税价格调整结算价格。</w:t>
      </w:r>
    </w:p>
    <w:p w14:paraId="4C1A5437">
      <w:pPr>
        <w:tabs>
          <w:tab w:val="left" w:pos="3405"/>
        </w:tabs>
        <w:spacing w:line="360" w:lineRule="auto"/>
        <w:ind w:firstLine="480"/>
        <w:rPr>
          <w:rFonts w:hint="eastAsia" w:hAnsi="宋体"/>
          <w:color w:val="auto"/>
          <w:sz w:val="24"/>
          <w:szCs w:val="24"/>
          <w:highlight w:val="none"/>
          <w:lang w:val="zh-CN"/>
        </w:rPr>
      </w:pPr>
    </w:p>
    <w:p w14:paraId="6B1B7199">
      <w:pPr>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lang w:val="en-US" w:eastAsia="zh-CN"/>
        </w:rPr>
        <w:t>七</w:t>
      </w:r>
      <w:r>
        <w:rPr>
          <w:rFonts w:hint="eastAsia" w:hAnsi="宋体"/>
          <w:b/>
          <w:bCs/>
          <w:color w:val="auto"/>
          <w:sz w:val="24"/>
          <w:szCs w:val="24"/>
          <w:highlight w:val="none"/>
        </w:rPr>
        <w:t>、履约担保</w:t>
      </w:r>
    </w:p>
    <w:p w14:paraId="76E73430">
      <w:pPr>
        <w:spacing w:line="360" w:lineRule="auto"/>
        <w:ind w:firstLine="480" w:firstLineChars="200"/>
        <w:contextualSpacing/>
        <w:rPr>
          <w:rFonts w:hint="eastAsia" w:hAnsi="宋体"/>
          <w:color w:val="auto"/>
          <w:sz w:val="24"/>
          <w:szCs w:val="24"/>
          <w:highlight w:val="none"/>
        </w:rPr>
      </w:pPr>
      <w:r>
        <w:rPr>
          <w:rFonts w:hint="eastAsia" w:hAnsi="宋体"/>
          <w:color w:val="auto"/>
          <w:sz w:val="24"/>
          <w:szCs w:val="24"/>
          <w:highlight w:val="none"/>
          <w:lang w:val="en-US" w:eastAsia="zh-CN"/>
        </w:rPr>
        <w:t>7.1</w:t>
      </w:r>
      <w:r>
        <w:rPr>
          <w:rFonts w:hint="eastAsia" w:hAnsi="宋体"/>
          <w:color w:val="auto"/>
          <w:sz w:val="24"/>
          <w:szCs w:val="24"/>
          <w:highlight w:val="none"/>
        </w:rPr>
        <w:t>乙方领取</w:t>
      </w:r>
      <w:r>
        <w:rPr>
          <w:rFonts w:hint="eastAsia" w:hAnsi="宋体"/>
          <w:color w:val="auto"/>
          <w:sz w:val="24"/>
          <w:szCs w:val="24"/>
          <w:highlight w:val="none"/>
          <w:lang w:val="en-US" w:eastAsia="zh-CN"/>
        </w:rPr>
        <w:t>成交</w:t>
      </w:r>
      <w:r>
        <w:rPr>
          <w:rFonts w:hint="eastAsia" w:hAnsi="宋体"/>
          <w:color w:val="auto"/>
          <w:sz w:val="24"/>
          <w:szCs w:val="24"/>
          <w:highlight w:val="none"/>
        </w:rPr>
        <w:t>通知书后，应向</w:t>
      </w:r>
      <w:r>
        <w:rPr>
          <w:rFonts w:hint="eastAsia" w:hAnsi="宋体"/>
          <w:color w:val="auto"/>
          <w:sz w:val="24"/>
          <w:szCs w:val="24"/>
          <w:highlight w:val="none"/>
          <w:lang w:val="en-US" w:eastAsia="zh-CN"/>
        </w:rPr>
        <w:t>丙</w:t>
      </w:r>
      <w:r>
        <w:rPr>
          <w:rFonts w:hint="eastAsia" w:hAnsi="宋体"/>
          <w:color w:val="auto"/>
          <w:sz w:val="24"/>
          <w:szCs w:val="24"/>
          <w:highlight w:val="none"/>
        </w:rPr>
        <w:t>方提交履约担保，履约担保金额为本合同价的10%。如乙方违反本合同约定，</w:t>
      </w:r>
      <w:r>
        <w:rPr>
          <w:rFonts w:hint="eastAsia" w:hAnsi="宋体"/>
          <w:color w:val="auto"/>
          <w:sz w:val="24"/>
          <w:szCs w:val="24"/>
          <w:highlight w:val="none"/>
          <w:lang w:val="en-US" w:eastAsia="zh-CN"/>
        </w:rPr>
        <w:t>丙</w:t>
      </w:r>
      <w:r>
        <w:rPr>
          <w:rFonts w:hint="eastAsia" w:hAnsi="宋体"/>
          <w:color w:val="auto"/>
          <w:sz w:val="24"/>
          <w:szCs w:val="24"/>
          <w:highlight w:val="none"/>
        </w:rPr>
        <w:t>方有权依合同追究违约责任外，同时有权要求开具保函向银行支付担保金额或直接在履约保证金中扣除乙方的违约赔偿款。</w:t>
      </w:r>
    </w:p>
    <w:p w14:paraId="594DBFF6">
      <w:pPr>
        <w:spacing w:line="360" w:lineRule="auto"/>
        <w:ind w:firstLine="480" w:firstLineChars="200"/>
        <w:contextualSpacing/>
        <w:rPr>
          <w:rFonts w:hint="eastAsia" w:hAnsi="宋体"/>
          <w:color w:val="auto"/>
          <w:sz w:val="24"/>
          <w:szCs w:val="24"/>
          <w:highlight w:val="none"/>
        </w:rPr>
      </w:pPr>
      <w:r>
        <w:rPr>
          <w:rFonts w:hint="eastAsia" w:hAnsi="宋体"/>
          <w:color w:val="auto"/>
          <w:sz w:val="24"/>
          <w:szCs w:val="24"/>
          <w:highlight w:val="none"/>
          <w:lang w:val="en-US" w:eastAsia="zh-CN"/>
        </w:rPr>
        <w:t>7.2</w:t>
      </w:r>
      <w:r>
        <w:rPr>
          <w:rFonts w:hint="eastAsia" w:hAnsi="宋体"/>
          <w:color w:val="auto"/>
          <w:sz w:val="24"/>
          <w:szCs w:val="24"/>
          <w:highlight w:val="none"/>
        </w:rPr>
        <w:t>履约担保形式为提供银行履约保函的，履约保函应是银行支行一级或以上银行机构出，并经</w:t>
      </w:r>
      <w:r>
        <w:rPr>
          <w:rFonts w:hint="eastAsia" w:hAnsi="宋体"/>
          <w:color w:val="auto"/>
          <w:sz w:val="24"/>
          <w:szCs w:val="24"/>
          <w:highlight w:val="none"/>
          <w:lang w:val="en-US" w:eastAsia="zh-CN"/>
        </w:rPr>
        <w:t>丙</w:t>
      </w:r>
      <w:r>
        <w:rPr>
          <w:rFonts w:hint="eastAsia" w:hAnsi="宋体"/>
          <w:color w:val="auto"/>
          <w:sz w:val="24"/>
          <w:szCs w:val="24"/>
          <w:highlight w:val="none"/>
        </w:rPr>
        <w:t>方同意。履约保函的内容，应符合</w:t>
      </w:r>
      <w:r>
        <w:rPr>
          <w:rFonts w:hint="eastAsia" w:hAnsi="宋体"/>
          <w:color w:val="auto"/>
          <w:sz w:val="24"/>
          <w:szCs w:val="24"/>
          <w:highlight w:val="none"/>
          <w:lang w:val="en-US" w:eastAsia="zh-CN"/>
        </w:rPr>
        <w:t>磋商</w:t>
      </w:r>
      <w:r>
        <w:rPr>
          <w:rFonts w:hint="eastAsia" w:hAnsi="宋体"/>
          <w:color w:val="auto"/>
          <w:sz w:val="24"/>
          <w:szCs w:val="24"/>
          <w:highlight w:val="none"/>
        </w:rPr>
        <w:t>文件和本合同的要求。履约保函应从合同签订之日起至工程竣工验收合格及</w:t>
      </w:r>
      <w:r>
        <w:rPr>
          <w:rFonts w:hint="eastAsia" w:hAnsi="宋体"/>
          <w:color w:val="auto"/>
          <w:sz w:val="24"/>
          <w:szCs w:val="24"/>
          <w:highlight w:val="none"/>
          <w:lang w:val="en-US" w:eastAsia="zh-CN"/>
        </w:rPr>
        <w:t>工程</w:t>
      </w:r>
      <w:r>
        <w:rPr>
          <w:rFonts w:hint="eastAsia" w:hAnsi="宋体"/>
          <w:color w:val="auto"/>
          <w:sz w:val="24"/>
          <w:szCs w:val="24"/>
          <w:highlight w:val="none"/>
        </w:rPr>
        <w:t>费结算经</w:t>
      </w:r>
      <w:r>
        <w:rPr>
          <w:rFonts w:hint="eastAsia" w:hAnsi="宋体"/>
          <w:color w:val="auto"/>
          <w:sz w:val="24"/>
          <w:szCs w:val="24"/>
          <w:highlight w:val="none"/>
          <w:lang w:val="en-US" w:eastAsia="zh-CN"/>
        </w:rPr>
        <w:t>三</w:t>
      </w:r>
      <w:r>
        <w:rPr>
          <w:rFonts w:hint="eastAsia" w:hAnsi="宋体"/>
          <w:color w:val="auto"/>
          <w:sz w:val="24"/>
          <w:szCs w:val="24"/>
          <w:highlight w:val="none"/>
        </w:rPr>
        <w:t>方签字确定后</w:t>
      </w:r>
      <w:r>
        <w:rPr>
          <w:rFonts w:hint="eastAsia" w:hAnsi="宋体"/>
          <w:color w:val="auto"/>
          <w:sz w:val="24"/>
          <w:szCs w:val="24"/>
          <w:highlight w:val="none"/>
          <w:lang w:val="en-US" w:eastAsia="zh-CN"/>
        </w:rPr>
        <w:t>30</w:t>
      </w:r>
      <w:r>
        <w:rPr>
          <w:rFonts w:hint="eastAsia" w:hAnsi="宋体"/>
          <w:color w:val="auto"/>
          <w:sz w:val="24"/>
          <w:szCs w:val="24"/>
          <w:highlight w:val="none"/>
        </w:rPr>
        <w:t>日内保持有效。如乙方提交的履约保函的有效期先于合同要求的履约保函有效期届满的，乙方必须在履约保函到期前15日内无条件办理办妥延期手续或重新提供银行保函，否则视为乙方违约，</w:t>
      </w:r>
      <w:r>
        <w:rPr>
          <w:rFonts w:hint="eastAsia" w:hAnsi="宋体"/>
          <w:color w:val="auto"/>
          <w:sz w:val="24"/>
          <w:szCs w:val="24"/>
          <w:highlight w:val="none"/>
          <w:lang w:val="en-US" w:eastAsia="zh-CN"/>
        </w:rPr>
        <w:t>丙</w:t>
      </w:r>
      <w:r>
        <w:rPr>
          <w:rFonts w:hint="eastAsia" w:hAnsi="宋体"/>
          <w:color w:val="auto"/>
          <w:sz w:val="24"/>
          <w:szCs w:val="24"/>
          <w:highlight w:val="none"/>
        </w:rPr>
        <w:t>方有权在保函到期前向出具履约保函的银行提取履约保证金。如</w:t>
      </w:r>
      <w:r>
        <w:rPr>
          <w:rFonts w:hint="eastAsia" w:hAnsi="宋体"/>
          <w:color w:val="auto"/>
          <w:sz w:val="24"/>
          <w:szCs w:val="24"/>
          <w:highlight w:val="none"/>
          <w:lang w:val="en-US" w:eastAsia="zh-CN"/>
        </w:rPr>
        <w:t>丙</w:t>
      </w:r>
      <w:r>
        <w:rPr>
          <w:rFonts w:hint="eastAsia" w:hAnsi="宋体"/>
          <w:color w:val="auto"/>
          <w:sz w:val="24"/>
          <w:szCs w:val="24"/>
          <w:highlight w:val="none"/>
        </w:rPr>
        <w:t>方未在到期前向出具履约保函的银行提取履约保证金的，仍有权要求乙方限期重新提供履约保函，或按保函金额为限要求乙方承担违约金，违约金可直接从未付合同金额中扣除。</w:t>
      </w:r>
    </w:p>
    <w:p w14:paraId="770BA0F7">
      <w:pPr>
        <w:spacing w:line="360" w:lineRule="auto"/>
        <w:ind w:firstLine="480" w:firstLineChars="200"/>
        <w:contextualSpacing/>
        <w:rPr>
          <w:rFonts w:hint="eastAsia"/>
          <w:color w:val="auto"/>
          <w:sz w:val="24"/>
          <w:szCs w:val="24"/>
          <w:highlight w:val="none"/>
        </w:rPr>
      </w:pPr>
      <w:r>
        <w:rPr>
          <w:rFonts w:hint="eastAsia" w:hAnsi="宋体"/>
          <w:color w:val="auto"/>
          <w:sz w:val="24"/>
          <w:szCs w:val="24"/>
          <w:highlight w:val="none"/>
          <w:lang w:val="en-US" w:eastAsia="zh-CN"/>
        </w:rPr>
        <w:t>7.3</w:t>
      </w:r>
      <w:r>
        <w:rPr>
          <w:rFonts w:hint="eastAsia" w:hAnsi="宋体"/>
          <w:color w:val="auto"/>
          <w:sz w:val="24"/>
          <w:szCs w:val="24"/>
          <w:highlight w:val="none"/>
        </w:rPr>
        <w:t>履约担保形式为履约保证金的，履约保证金应以乙方名义通过银行转账方式转入</w:t>
      </w:r>
      <w:r>
        <w:rPr>
          <w:rFonts w:hint="eastAsia" w:hAnsi="宋体"/>
          <w:color w:val="auto"/>
          <w:sz w:val="24"/>
          <w:szCs w:val="24"/>
          <w:highlight w:val="none"/>
          <w:lang w:val="en-US" w:eastAsia="zh-CN"/>
        </w:rPr>
        <w:t>丙</w:t>
      </w:r>
      <w:r>
        <w:rPr>
          <w:rFonts w:hint="eastAsia" w:hAnsi="宋体"/>
          <w:color w:val="auto"/>
          <w:sz w:val="24"/>
          <w:szCs w:val="24"/>
          <w:highlight w:val="none"/>
        </w:rPr>
        <w:t>方指定的银行账户，不接受由其分支机构账户或私人账户、其他单位账户以现金、转账等方式转入的保证金。无论以何种形式转入的履约保证金，担保期结束经乙方申请，一律以银行转账的方式无息原路退回到乙方原汇入账户</w:t>
      </w:r>
      <w:r>
        <w:rPr>
          <w:rFonts w:hint="eastAsia"/>
          <w:color w:val="auto"/>
          <w:sz w:val="24"/>
          <w:szCs w:val="24"/>
          <w:highlight w:val="none"/>
        </w:rPr>
        <w:t>。</w:t>
      </w:r>
    </w:p>
    <w:p w14:paraId="690620A3">
      <w:pPr>
        <w:spacing w:line="360" w:lineRule="auto"/>
        <w:ind w:firstLine="480" w:firstLineChars="200"/>
        <w:contextualSpacing/>
        <w:rPr>
          <w:rFonts w:hint="eastAsia"/>
          <w:color w:val="auto"/>
          <w:sz w:val="24"/>
          <w:szCs w:val="24"/>
          <w:highlight w:val="none"/>
        </w:rPr>
      </w:pPr>
    </w:p>
    <w:p w14:paraId="25131351">
      <w:pPr>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lang w:val="en-US" w:eastAsia="zh-CN"/>
        </w:rPr>
        <w:t>八</w:t>
      </w:r>
      <w:r>
        <w:rPr>
          <w:rFonts w:hint="eastAsia" w:hAnsi="宋体"/>
          <w:b/>
          <w:bCs/>
          <w:color w:val="auto"/>
          <w:sz w:val="24"/>
          <w:szCs w:val="24"/>
          <w:highlight w:val="none"/>
        </w:rPr>
        <w:t>、</w:t>
      </w:r>
      <w:r>
        <w:rPr>
          <w:rFonts w:hint="eastAsia" w:hAnsi="宋体"/>
          <w:b/>
          <w:bCs/>
          <w:color w:val="auto"/>
          <w:sz w:val="24"/>
          <w:szCs w:val="24"/>
          <w:highlight w:val="none"/>
          <w:lang w:val="en-US" w:eastAsia="zh-CN"/>
        </w:rPr>
        <w:t>三</w:t>
      </w:r>
      <w:r>
        <w:rPr>
          <w:rFonts w:hint="eastAsia" w:hAnsi="宋体"/>
          <w:b/>
          <w:bCs/>
          <w:color w:val="auto"/>
          <w:sz w:val="24"/>
          <w:szCs w:val="24"/>
          <w:highlight w:val="none"/>
        </w:rPr>
        <w:t>方义务</w:t>
      </w:r>
    </w:p>
    <w:p w14:paraId="73A1DAC6">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8.1</w:t>
      </w:r>
      <w:r>
        <w:rPr>
          <w:rFonts w:hint="eastAsia" w:hAnsi="宋体"/>
          <w:color w:val="auto"/>
          <w:sz w:val="24"/>
          <w:szCs w:val="24"/>
          <w:highlight w:val="none"/>
        </w:rPr>
        <w:t>甲方</w:t>
      </w:r>
      <w:r>
        <w:rPr>
          <w:rFonts w:hint="eastAsia" w:hAnsi="宋体"/>
          <w:color w:val="auto"/>
          <w:sz w:val="24"/>
          <w:szCs w:val="24"/>
          <w:highlight w:val="none"/>
          <w:lang w:val="en-US" w:eastAsia="zh-CN"/>
        </w:rPr>
        <w:t>及（或）丙方</w:t>
      </w:r>
      <w:r>
        <w:rPr>
          <w:rFonts w:hint="eastAsia" w:hAnsi="宋体"/>
          <w:color w:val="auto"/>
          <w:sz w:val="24"/>
          <w:szCs w:val="24"/>
          <w:highlight w:val="none"/>
        </w:rPr>
        <w:t>义务</w:t>
      </w:r>
    </w:p>
    <w:p w14:paraId="5BD21832">
      <w:pPr>
        <w:spacing w:line="360" w:lineRule="auto"/>
        <w:ind w:firstLine="494" w:firstLineChars="206"/>
        <w:rPr>
          <w:rFonts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rPr>
        <w:t>1</w:t>
      </w:r>
      <w:r>
        <w:rPr>
          <w:rFonts w:hint="eastAsia" w:hAnsi="宋体"/>
          <w:color w:val="auto"/>
          <w:sz w:val="24"/>
          <w:szCs w:val="24"/>
          <w:highlight w:val="none"/>
          <w:lang w:eastAsia="zh-CN"/>
        </w:rPr>
        <w:t>）</w:t>
      </w:r>
      <w:r>
        <w:rPr>
          <w:rFonts w:hint="eastAsia" w:hAnsi="宋体"/>
          <w:color w:val="auto"/>
          <w:sz w:val="24"/>
          <w:szCs w:val="24"/>
          <w:highlight w:val="none"/>
        </w:rPr>
        <w:t>委派现场代表负责对工程建设进行全面管理，解决施工过程中出现的需要甲方协调的相关问题，并参与工程的初验、各种验收工作。</w:t>
      </w:r>
    </w:p>
    <w:p w14:paraId="0D924BD6">
      <w:pPr>
        <w:spacing w:line="360" w:lineRule="auto"/>
        <w:ind w:firstLine="494" w:firstLineChars="206"/>
        <w:rPr>
          <w:rFonts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rPr>
        <w:t>2</w:t>
      </w:r>
      <w:r>
        <w:rPr>
          <w:rFonts w:hint="eastAsia" w:hAnsi="宋体"/>
          <w:color w:val="auto"/>
          <w:sz w:val="24"/>
          <w:szCs w:val="24"/>
          <w:highlight w:val="none"/>
          <w:lang w:eastAsia="zh-CN"/>
        </w:rPr>
        <w:t>）</w:t>
      </w:r>
      <w:r>
        <w:rPr>
          <w:rFonts w:hint="eastAsia" w:hAnsi="宋体"/>
          <w:color w:val="auto"/>
          <w:sz w:val="24"/>
          <w:szCs w:val="24"/>
          <w:highlight w:val="none"/>
        </w:rPr>
        <w:t>及时对工程进度、工程质量进行监督检查，参加材料报验、样板验收、组织工程的初验，接乙方书面通知起</w:t>
      </w:r>
      <w:r>
        <w:rPr>
          <w:rFonts w:hint="eastAsia" w:hAnsi="宋体"/>
          <w:color w:val="auto"/>
          <w:sz w:val="24"/>
          <w:szCs w:val="24"/>
          <w:highlight w:val="none"/>
          <w:u w:val="single"/>
        </w:rPr>
        <w:t xml:space="preserve"> 24 </w:t>
      </w:r>
      <w:r>
        <w:rPr>
          <w:rFonts w:hint="eastAsia" w:hAnsi="宋体"/>
          <w:color w:val="auto"/>
          <w:sz w:val="24"/>
          <w:szCs w:val="24"/>
          <w:highlight w:val="none"/>
        </w:rPr>
        <w:t>个工作小时内参加隐蔽工程验收。</w:t>
      </w:r>
    </w:p>
    <w:p w14:paraId="0311EE1C">
      <w:pPr>
        <w:spacing w:line="360" w:lineRule="auto"/>
        <w:ind w:firstLine="494" w:firstLineChars="206"/>
        <w:rPr>
          <w:rFonts w:hAnsi="宋体"/>
          <w:color w:val="auto"/>
          <w:sz w:val="24"/>
          <w:szCs w:val="24"/>
          <w:highlight w:val="none"/>
        </w:rPr>
      </w:pPr>
      <w:r>
        <w:rPr>
          <w:rFonts w:hint="eastAsia" w:hAnsi="宋体"/>
          <w:color w:val="auto"/>
          <w:sz w:val="24"/>
          <w:szCs w:val="24"/>
          <w:highlight w:val="none"/>
          <w:lang w:eastAsia="zh-CN"/>
        </w:rPr>
        <w:t>（</w:t>
      </w:r>
      <w:r>
        <w:rPr>
          <w:rFonts w:hAnsi="宋体"/>
          <w:color w:val="auto"/>
          <w:sz w:val="24"/>
          <w:szCs w:val="24"/>
          <w:highlight w:val="none"/>
        </w:rPr>
        <w:t>3</w:t>
      </w:r>
      <w:r>
        <w:rPr>
          <w:rFonts w:hint="eastAsia" w:hAnsi="宋体"/>
          <w:color w:val="auto"/>
          <w:sz w:val="24"/>
          <w:szCs w:val="24"/>
          <w:highlight w:val="none"/>
          <w:lang w:eastAsia="zh-CN"/>
        </w:rPr>
        <w:t>）</w:t>
      </w:r>
      <w:r>
        <w:rPr>
          <w:rFonts w:hint="eastAsia" w:hAnsi="宋体"/>
          <w:color w:val="auto"/>
          <w:sz w:val="24"/>
          <w:szCs w:val="24"/>
          <w:highlight w:val="none"/>
        </w:rPr>
        <w:t>负责协调乙方与其他各承包单位的关系，并协助解决材料堆放场地。</w:t>
      </w:r>
    </w:p>
    <w:p w14:paraId="0207FDEA">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8.2</w:t>
      </w:r>
      <w:r>
        <w:rPr>
          <w:rFonts w:hint="eastAsia" w:hAnsi="宋体"/>
          <w:color w:val="auto"/>
          <w:sz w:val="24"/>
          <w:szCs w:val="24"/>
          <w:highlight w:val="none"/>
        </w:rPr>
        <w:t>乙方义务</w:t>
      </w:r>
    </w:p>
    <w:p w14:paraId="1A772EC3">
      <w:pPr>
        <w:pStyle w:val="62"/>
        <w:spacing w:line="360" w:lineRule="auto"/>
        <w:ind w:firstLine="520" w:firstLineChars="200"/>
        <w:rPr>
          <w:rFonts w:ascii="宋体" w:hAnsi="宋体"/>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1</w:t>
      </w:r>
      <w:r>
        <w:rPr>
          <w:rFonts w:hint="eastAsia" w:ascii="宋体" w:hAnsi="宋体"/>
          <w:color w:val="auto"/>
          <w:sz w:val="24"/>
          <w:szCs w:val="24"/>
          <w:highlight w:val="none"/>
          <w:lang w:eastAsia="zh-CN"/>
        </w:rPr>
        <w:t>）</w:t>
      </w:r>
      <w:r>
        <w:rPr>
          <w:rFonts w:hint="eastAsia" w:ascii="宋体" w:hAnsi="宋体"/>
          <w:color w:val="auto"/>
          <w:sz w:val="24"/>
          <w:szCs w:val="24"/>
          <w:highlight w:val="none"/>
        </w:rPr>
        <w:t>委派现场代表负责施工期间的全面管理，如变更现场代表应事先经甲方书面同意。</w:t>
      </w:r>
    </w:p>
    <w:p w14:paraId="27909349">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rPr>
        <w:t>2</w:t>
      </w:r>
      <w:r>
        <w:rPr>
          <w:rFonts w:hint="eastAsia" w:hAnsi="宋体"/>
          <w:color w:val="auto"/>
          <w:sz w:val="24"/>
          <w:szCs w:val="24"/>
          <w:highlight w:val="none"/>
          <w:lang w:eastAsia="zh-CN"/>
        </w:rPr>
        <w:t>）</w:t>
      </w:r>
      <w:r>
        <w:rPr>
          <w:rFonts w:hint="eastAsia" w:hAnsi="宋体"/>
          <w:color w:val="auto"/>
          <w:sz w:val="24"/>
          <w:szCs w:val="24"/>
          <w:highlight w:val="none"/>
        </w:rPr>
        <w:t>根据供电局及相关部门审批通过的设计图纸，按照本合同约定完成承包范围内的施工工作，并按甲方要求的格式书面提请办理验收和确认手续。</w:t>
      </w:r>
    </w:p>
    <w:p w14:paraId="4BF0E277">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rPr>
        <w:t>3</w:t>
      </w:r>
      <w:r>
        <w:rPr>
          <w:rFonts w:hint="eastAsia" w:hAnsi="宋体"/>
          <w:color w:val="auto"/>
          <w:sz w:val="24"/>
          <w:szCs w:val="24"/>
          <w:highlight w:val="none"/>
          <w:lang w:eastAsia="zh-CN"/>
        </w:rPr>
        <w:t>）</w:t>
      </w:r>
      <w:r>
        <w:rPr>
          <w:rFonts w:hint="eastAsia" w:hAnsi="宋体"/>
          <w:color w:val="auto"/>
          <w:sz w:val="24"/>
          <w:szCs w:val="24"/>
          <w:highlight w:val="none"/>
        </w:rPr>
        <w:t>按</w:t>
      </w:r>
      <w:r>
        <w:rPr>
          <w:rFonts w:hint="eastAsia" w:hAnsi="宋体"/>
          <w:color w:val="auto"/>
          <w:sz w:val="24"/>
          <w:szCs w:val="24"/>
          <w:highlight w:val="none"/>
          <w:lang w:val="en-US" w:eastAsia="zh-CN"/>
        </w:rPr>
        <w:t>照</w:t>
      </w:r>
      <w:r>
        <w:rPr>
          <w:rFonts w:hint="eastAsia" w:hAnsi="宋体"/>
          <w:color w:val="auto"/>
          <w:sz w:val="24"/>
          <w:szCs w:val="24"/>
          <w:highlight w:val="none"/>
        </w:rPr>
        <w:t>相关安全法规进行安全施工，遵守甲方施工现场管理的有关规定。</w:t>
      </w:r>
    </w:p>
    <w:p w14:paraId="09AE5667">
      <w:pPr>
        <w:spacing w:line="360" w:lineRule="auto"/>
        <w:ind w:right="24" w:firstLine="508" w:firstLineChars="212"/>
        <w:rPr>
          <w:rFonts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rPr>
        <w:t>4</w:t>
      </w:r>
      <w:r>
        <w:rPr>
          <w:rFonts w:hint="eastAsia" w:hAnsi="宋体"/>
          <w:color w:val="auto"/>
          <w:sz w:val="24"/>
          <w:szCs w:val="24"/>
          <w:highlight w:val="none"/>
          <w:lang w:eastAsia="zh-CN"/>
        </w:rPr>
        <w:t>）</w:t>
      </w:r>
      <w:r>
        <w:rPr>
          <w:rFonts w:hint="eastAsia" w:hAnsi="宋体"/>
          <w:color w:val="auto"/>
          <w:sz w:val="24"/>
          <w:szCs w:val="24"/>
          <w:highlight w:val="none"/>
        </w:rPr>
        <w:t>乙方应处理好与其他在建专业施工队伍（或单位）的关系，须按工程情况与其他单位进行密切协调与配合。</w:t>
      </w:r>
    </w:p>
    <w:p w14:paraId="442AB90F">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rPr>
        <w:t>5</w:t>
      </w:r>
      <w:r>
        <w:rPr>
          <w:rFonts w:hint="eastAsia" w:hAnsi="宋体"/>
          <w:color w:val="auto"/>
          <w:sz w:val="24"/>
          <w:szCs w:val="24"/>
          <w:highlight w:val="none"/>
          <w:lang w:eastAsia="zh-CN"/>
        </w:rPr>
        <w:t>）</w:t>
      </w:r>
      <w:r>
        <w:rPr>
          <w:rFonts w:hint="eastAsia" w:hAnsi="宋体"/>
          <w:color w:val="auto"/>
          <w:sz w:val="24"/>
          <w:szCs w:val="24"/>
          <w:highlight w:val="none"/>
        </w:rPr>
        <w:t>乙方须保证施工场地的清洁卫生符合相关环境卫生、环境保护及整治管理的规定，防止扬尘及保持场地出入口及场外周边道路的清洁卫生，做到工完场清。</w:t>
      </w:r>
    </w:p>
    <w:p w14:paraId="034EF4BC">
      <w:pPr>
        <w:spacing w:line="360" w:lineRule="auto"/>
        <w:rPr>
          <w:rFonts w:hAnsi="宋体"/>
          <w:color w:val="auto"/>
          <w:sz w:val="24"/>
          <w:szCs w:val="24"/>
          <w:highlight w:val="none"/>
        </w:rPr>
      </w:pPr>
      <w:r>
        <w:rPr>
          <w:rFonts w:hint="eastAsia" w:hAnsi="宋体"/>
          <w:color w:val="auto"/>
          <w:sz w:val="24"/>
          <w:szCs w:val="24"/>
          <w:highlight w:val="none"/>
        </w:rPr>
        <w:t xml:space="preserve">    </w:t>
      </w:r>
      <w:r>
        <w:rPr>
          <w:rFonts w:hint="eastAsia" w:hAnsi="宋体"/>
          <w:color w:val="auto"/>
          <w:sz w:val="24"/>
          <w:szCs w:val="24"/>
          <w:highlight w:val="none"/>
          <w:lang w:eastAsia="zh-CN"/>
        </w:rPr>
        <w:t>（</w:t>
      </w:r>
      <w:r>
        <w:rPr>
          <w:rFonts w:hint="eastAsia" w:hAnsi="宋体"/>
          <w:color w:val="auto"/>
          <w:sz w:val="24"/>
          <w:szCs w:val="24"/>
          <w:highlight w:val="none"/>
        </w:rPr>
        <w:t>6</w:t>
      </w:r>
      <w:r>
        <w:rPr>
          <w:rFonts w:hint="eastAsia" w:hAnsi="宋体"/>
          <w:color w:val="auto"/>
          <w:sz w:val="24"/>
          <w:szCs w:val="24"/>
          <w:highlight w:val="none"/>
          <w:lang w:eastAsia="zh-CN"/>
        </w:rPr>
        <w:t>）</w:t>
      </w:r>
      <w:r>
        <w:rPr>
          <w:rFonts w:hint="eastAsia" w:hAnsi="宋体"/>
          <w:color w:val="auto"/>
          <w:sz w:val="24"/>
          <w:szCs w:val="24"/>
          <w:highlight w:val="none"/>
        </w:rPr>
        <w:t>竣工验收后，乙方人员必须在一周内清理并撤离施工场地。如因乙方人员逾期未清理或未撤离导致甲方无法正常使用场地的，每逾期一日应按照总合同价0.5%每日的标准支付违约金，由此给甲方造成其他损失的，乙方应一并赔偿。</w:t>
      </w:r>
    </w:p>
    <w:p w14:paraId="565BD984">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lang w:eastAsia="zh-CN"/>
        </w:rPr>
        <w:t>（</w:t>
      </w:r>
      <w:r>
        <w:rPr>
          <w:rFonts w:hAnsi="宋体"/>
          <w:color w:val="auto"/>
          <w:sz w:val="24"/>
          <w:szCs w:val="24"/>
          <w:highlight w:val="none"/>
        </w:rPr>
        <w:t>7</w:t>
      </w:r>
      <w:r>
        <w:rPr>
          <w:rFonts w:hint="eastAsia" w:hAnsi="宋体"/>
          <w:color w:val="auto"/>
          <w:sz w:val="24"/>
          <w:szCs w:val="24"/>
          <w:highlight w:val="none"/>
          <w:lang w:eastAsia="zh-CN"/>
        </w:rPr>
        <w:t>）</w:t>
      </w:r>
      <w:r>
        <w:rPr>
          <w:rFonts w:hint="eastAsia" w:hAnsi="宋体"/>
          <w:color w:val="auto"/>
          <w:sz w:val="24"/>
          <w:szCs w:val="24"/>
          <w:highlight w:val="none"/>
        </w:rPr>
        <w:t>乙方应具备法律法规或国家规定的电力工程相应资质，相应的资质文件作为本合同附件。如因乙方隐瞒或提供虚假文件导致本合同全部或部分条款无效的，乙方应赔偿甲方由此产生的全部直接损失及间接损失。</w:t>
      </w:r>
    </w:p>
    <w:p w14:paraId="5BE81419">
      <w:pPr>
        <w:spacing w:line="360" w:lineRule="auto"/>
        <w:ind w:firstLine="480" w:firstLineChars="200"/>
        <w:rPr>
          <w:rFonts w:hint="eastAsia" w:hAnsi="宋体"/>
          <w:color w:val="auto"/>
          <w:sz w:val="24"/>
          <w:szCs w:val="24"/>
          <w:highlight w:val="none"/>
        </w:rPr>
      </w:pPr>
    </w:p>
    <w:p w14:paraId="1FD3FFE3">
      <w:pPr>
        <w:spacing w:line="360" w:lineRule="auto"/>
        <w:ind w:firstLine="482" w:firstLineChars="200"/>
        <w:rPr>
          <w:rFonts w:hint="eastAsia" w:hAnsi="宋体" w:eastAsia="宋体"/>
          <w:b/>
          <w:bCs/>
          <w:color w:val="auto"/>
          <w:sz w:val="24"/>
          <w:szCs w:val="24"/>
          <w:highlight w:val="none"/>
          <w:lang w:val="en-US" w:eastAsia="zh-CN"/>
        </w:rPr>
      </w:pPr>
      <w:r>
        <w:rPr>
          <w:rFonts w:hint="eastAsia" w:hAnsi="宋体"/>
          <w:b/>
          <w:bCs/>
          <w:color w:val="auto"/>
          <w:sz w:val="24"/>
          <w:szCs w:val="24"/>
          <w:highlight w:val="none"/>
          <w:lang w:val="en-US" w:eastAsia="zh-CN"/>
        </w:rPr>
        <w:t>九</w:t>
      </w:r>
      <w:r>
        <w:rPr>
          <w:rFonts w:hint="eastAsia" w:hAnsi="宋体"/>
          <w:b/>
          <w:bCs/>
          <w:color w:val="auto"/>
          <w:sz w:val="24"/>
          <w:szCs w:val="24"/>
          <w:highlight w:val="none"/>
        </w:rPr>
        <w:t>、安全生产和防火</w:t>
      </w:r>
      <w:r>
        <w:rPr>
          <w:rFonts w:hint="eastAsia" w:hAnsi="宋体"/>
          <w:b/>
          <w:bCs/>
          <w:color w:val="auto"/>
          <w:sz w:val="24"/>
          <w:szCs w:val="24"/>
          <w:highlight w:val="none"/>
          <w:lang w:val="en-US" w:eastAsia="zh-CN"/>
        </w:rPr>
        <w:t>要求</w:t>
      </w:r>
    </w:p>
    <w:p w14:paraId="16F1CAB3">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9.1</w:t>
      </w:r>
      <w:r>
        <w:rPr>
          <w:rFonts w:hint="eastAsia" w:hAnsi="宋体"/>
          <w:color w:val="auto"/>
          <w:sz w:val="24"/>
          <w:szCs w:val="24"/>
          <w:highlight w:val="none"/>
        </w:rPr>
        <w:t>乙方在施工期间应严格遵守《建筑安装工程安全技术规程》《建筑安装工程安全操作规程》《中华人民共和国消防条例》和</w:t>
      </w:r>
      <w:r>
        <w:rPr>
          <w:rFonts w:hint="eastAsia" w:hAnsi="宋体"/>
          <w:color w:val="auto"/>
          <w:sz w:val="24"/>
          <w:szCs w:val="24"/>
          <w:highlight w:val="none"/>
          <w:lang w:eastAsia="zh-CN"/>
        </w:rPr>
        <w:t>其他</w:t>
      </w:r>
      <w:r>
        <w:rPr>
          <w:rFonts w:hint="eastAsia" w:hAnsi="宋体"/>
          <w:color w:val="auto"/>
          <w:sz w:val="24"/>
          <w:szCs w:val="24"/>
          <w:highlight w:val="none"/>
        </w:rPr>
        <w:t>相关的法规、规范。</w:t>
      </w:r>
    </w:p>
    <w:p w14:paraId="25E63A48">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9.2</w:t>
      </w:r>
      <w:r>
        <w:rPr>
          <w:rFonts w:hint="eastAsia" w:hAnsi="宋体"/>
          <w:color w:val="auto"/>
          <w:sz w:val="24"/>
          <w:szCs w:val="24"/>
          <w:highlight w:val="none"/>
        </w:rPr>
        <w:t>参与本工程的施工人员，应是经过行业培训的持证上岗人员。</w:t>
      </w:r>
    </w:p>
    <w:p w14:paraId="194AE886">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9.3</w:t>
      </w:r>
      <w:r>
        <w:rPr>
          <w:rFonts w:hint="eastAsia" w:hAnsi="宋体"/>
          <w:color w:val="auto"/>
          <w:sz w:val="24"/>
          <w:szCs w:val="24"/>
          <w:highlight w:val="none"/>
        </w:rPr>
        <w:t>乙方在本工程竣工验收前，负责保护工程成品和工程现场的全部安全。由于乙方在施工生产过程中自身安全措施不力及违反相关安全操作规程、消防条例，导致发生安全、火灾事故，乙方应承担由此产生的一切责任后果和经济费用。　　</w:t>
      </w:r>
    </w:p>
    <w:p w14:paraId="613F87F3">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9.4</w:t>
      </w:r>
      <w:r>
        <w:rPr>
          <w:rFonts w:hint="eastAsia" w:hAnsi="宋体"/>
          <w:color w:val="auto"/>
          <w:sz w:val="24"/>
          <w:szCs w:val="24"/>
          <w:highlight w:val="none"/>
        </w:rPr>
        <w:t>乙方必须做好施工现场及工地现场的管线和邻近建筑物的保护工作，由于该类影响所造成的额外费用和赔偿均由乙方承担。乙方应当自行购买其工程范围内人员和设备的保险，以及第三者责任险等一切涉及本工程的保险。因可归责于乙方原因导致的施工人员或其他第三人发生人身、财产安全事故的，由乙方承担全部法律责任，与甲方</w:t>
      </w:r>
      <w:r>
        <w:rPr>
          <w:rFonts w:hint="eastAsia" w:hAnsi="宋体"/>
          <w:color w:val="auto"/>
          <w:sz w:val="24"/>
          <w:szCs w:val="24"/>
          <w:highlight w:val="none"/>
          <w:lang w:val="en-US" w:eastAsia="zh-CN"/>
        </w:rPr>
        <w:t>及丙方</w:t>
      </w:r>
      <w:r>
        <w:rPr>
          <w:rFonts w:hint="eastAsia" w:hAnsi="宋体"/>
          <w:color w:val="auto"/>
          <w:sz w:val="24"/>
          <w:szCs w:val="24"/>
          <w:highlight w:val="none"/>
        </w:rPr>
        <w:t>无关。如因此给甲方</w:t>
      </w:r>
      <w:r>
        <w:rPr>
          <w:rFonts w:hint="eastAsia" w:hAnsi="宋体"/>
          <w:color w:val="auto"/>
          <w:sz w:val="24"/>
          <w:szCs w:val="24"/>
          <w:highlight w:val="none"/>
          <w:lang w:val="en-US" w:eastAsia="zh-CN"/>
        </w:rPr>
        <w:t>及丙方</w:t>
      </w:r>
      <w:r>
        <w:rPr>
          <w:rFonts w:hint="eastAsia" w:hAnsi="宋体"/>
          <w:color w:val="auto"/>
          <w:sz w:val="24"/>
          <w:szCs w:val="24"/>
          <w:highlight w:val="none"/>
        </w:rPr>
        <w:t>造成的损失（包括但不限于律师费、诉讼费或仲裁费、担保费等），乙方应承担相应的赔偿责任。</w:t>
      </w:r>
    </w:p>
    <w:p w14:paraId="3A19905F">
      <w:pPr>
        <w:spacing w:line="360" w:lineRule="auto"/>
        <w:ind w:firstLine="482" w:firstLineChars="200"/>
        <w:rPr>
          <w:rFonts w:hint="eastAsia" w:hAnsi="宋体"/>
          <w:b/>
          <w:bCs/>
          <w:color w:val="auto"/>
          <w:sz w:val="24"/>
          <w:szCs w:val="24"/>
          <w:highlight w:val="none"/>
        </w:rPr>
      </w:pPr>
    </w:p>
    <w:p w14:paraId="02D6FD5A">
      <w:pPr>
        <w:spacing w:line="360" w:lineRule="auto"/>
        <w:ind w:firstLine="482" w:firstLineChars="200"/>
        <w:rPr>
          <w:rFonts w:hAnsi="宋体"/>
          <w:color w:val="auto"/>
          <w:sz w:val="24"/>
          <w:szCs w:val="24"/>
          <w:highlight w:val="none"/>
        </w:rPr>
      </w:pPr>
      <w:r>
        <w:rPr>
          <w:rFonts w:hint="eastAsia" w:hAnsi="宋体"/>
          <w:b/>
          <w:bCs/>
          <w:color w:val="auto"/>
          <w:sz w:val="24"/>
          <w:szCs w:val="24"/>
          <w:highlight w:val="none"/>
        </w:rPr>
        <w:t>十、违约责任</w:t>
      </w:r>
    </w:p>
    <w:p w14:paraId="549DA335">
      <w:pPr>
        <w:spacing w:line="360" w:lineRule="auto"/>
        <w:ind w:firstLine="480" w:firstLineChars="200"/>
        <w:rPr>
          <w:rFonts w:hint="default"/>
          <w:color w:val="auto"/>
          <w:sz w:val="24"/>
          <w:szCs w:val="24"/>
          <w:highlight w:val="none"/>
          <w:lang w:val="en-US" w:eastAsia="zh-CN"/>
        </w:rPr>
      </w:pPr>
      <w:r>
        <w:rPr>
          <w:rFonts w:hint="eastAsia" w:hAnsi="宋体"/>
          <w:color w:val="auto"/>
          <w:sz w:val="24"/>
          <w:szCs w:val="24"/>
          <w:highlight w:val="none"/>
          <w:lang w:val="en-US" w:eastAsia="zh-CN"/>
        </w:rPr>
        <w:t>10.1 甲方及（或）丙方违约责任</w:t>
      </w:r>
    </w:p>
    <w:p w14:paraId="7EC4DF5F">
      <w:pPr>
        <w:spacing w:line="360" w:lineRule="auto"/>
        <w:ind w:firstLine="480" w:firstLineChars="200"/>
        <w:rPr>
          <w:color w:val="auto"/>
          <w:sz w:val="24"/>
          <w:szCs w:val="24"/>
          <w:highlight w:val="none"/>
          <w:u w:val="single"/>
        </w:rPr>
      </w:pPr>
      <w:r>
        <w:rPr>
          <w:rFonts w:hint="eastAsia" w:hAnsi="宋体"/>
          <w:color w:val="auto"/>
          <w:sz w:val="24"/>
          <w:szCs w:val="24"/>
          <w:highlight w:val="none"/>
          <w:lang w:val="en-US" w:eastAsia="zh-CN"/>
        </w:rPr>
        <w:t>10.1.1</w:t>
      </w:r>
      <w:r>
        <w:rPr>
          <w:rFonts w:hint="eastAsia" w:hAnsi="宋体"/>
          <w:color w:val="auto"/>
          <w:sz w:val="24"/>
          <w:szCs w:val="24"/>
          <w:highlight w:val="none"/>
        </w:rPr>
        <w:t>因甲方原因未能在计划开工日期下达开工通知的责任</w:t>
      </w:r>
      <w:r>
        <w:rPr>
          <w:rFonts w:hint="eastAsia" w:hAnsi="宋体"/>
          <w:color w:val="auto"/>
          <w:sz w:val="24"/>
          <w:szCs w:val="24"/>
          <w:highlight w:val="none"/>
          <w:lang w:eastAsia="zh-CN"/>
        </w:rPr>
        <w:t>：</w:t>
      </w:r>
      <w:r>
        <w:rPr>
          <w:rFonts w:hint="eastAsia" w:hAnsi="宋体"/>
          <w:color w:val="auto"/>
          <w:sz w:val="24"/>
          <w:szCs w:val="24"/>
          <w:highlight w:val="none"/>
          <w:u w:val="single"/>
        </w:rPr>
        <w:t>工期顺延</w:t>
      </w:r>
      <w:r>
        <w:rPr>
          <w:rFonts w:hint="eastAsia" w:hAnsi="宋体"/>
          <w:color w:val="auto"/>
          <w:sz w:val="24"/>
          <w:szCs w:val="24"/>
          <w:highlight w:val="none"/>
          <w:u w:val="single"/>
          <w:lang w:eastAsia="zh-CN"/>
        </w:rPr>
        <w:t>，</w:t>
      </w:r>
      <w:r>
        <w:rPr>
          <w:rFonts w:hint="eastAsia" w:hAnsi="宋体"/>
          <w:color w:val="auto"/>
          <w:sz w:val="24"/>
          <w:szCs w:val="24"/>
          <w:highlight w:val="none"/>
          <w:u w:val="single"/>
          <w:lang w:val="en-US" w:eastAsia="zh-CN"/>
        </w:rPr>
        <w:t>除此之外乙方不得追究甲方</w:t>
      </w:r>
      <w:r>
        <w:rPr>
          <w:rFonts w:hint="eastAsia" w:hAnsi="宋体"/>
          <w:color w:val="auto"/>
          <w:sz w:val="24"/>
          <w:szCs w:val="24"/>
          <w:highlight w:val="none"/>
          <w:lang w:val="en-US" w:eastAsia="zh-CN"/>
        </w:rPr>
        <w:t>及（或）丙方</w:t>
      </w:r>
      <w:r>
        <w:rPr>
          <w:rFonts w:hint="eastAsia" w:hAnsi="宋体"/>
          <w:color w:val="auto"/>
          <w:sz w:val="24"/>
          <w:szCs w:val="24"/>
          <w:highlight w:val="none"/>
          <w:u w:val="single"/>
          <w:lang w:val="en-US" w:eastAsia="zh-CN"/>
        </w:rPr>
        <w:t>其他违约责任</w:t>
      </w:r>
      <w:r>
        <w:rPr>
          <w:rFonts w:hAnsi="宋体"/>
          <w:color w:val="auto"/>
          <w:sz w:val="24"/>
          <w:szCs w:val="24"/>
          <w:highlight w:val="none"/>
          <w:u w:val="single"/>
        </w:rPr>
        <w:t xml:space="preserve"> </w:t>
      </w:r>
      <w:r>
        <w:rPr>
          <w:rFonts w:hint="eastAsia" w:hAnsi="宋体"/>
          <w:color w:val="auto"/>
          <w:sz w:val="24"/>
          <w:szCs w:val="24"/>
          <w:highlight w:val="none"/>
        </w:rPr>
        <w:t>。</w:t>
      </w:r>
    </w:p>
    <w:p w14:paraId="01774561">
      <w:pPr>
        <w:spacing w:line="360" w:lineRule="auto"/>
        <w:ind w:firstLine="480" w:firstLineChars="200"/>
        <w:rPr>
          <w:color w:val="auto"/>
          <w:sz w:val="24"/>
          <w:szCs w:val="24"/>
          <w:highlight w:val="none"/>
          <w:u w:val="single"/>
        </w:rPr>
      </w:pPr>
      <w:r>
        <w:rPr>
          <w:rFonts w:hint="eastAsia" w:hAnsi="宋体"/>
          <w:color w:val="auto"/>
          <w:sz w:val="24"/>
          <w:szCs w:val="24"/>
          <w:highlight w:val="none"/>
          <w:lang w:val="en-US" w:eastAsia="zh-CN"/>
        </w:rPr>
        <w:t>10.1.2</w:t>
      </w:r>
      <w:r>
        <w:rPr>
          <w:rFonts w:hint="eastAsia" w:hAnsi="宋体"/>
          <w:color w:val="auto"/>
          <w:sz w:val="24"/>
          <w:szCs w:val="24"/>
          <w:highlight w:val="none"/>
        </w:rPr>
        <w:t>因甲方违反合同约定造成暂停施工的违约责任：</w:t>
      </w:r>
      <w:r>
        <w:rPr>
          <w:rFonts w:hint="eastAsia" w:hAnsi="宋体"/>
          <w:color w:val="auto"/>
          <w:sz w:val="24"/>
          <w:szCs w:val="24"/>
          <w:highlight w:val="none"/>
          <w:u w:val="single"/>
        </w:rPr>
        <w:t>工期顺延</w:t>
      </w:r>
      <w:r>
        <w:rPr>
          <w:rFonts w:hint="eastAsia" w:hAnsi="宋体"/>
          <w:color w:val="auto"/>
          <w:sz w:val="24"/>
          <w:szCs w:val="24"/>
          <w:highlight w:val="none"/>
          <w:u w:val="single"/>
          <w:lang w:eastAsia="zh-CN"/>
        </w:rPr>
        <w:t>，</w:t>
      </w:r>
      <w:r>
        <w:rPr>
          <w:rFonts w:hint="eastAsia" w:hAnsi="宋体"/>
          <w:color w:val="auto"/>
          <w:sz w:val="24"/>
          <w:szCs w:val="24"/>
          <w:highlight w:val="none"/>
          <w:u w:val="single"/>
          <w:lang w:val="en-US" w:eastAsia="zh-CN"/>
        </w:rPr>
        <w:t>除此之外乙方不得追究甲方</w:t>
      </w:r>
      <w:r>
        <w:rPr>
          <w:rFonts w:hint="eastAsia" w:hAnsi="宋体"/>
          <w:color w:val="auto"/>
          <w:sz w:val="24"/>
          <w:szCs w:val="24"/>
          <w:highlight w:val="none"/>
          <w:lang w:val="en-US" w:eastAsia="zh-CN"/>
        </w:rPr>
        <w:t>及（或）丙方</w:t>
      </w:r>
      <w:r>
        <w:rPr>
          <w:rFonts w:hint="eastAsia" w:hAnsi="宋体"/>
          <w:color w:val="auto"/>
          <w:sz w:val="24"/>
          <w:szCs w:val="24"/>
          <w:highlight w:val="none"/>
          <w:u w:val="single"/>
          <w:lang w:val="en-US" w:eastAsia="zh-CN"/>
        </w:rPr>
        <w:t>其他违约责任</w:t>
      </w:r>
      <w:r>
        <w:rPr>
          <w:rFonts w:hint="eastAsia" w:hAnsi="宋体"/>
          <w:color w:val="auto"/>
          <w:sz w:val="24"/>
          <w:szCs w:val="24"/>
          <w:highlight w:val="none"/>
        </w:rPr>
        <w:t>。</w:t>
      </w:r>
    </w:p>
    <w:p w14:paraId="73A280F0">
      <w:pPr>
        <w:spacing w:line="360" w:lineRule="auto"/>
        <w:ind w:firstLine="480" w:firstLineChars="200"/>
        <w:rPr>
          <w:rFonts w:hAnsi="宋体" w:cs="仿宋_GB2312"/>
          <w:color w:val="auto"/>
          <w:sz w:val="24"/>
          <w:szCs w:val="24"/>
          <w:highlight w:val="none"/>
        </w:rPr>
      </w:pPr>
      <w:r>
        <w:rPr>
          <w:rFonts w:hint="eastAsia" w:hAnsi="宋体"/>
          <w:color w:val="auto"/>
          <w:sz w:val="24"/>
          <w:szCs w:val="24"/>
          <w:highlight w:val="none"/>
          <w:lang w:val="en-US" w:eastAsia="zh-CN"/>
        </w:rPr>
        <w:t>10.1.3</w:t>
      </w:r>
      <w:r>
        <w:rPr>
          <w:rFonts w:hint="eastAsia" w:hAnsi="宋体"/>
          <w:color w:val="auto"/>
          <w:sz w:val="24"/>
          <w:szCs w:val="24"/>
          <w:highlight w:val="none"/>
        </w:rPr>
        <w:t>甲方无正当理由没有在约定期限内发出复工指示，导致承包人无法复工的违约责任：</w:t>
      </w:r>
      <w:r>
        <w:rPr>
          <w:rFonts w:hint="eastAsia" w:hAnsi="宋体"/>
          <w:color w:val="auto"/>
          <w:sz w:val="24"/>
          <w:szCs w:val="24"/>
          <w:highlight w:val="none"/>
          <w:u w:val="single"/>
        </w:rPr>
        <w:t>工期顺延</w:t>
      </w:r>
      <w:r>
        <w:rPr>
          <w:rFonts w:hint="eastAsia" w:hAnsi="宋体"/>
          <w:color w:val="auto"/>
          <w:sz w:val="24"/>
          <w:szCs w:val="24"/>
          <w:highlight w:val="none"/>
          <w:u w:val="single"/>
          <w:lang w:eastAsia="zh-CN"/>
        </w:rPr>
        <w:t>，</w:t>
      </w:r>
      <w:r>
        <w:rPr>
          <w:rFonts w:hint="eastAsia" w:hAnsi="宋体"/>
          <w:color w:val="auto"/>
          <w:sz w:val="24"/>
          <w:szCs w:val="24"/>
          <w:highlight w:val="none"/>
          <w:u w:val="single"/>
          <w:lang w:val="en-US" w:eastAsia="zh-CN"/>
        </w:rPr>
        <w:t>除此之外乙方不得追究甲方</w:t>
      </w:r>
      <w:r>
        <w:rPr>
          <w:rFonts w:hint="eastAsia" w:hAnsi="宋体"/>
          <w:color w:val="auto"/>
          <w:sz w:val="24"/>
          <w:szCs w:val="24"/>
          <w:highlight w:val="none"/>
          <w:lang w:val="en-US" w:eastAsia="zh-CN"/>
        </w:rPr>
        <w:t>及（或）丙方</w:t>
      </w:r>
      <w:r>
        <w:rPr>
          <w:rFonts w:hint="eastAsia" w:hAnsi="宋体"/>
          <w:color w:val="auto"/>
          <w:sz w:val="24"/>
          <w:szCs w:val="24"/>
          <w:highlight w:val="none"/>
          <w:u w:val="single"/>
          <w:lang w:val="en-US" w:eastAsia="zh-CN"/>
        </w:rPr>
        <w:t>其他违约责任</w:t>
      </w:r>
      <w:r>
        <w:rPr>
          <w:rFonts w:hint="eastAsia" w:hAnsi="宋体"/>
          <w:color w:val="auto"/>
          <w:sz w:val="24"/>
          <w:szCs w:val="24"/>
          <w:highlight w:val="none"/>
        </w:rPr>
        <w:t>。</w:t>
      </w:r>
    </w:p>
    <w:p w14:paraId="27C933AF">
      <w:pPr>
        <w:spacing w:line="360" w:lineRule="auto"/>
        <w:ind w:firstLine="480" w:firstLineChars="200"/>
        <w:contextualSpacing/>
        <w:rPr>
          <w:rFonts w:hAnsi="宋体"/>
          <w:color w:val="auto"/>
          <w:sz w:val="24"/>
          <w:szCs w:val="24"/>
          <w:highlight w:val="none"/>
        </w:rPr>
      </w:pPr>
      <w:r>
        <w:rPr>
          <w:rFonts w:hint="eastAsia" w:hAnsi="宋体"/>
          <w:color w:val="auto"/>
          <w:sz w:val="24"/>
          <w:szCs w:val="24"/>
          <w:highlight w:val="none"/>
          <w:lang w:val="en-US" w:eastAsia="zh-CN"/>
        </w:rPr>
        <w:t>10.1.4丙方</w:t>
      </w:r>
      <w:r>
        <w:rPr>
          <w:rFonts w:hint="eastAsia" w:hAnsi="宋体"/>
          <w:color w:val="auto"/>
          <w:sz w:val="24"/>
          <w:szCs w:val="24"/>
          <w:highlight w:val="none"/>
        </w:rPr>
        <w:t>未按本合同约定，延迟支付</w:t>
      </w:r>
      <w:r>
        <w:rPr>
          <w:rFonts w:hint="eastAsia" w:hAnsi="宋体"/>
          <w:color w:val="auto"/>
          <w:sz w:val="24"/>
          <w:szCs w:val="24"/>
          <w:highlight w:val="none"/>
          <w:lang w:val="en-US" w:eastAsia="zh-CN"/>
        </w:rPr>
        <w:t>工程款（如有）</w:t>
      </w:r>
      <w:r>
        <w:rPr>
          <w:rFonts w:hint="eastAsia" w:hAnsi="宋体"/>
          <w:color w:val="auto"/>
          <w:sz w:val="24"/>
          <w:szCs w:val="24"/>
          <w:highlight w:val="none"/>
        </w:rPr>
        <w:t>的，乙方有权要求</w:t>
      </w:r>
      <w:r>
        <w:rPr>
          <w:rFonts w:hint="eastAsia" w:hAnsi="宋体"/>
          <w:color w:val="auto"/>
          <w:sz w:val="24"/>
          <w:szCs w:val="24"/>
          <w:highlight w:val="none"/>
          <w:lang w:val="en-US" w:eastAsia="zh-CN"/>
        </w:rPr>
        <w:t>丙</w:t>
      </w:r>
      <w:r>
        <w:rPr>
          <w:rFonts w:hint="eastAsia" w:hAnsi="宋体"/>
          <w:color w:val="auto"/>
          <w:sz w:val="24"/>
          <w:szCs w:val="24"/>
          <w:highlight w:val="none"/>
        </w:rPr>
        <w:t>方以应付未付金额为基数按同期全国银行间同业拆借中心公布的贷款市场报价利率支付违约金，逾期违约金总额不超过应付未付总金额的10%。</w:t>
      </w:r>
    </w:p>
    <w:p w14:paraId="1D7AA5BB">
      <w:pPr>
        <w:spacing w:line="360" w:lineRule="auto"/>
        <w:ind w:firstLine="480" w:firstLineChars="200"/>
        <w:rPr>
          <w:rFonts w:hint="eastAsia" w:hAnsi="宋体" w:cs="仿宋_GB2312"/>
          <w:color w:val="auto"/>
          <w:sz w:val="24"/>
          <w:szCs w:val="24"/>
          <w:highlight w:val="none"/>
          <w:lang w:val="en-US" w:eastAsia="zh-CN"/>
        </w:rPr>
      </w:pPr>
      <w:r>
        <w:rPr>
          <w:rFonts w:hint="eastAsia" w:hAnsi="宋体"/>
          <w:color w:val="auto"/>
          <w:sz w:val="24"/>
          <w:szCs w:val="24"/>
          <w:highlight w:val="none"/>
          <w:lang w:val="en-US" w:eastAsia="zh-CN"/>
        </w:rPr>
        <w:t>10.1.5</w:t>
      </w:r>
      <w:r>
        <w:rPr>
          <w:rFonts w:hint="eastAsia" w:hAnsi="宋体"/>
          <w:color w:val="auto"/>
          <w:sz w:val="24"/>
          <w:szCs w:val="24"/>
          <w:highlight w:val="none"/>
        </w:rPr>
        <w:t>在合同履行期间，因</w:t>
      </w:r>
      <w:r>
        <w:rPr>
          <w:rFonts w:hint="eastAsia" w:hAnsi="宋体"/>
          <w:color w:val="auto"/>
          <w:sz w:val="24"/>
          <w:szCs w:val="24"/>
          <w:highlight w:val="none"/>
          <w:lang w:val="en-US" w:eastAsia="zh-CN"/>
        </w:rPr>
        <w:t>丙方</w:t>
      </w:r>
      <w:r>
        <w:rPr>
          <w:rFonts w:hint="eastAsia" w:hAnsi="宋体"/>
          <w:color w:val="auto"/>
          <w:sz w:val="24"/>
          <w:szCs w:val="24"/>
          <w:highlight w:val="none"/>
        </w:rPr>
        <w:t>原因造成合同终止或解除，乙方未开始</w:t>
      </w:r>
      <w:r>
        <w:rPr>
          <w:rFonts w:hint="eastAsia" w:hAnsi="宋体"/>
          <w:color w:val="auto"/>
          <w:sz w:val="24"/>
          <w:szCs w:val="24"/>
          <w:highlight w:val="none"/>
          <w:lang w:val="en-US" w:eastAsia="zh-CN"/>
        </w:rPr>
        <w:t>施工或采购设备</w:t>
      </w:r>
      <w:r>
        <w:rPr>
          <w:rFonts w:hint="eastAsia" w:hAnsi="宋体"/>
          <w:color w:val="auto"/>
          <w:sz w:val="24"/>
          <w:szCs w:val="24"/>
          <w:highlight w:val="none"/>
        </w:rPr>
        <w:t>的，</w:t>
      </w:r>
      <w:r>
        <w:rPr>
          <w:rFonts w:hint="eastAsia" w:hAnsi="宋体"/>
          <w:color w:val="auto"/>
          <w:sz w:val="24"/>
          <w:szCs w:val="24"/>
          <w:highlight w:val="none"/>
          <w:lang w:val="en-US" w:eastAsia="zh-CN"/>
        </w:rPr>
        <w:t>乙方应向丙方退还工程款</w:t>
      </w:r>
      <w:r>
        <w:rPr>
          <w:rFonts w:hint="eastAsia" w:hAnsi="宋体"/>
          <w:color w:val="auto"/>
          <w:sz w:val="24"/>
          <w:szCs w:val="24"/>
          <w:highlight w:val="none"/>
        </w:rPr>
        <w:t>。乙方已开始</w:t>
      </w:r>
      <w:r>
        <w:rPr>
          <w:rFonts w:hint="eastAsia" w:hAnsi="宋体"/>
          <w:color w:val="auto"/>
          <w:sz w:val="24"/>
          <w:szCs w:val="24"/>
          <w:highlight w:val="none"/>
          <w:lang w:val="en-US" w:eastAsia="zh-CN"/>
        </w:rPr>
        <w:t>施工或采购设备</w:t>
      </w:r>
      <w:r>
        <w:rPr>
          <w:rFonts w:hint="eastAsia" w:hAnsi="宋体"/>
          <w:color w:val="auto"/>
          <w:sz w:val="24"/>
          <w:szCs w:val="24"/>
          <w:highlight w:val="none"/>
        </w:rPr>
        <w:t>的，</w:t>
      </w:r>
      <w:r>
        <w:rPr>
          <w:rFonts w:hint="eastAsia" w:hAnsi="宋体"/>
          <w:color w:val="auto"/>
          <w:sz w:val="24"/>
          <w:szCs w:val="24"/>
          <w:highlight w:val="none"/>
          <w:lang w:val="en-US" w:eastAsia="zh-CN"/>
        </w:rPr>
        <w:t>丙方根据乙方实际完成工程量及设备价值结算</w:t>
      </w:r>
      <w:r>
        <w:rPr>
          <w:rFonts w:hint="eastAsia" w:hAnsi="宋体"/>
          <w:color w:val="auto"/>
          <w:sz w:val="24"/>
          <w:szCs w:val="24"/>
          <w:highlight w:val="none"/>
        </w:rPr>
        <w:t>相关费用，乙方不得追究</w:t>
      </w:r>
      <w:r>
        <w:rPr>
          <w:rFonts w:hint="eastAsia" w:hAnsi="宋体"/>
          <w:color w:val="auto"/>
          <w:sz w:val="24"/>
          <w:szCs w:val="24"/>
          <w:highlight w:val="none"/>
          <w:lang w:val="en-US" w:eastAsia="zh-CN"/>
        </w:rPr>
        <w:t>丙</w:t>
      </w:r>
      <w:r>
        <w:rPr>
          <w:rFonts w:hint="eastAsia" w:hAnsi="宋体"/>
          <w:color w:val="auto"/>
          <w:sz w:val="24"/>
          <w:szCs w:val="24"/>
          <w:highlight w:val="none"/>
        </w:rPr>
        <w:t>方其他违约责任。</w:t>
      </w:r>
    </w:p>
    <w:p w14:paraId="349FC4D6">
      <w:pPr>
        <w:spacing w:line="360" w:lineRule="auto"/>
        <w:ind w:firstLine="480" w:firstLineChars="200"/>
        <w:rPr>
          <w:rFonts w:hint="default" w:hAnsi="宋体" w:eastAsia="宋体"/>
          <w:color w:val="auto"/>
          <w:sz w:val="24"/>
          <w:szCs w:val="24"/>
          <w:highlight w:val="none"/>
          <w:lang w:val="en-US" w:eastAsia="zh-CN"/>
        </w:rPr>
      </w:pPr>
      <w:r>
        <w:rPr>
          <w:rFonts w:hint="eastAsia" w:hAnsi="宋体"/>
          <w:color w:val="auto"/>
          <w:sz w:val="24"/>
          <w:szCs w:val="24"/>
          <w:highlight w:val="none"/>
          <w:lang w:val="en-US" w:eastAsia="zh-CN"/>
        </w:rPr>
        <w:t>10.2 乙方违约责任</w:t>
      </w:r>
    </w:p>
    <w:p w14:paraId="0F89FE91">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 xml:space="preserve">10.2.1 </w:t>
      </w:r>
      <w:r>
        <w:rPr>
          <w:rFonts w:hint="eastAsia" w:hAnsi="宋体"/>
          <w:color w:val="auto"/>
          <w:sz w:val="24"/>
          <w:szCs w:val="24"/>
          <w:highlight w:val="none"/>
        </w:rPr>
        <w:t>乙方提供的材料、设备是假冒伪劣产品或质量不合格的，应按材料、设备价款的双倍赔偿给甲方。</w:t>
      </w:r>
    </w:p>
    <w:p w14:paraId="31E800EA">
      <w:pPr>
        <w:spacing w:line="360" w:lineRule="auto"/>
        <w:ind w:firstLine="480" w:firstLineChars="200"/>
        <w:rPr>
          <w:rFonts w:hAnsi="宋体"/>
          <w:color w:val="auto"/>
          <w:sz w:val="24"/>
          <w:szCs w:val="24"/>
          <w:highlight w:val="none"/>
        </w:rPr>
      </w:pPr>
      <w:r>
        <w:rPr>
          <w:rFonts w:hint="eastAsia" w:hAnsi="宋体"/>
          <w:color w:val="auto"/>
          <w:sz w:val="24"/>
          <w:szCs w:val="24"/>
          <w:highlight w:val="none"/>
          <w:lang w:val="en-US" w:eastAsia="zh-CN"/>
        </w:rPr>
        <w:t xml:space="preserve">10.2.2 </w:t>
      </w:r>
      <w:r>
        <w:rPr>
          <w:rFonts w:hint="eastAsia" w:hAnsi="宋体"/>
          <w:color w:val="auto"/>
          <w:sz w:val="24"/>
          <w:szCs w:val="24"/>
          <w:highlight w:val="none"/>
        </w:rPr>
        <w:t>对于不符合施工质量验收标准中的部分项目，甲方提出施工质量整改要求，乙方未按规定时间内履行整改工作或无正当理由拒绝整改。每逾期一天，乙方每日支付</w:t>
      </w:r>
      <w:r>
        <w:rPr>
          <w:rFonts w:hint="eastAsia" w:hAnsi="宋体"/>
          <w:color w:val="auto"/>
          <w:sz w:val="24"/>
          <w:szCs w:val="24"/>
          <w:highlight w:val="none"/>
          <w:lang w:val="en-US" w:eastAsia="zh-CN"/>
        </w:rPr>
        <w:t>丙</w:t>
      </w:r>
      <w:r>
        <w:rPr>
          <w:rFonts w:hint="eastAsia" w:hAnsi="宋体"/>
          <w:color w:val="auto"/>
          <w:sz w:val="24"/>
          <w:szCs w:val="24"/>
          <w:highlight w:val="none"/>
        </w:rPr>
        <w:t>方本合同价款总额</w:t>
      </w:r>
      <w:r>
        <w:rPr>
          <w:rFonts w:hint="eastAsia" w:hAnsi="宋体" w:cs="仿宋_GB2312"/>
          <w:color w:val="auto"/>
          <w:sz w:val="24"/>
          <w:szCs w:val="24"/>
          <w:highlight w:val="none"/>
          <w:lang w:val="en-US" w:eastAsia="zh-CN"/>
        </w:rPr>
        <w:t>千分之一或3000元（二者取大值）</w:t>
      </w:r>
      <w:r>
        <w:rPr>
          <w:rFonts w:hint="eastAsia" w:hAnsi="宋体"/>
          <w:color w:val="auto"/>
          <w:sz w:val="24"/>
          <w:szCs w:val="24"/>
          <w:highlight w:val="none"/>
        </w:rPr>
        <w:t>的违约金。</w:t>
      </w:r>
      <w:r>
        <w:rPr>
          <w:rFonts w:hint="eastAsia" w:hAnsi="宋体" w:cs="仿宋_GB2312"/>
          <w:color w:val="auto"/>
          <w:sz w:val="24"/>
          <w:szCs w:val="24"/>
          <w:highlight w:val="none"/>
        </w:rPr>
        <w:t>如乙方经两次整改仍未验收合格的，甲方</w:t>
      </w:r>
      <w:r>
        <w:rPr>
          <w:rFonts w:hint="eastAsia" w:hAnsi="宋体" w:cs="仿宋_GB2312"/>
          <w:color w:val="auto"/>
          <w:sz w:val="24"/>
          <w:szCs w:val="24"/>
          <w:highlight w:val="none"/>
          <w:lang w:val="en-US" w:eastAsia="zh-CN"/>
        </w:rPr>
        <w:t>及丙方</w:t>
      </w:r>
      <w:r>
        <w:rPr>
          <w:rFonts w:hint="eastAsia" w:hAnsi="宋体" w:cs="仿宋_GB2312"/>
          <w:color w:val="auto"/>
          <w:sz w:val="24"/>
          <w:szCs w:val="24"/>
          <w:highlight w:val="none"/>
        </w:rPr>
        <w:t>有权解除合同</w:t>
      </w:r>
      <w:r>
        <w:rPr>
          <w:rFonts w:hint="eastAsia" w:hAnsi="宋体" w:cs="仿宋_GB2312"/>
          <w:color w:val="auto"/>
          <w:sz w:val="24"/>
          <w:szCs w:val="24"/>
          <w:highlight w:val="none"/>
          <w:lang w:val="en-US" w:eastAsia="zh-CN"/>
        </w:rPr>
        <w:t>并要求乙方</w:t>
      </w:r>
      <w:r>
        <w:rPr>
          <w:rFonts w:hint="eastAsia" w:hAnsi="宋体" w:cs="仿宋_GB2312"/>
          <w:color w:val="auto"/>
          <w:sz w:val="24"/>
          <w:szCs w:val="24"/>
          <w:highlight w:val="none"/>
        </w:rPr>
        <w:t>向</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方支付相</w:t>
      </w:r>
      <w:r>
        <w:rPr>
          <w:rFonts w:hint="eastAsia" w:hAnsi="宋体" w:eastAsia="宋体" w:cs="仿宋_GB2312"/>
          <w:color w:val="auto"/>
          <w:sz w:val="24"/>
          <w:szCs w:val="24"/>
          <w:highlight w:val="none"/>
        </w:rPr>
        <w:t>当于</w:t>
      </w:r>
      <w:r>
        <w:rPr>
          <w:rFonts w:hint="eastAsia" w:ascii="Times New Roman" w:hAnsi="宋体" w:eastAsia="宋体" w:cs="仿宋_GB2312"/>
          <w:b w:val="0"/>
          <w:color w:val="auto"/>
          <w:sz w:val="24"/>
          <w:szCs w:val="24"/>
          <w:highlight w:val="none"/>
          <w:lang w:val="en-US" w:eastAsia="zh-CN"/>
        </w:rPr>
        <w:t>合同总价款</w:t>
      </w:r>
      <w:r>
        <w:rPr>
          <w:rFonts w:hint="eastAsia" w:hAnsi="宋体" w:eastAsia="宋体" w:cs="仿宋_GB2312"/>
          <w:color w:val="auto"/>
          <w:sz w:val="24"/>
          <w:szCs w:val="24"/>
          <w:highlight w:val="none"/>
        </w:rPr>
        <w:t>1</w:t>
      </w:r>
      <w:r>
        <w:rPr>
          <w:rFonts w:hint="eastAsia" w:hAnsi="宋体" w:cs="仿宋_GB2312"/>
          <w:color w:val="auto"/>
          <w:sz w:val="24"/>
          <w:szCs w:val="24"/>
          <w:highlight w:val="none"/>
        </w:rPr>
        <w:t>0%的违约金</w:t>
      </w:r>
      <w:r>
        <w:rPr>
          <w:rFonts w:hint="eastAsia" w:hAnsi="宋体" w:cs="仿宋_GB2312"/>
          <w:color w:val="auto"/>
          <w:sz w:val="24"/>
          <w:szCs w:val="24"/>
          <w:highlight w:val="none"/>
          <w:lang w:eastAsia="zh-CN"/>
        </w:rPr>
        <w:t>；</w:t>
      </w:r>
      <w:r>
        <w:rPr>
          <w:rFonts w:hint="eastAsia" w:hAnsi="宋体" w:cs="仿宋_GB2312"/>
          <w:color w:val="auto"/>
          <w:sz w:val="24"/>
          <w:szCs w:val="24"/>
          <w:highlight w:val="none"/>
        </w:rPr>
        <w:t>如</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方的实际损失超出违约金数额的，</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 xml:space="preserve">方还有权就超出部分损失向乙方主张赔偿责任。    </w:t>
      </w:r>
    </w:p>
    <w:p w14:paraId="1367A61D">
      <w:pPr>
        <w:spacing w:line="360" w:lineRule="auto"/>
        <w:ind w:firstLine="480" w:firstLineChars="200"/>
        <w:rPr>
          <w:rFonts w:hAnsi="宋体"/>
          <w:color w:val="auto"/>
          <w:sz w:val="24"/>
          <w:szCs w:val="24"/>
          <w:highlight w:val="none"/>
        </w:rPr>
      </w:pPr>
      <w:r>
        <w:rPr>
          <w:rFonts w:hint="eastAsia"/>
          <w:bCs/>
          <w:color w:val="auto"/>
          <w:sz w:val="24"/>
          <w:szCs w:val="24"/>
          <w:highlight w:val="none"/>
          <w:lang w:val="en-US" w:eastAsia="zh-CN"/>
        </w:rPr>
        <w:t>10.2.3</w:t>
      </w:r>
      <w:r>
        <w:rPr>
          <w:rFonts w:hint="eastAsia"/>
          <w:bCs/>
          <w:color w:val="auto"/>
          <w:sz w:val="24"/>
          <w:szCs w:val="24"/>
          <w:highlight w:val="none"/>
        </w:rPr>
        <w:t>乙方未按约定时间完成工程的，每逾期一天，乙方每日支付</w:t>
      </w:r>
      <w:r>
        <w:rPr>
          <w:rFonts w:hint="eastAsia"/>
          <w:bCs/>
          <w:color w:val="auto"/>
          <w:sz w:val="24"/>
          <w:szCs w:val="24"/>
          <w:highlight w:val="none"/>
          <w:lang w:val="en-US" w:eastAsia="zh-CN"/>
        </w:rPr>
        <w:t>丙</w:t>
      </w:r>
      <w:r>
        <w:rPr>
          <w:rFonts w:hint="eastAsia"/>
          <w:bCs/>
          <w:color w:val="auto"/>
          <w:sz w:val="24"/>
          <w:szCs w:val="24"/>
          <w:highlight w:val="none"/>
        </w:rPr>
        <w:t>方本合同价款总额</w:t>
      </w:r>
      <w:r>
        <w:rPr>
          <w:rFonts w:hint="eastAsia" w:hAnsi="宋体" w:cs="仿宋_GB2312"/>
          <w:color w:val="auto"/>
          <w:sz w:val="24"/>
          <w:szCs w:val="24"/>
          <w:highlight w:val="none"/>
          <w:lang w:val="en-US" w:eastAsia="zh-CN"/>
        </w:rPr>
        <w:t>千分之一或3000元（二者取大值）</w:t>
      </w:r>
      <w:r>
        <w:rPr>
          <w:rFonts w:hint="eastAsia"/>
          <w:bCs/>
          <w:color w:val="auto"/>
          <w:sz w:val="24"/>
          <w:szCs w:val="24"/>
          <w:highlight w:val="none"/>
        </w:rPr>
        <w:t>的违约金。</w:t>
      </w:r>
      <w:r>
        <w:rPr>
          <w:rFonts w:hint="eastAsia" w:hAnsi="宋体"/>
          <w:color w:val="auto"/>
          <w:sz w:val="24"/>
          <w:szCs w:val="24"/>
          <w:highlight w:val="none"/>
          <w:lang w:val="en-US" w:eastAsia="zh-CN"/>
        </w:rPr>
        <w:t>逾期超过</w:t>
      </w:r>
      <w:r>
        <w:rPr>
          <w:rFonts w:hint="eastAsia" w:hAnsi="宋体"/>
          <w:color w:val="auto"/>
          <w:sz w:val="24"/>
          <w:szCs w:val="24"/>
          <w:highlight w:val="none"/>
          <w:u w:val="single"/>
          <w:lang w:val="en-US" w:eastAsia="zh-CN"/>
        </w:rPr>
        <w:t>30</w:t>
      </w:r>
      <w:r>
        <w:rPr>
          <w:rFonts w:hint="eastAsia" w:hAnsi="宋体"/>
          <w:color w:val="auto"/>
          <w:sz w:val="24"/>
          <w:szCs w:val="24"/>
          <w:highlight w:val="none"/>
          <w:lang w:val="en-US" w:eastAsia="zh-CN"/>
        </w:rPr>
        <w:t>日的，丙</w:t>
      </w:r>
      <w:r>
        <w:rPr>
          <w:rFonts w:hint="eastAsia" w:hAnsi="宋体" w:cs="仿宋_GB2312"/>
          <w:color w:val="auto"/>
          <w:sz w:val="24"/>
          <w:szCs w:val="24"/>
          <w:highlight w:val="none"/>
        </w:rPr>
        <w:t>方有权解除合同</w:t>
      </w:r>
      <w:r>
        <w:rPr>
          <w:rFonts w:hint="eastAsia" w:hAnsi="宋体" w:cs="仿宋_GB2312"/>
          <w:color w:val="auto"/>
          <w:sz w:val="24"/>
          <w:szCs w:val="24"/>
          <w:highlight w:val="none"/>
          <w:lang w:val="en-US" w:eastAsia="zh-CN"/>
        </w:rPr>
        <w:t>并要求乙方</w:t>
      </w:r>
      <w:r>
        <w:rPr>
          <w:rFonts w:hint="eastAsia" w:hAnsi="宋体" w:cs="仿宋_GB2312"/>
          <w:color w:val="auto"/>
          <w:sz w:val="24"/>
          <w:szCs w:val="24"/>
          <w:highlight w:val="none"/>
        </w:rPr>
        <w:t>向</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方支付相</w:t>
      </w:r>
      <w:r>
        <w:rPr>
          <w:rFonts w:hint="eastAsia" w:hAnsi="宋体" w:eastAsia="宋体" w:cs="仿宋_GB2312"/>
          <w:color w:val="auto"/>
          <w:sz w:val="24"/>
          <w:szCs w:val="24"/>
          <w:highlight w:val="none"/>
        </w:rPr>
        <w:t>当于</w:t>
      </w:r>
      <w:r>
        <w:rPr>
          <w:rFonts w:hint="eastAsia" w:ascii="Times New Roman" w:hAnsi="宋体" w:eastAsia="宋体" w:cs="仿宋_GB2312"/>
          <w:b w:val="0"/>
          <w:color w:val="auto"/>
          <w:sz w:val="24"/>
          <w:szCs w:val="24"/>
          <w:highlight w:val="none"/>
          <w:lang w:val="en-US" w:eastAsia="zh-CN"/>
        </w:rPr>
        <w:t>合同总价款</w:t>
      </w:r>
      <w:r>
        <w:rPr>
          <w:rFonts w:hint="eastAsia" w:hAnsi="宋体" w:eastAsia="宋体" w:cs="仿宋_GB2312"/>
          <w:color w:val="auto"/>
          <w:sz w:val="24"/>
          <w:szCs w:val="24"/>
          <w:highlight w:val="none"/>
        </w:rPr>
        <w:t>1</w:t>
      </w:r>
      <w:r>
        <w:rPr>
          <w:rFonts w:hint="eastAsia" w:hAnsi="宋体" w:cs="仿宋_GB2312"/>
          <w:color w:val="auto"/>
          <w:sz w:val="24"/>
          <w:szCs w:val="24"/>
          <w:highlight w:val="none"/>
        </w:rPr>
        <w:t>0%的违约金</w:t>
      </w:r>
      <w:r>
        <w:rPr>
          <w:rFonts w:hint="eastAsia" w:hAnsi="宋体" w:cs="仿宋_GB2312"/>
          <w:color w:val="auto"/>
          <w:sz w:val="24"/>
          <w:szCs w:val="24"/>
          <w:highlight w:val="none"/>
          <w:lang w:eastAsia="zh-CN"/>
        </w:rPr>
        <w:t>；</w:t>
      </w:r>
      <w:r>
        <w:rPr>
          <w:rFonts w:hint="eastAsia" w:hAnsi="宋体" w:cs="仿宋_GB2312"/>
          <w:color w:val="auto"/>
          <w:sz w:val="24"/>
          <w:szCs w:val="24"/>
          <w:highlight w:val="none"/>
        </w:rPr>
        <w:t>如</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方的实际损失超出违约金数额的，</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 xml:space="preserve">方还有权就超出部分损失向乙方主张赔偿责任。    </w:t>
      </w:r>
    </w:p>
    <w:p w14:paraId="0DBEEDDD">
      <w:pPr>
        <w:spacing w:line="360" w:lineRule="auto"/>
        <w:ind w:firstLine="480" w:firstLineChars="200"/>
        <w:rPr>
          <w:rFonts w:hint="eastAsia" w:hAnsi="宋体"/>
          <w:color w:val="auto"/>
          <w:sz w:val="24"/>
          <w:szCs w:val="24"/>
          <w:highlight w:val="none"/>
        </w:rPr>
      </w:pPr>
      <w:r>
        <w:rPr>
          <w:rFonts w:hint="eastAsia"/>
          <w:bCs/>
          <w:color w:val="auto"/>
          <w:sz w:val="24"/>
          <w:szCs w:val="24"/>
          <w:highlight w:val="none"/>
          <w:lang w:val="en-US" w:eastAsia="zh-CN"/>
        </w:rPr>
        <w:t>10.2.4</w:t>
      </w:r>
      <w:r>
        <w:rPr>
          <w:rFonts w:hint="eastAsia" w:hAnsi="宋体" w:cs="仿宋_GB2312"/>
          <w:color w:val="auto"/>
          <w:sz w:val="24"/>
          <w:szCs w:val="24"/>
          <w:highlight w:val="none"/>
        </w:rPr>
        <w:t>不得将合同或合同的任何部分转包给第三方，否则，甲方</w:t>
      </w:r>
      <w:r>
        <w:rPr>
          <w:rFonts w:hint="eastAsia" w:hAnsi="宋体" w:cs="仿宋_GB2312"/>
          <w:color w:val="auto"/>
          <w:sz w:val="24"/>
          <w:szCs w:val="24"/>
          <w:highlight w:val="none"/>
          <w:lang w:val="en-US" w:eastAsia="zh-CN"/>
        </w:rPr>
        <w:t>及丙</w:t>
      </w:r>
      <w:r>
        <w:rPr>
          <w:rFonts w:hint="eastAsia" w:hAnsi="宋体" w:cs="仿宋_GB2312"/>
          <w:color w:val="auto"/>
          <w:sz w:val="24"/>
          <w:szCs w:val="24"/>
          <w:highlight w:val="none"/>
        </w:rPr>
        <w:t>有权解除合同并</w:t>
      </w:r>
      <w:r>
        <w:rPr>
          <w:rFonts w:hint="eastAsia" w:hAnsi="宋体" w:cs="仿宋_GB2312"/>
          <w:color w:val="auto"/>
          <w:sz w:val="24"/>
          <w:szCs w:val="24"/>
          <w:highlight w:val="none"/>
          <w:lang w:val="en-US" w:eastAsia="zh-CN"/>
        </w:rPr>
        <w:t>要求乙方</w:t>
      </w:r>
      <w:r>
        <w:rPr>
          <w:rFonts w:hint="eastAsia" w:hAnsi="宋体" w:cs="仿宋_GB2312"/>
          <w:color w:val="auto"/>
          <w:sz w:val="24"/>
          <w:szCs w:val="24"/>
          <w:highlight w:val="none"/>
        </w:rPr>
        <w:t>向</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方支付相当</w:t>
      </w:r>
      <w:r>
        <w:rPr>
          <w:rFonts w:hint="eastAsia" w:hAnsi="宋体" w:cs="仿宋_GB2312"/>
          <w:b w:val="0"/>
          <w:bCs w:val="0"/>
          <w:color w:val="auto"/>
          <w:sz w:val="24"/>
          <w:szCs w:val="24"/>
          <w:highlight w:val="none"/>
        </w:rPr>
        <w:t>于</w:t>
      </w:r>
      <w:r>
        <w:rPr>
          <w:rFonts w:hint="eastAsia" w:ascii="宋体" w:hAnsi="宋体" w:cs="仿宋_GB2312"/>
          <w:b w:val="0"/>
          <w:bCs w:val="0"/>
          <w:color w:val="auto"/>
          <w:sz w:val="24"/>
          <w:szCs w:val="24"/>
          <w:highlight w:val="none"/>
          <w:lang w:val="en-US" w:eastAsia="zh-CN"/>
        </w:rPr>
        <w:t>合同总价款</w:t>
      </w:r>
      <w:r>
        <w:rPr>
          <w:rFonts w:hint="eastAsia" w:hAnsi="宋体" w:cs="仿宋_GB2312"/>
          <w:color w:val="auto"/>
          <w:sz w:val="24"/>
          <w:szCs w:val="24"/>
          <w:highlight w:val="none"/>
        </w:rPr>
        <w:t>10%的违约金，如</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方的实际损失超出违约金数额的，</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 xml:space="preserve">方还有权就超出部分损失向乙方主张赔偿责任。    </w:t>
      </w:r>
    </w:p>
    <w:p w14:paraId="1C43B482">
      <w:pPr>
        <w:spacing w:line="360" w:lineRule="auto"/>
        <w:ind w:firstLine="480" w:firstLineChars="200"/>
        <w:rPr>
          <w:color w:val="auto"/>
          <w:sz w:val="24"/>
          <w:szCs w:val="24"/>
          <w:highlight w:val="none"/>
        </w:rPr>
      </w:pPr>
      <w:r>
        <w:rPr>
          <w:rFonts w:hint="eastAsia" w:hAnsi="宋体"/>
          <w:color w:val="auto"/>
          <w:sz w:val="24"/>
          <w:szCs w:val="24"/>
          <w:highlight w:val="none"/>
          <w:lang w:val="en-US" w:eastAsia="zh-CN"/>
        </w:rPr>
        <w:t>10.2.5</w:t>
      </w:r>
      <w:r>
        <w:rPr>
          <w:rFonts w:hint="eastAsia" w:hAnsi="宋体"/>
          <w:color w:val="auto"/>
          <w:sz w:val="24"/>
          <w:szCs w:val="24"/>
          <w:highlight w:val="none"/>
        </w:rPr>
        <w:t>乙方</w:t>
      </w:r>
      <w:r>
        <w:rPr>
          <w:rFonts w:hint="eastAsia" w:hAnsi="宋体"/>
          <w:color w:val="auto"/>
          <w:sz w:val="24"/>
          <w:szCs w:val="24"/>
          <w:highlight w:val="none"/>
          <w:lang w:val="en-US" w:eastAsia="zh-CN"/>
        </w:rPr>
        <w:t>的其他违约行为</w:t>
      </w:r>
      <w:r>
        <w:rPr>
          <w:rFonts w:hint="eastAsia" w:hAnsi="宋体"/>
          <w:color w:val="auto"/>
          <w:sz w:val="24"/>
          <w:szCs w:val="24"/>
          <w:highlight w:val="none"/>
        </w:rPr>
        <w:t>：</w:t>
      </w:r>
    </w:p>
    <w:p w14:paraId="6DC239D3">
      <w:pPr>
        <w:spacing w:line="360" w:lineRule="auto"/>
        <w:ind w:firstLine="480" w:firstLineChars="200"/>
        <w:rPr>
          <w:color w:val="auto"/>
          <w:sz w:val="24"/>
          <w:szCs w:val="24"/>
          <w:highlight w:val="none"/>
        </w:rPr>
      </w:pPr>
      <w:r>
        <w:rPr>
          <w:rFonts w:hint="eastAsia" w:hAnsi="宋体"/>
          <w:color w:val="auto"/>
          <w:sz w:val="24"/>
          <w:szCs w:val="24"/>
          <w:highlight w:val="none"/>
        </w:rPr>
        <w:t>（</w:t>
      </w:r>
      <w:r>
        <w:rPr>
          <w:rFonts w:hAnsi="宋体"/>
          <w:color w:val="auto"/>
          <w:sz w:val="24"/>
          <w:szCs w:val="24"/>
          <w:highlight w:val="none"/>
        </w:rPr>
        <w:t>1</w:t>
      </w:r>
      <w:r>
        <w:rPr>
          <w:rFonts w:hint="eastAsia" w:hAnsi="宋体"/>
          <w:color w:val="auto"/>
          <w:sz w:val="24"/>
          <w:szCs w:val="24"/>
          <w:highlight w:val="none"/>
        </w:rPr>
        <w:t>）乙方违反合同约定进行违法分包的</w:t>
      </w:r>
      <w:r>
        <w:rPr>
          <w:rFonts w:hint="eastAsia" w:hAnsi="宋体"/>
          <w:color w:val="auto"/>
          <w:sz w:val="24"/>
          <w:szCs w:val="24"/>
          <w:highlight w:val="none"/>
          <w:lang w:eastAsia="zh-CN"/>
        </w:rPr>
        <w:t>，</w:t>
      </w:r>
      <w:r>
        <w:rPr>
          <w:rFonts w:hint="eastAsia" w:hAnsi="宋体"/>
          <w:color w:val="auto"/>
          <w:sz w:val="24"/>
          <w:szCs w:val="24"/>
          <w:highlight w:val="none"/>
          <w:lang w:val="en-US" w:eastAsia="zh-CN"/>
        </w:rPr>
        <w:t>每次处以违约金人民币2万元（或2万元等价物），责令改正，若拒不改正甲方及丙方有权解除合同</w:t>
      </w:r>
      <w:r>
        <w:rPr>
          <w:rFonts w:hint="eastAsia" w:hAnsi="宋体"/>
          <w:color w:val="auto"/>
          <w:sz w:val="24"/>
          <w:szCs w:val="24"/>
          <w:highlight w:val="none"/>
        </w:rPr>
        <w:t>；</w:t>
      </w:r>
    </w:p>
    <w:p w14:paraId="332E36BA">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w:t>
      </w:r>
      <w:r>
        <w:rPr>
          <w:rFonts w:hAnsi="宋体"/>
          <w:color w:val="auto"/>
          <w:sz w:val="24"/>
          <w:szCs w:val="24"/>
          <w:highlight w:val="none"/>
        </w:rPr>
        <w:t>2</w:t>
      </w:r>
      <w:r>
        <w:rPr>
          <w:rFonts w:hint="eastAsia" w:hAnsi="宋体"/>
          <w:color w:val="auto"/>
          <w:sz w:val="24"/>
          <w:szCs w:val="24"/>
          <w:highlight w:val="none"/>
        </w:rPr>
        <w:t>）因乙方原因导致安全文明施工管理不符合合同要求的</w:t>
      </w:r>
      <w:r>
        <w:rPr>
          <w:rFonts w:hint="eastAsia" w:hAnsi="宋体"/>
          <w:color w:val="auto"/>
          <w:sz w:val="24"/>
          <w:szCs w:val="24"/>
          <w:highlight w:val="none"/>
          <w:lang w:eastAsia="zh-CN"/>
        </w:rPr>
        <w:t>，</w:t>
      </w:r>
      <w:r>
        <w:rPr>
          <w:rFonts w:hint="eastAsia" w:hAnsi="宋体"/>
          <w:color w:val="auto"/>
          <w:sz w:val="24"/>
          <w:szCs w:val="24"/>
          <w:highlight w:val="none"/>
          <w:lang w:val="en-US" w:eastAsia="zh-CN"/>
        </w:rPr>
        <w:t>每发现一次视情节严重情况处以违约金人民币2000-20000元</w:t>
      </w:r>
      <w:r>
        <w:rPr>
          <w:rFonts w:hint="eastAsia" w:hAnsi="宋体"/>
          <w:color w:val="auto"/>
          <w:sz w:val="24"/>
          <w:szCs w:val="24"/>
          <w:highlight w:val="none"/>
        </w:rPr>
        <w:t>；</w:t>
      </w:r>
      <w:r>
        <w:rPr>
          <w:rFonts w:hAnsi="宋体"/>
          <w:color w:val="auto"/>
          <w:sz w:val="24"/>
          <w:szCs w:val="24"/>
          <w:highlight w:val="none"/>
        </w:rPr>
        <w:t xml:space="preserve"> </w:t>
      </w:r>
    </w:p>
    <w:p w14:paraId="56A26672">
      <w:pPr>
        <w:spacing w:line="360" w:lineRule="auto"/>
        <w:ind w:firstLine="480" w:firstLineChars="200"/>
        <w:rPr>
          <w:color w:val="auto"/>
          <w:sz w:val="24"/>
          <w:szCs w:val="24"/>
          <w:highlight w:val="none"/>
        </w:rPr>
      </w:pPr>
      <w:r>
        <w:rPr>
          <w:rFonts w:hint="eastAsia" w:hAnsi="宋体"/>
          <w:color w:val="auto"/>
          <w:sz w:val="24"/>
          <w:szCs w:val="24"/>
          <w:highlight w:val="none"/>
        </w:rPr>
        <w:t>（</w:t>
      </w:r>
      <w:r>
        <w:rPr>
          <w:rFonts w:hint="eastAsia" w:hAnsi="宋体"/>
          <w:color w:val="auto"/>
          <w:sz w:val="24"/>
          <w:szCs w:val="24"/>
          <w:highlight w:val="none"/>
          <w:lang w:val="en-US" w:eastAsia="zh-CN"/>
        </w:rPr>
        <w:t>3</w:t>
      </w:r>
      <w:r>
        <w:rPr>
          <w:rFonts w:hint="eastAsia" w:hAnsi="宋体"/>
          <w:color w:val="auto"/>
          <w:sz w:val="24"/>
          <w:szCs w:val="24"/>
          <w:highlight w:val="none"/>
        </w:rPr>
        <w:t>）乙方明确表示或者以其行为表明不履行合同主要义务的</w:t>
      </w:r>
      <w:r>
        <w:rPr>
          <w:rFonts w:hint="eastAsia" w:hAnsi="宋体"/>
          <w:color w:val="auto"/>
          <w:sz w:val="24"/>
          <w:szCs w:val="24"/>
          <w:highlight w:val="none"/>
          <w:lang w:eastAsia="zh-CN"/>
        </w:rPr>
        <w:t>，</w:t>
      </w:r>
      <w:r>
        <w:rPr>
          <w:rFonts w:hint="eastAsia" w:hAnsi="宋体" w:cs="仿宋_GB2312"/>
          <w:color w:val="auto"/>
          <w:sz w:val="24"/>
          <w:szCs w:val="24"/>
          <w:highlight w:val="none"/>
        </w:rPr>
        <w:t>甲方</w:t>
      </w:r>
      <w:r>
        <w:rPr>
          <w:rFonts w:hint="eastAsia" w:hAnsi="宋体" w:cs="仿宋_GB2312"/>
          <w:color w:val="auto"/>
          <w:sz w:val="24"/>
          <w:szCs w:val="24"/>
          <w:highlight w:val="none"/>
          <w:lang w:val="en-US" w:eastAsia="zh-CN"/>
        </w:rPr>
        <w:t>及丙方</w:t>
      </w:r>
      <w:r>
        <w:rPr>
          <w:rFonts w:hint="eastAsia" w:hAnsi="宋体" w:cs="仿宋_GB2312"/>
          <w:color w:val="auto"/>
          <w:sz w:val="24"/>
          <w:szCs w:val="24"/>
          <w:highlight w:val="none"/>
        </w:rPr>
        <w:t>有权解除合同</w:t>
      </w:r>
      <w:r>
        <w:rPr>
          <w:rFonts w:hint="eastAsia" w:hAnsi="宋体" w:cs="仿宋_GB2312"/>
          <w:color w:val="auto"/>
          <w:sz w:val="24"/>
          <w:szCs w:val="24"/>
          <w:highlight w:val="none"/>
          <w:lang w:val="en-US" w:eastAsia="zh-CN"/>
        </w:rPr>
        <w:t>并要求乙方</w:t>
      </w:r>
      <w:r>
        <w:rPr>
          <w:rFonts w:hint="eastAsia" w:hAnsi="宋体" w:cs="仿宋_GB2312"/>
          <w:color w:val="auto"/>
          <w:sz w:val="24"/>
          <w:szCs w:val="24"/>
          <w:highlight w:val="none"/>
        </w:rPr>
        <w:t>向</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方支付相当于</w:t>
      </w:r>
      <w:r>
        <w:rPr>
          <w:rFonts w:hint="eastAsia" w:ascii="宋体" w:hAnsi="宋体" w:cs="仿宋_GB2312"/>
          <w:b w:val="0"/>
          <w:bCs w:val="0"/>
          <w:color w:val="auto"/>
          <w:sz w:val="24"/>
          <w:szCs w:val="24"/>
          <w:highlight w:val="none"/>
          <w:lang w:val="en-US" w:eastAsia="zh-CN"/>
        </w:rPr>
        <w:t>合同总价款</w:t>
      </w:r>
      <w:r>
        <w:rPr>
          <w:rFonts w:hint="eastAsia" w:hAnsi="宋体" w:cs="仿宋_GB2312"/>
          <w:color w:val="auto"/>
          <w:sz w:val="24"/>
          <w:szCs w:val="24"/>
          <w:highlight w:val="none"/>
        </w:rPr>
        <w:t>10%的违约金</w:t>
      </w:r>
      <w:r>
        <w:rPr>
          <w:rFonts w:hint="eastAsia" w:hAnsi="宋体" w:cs="仿宋_GB2312"/>
          <w:color w:val="auto"/>
          <w:sz w:val="24"/>
          <w:szCs w:val="24"/>
          <w:highlight w:val="none"/>
          <w:lang w:eastAsia="zh-CN"/>
        </w:rPr>
        <w:t>；</w:t>
      </w:r>
      <w:r>
        <w:rPr>
          <w:rFonts w:hint="eastAsia" w:hAnsi="宋体" w:cs="仿宋_GB2312"/>
          <w:color w:val="auto"/>
          <w:sz w:val="24"/>
          <w:szCs w:val="24"/>
          <w:highlight w:val="none"/>
        </w:rPr>
        <w:t>如</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方的实际损失超出违约金数额的，</w:t>
      </w:r>
      <w:r>
        <w:rPr>
          <w:rFonts w:hint="eastAsia" w:hAnsi="宋体" w:cs="仿宋_GB2312"/>
          <w:color w:val="auto"/>
          <w:sz w:val="24"/>
          <w:szCs w:val="24"/>
          <w:highlight w:val="none"/>
          <w:lang w:val="en-US" w:eastAsia="zh-CN"/>
        </w:rPr>
        <w:t>丙</w:t>
      </w:r>
      <w:r>
        <w:rPr>
          <w:rFonts w:hint="eastAsia" w:hAnsi="宋体" w:cs="仿宋_GB2312"/>
          <w:color w:val="auto"/>
          <w:sz w:val="24"/>
          <w:szCs w:val="24"/>
          <w:highlight w:val="none"/>
        </w:rPr>
        <w:t>方还有权就超出部分损失向乙方主张赔偿责任。</w:t>
      </w:r>
    </w:p>
    <w:p w14:paraId="661DA163">
      <w:pPr>
        <w:spacing w:line="360" w:lineRule="auto"/>
        <w:ind w:firstLine="480" w:firstLineChars="200"/>
        <w:rPr>
          <w:color w:val="auto"/>
          <w:sz w:val="24"/>
          <w:szCs w:val="24"/>
          <w:highlight w:val="none"/>
        </w:rPr>
      </w:pPr>
      <w:r>
        <w:rPr>
          <w:rFonts w:hint="eastAsia" w:hAnsi="宋体"/>
          <w:color w:val="auto"/>
          <w:sz w:val="24"/>
          <w:szCs w:val="24"/>
          <w:highlight w:val="none"/>
        </w:rPr>
        <w:t>（</w:t>
      </w:r>
      <w:r>
        <w:rPr>
          <w:rFonts w:hint="eastAsia" w:hAnsi="宋体"/>
          <w:color w:val="auto"/>
          <w:sz w:val="24"/>
          <w:szCs w:val="24"/>
          <w:highlight w:val="none"/>
          <w:lang w:val="en-US" w:eastAsia="zh-CN"/>
        </w:rPr>
        <w:t>4</w:t>
      </w:r>
      <w:r>
        <w:rPr>
          <w:rFonts w:hint="eastAsia" w:hAnsi="宋体"/>
          <w:color w:val="auto"/>
          <w:sz w:val="24"/>
          <w:szCs w:val="24"/>
          <w:highlight w:val="none"/>
        </w:rPr>
        <w:t>）乙方未能按照合同约定履行其他义务的</w:t>
      </w:r>
      <w:r>
        <w:rPr>
          <w:rFonts w:hint="eastAsia" w:hAnsi="宋体"/>
          <w:color w:val="auto"/>
          <w:sz w:val="24"/>
          <w:szCs w:val="24"/>
          <w:highlight w:val="none"/>
          <w:lang w:eastAsia="zh-CN"/>
        </w:rPr>
        <w:t>，</w:t>
      </w:r>
      <w:r>
        <w:rPr>
          <w:rFonts w:hint="eastAsia" w:hAnsi="宋体"/>
          <w:color w:val="auto"/>
          <w:sz w:val="24"/>
          <w:szCs w:val="24"/>
          <w:highlight w:val="none"/>
          <w:lang w:val="en-US" w:eastAsia="zh-CN"/>
        </w:rPr>
        <w:t>每发现一次视情节严重情况处以违约金人民币2000-20000元</w:t>
      </w:r>
      <w:r>
        <w:rPr>
          <w:rFonts w:hint="eastAsia" w:hAnsi="宋体"/>
          <w:color w:val="auto"/>
          <w:sz w:val="24"/>
          <w:szCs w:val="24"/>
          <w:highlight w:val="none"/>
        </w:rPr>
        <w:t>。</w:t>
      </w:r>
    </w:p>
    <w:p w14:paraId="6DCAD17A">
      <w:pPr>
        <w:spacing w:line="360" w:lineRule="auto"/>
        <w:ind w:firstLine="480" w:firstLineChars="200"/>
        <w:rPr>
          <w:color w:val="auto"/>
          <w:sz w:val="24"/>
          <w:szCs w:val="24"/>
          <w:highlight w:val="none"/>
        </w:rPr>
      </w:pPr>
      <w:r>
        <w:rPr>
          <w:rFonts w:hint="eastAsia" w:hAnsi="宋体"/>
          <w:color w:val="auto"/>
          <w:sz w:val="24"/>
          <w:szCs w:val="24"/>
          <w:highlight w:val="none"/>
          <w:lang w:val="en-US" w:eastAsia="zh-CN"/>
        </w:rPr>
        <w:t>10.2.6</w:t>
      </w:r>
      <w:r>
        <w:rPr>
          <w:rFonts w:hint="eastAsia" w:hAnsi="宋体"/>
          <w:color w:val="auto"/>
          <w:sz w:val="24"/>
          <w:szCs w:val="24"/>
          <w:highlight w:val="none"/>
        </w:rPr>
        <w:t>因乙方违约解除合同</w:t>
      </w:r>
    </w:p>
    <w:p w14:paraId="746414FF">
      <w:pPr>
        <w:numPr>
          <w:ilvl w:val="0"/>
          <w:numId w:val="16"/>
        </w:num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除上述合同条款另有约定外，</w:t>
      </w:r>
      <w:r>
        <w:rPr>
          <w:rFonts w:hint="eastAsia" w:hAnsi="宋体"/>
          <w:color w:val="auto"/>
          <w:sz w:val="24"/>
          <w:szCs w:val="24"/>
          <w:highlight w:val="none"/>
          <w:lang w:val="en-US" w:eastAsia="zh-CN"/>
        </w:rPr>
        <w:t>乙方出现违约情形经</w:t>
      </w:r>
      <w:r>
        <w:rPr>
          <w:rFonts w:hint="eastAsia" w:hAnsi="宋体"/>
          <w:color w:val="auto"/>
          <w:sz w:val="24"/>
          <w:szCs w:val="24"/>
          <w:highlight w:val="none"/>
        </w:rPr>
        <w:t>甲方发出整改通知后，乙方在指定的合理期限内仍不纠正违约行为并致使合同目的不能实现的，甲方有权解除合同并要求乙方向</w:t>
      </w:r>
      <w:r>
        <w:rPr>
          <w:rFonts w:hint="eastAsia" w:hAnsi="宋体"/>
          <w:color w:val="auto"/>
          <w:sz w:val="24"/>
          <w:szCs w:val="24"/>
          <w:highlight w:val="none"/>
          <w:lang w:val="en-US" w:eastAsia="zh-CN"/>
        </w:rPr>
        <w:t>丙</w:t>
      </w:r>
      <w:r>
        <w:rPr>
          <w:rFonts w:hint="eastAsia" w:hAnsi="宋体"/>
          <w:color w:val="auto"/>
          <w:sz w:val="24"/>
          <w:szCs w:val="24"/>
          <w:highlight w:val="none"/>
        </w:rPr>
        <w:t>方支付相当于</w:t>
      </w:r>
      <w:r>
        <w:rPr>
          <w:rFonts w:hint="eastAsia" w:hAnsi="宋体"/>
          <w:color w:val="auto"/>
          <w:sz w:val="24"/>
          <w:szCs w:val="24"/>
          <w:highlight w:val="none"/>
          <w:lang w:val="en-US" w:eastAsia="zh-CN"/>
        </w:rPr>
        <w:t>合同总价款</w:t>
      </w:r>
      <w:r>
        <w:rPr>
          <w:rFonts w:hint="eastAsia" w:hAnsi="宋体"/>
          <w:color w:val="auto"/>
          <w:sz w:val="24"/>
          <w:szCs w:val="24"/>
          <w:highlight w:val="none"/>
        </w:rPr>
        <w:t>10%的违约金</w:t>
      </w:r>
      <w:r>
        <w:rPr>
          <w:rFonts w:hint="eastAsia" w:hAnsi="宋体"/>
          <w:color w:val="auto"/>
          <w:sz w:val="24"/>
          <w:szCs w:val="24"/>
          <w:highlight w:val="none"/>
          <w:lang w:eastAsia="zh-CN"/>
        </w:rPr>
        <w:t>；</w:t>
      </w:r>
      <w:r>
        <w:rPr>
          <w:rFonts w:hint="eastAsia" w:hAnsi="宋体"/>
          <w:color w:val="auto"/>
          <w:sz w:val="24"/>
          <w:szCs w:val="24"/>
          <w:highlight w:val="none"/>
        </w:rPr>
        <w:t>如</w:t>
      </w:r>
      <w:r>
        <w:rPr>
          <w:rFonts w:hint="eastAsia" w:hAnsi="宋体"/>
          <w:color w:val="auto"/>
          <w:sz w:val="24"/>
          <w:szCs w:val="24"/>
          <w:highlight w:val="none"/>
          <w:lang w:val="en-US" w:eastAsia="zh-CN"/>
        </w:rPr>
        <w:t>丙</w:t>
      </w:r>
      <w:r>
        <w:rPr>
          <w:rFonts w:hint="eastAsia" w:hAnsi="宋体"/>
          <w:color w:val="auto"/>
          <w:sz w:val="24"/>
          <w:szCs w:val="24"/>
          <w:highlight w:val="none"/>
        </w:rPr>
        <w:t>方的实际损失超出违约金数额的，</w:t>
      </w:r>
      <w:r>
        <w:rPr>
          <w:rFonts w:hint="eastAsia" w:hAnsi="宋体"/>
          <w:color w:val="auto"/>
          <w:sz w:val="24"/>
          <w:szCs w:val="24"/>
          <w:highlight w:val="none"/>
          <w:lang w:val="en-US" w:eastAsia="zh-CN"/>
        </w:rPr>
        <w:t>丙</w:t>
      </w:r>
      <w:r>
        <w:rPr>
          <w:rFonts w:hint="eastAsia" w:hAnsi="宋体"/>
          <w:color w:val="auto"/>
          <w:sz w:val="24"/>
          <w:szCs w:val="24"/>
          <w:highlight w:val="none"/>
        </w:rPr>
        <w:t>方还有权就超出部分损失向乙方主张赔偿责任。</w:t>
      </w:r>
    </w:p>
    <w:p w14:paraId="43BC4BF5">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lang w:eastAsia="zh-CN"/>
        </w:rPr>
        <w:t>（</w:t>
      </w:r>
      <w:r>
        <w:rPr>
          <w:rFonts w:hint="eastAsia" w:hAnsi="宋体"/>
          <w:color w:val="auto"/>
          <w:sz w:val="24"/>
          <w:szCs w:val="24"/>
          <w:highlight w:val="none"/>
          <w:lang w:val="en-US" w:eastAsia="zh-CN"/>
        </w:rPr>
        <w:t>2</w:t>
      </w:r>
      <w:r>
        <w:rPr>
          <w:rFonts w:hint="eastAsia" w:hAnsi="宋体"/>
          <w:color w:val="auto"/>
          <w:sz w:val="24"/>
          <w:szCs w:val="24"/>
          <w:highlight w:val="none"/>
          <w:lang w:eastAsia="zh-CN"/>
        </w:rPr>
        <w:t>）</w:t>
      </w:r>
      <w:r>
        <w:rPr>
          <w:rFonts w:hint="eastAsia" w:hAnsi="宋体"/>
          <w:color w:val="auto"/>
          <w:sz w:val="24"/>
          <w:szCs w:val="24"/>
          <w:highlight w:val="none"/>
        </w:rPr>
        <w:t>因乙方违约解除合同后的处理</w:t>
      </w:r>
      <w:r>
        <w:rPr>
          <w:rFonts w:hint="eastAsia" w:hAnsi="宋体"/>
          <w:color w:val="auto"/>
          <w:sz w:val="24"/>
          <w:szCs w:val="24"/>
          <w:highlight w:val="none"/>
          <w:lang w:eastAsia="zh-CN"/>
        </w:rPr>
        <w:t>：</w:t>
      </w:r>
      <w:r>
        <w:rPr>
          <w:rFonts w:hint="eastAsia" w:hAnsi="宋体"/>
          <w:color w:val="auto"/>
          <w:sz w:val="24"/>
          <w:szCs w:val="24"/>
          <w:highlight w:val="none"/>
        </w:rPr>
        <w:t>乙方</w:t>
      </w:r>
      <w:r>
        <w:rPr>
          <w:rFonts w:hint="eastAsia" w:hAnsi="宋体"/>
          <w:color w:val="auto"/>
          <w:sz w:val="24"/>
          <w:szCs w:val="24"/>
          <w:highlight w:val="none"/>
          <w:lang w:val="en-US" w:eastAsia="zh-CN"/>
        </w:rPr>
        <w:t>应按本合同约定承担相关违约责任；</w:t>
      </w:r>
      <w:r>
        <w:rPr>
          <w:rFonts w:hint="eastAsia" w:hAnsi="宋体"/>
          <w:color w:val="auto"/>
          <w:sz w:val="24"/>
          <w:szCs w:val="24"/>
          <w:highlight w:val="none"/>
        </w:rPr>
        <w:t>乙方应按照甲方要求完成现场的清理和撤离</w:t>
      </w:r>
      <w:r>
        <w:rPr>
          <w:rFonts w:hint="eastAsia" w:hAnsi="宋体"/>
          <w:color w:val="auto"/>
          <w:sz w:val="24"/>
          <w:szCs w:val="24"/>
          <w:highlight w:val="none"/>
          <w:lang w:eastAsia="zh-CN"/>
        </w:rPr>
        <w:t>。</w:t>
      </w:r>
    </w:p>
    <w:p w14:paraId="7276656F">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lang w:val="en-US" w:eastAsia="zh-CN"/>
        </w:rPr>
        <w:t>10.2.7</w:t>
      </w:r>
      <w:r>
        <w:rPr>
          <w:rFonts w:hint="eastAsia" w:hAnsi="宋体"/>
          <w:color w:val="auto"/>
          <w:sz w:val="24"/>
          <w:szCs w:val="24"/>
          <w:highlight w:val="none"/>
        </w:rPr>
        <w:t>如乙方违约的，甲方除有权要求乙方承担违约责任外，还有权要求乙方支付维权成本，包括但不限于诉讼/仲裁费、调查取证费/公证费/鉴定费、律师费、保全费、担保费、差旅费等维权费用及其他合理费用。</w:t>
      </w:r>
    </w:p>
    <w:p w14:paraId="23BC48E0">
      <w:pPr>
        <w:spacing w:line="360" w:lineRule="auto"/>
        <w:ind w:firstLine="480" w:firstLineChars="200"/>
        <w:contextualSpacing/>
        <w:rPr>
          <w:rFonts w:hAnsi="宋体"/>
          <w:color w:val="auto"/>
          <w:sz w:val="24"/>
          <w:szCs w:val="24"/>
          <w:highlight w:val="none"/>
        </w:rPr>
      </w:pPr>
      <w:r>
        <w:rPr>
          <w:rFonts w:hint="eastAsia" w:hAnsi="宋体"/>
          <w:color w:val="auto"/>
          <w:sz w:val="24"/>
          <w:szCs w:val="24"/>
          <w:highlight w:val="none"/>
          <w:lang w:val="en-US" w:eastAsia="zh-CN"/>
        </w:rPr>
        <w:t xml:space="preserve">10.2.8 </w:t>
      </w:r>
      <w:r>
        <w:rPr>
          <w:rFonts w:hint="default" w:hAnsi="宋体"/>
          <w:color w:val="auto"/>
          <w:sz w:val="24"/>
          <w:szCs w:val="24"/>
          <w:highlight w:val="none"/>
        </w:rPr>
        <w:t>因乙方原因所产生的违约金、赔偿或其他应付费用，</w:t>
      </w:r>
      <w:r>
        <w:rPr>
          <w:rFonts w:hint="eastAsia" w:hAnsi="宋体"/>
          <w:color w:val="auto"/>
          <w:sz w:val="24"/>
          <w:szCs w:val="24"/>
          <w:highlight w:val="none"/>
          <w:lang w:val="en-US" w:eastAsia="zh-CN"/>
        </w:rPr>
        <w:t>丙</w:t>
      </w:r>
      <w:r>
        <w:rPr>
          <w:rFonts w:hint="default" w:hAnsi="宋体"/>
          <w:color w:val="auto"/>
          <w:sz w:val="24"/>
          <w:szCs w:val="24"/>
          <w:highlight w:val="none"/>
        </w:rPr>
        <w:t>方有权从乙方提供的履约担保金额或</w:t>
      </w:r>
      <w:r>
        <w:rPr>
          <w:rFonts w:hint="eastAsia" w:hAnsi="宋体"/>
          <w:color w:val="auto"/>
          <w:sz w:val="24"/>
          <w:szCs w:val="24"/>
          <w:highlight w:val="none"/>
          <w:lang w:val="en-US" w:eastAsia="zh-CN"/>
        </w:rPr>
        <w:t>丙</w:t>
      </w:r>
      <w:r>
        <w:rPr>
          <w:rFonts w:hint="default" w:hAnsi="宋体"/>
          <w:color w:val="auto"/>
          <w:sz w:val="24"/>
          <w:szCs w:val="24"/>
          <w:highlight w:val="none"/>
        </w:rPr>
        <w:t>方应支付的合同价款中直接扣除。</w:t>
      </w:r>
    </w:p>
    <w:p w14:paraId="0FBADA9D">
      <w:pPr>
        <w:spacing w:line="360" w:lineRule="auto"/>
        <w:ind w:firstLine="480" w:firstLineChars="200"/>
        <w:rPr>
          <w:rFonts w:hint="default" w:eastAsia="宋体"/>
          <w:bCs/>
          <w:color w:val="auto"/>
          <w:sz w:val="24"/>
          <w:szCs w:val="24"/>
          <w:highlight w:val="none"/>
          <w:lang w:val="en-US" w:eastAsia="zh-CN"/>
        </w:rPr>
      </w:pPr>
    </w:p>
    <w:p w14:paraId="72BC941F">
      <w:pPr>
        <w:spacing w:line="360" w:lineRule="auto"/>
        <w:ind w:firstLine="482" w:firstLineChars="200"/>
        <w:rPr>
          <w:rFonts w:hint="eastAsia" w:hAnsi="宋体" w:eastAsia="宋体"/>
          <w:b/>
          <w:bCs/>
          <w:color w:val="auto"/>
          <w:sz w:val="24"/>
          <w:szCs w:val="24"/>
          <w:highlight w:val="none"/>
          <w:lang w:eastAsia="zh-CN"/>
        </w:rPr>
      </w:pPr>
      <w:r>
        <w:rPr>
          <w:rFonts w:hint="eastAsia" w:hAnsi="宋体"/>
          <w:b/>
          <w:bCs/>
          <w:color w:val="auto"/>
          <w:sz w:val="24"/>
          <w:szCs w:val="24"/>
          <w:highlight w:val="none"/>
        </w:rPr>
        <w:t>十</w:t>
      </w:r>
      <w:r>
        <w:rPr>
          <w:rFonts w:hint="eastAsia" w:hAnsi="宋体"/>
          <w:b/>
          <w:bCs/>
          <w:color w:val="auto"/>
          <w:sz w:val="24"/>
          <w:szCs w:val="24"/>
          <w:highlight w:val="none"/>
          <w:lang w:val="en-US" w:eastAsia="zh-CN"/>
        </w:rPr>
        <w:t>一</w:t>
      </w:r>
      <w:r>
        <w:rPr>
          <w:rFonts w:hint="eastAsia" w:hAnsi="宋体"/>
          <w:b/>
          <w:bCs/>
          <w:color w:val="auto"/>
          <w:sz w:val="24"/>
          <w:szCs w:val="24"/>
          <w:highlight w:val="none"/>
        </w:rPr>
        <w:t>、</w:t>
      </w:r>
      <w:r>
        <w:rPr>
          <w:rFonts w:hint="eastAsia" w:hAnsi="宋体"/>
          <w:b/>
          <w:bCs/>
          <w:color w:val="auto"/>
          <w:sz w:val="24"/>
          <w:szCs w:val="24"/>
          <w:highlight w:val="none"/>
          <w:lang w:val="en-US" w:eastAsia="zh-CN"/>
        </w:rPr>
        <w:t>不可抗力</w:t>
      </w:r>
    </w:p>
    <w:p w14:paraId="42AAC9DD">
      <w:pPr>
        <w:spacing w:line="360" w:lineRule="auto"/>
        <w:ind w:firstLine="482" w:firstLineChars="200"/>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1、不可抗力的确认</w:t>
      </w:r>
    </w:p>
    <w:p w14:paraId="7EBC1F41">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不可抗力是指承包人和发包人在订立合同时不可预见，在履行合同过程中不可避免发生并不能克服的自然灾害、政策的调整和社会性突发事件，如地震、海啸、瘟疫、水灾、骚乱、暴动、战争等。其中自然灾害包括以下情形：</w:t>
      </w:r>
    </w:p>
    <w:p w14:paraId="7635B7C2">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①6 级以上的地震；</w:t>
      </w:r>
    </w:p>
    <w:p w14:paraId="0FD869A2">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②8 级以上的持续 2 天的台风；</w:t>
      </w:r>
    </w:p>
    <w:p w14:paraId="38E147C4">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fldChar w:fldCharType="begin"/>
      </w:r>
      <w:r>
        <w:rPr>
          <w:rFonts w:hint="eastAsia" w:ascii="宋体" w:hAnsi="宋体" w:eastAsia="宋体" w:cs="宋体"/>
          <w:color w:val="auto"/>
          <w:sz w:val="24"/>
          <w:szCs w:val="24"/>
          <w:highlight w:val="none"/>
          <w:lang w:eastAsia="zh-CN"/>
        </w:rPr>
        <w:instrText xml:space="preserve">= 3 \* GB3</w:instrText>
      </w:r>
      <w:r>
        <w:rPr>
          <w:rFonts w:hint="eastAsia" w:ascii="宋体" w:hAnsi="宋体" w:eastAsia="宋体" w:cs="宋体"/>
          <w:color w:val="auto"/>
          <w:sz w:val="24"/>
          <w:szCs w:val="24"/>
          <w:highlight w:val="none"/>
          <w:lang w:eastAsia="zh-CN"/>
        </w:rPr>
        <w:fldChar w:fldCharType="separate"/>
      </w:r>
      <w:r>
        <w:rPr>
          <w:rFonts w:hint="eastAsia" w:ascii="宋体" w:hAnsi="宋体" w:eastAsia="宋体" w:cs="宋体"/>
          <w:color w:val="auto"/>
          <w:sz w:val="24"/>
          <w:szCs w:val="24"/>
          <w:highlight w:val="none"/>
          <w:lang w:eastAsia="zh-CN"/>
        </w:rPr>
        <w:t>③</w:t>
      </w:r>
      <w:r>
        <w:rPr>
          <w:rFonts w:hint="eastAsia" w:ascii="宋体" w:hAnsi="宋体" w:eastAsia="宋体" w:cs="宋体"/>
          <w:color w:val="auto"/>
          <w:sz w:val="24"/>
          <w:szCs w:val="24"/>
          <w:highlight w:val="none"/>
          <w:lang w:eastAsia="zh-CN"/>
        </w:rPr>
        <w:fldChar w:fldCharType="end"/>
      </w:r>
      <w:r>
        <w:rPr>
          <w:rFonts w:hint="eastAsia" w:ascii="宋体" w:hAnsi="宋体" w:eastAsia="宋体" w:cs="宋体"/>
          <w:color w:val="auto"/>
          <w:sz w:val="24"/>
          <w:szCs w:val="24"/>
          <w:highlight w:val="none"/>
          <w:lang w:eastAsia="zh-CN"/>
        </w:rPr>
        <w:t>250mm 以上的持续 24 小时的大雨、暴雨；</w:t>
      </w:r>
    </w:p>
    <w:p w14:paraId="4ED2B1ED">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④50 年以上未发生过、持续 2 天的高温天气。</w:t>
      </w:r>
    </w:p>
    <w:p w14:paraId="0AA90CD7">
      <w:pPr>
        <w:pStyle w:val="33"/>
        <w:widowControl w:val="0"/>
        <w:numPr>
          <w:ilvl w:val="0"/>
          <w:numId w:val="0"/>
        </w:numPr>
        <w:snapToGrid w:val="0"/>
        <w:jc w:val="both"/>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 </w:t>
      </w:r>
      <w:r>
        <w:rPr>
          <w:rFonts w:hint="eastAsia" w:ascii="宋体" w:hAnsi="宋体" w:eastAsia="宋体" w:cs="宋体"/>
          <w:b/>
          <w:bCs/>
          <w:color w:val="auto"/>
          <w:kern w:val="2"/>
          <w:sz w:val="24"/>
          <w:szCs w:val="24"/>
          <w:highlight w:val="none"/>
          <w:lang w:val="en-US" w:eastAsia="zh-CN" w:bidi="ar-SA"/>
        </w:rPr>
        <w:t xml:space="preserve">   2、不可抗力的通知</w:t>
      </w:r>
    </w:p>
    <w:p w14:paraId="2553FEF8">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合同一方当事人遇到不可抗力事件，使其履行合同义务受到阻碍时，应立即通知合同另</w:t>
      </w:r>
      <w:r>
        <w:rPr>
          <w:rFonts w:hint="eastAsia" w:hAnsi="宋体" w:cs="宋体"/>
          <w:color w:val="auto"/>
          <w:sz w:val="24"/>
          <w:szCs w:val="24"/>
          <w:highlight w:val="none"/>
          <w:lang w:val="en-US" w:eastAsia="zh-CN"/>
        </w:rPr>
        <w:t>两</w:t>
      </w:r>
      <w:r>
        <w:rPr>
          <w:rFonts w:hint="eastAsia" w:ascii="宋体" w:hAnsi="宋体" w:eastAsia="宋体" w:cs="宋体"/>
          <w:color w:val="auto"/>
          <w:sz w:val="24"/>
          <w:szCs w:val="24"/>
          <w:highlight w:val="none"/>
          <w:lang w:eastAsia="zh-CN"/>
        </w:rPr>
        <w:t>方当事人，书面说明不可抗力和受阻碍的详细情况，并提供必要的证明。</w:t>
      </w:r>
    </w:p>
    <w:p w14:paraId="7F8F820F">
      <w:pPr>
        <w:spacing w:line="360" w:lineRule="auto"/>
        <w:ind w:firstLine="482" w:firstLineChars="200"/>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3、不可抗力后果及其处理</w:t>
      </w:r>
    </w:p>
    <w:p w14:paraId="6BF6A1E4">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3.1</w:t>
      </w:r>
      <w:r>
        <w:rPr>
          <w:rFonts w:hint="eastAsia" w:ascii="宋体" w:hAnsi="宋体" w:eastAsia="宋体" w:cs="宋体"/>
          <w:color w:val="auto"/>
          <w:sz w:val="24"/>
          <w:szCs w:val="24"/>
          <w:highlight w:val="none"/>
          <w:lang w:eastAsia="zh-CN"/>
        </w:rPr>
        <w:t>不可抗力造成损害的责任</w:t>
      </w:r>
    </w:p>
    <w:p w14:paraId="78FE5DFA">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不可抗力导致的人员伤亡、财产损失、费用增加和（或）工期延误等后果，由合同双方按以下原则承担：</w:t>
      </w:r>
    </w:p>
    <w:p w14:paraId="5600ECA6">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（1）永久工程，包括已运至施工场地的材料和工程设备的损害，以及因工程损害造成的第三者人员伤亡和财产损失由</w:t>
      </w:r>
      <w:r>
        <w:rPr>
          <w:rFonts w:hint="eastAsia" w:hAnsi="宋体" w:cs="宋体"/>
          <w:color w:val="auto"/>
          <w:sz w:val="24"/>
          <w:szCs w:val="24"/>
          <w:highlight w:val="none"/>
          <w:lang w:val="en-US" w:eastAsia="zh-CN"/>
        </w:rPr>
        <w:t>建设单位</w:t>
      </w:r>
      <w:r>
        <w:rPr>
          <w:rFonts w:hint="eastAsia" w:ascii="宋体" w:hAnsi="宋体" w:eastAsia="宋体" w:cs="宋体"/>
          <w:color w:val="auto"/>
          <w:sz w:val="24"/>
          <w:szCs w:val="24"/>
          <w:highlight w:val="none"/>
          <w:lang w:eastAsia="zh-CN"/>
        </w:rPr>
        <w:t>承担；</w:t>
      </w:r>
    </w:p>
    <w:p w14:paraId="4E43E8DC">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（2）承包人设备的损坏由承包人承担；</w:t>
      </w:r>
    </w:p>
    <w:p w14:paraId="437CA9B1">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（3）发包人</w:t>
      </w:r>
      <w:r>
        <w:rPr>
          <w:rFonts w:hint="eastAsia" w:hAnsi="宋体" w:cs="宋体"/>
          <w:color w:val="auto"/>
          <w:sz w:val="24"/>
          <w:szCs w:val="24"/>
          <w:highlight w:val="none"/>
          <w:lang w:eastAsia="zh-CN"/>
        </w:rPr>
        <w:t>、</w:t>
      </w:r>
      <w:r>
        <w:rPr>
          <w:rFonts w:hint="eastAsia" w:hAnsi="宋体" w:cs="宋体"/>
          <w:color w:val="auto"/>
          <w:sz w:val="24"/>
          <w:szCs w:val="24"/>
          <w:highlight w:val="none"/>
          <w:lang w:val="en-US" w:eastAsia="zh-CN"/>
        </w:rPr>
        <w:t>建设单位</w:t>
      </w:r>
      <w:r>
        <w:rPr>
          <w:rFonts w:hint="eastAsia" w:ascii="宋体" w:hAnsi="宋体" w:eastAsia="宋体" w:cs="宋体"/>
          <w:color w:val="auto"/>
          <w:sz w:val="24"/>
          <w:szCs w:val="24"/>
          <w:highlight w:val="none"/>
          <w:lang w:eastAsia="zh-CN"/>
        </w:rPr>
        <w:t>和承包人各自承担其人员伤亡和其他财产损失及其相关费用；</w:t>
      </w:r>
    </w:p>
    <w:p w14:paraId="1EB9F86D">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（4）承包人的停工损失由承包人承担；</w:t>
      </w:r>
    </w:p>
    <w:p w14:paraId="67CB9559">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（5）不能按期竣工的，应合理延长工期，承包人不需支付逾期竣工违约金，</w:t>
      </w:r>
      <w:r>
        <w:rPr>
          <w:rFonts w:hint="eastAsia" w:hAnsi="宋体" w:cs="宋体"/>
          <w:color w:val="auto"/>
          <w:sz w:val="24"/>
          <w:szCs w:val="24"/>
          <w:highlight w:val="none"/>
          <w:lang w:val="en-US" w:eastAsia="zh-CN"/>
        </w:rPr>
        <w:t>建设单位</w:t>
      </w:r>
      <w:r>
        <w:rPr>
          <w:rFonts w:hint="eastAsia" w:ascii="宋体" w:hAnsi="宋体" w:eastAsia="宋体" w:cs="宋体"/>
          <w:color w:val="auto"/>
          <w:sz w:val="24"/>
          <w:szCs w:val="24"/>
          <w:highlight w:val="none"/>
          <w:lang w:eastAsia="zh-CN"/>
        </w:rPr>
        <w:t>不需赔偿承包人因工期延误造成的经济损失。发包人要求赶工的，承包人应采取赶工措施。</w:t>
      </w:r>
    </w:p>
    <w:p w14:paraId="7591F8F9">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3.2</w:t>
      </w:r>
      <w:r>
        <w:rPr>
          <w:rFonts w:hint="eastAsia" w:ascii="宋体" w:hAnsi="宋体" w:eastAsia="宋体" w:cs="宋体"/>
          <w:color w:val="auto"/>
          <w:sz w:val="24"/>
          <w:szCs w:val="24"/>
          <w:highlight w:val="none"/>
          <w:lang w:eastAsia="zh-CN"/>
        </w:rPr>
        <w:t>延迟履行期间发生的不可抗力</w:t>
      </w:r>
    </w:p>
    <w:p w14:paraId="52E44541">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合同一方当事人延迟履行，在延迟履行期间发生不可抗力的，不免除其责任。</w:t>
      </w:r>
    </w:p>
    <w:p w14:paraId="30847CED">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3.3</w:t>
      </w:r>
      <w:r>
        <w:rPr>
          <w:rFonts w:hint="eastAsia" w:ascii="宋体" w:hAnsi="宋体" w:eastAsia="宋体" w:cs="宋体"/>
          <w:color w:val="auto"/>
          <w:sz w:val="24"/>
          <w:szCs w:val="24"/>
          <w:highlight w:val="none"/>
          <w:lang w:eastAsia="zh-CN"/>
        </w:rPr>
        <w:t>避免和减少不可抗力损失</w:t>
      </w:r>
    </w:p>
    <w:p w14:paraId="4055E52C">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不可抗力发生后，发包人</w:t>
      </w:r>
      <w:r>
        <w:rPr>
          <w:rFonts w:hint="eastAsia" w:hAnsi="宋体" w:cs="宋体"/>
          <w:color w:val="auto"/>
          <w:sz w:val="24"/>
          <w:szCs w:val="24"/>
          <w:highlight w:val="none"/>
          <w:lang w:eastAsia="zh-CN"/>
        </w:rPr>
        <w:t>、</w:t>
      </w:r>
      <w:r>
        <w:rPr>
          <w:rFonts w:hint="eastAsia" w:hAnsi="宋体" w:cs="宋体"/>
          <w:color w:val="auto"/>
          <w:sz w:val="24"/>
          <w:szCs w:val="24"/>
          <w:highlight w:val="none"/>
          <w:lang w:val="en-US" w:eastAsia="zh-CN"/>
        </w:rPr>
        <w:t>建设单位</w:t>
      </w:r>
      <w:r>
        <w:rPr>
          <w:rFonts w:hint="eastAsia" w:ascii="宋体" w:hAnsi="宋体" w:eastAsia="宋体" w:cs="宋体"/>
          <w:color w:val="auto"/>
          <w:sz w:val="24"/>
          <w:szCs w:val="24"/>
          <w:highlight w:val="none"/>
          <w:lang w:eastAsia="zh-CN"/>
        </w:rPr>
        <w:t>和承包人均应采取措施尽量避免和减少损失的扩大，任何一方没有采取有效措施导致损失扩大的，应对扩大的损失承担责任。</w:t>
      </w:r>
    </w:p>
    <w:p w14:paraId="3E151CD7">
      <w:pPr>
        <w:spacing w:line="360" w:lineRule="auto"/>
        <w:ind w:firstLine="480" w:firstLineChars="200"/>
        <w:rPr>
          <w:rFonts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因不可抗力解除合同</w:t>
      </w:r>
    </w:p>
    <w:p w14:paraId="7B3B42A2">
      <w:pPr>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eastAsia="zh-CN"/>
        </w:rPr>
        <w:t>合同一方当事人因不可抗力不能履行合同的，应当及时通知</w:t>
      </w:r>
      <w:r>
        <w:rPr>
          <w:rFonts w:hint="eastAsia" w:hAnsi="宋体" w:cs="宋体"/>
          <w:color w:val="auto"/>
          <w:sz w:val="24"/>
          <w:szCs w:val="24"/>
          <w:highlight w:val="none"/>
          <w:lang w:val="en-US" w:eastAsia="zh-CN"/>
        </w:rPr>
        <w:t>另两</w:t>
      </w:r>
      <w:r>
        <w:rPr>
          <w:rFonts w:hint="eastAsia" w:ascii="宋体" w:hAnsi="宋体" w:eastAsia="宋体" w:cs="宋体"/>
          <w:color w:val="auto"/>
          <w:sz w:val="24"/>
          <w:szCs w:val="24"/>
          <w:highlight w:val="none"/>
          <w:lang w:eastAsia="zh-CN"/>
        </w:rPr>
        <w:t>方解除合同。合同解除后，承包人应按照</w:t>
      </w:r>
      <w:r>
        <w:rPr>
          <w:rFonts w:hint="eastAsia" w:ascii="宋体" w:hAnsi="宋体" w:eastAsia="宋体" w:cs="宋体"/>
          <w:color w:val="auto"/>
          <w:sz w:val="24"/>
          <w:szCs w:val="24"/>
          <w:highlight w:val="none"/>
          <w:lang w:val="en-US" w:eastAsia="zh-CN"/>
        </w:rPr>
        <w:t>合同</w:t>
      </w:r>
      <w:r>
        <w:rPr>
          <w:rFonts w:hint="eastAsia" w:ascii="宋体" w:hAnsi="宋体" w:eastAsia="宋体" w:cs="宋体"/>
          <w:color w:val="auto"/>
          <w:sz w:val="24"/>
          <w:szCs w:val="24"/>
          <w:highlight w:val="none"/>
          <w:lang w:eastAsia="zh-CN"/>
        </w:rPr>
        <w:t>约定撤离施工场地。已经订货的材料、设备由订货方负责退货或解除订货合同，不能退还的货款和因退货、解除订货合同发生的费用，由</w:t>
      </w:r>
      <w:r>
        <w:rPr>
          <w:rFonts w:hint="eastAsia" w:hAnsi="宋体" w:cs="宋体"/>
          <w:color w:val="auto"/>
          <w:sz w:val="24"/>
          <w:szCs w:val="24"/>
          <w:highlight w:val="none"/>
          <w:lang w:val="en-US" w:eastAsia="zh-CN"/>
        </w:rPr>
        <w:t>建设单位</w:t>
      </w:r>
      <w:r>
        <w:rPr>
          <w:rFonts w:hint="eastAsia" w:ascii="宋体" w:hAnsi="宋体" w:eastAsia="宋体" w:cs="宋体"/>
          <w:color w:val="auto"/>
          <w:sz w:val="24"/>
          <w:szCs w:val="24"/>
          <w:highlight w:val="none"/>
          <w:lang w:val="en-US" w:eastAsia="zh-CN"/>
        </w:rPr>
        <w:t>与承包人另行协商解决</w:t>
      </w:r>
      <w:r>
        <w:rPr>
          <w:rFonts w:hint="eastAsia" w:ascii="宋体" w:hAnsi="宋体" w:eastAsia="宋体" w:cs="宋体"/>
          <w:color w:val="auto"/>
          <w:sz w:val="24"/>
          <w:szCs w:val="24"/>
          <w:highlight w:val="none"/>
          <w:lang w:eastAsia="zh-CN"/>
        </w:rPr>
        <w:t>，因未及时退货造成的损失由责任方承担。</w:t>
      </w:r>
    </w:p>
    <w:p w14:paraId="72D3C554">
      <w:pPr>
        <w:spacing w:line="360" w:lineRule="auto"/>
        <w:ind w:firstLine="482" w:firstLineChars="200"/>
        <w:rPr>
          <w:rFonts w:hint="eastAsia" w:hAnsi="宋体"/>
          <w:b/>
          <w:bCs/>
          <w:color w:val="auto"/>
          <w:sz w:val="24"/>
          <w:szCs w:val="24"/>
          <w:highlight w:val="none"/>
        </w:rPr>
      </w:pPr>
    </w:p>
    <w:p w14:paraId="7EA881A5">
      <w:pPr>
        <w:spacing w:line="360" w:lineRule="auto"/>
        <w:ind w:left="240" w:leftChars="100" w:firstLine="241" w:firstLineChars="100"/>
        <w:rPr>
          <w:rFonts w:ascii="宋体" w:hAnsi="宋体" w:cs="仿宋_GB2312"/>
          <w:b/>
          <w:color w:val="auto"/>
          <w:sz w:val="24"/>
          <w:szCs w:val="24"/>
          <w:highlight w:val="none"/>
        </w:rPr>
      </w:pPr>
      <w:r>
        <w:rPr>
          <w:rFonts w:hint="eastAsia" w:cs="宋体"/>
          <w:b/>
          <w:bCs/>
          <w:color w:val="auto"/>
          <w:sz w:val="24"/>
          <w:szCs w:val="24"/>
          <w:highlight w:val="none"/>
          <w:lang w:val="en-US" w:eastAsia="zh-CN"/>
        </w:rPr>
        <w:t xml:space="preserve">十二、 </w:t>
      </w:r>
      <w:r>
        <w:rPr>
          <w:rFonts w:hint="eastAsia" w:ascii="宋体" w:hAnsi="宋体" w:cs="宋体"/>
          <w:b/>
          <w:bCs/>
          <w:color w:val="auto"/>
          <w:sz w:val="24"/>
          <w:szCs w:val="24"/>
          <w:highlight w:val="none"/>
        </w:rPr>
        <w:t>保密</w:t>
      </w:r>
    </w:p>
    <w:p w14:paraId="34A885D2">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乙方保证对在讨论、签订、履行本合同过程中所获悉的属于甲方</w:t>
      </w:r>
      <w:r>
        <w:rPr>
          <w:rFonts w:hint="eastAsia" w:hAnsi="宋体"/>
          <w:color w:val="auto"/>
          <w:sz w:val="24"/>
          <w:szCs w:val="24"/>
          <w:highlight w:val="none"/>
          <w:lang w:eastAsia="zh-CN"/>
        </w:rPr>
        <w:t>、</w:t>
      </w:r>
      <w:r>
        <w:rPr>
          <w:rFonts w:hint="eastAsia" w:hAnsi="宋体"/>
          <w:color w:val="auto"/>
          <w:sz w:val="24"/>
          <w:szCs w:val="24"/>
          <w:highlight w:val="none"/>
          <w:lang w:val="en-US" w:eastAsia="zh-CN"/>
        </w:rPr>
        <w:t>建设单位</w:t>
      </w:r>
      <w:r>
        <w:rPr>
          <w:rFonts w:hint="eastAsia" w:hAnsi="宋体"/>
          <w:color w:val="auto"/>
          <w:sz w:val="24"/>
          <w:szCs w:val="24"/>
          <w:highlight w:val="none"/>
        </w:rPr>
        <w:t>及甲方关联方的且无法自公开渠道的文件及资料（包括但不限于商业秘密、公司计划、运营活动、财务信息、技术信息、经营信息及其他商业秘密）予以保密。未经甲方</w:t>
      </w:r>
      <w:r>
        <w:rPr>
          <w:rFonts w:hint="eastAsia" w:hAnsi="宋体"/>
          <w:color w:val="auto"/>
          <w:sz w:val="24"/>
          <w:szCs w:val="24"/>
          <w:highlight w:val="none"/>
          <w:lang w:val="en-US" w:eastAsia="zh-CN"/>
        </w:rPr>
        <w:t>及建设单位</w:t>
      </w:r>
      <w:r>
        <w:rPr>
          <w:rFonts w:hint="eastAsia" w:hAnsi="宋体"/>
          <w:color w:val="auto"/>
          <w:sz w:val="24"/>
          <w:szCs w:val="24"/>
          <w:highlight w:val="none"/>
        </w:rPr>
        <w:t>同意，乙方不得超出本合同约定的目的和范围使用该商业秘密，不得向任何第三方泄露该商业秘密的全部或部分内容。前述保密义务，在本合同终止或解除之后仍需履行。如乙方或乙方员工泄露甲方的商业秘密致使甲方</w:t>
      </w:r>
      <w:r>
        <w:rPr>
          <w:rFonts w:hint="eastAsia" w:hAnsi="宋体"/>
          <w:color w:val="auto"/>
          <w:sz w:val="24"/>
          <w:szCs w:val="24"/>
          <w:highlight w:val="none"/>
          <w:lang w:val="en-US" w:eastAsia="zh-CN"/>
        </w:rPr>
        <w:t>及建设单位</w:t>
      </w:r>
      <w:r>
        <w:rPr>
          <w:rFonts w:hint="eastAsia" w:hAnsi="宋体"/>
          <w:color w:val="auto"/>
          <w:sz w:val="24"/>
          <w:szCs w:val="24"/>
          <w:highlight w:val="none"/>
        </w:rPr>
        <w:t>受到损失的，由乙方承担赔偿责任。</w:t>
      </w:r>
    </w:p>
    <w:p w14:paraId="43B3DAE4">
      <w:pPr>
        <w:spacing w:line="360" w:lineRule="auto"/>
        <w:ind w:firstLine="480" w:firstLineChars="200"/>
        <w:rPr>
          <w:rFonts w:hint="eastAsia" w:hAnsi="宋体"/>
          <w:color w:val="auto"/>
          <w:sz w:val="24"/>
          <w:szCs w:val="24"/>
          <w:highlight w:val="none"/>
        </w:rPr>
      </w:pPr>
    </w:p>
    <w:p w14:paraId="1A017303">
      <w:pPr>
        <w:pStyle w:val="3"/>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0" w:firstLine="482" w:firstLineChars="200"/>
        <w:textAlignment w:val="auto"/>
        <w:rPr>
          <w:rFonts w:cs="宋体"/>
          <w:color w:val="auto"/>
          <w:sz w:val="24"/>
          <w:szCs w:val="24"/>
          <w:highlight w:val="none"/>
        </w:rPr>
      </w:pPr>
      <w:r>
        <w:rPr>
          <w:rFonts w:hint="eastAsia" w:cs="宋体"/>
          <w:color w:val="auto"/>
          <w:sz w:val="24"/>
          <w:szCs w:val="24"/>
          <w:highlight w:val="none"/>
          <w:lang w:val="en-US" w:eastAsia="zh-CN"/>
        </w:rPr>
        <w:t xml:space="preserve">十三、 </w:t>
      </w:r>
      <w:r>
        <w:rPr>
          <w:rFonts w:hint="eastAsia" w:cs="宋体"/>
          <w:color w:val="auto"/>
          <w:sz w:val="24"/>
          <w:szCs w:val="24"/>
          <w:highlight w:val="none"/>
        </w:rPr>
        <w:t>争议解决</w:t>
      </w:r>
    </w:p>
    <w:p w14:paraId="198E942F">
      <w:pPr>
        <w:numPr>
          <w:ilvl w:val="0"/>
          <w:numId w:val="0"/>
        </w:numPr>
        <w:spacing w:line="360" w:lineRule="auto"/>
        <w:ind w:firstLine="720" w:firstLineChars="300"/>
        <w:contextualSpacing/>
        <w:rPr>
          <w:rFonts w:hint="eastAsia" w:hAnsi="宋体"/>
          <w:color w:val="auto"/>
          <w:sz w:val="24"/>
          <w:szCs w:val="24"/>
          <w:highlight w:val="none"/>
        </w:rPr>
      </w:pPr>
      <w:r>
        <w:rPr>
          <w:rFonts w:hint="eastAsia" w:hAnsi="宋体"/>
          <w:color w:val="auto"/>
          <w:sz w:val="24"/>
          <w:szCs w:val="24"/>
          <w:highlight w:val="none"/>
        </w:rPr>
        <w:t>本合同发生争议，</w:t>
      </w:r>
      <w:r>
        <w:rPr>
          <w:rFonts w:hint="eastAsia" w:hAnsi="宋体"/>
          <w:color w:val="auto"/>
          <w:sz w:val="24"/>
          <w:szCs w:val="24"/>
          <w:highlight w:val="none"/>
          <w:lang w:val="en-US" w:eastAsia="zh-CN"/>
        </w:rPr>
        <w:t>三</w:t>
      </w:r>
      <w:r>
        <w:rPr>
          <w:rFonts w:hint="eastAsia" w:hAnsi="宋体"/>
          <w:color w:val="auto"/>
          <w:sz w:val="24"/>
          <w:szCs w:val="24"/>
          <w:highlight w:val="none"/>
        </w:rPr>
        <w:t>方当事人应及时协商解决；经</w:t>
      </w:r>
      <w:r>
        <w:rPr>
          <w:rFonts w:hint="eastAsia" w:hAnsi="宋体"/>
          <w:color w:val="auto"/>
          <w:sz w:val="24"/>
          <w:szCs w:val="24"/>
          <w:highlight w:val="none"/>
          <w:lang w:val="en-US" w:eastAsia="zh-CN"/>
        </w:rPr>
        <w:t>三</w:t>
      </w:r>
      <w:r>
        <w:rPr>
          <w:rFonts w:hint="eastAsia" w:hAnsi="宋体"/>
          <w:color w:val="auto"/>
          <w:sz w:val="24"/>
          <w:szCs w:val="24"/>
          <w:highlight w:val="none"/>
        </w:rPr>
        <w:t>方协商无法解决的争议，</w:t>
      </w:r>
      <w:r>
        <w:rPr>
          <w:rFonts w:hint="eastAsia" w:hAnsi="宋体"/>
          <w:color w:val="auto"/>
          <w:sz w:val="24"/>
          <w:szCs w:val="24"/>
          <w:highlight w:val="none"/>
          <w:lang w:val="en-US" w:eastAsia="zh-CN"/>
        </w:rPr>
        <w:t>三</w:t>
      </w:r>
      <w:r>
        <w:rPr>
          <w:rFonts w:hint="eastAsia" w:hAnsi="宋体"/>
          <w:color w:val="auto"/>
          <w:sz w:val="24"/>
          <w:szCs w:val="24"/>
          <w:highlight w:val="none"/>
        </w:rPr>
        <w:t>方同意按照以下方式解决：凡因本合同引起的或与本合同有关的任何争议，均提交项目所在地有管辖权的人民法院裁决。</w:t>
      </w:r>
    </w:p>
    <w:p w14:paraId="12F6A450">
      <w:pPr>
        <w:numPr>
          <w:ilvl w:val="0"/>
          <w:numId w:val="0"/>
        </w:numPr>
        <w:spacing w:line="360" w:lineRule="auto"/>
        <w:ind w:firstLine="720" w:firstLineChars="300"/>
        <w:contextualSpacing/>
        <w:rPr>
          <w:rFonts w:hint="eastAsia" w:hAnsi="宋体"/>
          <w:color w:val="auto"/>
          <w:sz w:val="24"/>
          <w:szCs w:val="24"/>
          <w:highlight w:val="none"/>
        </w:rPr>
      </w:pPr>
    </w:p>
    <w:p w14:paraId="0753FF23">
      <w:pPr>
        <w:spacing w:line="360" w:lineRule="auto"/>
        <w:ind w:firstLine="482" w:firstLineChars="200"/>
        <w:rPr>
          <w:rFonts w:hint="eastAsia" w:ascii="Times New Roman" w:hAnsi="宋体" w:eastAsia="宋体" w:cs="Times New Roman"/>
          <w:b/>
          <w:bCs/>
          <w:color w:val="auto"/>
          <w:sz w:val="24"/>
          <w:szCs w:val="24"/>
          <w:highlight w:val="none"/>
        </w:rPr>
      </w:pPr>
      <w:r>
        <w:rPr>
          <w:rFonts w:hint="eastAsia" w:ascii="Times New Roman" w:hAnsi="宋体" w:eastAsia="宋体" w:cs="Times New Roman"/>
          <w:b/>
          <w:bCs/>
          <w:color w:val="auto"/>
          <w:sz w:val="24"/>
          <w:szCs w:val="24"/>
          <w:highlight w:val="none"/>
        </w:rPr>
        <w:t>十</w:t>
      </w:r>
      <w:r>
        <w:rPr>
          <w:rFonts w:hint="eastAsia" w:ascii="Times New Roman" w:hAnsi="宋体" w:eastAsia="宋体" w:cs="Times New Roman"/>
          <w:b/>
          <w:bCs/>
          <w:color w:val="auto"/>
          <w:sz w:val="24"/>
          <w:szCs w:val="24"/>
          <w:highlight w:val="none"/>
          <w:lang w:val="en-US" w:eastAsia="zh-CN"/>
        </w:rPr>
        <w:t>四</w:t>
      </w:r>
      <w:r>
        <w:rPr>
          <w:rFonts w:hint="eastAsia" w:ascii="Times New Roman" w:hAnsi="宋体" w:eastAsia="宋体" w:cs="Times New Roman"/>
          <w:b/>
          <w:bCs/>
          <w:color w:val="auto"/>
          <w:sz w:val="24"/>
          <w:szCs w:val="24"/>
          <w:highlight w:val="none"/>
          <w:lang w:eastAsia="zh-CN"/>
        </w:rPr>
        <w:t>、</w:t>
      </w:r>
      <w:r>
        <w:rPr>
          <w:rFonts w:hint="eastAsia" w:ascii="Times New Roman" w:hAnsi="宋体" w:eastAsia="宋体" w:cs="Times New Roman"/>
          <w:b/>
          <w:bCs/>
          <w:color w:val="auto"/>
          <w:sz w:val="24"/>
          <w:szCs w:val="24"/>
          <w:highlight w:val="none"/>
        </w:rPr>
        <w:t xml:space="preserve"> 通知</w:t>
      </w:r>
    </w:p>
    <w:p w14:paraId="69D245B3">
      <w:pPr>
        <w:numPr>
          <w:ilvl w:val="0"/>
          <w:numId w:val="0"/>
        </w:numPr>
        <w:spacing w:line="360" w:lineRule="auto"/>
        <w:ind w:firstLine="720" w:firstLineChars="300"/>
        <w:contextualSpacing/>
        <w:rPr>
          <w:rFonts w:hint="eastAsia" w:ascii="Times New Roman" w:hAnsi="宋体" w:eastAsia="宋体" w:cs="Times New Roman"/>
          <w:color w:val="auto"/>
          <w:sz w:val="24"/>
          <w:szCs w:val="24"/>
          <w:highlight w:val="none"/>
        </w:rPr>
      </w:pPr>
      <w:r>
        <w:rPr>
          <w:rFonts w:hint="eastAsia" w:ascii="Times New Roman" w:hAnsi="宋体" w:eastAsia="宋体" w:cs="Times New Roman"/>
          <w:color w:val="auto"/>
          <w:sz w:val="24"/>
          <w:szCs w:val="24"/>
          <w:highlight w:val="none"/>
          <w:lang w:val="en-US" w:eastAsia="zh-CN"/>
        </w:rPr>
        <w:t>三</w:t>
      </w:r>
      <w:r>
        <w:rPr>
          <w:rFonts w:hint="eastAsia" w:ascii="Times New Roman" w:hAnsi="宋体" w:eastAsia="宋体" w:cs="Times New Roman"/>
          <w:color w:val="auto"/>
          <w:sz w:val="24"/>
          <w:szCs w:val="24"/>
          <w:highlight w:val="none"/>
        </w:rPr>
        <w:t>方各自指定履行本合同的联系人，</w:t>
      </w:r>
      <w:r>
        <w:rPr>
          <w:rFonts w:hint="eastAsia" w:ascii="Times New Roman" w:hAnsi="宋体" w:eastAsia="宋体" w:cs="Times New Roman"/>
          <w:color w:val="auto"/>
          <w:sz w:val="24"/>
          <w:szCs w:val="24"/>
          <w:highlight w:val="none"/>
          <w:lang w:val="en-US" w:eastAsia="zh-CN"/>
        </w:rPr>
        <w:t>各</w:t>
      </w:r>
      <w:r>
        <w:rPr>
          <w:rFonts w:hint="eastAsia" w:ascii="Times New Roman" w:hAnsi="宋体" w:eastAsia="宋体" w:cs="Times New Roman"/>
          <w:color w:val="auto"/>
          <w:sz w:val="24"/>
          <w:szCs w:val="24"/>
          <w:highlight w:val="none"/>
        </w:rPr>
        <w:t>方资料、文件之交接及意见之传达、接收均通过联系人进行。</w:t>
      </w:r>
    </w:p>
    <w:p w14:paraId="5CA84A8A">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 xml:space="preserve">甲方指定联系人：                                                          </w:t>
      </w:r>
    </w:p>
    <w:p w14:paraId="59D3105C">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姓    名：____________________________________________________</w:t>
      </w:r>
    </w:p>
    <w:p w14:paraId="447EEA20">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联系电话：_____________________________________________________</w:t>
      </w:r>
    </w:p>
    <w:p w14:paraId="634EB251">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电子邮箱：_____________________________________________________</w:t>
      </w:r>
    </w:p>
    <w:p w14:paraId="49766512">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 xml:space="preserve">通讯地址：____________________________________________________           </w:t>
      </w:r>
    </w:p>
    <w:p w14:paraId="3B4DCDEA">
      <w:pPr>
        <w:numPr>
          <w:ilvl w:val="0"/>
          <w:numId w:val="0"/>
        </w:numPr>
        <w:spacing w:line="360" w:lineRule="auto"/>
        <w:ind w:firstLine="720" w:firstLineChars="300"/>
        <w:contextualSpacing/>
        <w:rPr>
          <w:rFonts w:hint="eastAsia" w:cs="宋体"/>
          <w:b w:val="0"/>
          <w:bCs/>
          <w:color w:val="auto"/>
          <w:sz w:val="24"/>
          <w:szCs w:val="24"/>
          <w:highlight w:val="none"/>
          <w:u w:val="single"/>
        </w:rPr>
      </w:pPr>
      <w:r>
        <w:rPr>
          <w:rFonts w:hint="eastAsia" w:cs="宋体"/>
          <w:b w:val="0"/>
          <w:bCs/>
          <w:color w:val="auto"/>
          <w:sz w:val="24"/>
          <w:szCs w:val="24"/>
          <w:highlight w:val="none"/>
        </w:rPr>
        <w:t>甲方单位咨询电话:</w:t>
      </w:r>
      <w:r>
        <w:rPr>
          <w:rFonts w:hint="eastAsia" w:cs="宋体"/>
          <w:b w:val="0"/>
          <w:bCs/>
          <w:color w:val="auto"/>
          <w:sz w:val="24"/>
          <w:szCs w:val="24"/>
          <w:highlight w:val="none"/>
          <w:u w:val="single"/>
        </w:rPr>
        <w:t xml:space="preserve"> 0769-23366373</w:t>
      </w:r>
    </w:p>
    <w:p w14:paraId="0D72D9B3">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 xml:space="preserve">乙方指定联系人：                                                          </w:t>
      </w:r>
    </w:p>
    <w:p w14:paraId="52F0D76B">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姓    名：_____________________________________________________</w:t>
      </w:r>
    </w:p>
    <w:p w14:paraId="325652E4">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联系电话：_____________________________________________________</w:t>
      </w:r>
    </w:p>
    <w:p w14:paraId="7E345A92">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电子邮箱：____________________________________________________</w:t>
      </w:r>
    </w:p>
    <w:p w14:paraId="15506383">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通讯地址：_____________________________________________________</w:t>
      </w:r>
    </w:p>
    <w:p w14:paraId="05F70975">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lang w:val="en-US" w:eastAsia="zh-CN"/>
        </w:rPr>
        <w:t>丙</w:t>
      </w:r>
      <w:r>
        <w:rPr>
          <w:rFonts w:hint="eastAsia" w:cs="宋体"/>
          <w:b w:val="0"/>
          <w:bCs/>
          <w:color w:val="auto"/>
          <w:sz w:val="24"/>
          <w:szCs w:val="24"/>
          <w:highlight w:val="none"/>
        </w:rPr>
        <w:t xml:space="preserve">方指定联系人：                                                          </w:t>
      </w:r>
    </w:p>
    <w:p w14:paraId="654260DA">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姓    名：_____________________________________________________</w:t>
      </w:r>
    </w:p>
    <w:p w14:paraId="3E5A3754">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联系电话：_____________________________________________________</w:t>
      </w:r>
    </w:p>
    <w:p w14:paraId="45B8D5A2">
      <w:pPr>
        <w:numPr>
          <w:ilvl w:val="0"/>
          <w:numId w:val="0"/>
        </w:numPr>
        <w:spacing w:line="360" w:lineRule="auto"/>
        <w:ind w:firstLine="720" w:firstLineChars="300"/>
        <w:contextualSpacing/>
        <w:rPr>
          <w:rFonts w:hint="eastAsia" w:cs="宋体"/>
          <w:b w:val="0"/>
          <w:bCs/>
          <w:color w:val="auto"/>
          <w:sz w:val="24"/>
          <w:szCs w:val="24"/>
          <w:highlight w:val="none"/>
        </w:rPr>
      </w:pPr>
      <w:r>
        <w:rPr>
          <w:rFonts w:hint="eastAsia" w:cs="宋体"/>
          <w:b w:val="0"/>
          <w:bCs/>
          <w:color w:val="auto"/>
          <w:sz w:val="24"/>
          <w:szCs w:val="24"/>
          <w:highlight w:val="none"/>
        </w:rPr>
        <w:t>电子邮箱：_____________________________________________________</w:t>
      </w:r>
    </w:p>
    <w:p w14:paraId="09532986">
      <w:pPr>
        <w:numPr>
          <w:ilvl w:val="0"/>
          <w:numId w:val="0"/>
        </w:numPr>
        <w:spacing w:line="360" w:lineRule="auto"/>
        <w:ind w:firstLine="720" w:firstLineChars="300"/>
        <w:contextualSpacing/>
        <w:rPr>
          <w:rFonts w:hint="eastAsia" w:cs="宋体"/>
          <w:color w:val="auto"/>
          <w:sz w:val="24"/>
          <w:szCs w:val="24"/>
          <w:highlight w:val="none"/>
        </w:rPr>
      </w:pPr>
      <w:r>
        <w:rPr>
          <w:rFonts w:hint="eastAsia" w:cs="宋体"/>
          <w:b w:val="0"/>
          <w:bCs/>
          <w:color w:val="auto"/>
          <w:sz w:val="24"/>
          <w:szCs w:val="24"/>
          <w:highlight w:val="none"/>
        </w:rPr>
        <w:t>通讯地址：_____________________________________________________</w:t>
      </w:r>
    </w:p>
    <w:p w14:paraId="4A2A60F8">
      <w:pPr>
        <w:pStyle w:val="3"/>
        <w:keepNext/>
        <w:keepLines/>
        <w:pageBreakBefore w:val="0"/>
        <w:widowControl w:val="0"/>
        <w:kinsoku/>
        <w:wordWrap/>
        <w:overflowPunct/>
        <w:topLinePunct w:val="0"/>
        <w:autoSpaceDE/>
        <w:autoSpaceDN/>
        <w:bidi w:val="0"/>
        <w:adjustRightInd/>
        <w:snapToGrid/>
        <w:spacing w:before="0" w:after="0" w:line="416" w:lineRule="auto"/>
        <w:ind w:firstLine="723" w:firstLineChars="300"/>
        <w:contextualSpacing/>
        <w:textAlignment w:val="auto"/>
        <w:rPr>
          <w:rFonts w:hint="eastAsia" w:cs="宋体"/>
          <w:color w:val="auto"/>
          <w:sz w:val="24"/>
          <w:szCs w:val="24"/>
          <w:highlight w:val="none"/>
        </w:rPr>
      </w:pPr>
    </w:p>
    <w:p w14:paraId="539E8D4C">
      <w:pPr>
        <w:pStyle w:val="3"/>
        <w:keepNext/>
        <w:keepLines/>
        <w:pageBreakBefore w:val="0"/>
        <w:widowControl w:val="0"/>
        <w:kinsoku/>
        <w:wordWrap/>
        <w:overflowPunct/>
        <w:topLinePunct w:val="0"/>
        <w:autoSpaceDE/>
        <w:autoSpaceDN/>
        <w:bidi w:val="0"/>
        <w:adjustRightInd/>
        <w:snapToGrid/>
        <w:spacing w:before="0" w:after="0" w:line="416" w:lineRule="auto"/>
        <w:ind w:firstLine="723" w:firstLineChars="300"/>
        <w:contextualSpacing/>
        <w:textAlignment w:val="auto"/>
        <w:rPr>
          <w:rFonts w:hint="eastAsia" w:hAnsi="宋体"/>
          <w:color w:val="auto"/>
          <w:sz w:val="24"/>
          <w:szCs w:val="24"/>
          <w:highlight w:val="none"/>
        </w:rPr>
      </w:pPr>
      <w:r>
        <w:rPr>
          <w:rFonts w:hint="eastAsia" w:cs="宋体"/>
          <w:color w:val="auto"/>
          <w:sz w:val="24"/>
          <w:szCs w:val="24"/>
          <w:highlight w:val="none"/>
        </w:rPr>
        <w:t>十</w:t>
      </w:r>
      <w:r>
        <w:rPr>
          <w:rFonts w:hint="eastAsia" w:cs="宋体"/>
          <w:color w:val="auto"/>
          <w:sz w:val="24"/>
          <w:szCs w:val="24"/>
          <w:highlight w:val="none"/>
          <w:lang w:val="en-US" w:eastAsia="zh-CN"/>
        </w:rPr>
        <w:t>五</w:t>
      </w:r>
      <w:r>
        <w:rPr>
          <w:rFonts w:hint="eastAsia" w:cs="宋体"/>
          <w:color w:val="auto"/>
          <w:sz w:val="24"/>
          <w:szCs w:val="24"/>
          <w:highlight w:val="none"/>
          <w:lang w:eastAsia="zh-CN"/>
        </w:rPr>
        <w:t>、</w:t>
      </w:r>
      <w:r>
        <w:rPr>
          <w:rFonts w:hint="eastAsia" w:cs="宋体"/>
          <w:color w:val="auto"/>
          <w:sz w:val="24"/>
          <w:szCs w:val="24"/>
          <w:highlight w:val="none"/>
        </w:rPr>
        <w:t xml:space="preserve"> </w:t>
      </w:r>
      <w:r>
        <w:rPr>
          <w:rFonts w:cs="宋体"/>
          <w:color w:val="auto"/>
          <w:sz w:val="24"/>
          <w:szCs w:val="24"/>
          <w:highlight w:val="none"/>
        </w:rPr>
        <w:t>其他</w:t>
      </w:r>
      <w:r>
        <w:rPr>
          <w:rFonts w:hint="eastAsia" w:cs="宋体"/>
          <w:color w:val="auto"/>
          <w:sz w:val="24"/>
          <w:szCs w:val="24"/>
          <w:highlight w:val="none"/>
        </w:rPr>
        <w:t>条款</w:t>
      </w:r>
    </w:p>
    <w:p w14:paraId="01587AA9">
      <w:pPr>
        <w:spacing w:line="360" w:lineRule="auto"/>
        <w:ind w:firstLine="720" w:firstLineChars="300"/>
        <w:contextualSpacing/>
        <w:rPr>
          <w:rFonts w:hint="eastAsia" w:hAnsi="宋体"/>
          <w:color w:val="auto"/>
          <w:sz w:val="24"/>
          <w:szCs w:val="24"/>
          <w:highlight w:val="none"/>
        </w:rPr>
      </w:pPr>
      <w:r>
        <w:rPr>
          <w:rFonts w:hint="eastAsia" w:hAnsi="宋体"/>
          <w:color w:val="auto"/>
          <w:sz w:val="24"/>
          <w:szCs w:val="24"/>
          <w:highlight w:val="none"/>
        </w:rPr>
        <w:t>1</w:t>
      </w:r>
      <w:r>
        <w:rPr>
          <w:rFonts w:hint="eastAsia" w:hAnsi="宋体"/>
          <w:color w:val="auto"/>
          <w:sz w:val="24"/>
          <w:szCs w:val="24"/>
          <w:highlight w:val="none"/>
          <w:lang w:val="en-US" w:eastAsia="zh-CN"/>
        </w:rPr>
        <w:t>5</w:t>
      </w:r>
      <w:r>
        <w:rPr>
          <w:rFonts w:hint="eastAsia" w:hAnsi="宋体"/>
          <w:color w:val="auto"/>
          <w:sz w:val="24"/>
          <w:szCs w:val="24"/>
          <w:highlight w:val="none"/>
        </w:rPr>
        <w:t>.1本合同正文与下列附件共同构成本合同</w:t>
      </w:r>
      <w:r>
        <w:rPr>
          <w:rFonts w:hint="eastAsia" w:hAnsi="宋体"/>
          <w:color w:val="auto"/>
          <w:sz w:val="24"/>
          <w:szCs w:val="24"/>
          <w:highlight w:val="none"/>
          <w:lang w:val="en-US" w:eastAsia="zh-CN"/>
        </w:rPr>
        <w:t>三</w:t>
      </w:r>
      <w:r>
        <w:rPr>
          <w:rFonts w:hint="eastAsia" w:hAnsi="宋体"/>
          <w:color w:val="auto"/>
          <w:sz w:val="24"/>
          <w:szCs w:val="24"/>
          <w:highlight w:val="none"/>
        </w:rPr>
        <w:t>方协商达成一致的全部内容：</w:t>
      </w:r>
    </w:p>
    <w:p w14:paraId="3F5681BD">
      <w:pPr>
        <w:spacing w:line="288" w:lineRule="auto"/>
        <w:ind w:firstLine="720" w:firstLineChars="300"/>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附件1：阳光合作协议</w:t>
      </w:r>
    </w:p>
    <w:p w14:paraId="59027307">
      <w:pPr>
        <w:spacing w:line="288" w:lineRule="auto"/>
        <w:ind w:firstLine="720" w:firstLineChars="300"/>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附件2：图纸</w:t>
      </w:r>
    </w:p>
    <w:p w14:paraId="27924BE2">
      <w:pPr>
        <w:spacing w:line="288" w:lineRule="auto"/>
        <w:ind w:firstLine="720" w:firstLineChars="300"/>
        <w:rPr>
          <w:rFonts w:hint="eastAsia" w:hAnsi="宋体" w:eastAsia="宋体"/>
          <w:color w:val="auto"/>
          <w:sz w:val="24"/>
          <w:szCs w:val="24"/>
          <w:highlight w:val="none"/>
          <w:shd w:val="clear" w:color="auto" w:fill="FFFFFF"/>
          <w:lang w:eastAsia="zh-CN"/>
        </w:rPr>
      </w:pPr>
      <w:r>
        <w:rPr>
          <w:rFonts w:hint="eastAsia" w:hAnsi="宋体"/>
          <w:color w:val="auto"/>
          <w:sz w:val="24"/>
          <w:szCs w:val="24"/>
          <w:highlight w:val="none"/>
          <w:shd w:val="clear" w:color="auto" w:fill="FFFFFF"/>
        </w:rPr>
        <w:t>附件3：</w:t>
      </w:r>
      <w:r>
        <w:rPr>
          <w:rFonts w:hint="eastAsia" w:hAnsi="宋体"/>
          <w:color w:val="auto"/>
          <w:sz w:val="24"/>
          <w:szCs w:val="24"/>
          <w:highlight w:val="none"/>
          <w:shd w:val="clear" w:color="auto" w:fill="FFFFFF"/>
          <w:lang w:val="en-US" w:eastAsia="zh-CN"/>
        </w:rPr>
        <w:t>工程量</w:t>
      </w:r>
      <w:r>
        <w:rPr>
          <w:rFonts w:hint="eastAsia" w:hAnsi="宋体"/>
          <w:color w:val="auto"/>
          <w:sz w:val="24"/>
          <w:szCs w:val="24"/>
          <w:highlight w:val="none"/>
          <w:shd w:val="clear" w:color="auto" w:fill="FFFFFF"/>
        </w:rPr>
        <w:t>清单</w:t>
      </w:r>
    </w:p>
    <w:p w14:paraId="1035CF02">
      <w:pPr>
        <w:spacing w:line="288" w:lineRule="auto"/>
        <w:ind w:firstLine="720" w:firstLineChars="300"/>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附件</w:t>
      </w:r>
      <w:r>
        <w:rPr>
          <w:rFonts w:hint="eastAsia" w:hAnsi="宋体"/>
          <w:color w:val="auto"/>
          <w:sz w:val="24"/>
          <w:szCs w:val="24"/>
          <w:highlight w:val="none"/>
          <w:shd w:val="clear" w:color="auto" w:fill="FFFFFF"/>
          <w:lang w:val="en-US" w:eastAsia="zh-CN"/>
        </w:rPr>
        <w:t>4</w:t>
      </w:r>
      <w:r>
        <w:rPr>
          <w:rFonts w:hint="eastAsia" w:hAnsi="宋体"/>
          <w:color w:val="auto"/>
          <w:sz w:val="24"/>
          <w:szCs w:val="24"/>
          <w:highlight w:val="none"/>
          <w:shd w:val="clear" w:color="auto" w:fill="FFFFFF"/>
        </w:rPr>
        <w:t>：</w:t>
      </w:r>
      <w:r>
        <w:rPr>
          <w:rFonts w:hint="eastAsia" w:hAnsi="宋体"/>
          <w:color w:val="auto"/>
          <w:sz w:val="24"/>
          <w:szCs w:val="24"/>
          <w:highlight w:val="none"/>
          <w:shd w:val="clear" w:color="auto" w:fill="FFFFFF"/>
          <w:lang w:val="en-US" w:eastAsia="zh-CN"/>
        </w:rPr>
        <w:t>成交</w:t>
      </w:r>
      <w:r>
        <w:rPr>
          <w:rFonts w:hint="eastAsia" w:hAnsi="宋体"/>
          <w:color w:val="auto"/>
          <w:sz w:val="24"/>
          <w:szCs w:val="24"/>
          <w:highlight w:val="none"/>
          <w:shd w:val="clear" w:color="auto" w:fill="FFFFFF"/>
        </w:rPr>
        <w:t>通知书</w:t>
      </w:r>
    </w:p>
    <w:p w14:paraId="0DF4FAAD">
      <w:pPr>
        <w:spacing w:line="288" w:lineRule="auto"/>
        <w:ind w:firstLine="720" w:firstLineChars="300"/>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附件</w:t>
      </w:r>
      <w:r>
        <w:rPr>
          <w:rFonts w:hint="eastAsia" w:hAnsi="宋体"/>
          <w:color w:val="auto"/>
          <w:sz w:val="24"/>
          <w:szCs w:val="24"/>
          <w:highlight w:val="none"/>
          <w:shd w:val="clear" w:color="auto" w:fill="FFFFFF"/>
          <w:lang w:val="en-US" w:eastAsia="zh-CN"/>
        </w:rPr>
        <w:t>5</w:t>
      </w:r>
      <w:r>
        <w:rPr>
          <w:rFonts w:hint="eastAsia" w:hAnsi="宋体"/>
          <w:color w:val="auto"/>
          <w:sz w:val="24"/>
          <w:szCs w:val="24"/>
          <w:highlight w:val="none"/>
          <w:shd w:val="clear" w:color="auto" w:fill="FFFFFF"/>
        </w:rPr>
        <w:t>：</w:t>
      </w:r>
      <w:r>
        <w:rPr>
          <w:rFonts w:hint="eastAsia" w:hAnsi="宋体"/>
          <w:color w:val="auto"/>
          <w:sz w:val="24"/>
          <w:szCs w:val="24"/>
          <w:highlight w:val="none"/>
          <w:shd w:val="clear" w:color="auto" w:fill="FFFFFF"/>
          <w:lang w:val="en-US" w:eastAsia="zh-CN"/>
        </w:rPr>
        <w:t>磋商响应</w:t>
      </w:r>
      <w:r>
        <w:rPr>
          <w:rFonts w:hint="eastAsia" w:hAnsi="宋体"/>
          <w:color w:val="auto"/>
          <w:sz w:val="24"/>
          <w:szCs w:val="24"/>
          <w:highlight w:val="none"/>
          <w:shd w:val="clear" w:color="auto" w:fill="FFFFFF"/>
        </w:rPr>
        <w:t>文件</w:t>
      </w:r>
    </w:p>
    <w:p w14:paraId="5EA6792C">
      <w:pPr>
        <w:spacing w:line="288" w:lineRule="auto"/>
        <w:ind w:firstLine="720" w:firstLineChars="300"/>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附件</w:t>
      </w:r>
      <w:r>
        <w:rPr>
          <w:rFonts w:hint="eastAsia" w:hAnsi="宋体"/>
          <w:color w:val="auto"/>
          <w:sz w:val="24"/>
          <w:szCs w:val="24"/>
          <w:highlight w:val="none"/>
          <w:shd w:val="clear" w:color="auto" w:fill="FFFFFF"/>
          <w:lang w:val="en-US" w:eastAsia="zh-CN"/>
        </w:rPr>
        <w:t>6</w:t>
      </w:r>
      <w:r>
        <w:rPr>
          <w:rFonts w:hint="eastAsia" w:hAnsi="宋体"/>
          <w:color w:val="auto"/>
          <w:sz w:val="24"/>
          <w:szCs w:val="24"/>
          <w:highlight w:val="none"/>
          <w:shd w:val="clear" w:color="auto" w:fill="FFFFFF"/>
        </w:rPr>
        <w:t>：</w:t>
      </w:r>
      <w:r>
        <w:rPr>
          <w:rFonts w:hint="eastAsia" w:hAnsi="宋体"/>
          <w:color w:val="auto"/>
          <w:sz w:val="24"/>
          <w:szCs w:val="24"/>
          <w:highlight w:val="none"/>
          <w:shd w:val="clear" w:color="auto" w:fill="FFFFFF"/>
          <w:lang w:val="en-US" w:eastAsia="zh-CN"/>
        </w:rPr>
        <w:t>竞争性磋商</w:t>
      </w:r>
      <w:r>
        <w:rPr>
          <w:rFonts w:hint="eastAsia" w:hAnsi="宋体"/>
          <w:color w:val="auto"/>
          <w:sz w:val="24"/>
          <w:szCs w:val="24"/>
          <w:highlight w:val="none"/>
          <w:shd w:val="clear" w:color="auto" w:fill="FFFFFF"/>
        </w:rPr>
        <w:t>文件</w:t>
      </w:r>
    </w:p>
    <w:p w14:paraId="42FC43BE">
      <w:pPr>
        <w:spacing w:line="288" w:lineRule="auto"/>
        <w:ind w:firstLine="720" w:firstLineChars="300"/>
        <w:rPr>
          <w:rFonts w:hint="eastAsia" w:hAnsi="宋体" w:eastAsia="宋体"/>
          <w:color w:val="auto"/>
          <w:sz w:val="24"/>
          <w:szCs w:val="24"/>
          <w:highlight w:val="none"/>
          <w:shd w:val="clear" w:color="auto" w:fill="FFFFFF"/>
          <w:lang w:eastAsia="zh-CN"/>
        </w:rPr>
      </w:pPr>
      <w:r>
        <w:rPr>
          <w:rFonts w:hint="eastAsia" w:hAnsi="宋体"/>
          <w:color w:val="auto"/>
          <w:sz w:val="24"/>
          <w:szCs w:val="24"/>
          <w:highlight w:val="none"/>
          <w:shd w:val="clear" w:color="auto" w:fill="FFFFFF"/>
        </w:rPr>
        <w:t>附件</w:t>
      </w:r>
      <w:r>
        <w:rPr>
          <w:rFonts w:hint="eastAsia" w:hAnsi="宋体"/>
          <w:color w:val="auto"/>
          <w:sz w:val="24"/>
          <w:szCs w:val="24"/>
          <w:highlight w:val="none"/>
          <w:shd w:val="clear" w:color="auto" w:fill="FFFFFF"/>
          <w:lang w:val="en-US" w:eastAsia="zh-CN"/>
        </w:rPr>
        <w:t>7</w:t>
      </w:r>
      <w:r>
        <w:rPr>
          <w:rFonts w:hint="eastAsia" w:hAnsi="宋体"/>
          <w:color w:val="auto"/>
          <w:sz w:val="24"/>
          <w:szCs w:val="24"/>
          <w:highlight w:val="none"/>
          <w:shd w:val="clear" w:color="auto" w:fill="FFFFFF"/>
        </w:rPr>
        <w:t>：履约担保</w:t>
      </w:r>
      <w:r>
        <w:rPr>
          <w:rFonts w:hint="eastAsia" w:hAnsi="宋体"/>
          <w:color w:val="auto"/>
          <w:sz w:val="24"/>
          <w:szCs w:val="24"/>
          <w:highlight w:val="none"/>
          <w:shd w:val="clear" w:color="auto" w:fill="FFFFFF"/>
          <w:lang w:eastAsia="zh-CN"/>
        </w:rPr>
        <w:t>凭证</w:t>
      </w:r>
    </w:p>
    <w:p w14:paraId="71D27A1C">
      <w:pPr>
        <w:spacing w:line="360" w:lineRule="auto"/>
        <w:ind w:firstLine="720" w:firstLineChars="300"/>
        <w:contextualSpacing/>
        <w:rPr>
          <w:rFonts w:hint="eastAsia" w:hAnsi="宋体"/>
          <w:color w:val="auto"/>
          <w:sz w:val="24"/>
          <w:szCs w:val="24"/>
          <w:highlight w:val="none"/>
        </w:rPr>
      </w:pPr>
      <w:r>
        <w:rPr>
          <w:rFonts w:hint="eastAsia" w:hAnsi="宋体"/>
          <w:color w:val="auto"/>
          <w:sz w:val="24"/>
          <w:szCs w:val="24"/>
          <w:highlight w:val="none"/>
        </w:rPr>
        <w:t>1</w:t>
      </w:r>
      <w:r>
        <w:rPr>
          <w:rFonts w:hint="eastAsia" w:hAnsi="宋体"/>
          <w:color w:val="auto"/>
          <w:sz w:val="24"/>
          <w:szCs w:val="24"/>
          <w:highlight w:val="none"/>
          <w:lang w:val="en-US" w:eastAsia="zh-CN"/>
        </w:rPr>
        <w:t>5</w:t>
      </w:r>
      <w:r>
        <w:rPr>
          <w:rFonts w:hint="eastAsia" w:hAnsi="宋体"/>
          <w:color w:val="auto"/>
          <w:sz w:val="24"/>
          <w:szCs w:val="24"/>
          <w:highlight w:val="none"/>
        </w:rPr>
        <w:t>.2 本合同未尽事宜，经</w:t>
      </w:r>
      <w:r>
        <w:rPr>
          <w:rFonts w:hint="eastAsia" w:hAnsi="宋体"/>
          <w:color w:val="auto"/>
          <w:sz w:val="24"/>
          <w:szCs w:val="24"/>
          <w:highlight w:val="none"/>
          <w:lang w:val="en-US" w:eastAsia="zh-CN"/>
        </w:rPr>
        <w:t>三</w:t>
      </w:r>
      <w:r>
        <w:rPr>
          <w:rFonts w:hint="eastAsia" w:hAnsi="宋体"/>
          <w:color w:val="auto"/>
          <w:sz w:val="24"/>
          <w:szCs w:val="24"/>
          <w:highlight w:val="none"/>
        </w:rPr>
        <w:t>方平等友好协商一致，可签订补充协议。</w:t>
      </w:r>
    </w:p>
    <w:p w14:paraId="24D71747">
      <w:pPr>
        <w:spacing w:line="360" w:lineRule="auto"/>
        <w:ind w:firstLine="720" w:firstLineChars="300"/>
        <w:contextualSpacing/>
        <w:rPr>
          <w:rFonts w:hint="eastAsia" w:hAnsi="宋体"/>
          <w:color w:val="auto"/>
          <w:sz w:val="24"/>
          <w:szCs w:val="24"/>
          <w:highlight w:val="none"/>
        </w:rPr>
      </w:pPr>
      <w:r>
        <w:rPr>
          <w:rFonts w:hint="eastAsia" w:hAnsi="宋体"/>
          <w:color w:val="auto"/>
          <w:sz w:val="24"/>
          <w:szCs w:val="24"/>
          <w:highlight w:val="none"/>
        </w:rPr>
        <w:t>1</w:t>
      </w:r>
      <w:r>
        <w:rPr>
          <w:rFonts w:hint="eastAsia" w:hAnsi="宋体"/>
          <w:color w:val="auto"/>
          <w:sz w:val="24"/>
          <w:szCs w:val="24"/>
          <w:highlight w:val="none"/>
          <w:lang w:val="en-US" w:eastAsia="zh-CN"/>
        </w:rPr>
        <w:t>5</w:t>
      </w:r>
      <w:r>
        <w:rPr>
          <w:rFonts w:hint="eastAsia" w:hAnsi="宋体"/>
          <w:color w:val="auto"/>
          <w:sz w:val="24"/>
          <w:szCs w:val="24"/>
          <w:highlight w:val="none"/>
        </w:rPr>
        <w:t>.3 本合同自</w:t>
      </w:r>
      <w:r>
        <w:rPr>
          <w:rFonts w:hint="eastAsia" w:hAnsi="宋体"/>
          <w:color w:val="auto"/>
          <w:sz w:val="24"/>
          <w:szCs w:val="24"/>
          <w:highlight w:val="none"/>
          <w:lang w:val="en-US" w:eastAsia="zh-CN"/>
        </w:rPr>
        <w:t>三</w:t>
      </w:r>
      <w:r>
        <w:rPr>
          <w:rFonts w:hint="eastAsia" w:hAnsi="宋体"/>
          <w:color w:val="auto"/>
          <w:sz w:val="24"/>
          <w:szCs w:val="24"/>
          <w:highlight w:val="none"/>
        </w:rPr>
        <w:t>方有权代表签字、单位盖章后生效。</w:t>
      </w:r>
    </w:p>
    <w:p w14:paraId="3D5AEFD4">
      <w:pPr>
        <w:spacing w:line="360" w:lineRule="auto"/>
        <w:ind w:firstLine="720" w:firstLineChars="300"/>
        <w:contextualSpacing/>
        <w:rPr>
          <w:rFonts w:hint="eastAsia" w:hAnsi="宋体"/>
          <w:color w:val="auto"/>
          <w:sz w:val="24"/>
          <w:szCs w:val="24"/>
          <w:highlight w:val="none"/>
          <w:lang w:val="zh-CN"/>
        </w:rPr>
      </w:pPr>
      <w:r>
        <w:rPr>
          <w:rFonts w:hint="eastAsia" w:hAnsi="宋体"/>
          <w:color w:val="auto"/>
          <w:sz w:val="24"/>
          <w:szCs w:val="24"/>
          <w:highlight w:val="none"/>
        </w:rPr>
        <w:t>1</w:t>
      </w:r>
      <w:r>
        <w:rPr>
          <w:rFonts w:hint="eastAsia" w:hAnsi="宋体"/>
          <w:color w:val="auto"/>
          <w:sz w:val="24"/>
          <w:szCs w:val="24"/>
          <w:highlight w:val="none"/>
          <w:lang w:val="en-US" w:eastAsia="zh-CN"/>
        </w:rPr>
        <w:t>5</w:t>
      </w:r>
      <w:r>
        <w:rPr>
          <w:rFonts w:hint="eastAsia" w:hAnsi="宋体"/>
          <w:color w:val="auto"/>
          <w:sz w:val="24"/>
          <w:szCs w:val="24"/>
          <w:highlight w:val="none"/>
        </w:rPr>
        <w:t>.4 本协议一式玖份，甲方执肆份，乙方执叁份,丙方执贰份,具有同等法律效力。</w:t>
      </w:r>
    </w:p>
    <w:p w14:paraId="67669B6B">
      <w:pPr>
        <w:spacing w:line="360" w:lineRule="auto"/>
        <w:ind w:firstLine="482" w:firstLineChars="200"/>
        <w:rPr>
          <w:rFonts w:hint="eastAsia" w:hAnsi="宋体"/>
          <w:b/>
          <w:bCs/>
          <w:color w:val="auto"/>
          <w:sz w:val="24"/>
          <w:szCs w:val="24"/>
          <w:highlight w:val="none"/>
        </w:rPr>
      </w:pPr>
    </w:p>
    <w:p w14:paraId="29C9E616">
      <w:pPr>
        <w:spacing w:line="360" w:lineRule="auto"/>
        <w:ind w:firstLine="482" w:firstLineChars="200"/>
        <w:rPr>
          <w:rFonts w:hint="eastAsia" w:hAnsi="宋体"/>
          <w:b/>
          <w:bCs/>
          <w:color w:val="auto"/>
          <w:sz w:val="24"/>
          <w:szCs w:val="24"/>
          <w:highlight w:val="none"/>
        </w:rPr>
      </w:pPr>
    </w:p>
    <w:p w14:paraId="63C43768">
      <w:pPr>
        <w:snapToGrid w:val="0"/>
        <w:spacing w:line="360" w:lineRule="auto"/>
        <w:ind w:left="3994" w:hanging="4564" w:hangingChars="1902"/>
        <w:rPr>
          <w:rFonts w:hint="eastAsia" w:hAnsi="宋体"/>
          <w:color w:val="auto"/>
          <w:sz w:val="24"/>
          <w:szCs w:val="24"/>
          <w:highlight w:val="none"/>
          <w:shd w:val="clear" w:color="auto" w:fill="FFFFFF"/>
        </w:rPr>
      </w:pPr>
    </w:p>
    <w:p w14:paraId="4B150B46">
      <w:pPr>
        <w:snapToGrid w:val="0"/>
        <w:spacing w:line="360" w:lineRule="auto"/>
        <w:ind w:left="3994" w:hanging="4564" w:hangingChars="1902"/>
        <w:rPr>
          <w:rFonts w:hint="eastAsia" w:hAnsi="宋体"/>
          <w:color w:val="auto"/>
          <w:sz w:val="24"/>
          <w:szCs w:val="24"/>
          <w:highlight w:val="none"/>
          <w:shd w:val="clear" w:color="auto" w:fill="FFFFFF"/>
        </w:rPr>
      </w:pPr>
    </w:p>
    <w:p w14:paraId="7E58E00C">
      <w:pPr>
        <w:snapToGrid w:val="0"/>
        <w:spacing w:line="360" w:lineRule="auto"/>
        <w:ind w:left="3994" w:hanging="4564" w:hangingChars="1902"/>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甲方（盖章）：                          　乙方（盖章）：</w:t>
      </w:r>
      <w:r>
        <w:rPr>
          <w:rFonts w:hAnsi="宋体"/>
          <w:color w:val="auto"/>
          <w:sz w:val="24"/>
          <w:szCs w:val="24"/>
          <w:highlight w:val="none"/>
          <w:shd w:val="clear" w:color="auto" w:fill="FFFFFF"/>
        </w:rPr>
        <w:t xml:space="preserve"> </w:t>
      </w:r>
    </w:p>
    <w:p w14:paraId="79E5FDE8">
      <w:pPr>
        <w:spacing w:line="360" w:lineRule="auto"/>
        <w:rPr>
          <w:rFonts w:hAnsi="宋体"/>
          <w:color w:val="auto"/>
          <w:sz w:val="24"/>
          <w:szCs w:val="24"/>
          <w:highlight w:val="none"/>
          <w:shd w:val="clear" w:color="auto" w:fill="FFFFFF"/>
        </w:rPr>
      </w:pPr>
      <w:r>
        <w:rPr>
          <w:rFonts w:hint="eastAsia" w:hAnsi="宋体"/>
          <w:color w:val="auto"/>
          <w:sz w:val="24"/>
          <w:szCs w:val="24"/>
          <w:highlight w:val="none"/>
          <w:shd w:val="clear" w:color="auto" w:fill="FFFFFF"/>
        </w:rPr>
        <w:t>法定代表人或其委托代理人：               法定代表人或其委托代理人：</w:t>
      </w:r>
    </w:p>
    <w:p w14:paraId="200FCF79">
      <w:pPr>
        <w:spacing w:line="360" w:lineRule="auto"/>
        <w:rPr>
          <w:rFonts w:hAnsi="宋体"/>
          <w:color w:val="auto"/>
          <w:sz w:val="24"/>
          <w:szCs w:val="24"/>
          <w:highlight w:val="none"/>
          <w:shd w:val="clear" w:color="auto" w:fill="FFFFFF"/>
        </w:rPr>
      </w:pPr>
    </w:p>
    <w:p w14:paraId="63F372BC">
      <w:pPr>
        <w:snapToGrid w:val="0"/>
        <w:spacing w:line="360" w:lineRule="auto"/>
        <w:rPr>
          <w:rFonts w:hint="eastAsia" w:hAnsi="宋体"/>
          <w:color w:val="auto"/>
          <w:sz w:val="24"/>
          <w:szCs w:val="24"/>
          <w:highlight w:val="none"/>
          <w:shd w:val="clear" w:color="auto" w:fill="FFFFFF"/>
        </w:rPr>
      </w:pPr>
      <w:r>
        <w:rPr>
          <w:rFonts w:hint="eastAsia" w:hAnsi="宋体"/>
          <w:color w:val="auto"/>
          <w:sz w:val="24"/>
          <w:szCs w:val="24"/>
          <w:highlight w:val="none"/>
          <w:shd w:val="clear" w:color="auto" w:fill="FFFFFF"/>
          <w:lang w:val="en-US" w:eastAsia="zh-CN"/>
        </w:rPr>
        <w:t>丙</w:t>
      </w:r>
      <w:r>
        <w:rPr>
          <w:rFonts w:hint="eastAsia" w:hAnsi="宋体"/>
          <w:color w:val="auto"/>
          <w:sz w:val="24"/>
          <w:szCs w:val="24"/>
          <w:highlight w:val="none"/>
          <w:shd w:val="clear" w:color="auto" w:fill="FFFFFF"/>
        </w:rPr>
        <w:t xml:space="preserve">方（盖章）：                          </w:t>
      </w:r>
    </w:p>
    <w:p w14:paraId="1DAB61A8">
      <w:pPr>
        <w:snapToGrid w:val="0"/>
        <w:spacing w:line="360" w:lineRule="auto"/>
        <w:rPr>
          <w:rFonts w:hint="eastAsia" w:hAnsi="宋体"/>
          <w:color w:val="auto"/>
          <w:sz w:val="24"/>
          <w:szCs w:val="24"/>
          <w:highlight w:val="none"/>
          <w:shd w:val="clear" w:color="auto" w:fill="FFFFFF"/>
        </w:rPr>
      </w:pPr>
      <w:r>
        <w:rPr>
          <w:rFonts w:hint="eastAsia" w:hAnsi="宋体"/>
          <w:color w:val="auto"/>
          <w:sz w:val="24"/>
          <w:szCs w:val="24"/>
          <w:highlight w:val="none"/>
          <w:shd w:val="clear" w:color="auto" w:fill="FFFFFF"/>
        </w:rPr>
        <w:t>法定代表人或其委托代理人：</w:t>
      </w:r>
    </w:p>
    <w:p w14:paraId="43BC4516">
      <w:pPr>
        <w:snapToGrid w:val="0"/>
        <w:spacing w:line="360" w:lineRule="auto"/>
        <w:rPr>
          <w:rFonts w:hint="eastAsia" w:hAnsi="宋体"/>
          <w:b/>
          <w:bCs/>
          <w:color w:val="auto"/>
          <w:sz w:val="24"/>
          <w:szCs w:val="24"/>
          <w:highlight w:val="none"/>
        </w:rPr>
      </w:pPr>
    </w:p>
    <w:p w14:paraId="3414CD69">
      <w:pPr>
        <w:snapToGrid w:val="0"/>
        <w:spacing w:line="360" w:lineRule="auto"/>
        <w:rPr>
          <w:rFonts w:hAnsi="宋体"/>
          <w:b/>
          <w:bCs/>
          <w:color w:val="auto"/>
          <w:sz w:val="24"/>
          <w:szCs w:val="24"/>
          <w:highlight w:val="none"/>
        </w:rPr>
      </w:pPr>
      <w:r>
        <w:rPr>
          <w:rFonts w:hint="eastAsia" w:hAnsi="宋体"/>
          <w:b/>
          <w:bCs/>
          <w:color w:val="auto"/>
          <w:sz w:val="24"/>
          <w:szCs w:val="24"/>
          <w:highlight w:val="none"/>
        </w:rPr>
        <w:t>合同订立时间：   年    月    日</w:t>
      </w:r>
    </w:p>
    <w:p w14:paraId="4F6C95DC">
      <w:pPr>
        <w:snapToGrid w:val="0"/>
        <w:spacing w:line="360" w:lineRule="auto"/>
        <w:rPr>
          <w:color w:val="auto"/>
          <w:sz w:val="24"/>
          <w:szCs w:val="24"/>
          <w:highlight w:val="none"/>
        </w:rPr>
      </w:pPr>
      <w:r>
        <w:rPr>
          <w:rFonts w:hint="eastAsia" w:hAnsi="宋体"/>
          <w:b/>
          <w:bCs/>
          <w:color w:val="auto"/>
          <w:sz w:val="24"/>
          <w:szCs w:val="24"/>
          <w:highlight w:val="none"/>
        </w:rPr>
        <w:t>合同签订地点：东莞市</w:t>
      </w:r>
    </w:p>
    <w:p w14:paraId="47B7CCFE">
      <w:pPr>
        <w:rPr>
          <w:color w:val="auto"/>
          <w:sz w:val="24"/>
          <w:szCs w:val="24"/>
          <w:highlight w:val="none"/>
        </w:rPr>
        <w:sectPr>
          <w:headerReference r:id="rId9" w:type="default"/>
          <w:footerReference r:id="rId10" w:type="default"/>
          <w:pgSz w:w="11906" w:h="16838"/>
          <w:pgMar w:top="1418" w:right="1418" w:bottom="1418" w:left="1418" w:header="964" w:footer="992" w:gutter="0"/>
          <w:cols w:space="720" w:num="1"/>
          <w:docGrid w:type="lines" w:linePitch="312" w:charSpace="0"/>
        </w:sectPr>
      </w:pPr>
    </w:p>
    <w:p w14:paraId="014ED647">
      <w:pPr>
        <w:rPr>
          <w:color w:val="auto"/>
          <w:highlight w:val="none"/>
        </w:rPr>
      </w:pPr>
      <w:r>
        <w:rPr>
          <w:rFonts w:hint="eastAsia"/>
          <w:color w:val="auto"/>
          <w:highlight w:val="none"/>
        </w:rPr>
        <w:t>附件1：</w:t>
      </w:r>
    </w:p>
    <w:p w14:paraId="1AFB9574">
      <w:pPr>
        <w:spacing w:line="360" w:lineRule="auto"/>
        <w:ind w:firstLine="880" w:firstLineChars="200"/>
        <w:jc w:val="center"/>
        <w:rPr>
          <w:rFonts w:ascii="微软雅黑" w:hAnsi="黑体" w:eastAsia="微软雅黑"/>
          <w:b/>
          <w:color w:val="auto"/>
          <w:sz w:val="44"/>
          <w:szCs w:val="44"/>
          <w:highlight w:val="none"/>
        </w:rPr>
      </w:pPr>
      <w:r>
        <w:rPr>
          <w:rFonts w:hint="eastAsia" w:ascii="微软雅黑" w:hAnsi="黑体" w:eastAsia="微软雅黑"/>
          <w:b/>
          <w:color w:val="auto"/>
          <w:sz w:val="44"/>
          <w:szCs w:val="44"/>
          <w:highlight w:val="none"/>
        </w:rPr>
        <w:t>阳光合作协议</w:t>
      </w:r>
    </w:p>
    <w:p w14:paraId="32C594C2">
      <w:pPr>
        <w:keepNext w:val="0"/>
        <w:keepLines w:val="0"/>
        <w:pageBreakBefore w:val="0"/>
        <w:widowControl w:val="0"/>
        <w:kinsoku/>
        <w:wordWrap/>
        <w:overflowPunct/>
        <w:topLinePunct w:val="0"/>
        <w:autoSpaceDE w:val="0"/>
        <w:autoSpaceDN w:val="0"/>
        <w:bidi w:val="0"/>
        <w:adjustRightInd w:val="0"/>
        <w:snapToGrid w:val="0"/>
        <w:spacing w:line="240" w:lineRule="auto"/>
        <w:ind w:firstLine="562" w:firstLineChars="200"/>
        <w:jc w:val="center"/>
        <w:textAlignment w:val="auto"/>
        <w:rPr>
          <w:b/>
          <w:color w:val="auto"/>
          <w:sz w:val="28"/>
          <w:szCs w:val="28"/>
          <w:highlight w:val="none"/>
        </w:rPr>
      </w:pPr>
    </w:p>
    <w:p w14:paraId="720BCC8C">
      <w:pPr>
        <w:keepNext w:val="0"/>
        <w:keepLines w:val="0"/>
        <w:pageBreakBefore w:val="0"/>
        <w:widowControl w:val="0"/>
        <w:kinsoku/>
        <w:wordWrap/>
        <w:overflowPunct/>
        <w:topLinePunct w:val="0"/>
        <w:autoSpaceDE w:val="0"/>
        <w:autoSpaceDN w:val="0"/>
        <w:bidi w:val="0"/>
        <w:adjustRightInd w:val="0"/>
        <w:snapToGrid w:val="0"/>
        <w:spacing w:before="156" w:beforeLines="50" w:after="156" w:afterLines="50" w:line="240" w:lineRule="auto"/>
        <w:ind w:firstLine="480" w:firstLineChars="200"/>
        <w:contextualSpacing/>
        <w:textAlignment w:val="auto"/>
        <w:rPr>
          <w:rFonts w:hAnsi="宋体"/>
          <w:color w:val="auto"/>
          <w:szCs w:val="21"/>
          <w:highlight w:val="none"/>
          <w:u w:val="single"/>
        </w:rPr>
      </w:pPr>
      <w:r>
        <w:rPr>
          <w:rFonts w:hint="eastAsia" w:hAnsi="宋体"/>
          <w:color w:val="auto"/>
          <w:szCs w:val="21"/>
          <w:highlight w:val="none"/>
        </w:rPr>
        <w:t>甲方：</w:t>
      </w:r>
      <w:r>
        <w:rPr>
          <w:rFonts w:hint="eastAsia" w:hAnsi="宋体"/>
          <w:color w:val="auto"/>
          <w:szCs w:val="21"/>
          <w:highlight w:val="none"/>
          <w:u w:val="single"/>
        </w:rPr>
        <w:t xml:space="preserve">                                      </w:t>
      </w:r>
    </w:p>
    <w:p w14:paraId="06173496">
      <w:pPr>
        <w:keepNext w:val="0"/>
        <w:keepLines w:val="0"/>
        <w:pageBreakBefore w:val="0"/>
        <w:widowControl w:val="0"/>
        <w:kinsoku/>
        <w:wordWrap/>
        <w:overflowPunct/>
        <w:topLinePunct w:val="0"/>
        <w:autoSpaceDE w:val="0"/>
        <w:autoSpaceDN w:val="0"/>
        <w:bidi w:val="0"/>
        <w:adjustRightInd w:val="0"/>
        <w:snapToGrid w:val="0"/>
        <w:spacing w:before="156" w:beforeLines="50" w:after="156" w:afterLines="50" w:line="240" w:lineRule="auto"/>
        <w:ind w:firstLine="480" w:firstLineChars="200"/>
        <w:contextualSpacing/>
        <w:textAlignment w:val="auto"/>
        <w:rPr>
          <w:rFonts w:hint="eastAsia" w:hAnsi="宋体"/>
          <w:color w:val="auto"/>
          <w:szCs w:val="21"/>
          <w:highlight w:val="none"/>
        </w:rPr>
      </w:pPr>
    </w:p>
    <w:p w14:paraId="2F007BD1">
      <w:pPr>
        <w:keepNext w:val="0"/>
        <w:keepLines w:val="0"/>
        <w:pageBreakBefore w:val="0"/>
        <w:widowControl w:val="0"/>
        <w:kinsoku/>
        <w:wordWrap/>
        <w:overflowPunct/>
        <w:topLinePunct w:val="0"/>
        <w:autoSpaceDE w:val="0"/>
        <w:autoSpaceDN w:val="0"/>
        <w:bidi w:val="0"/>
        <w:adjustRightInd w:val="0"/>
        <w:snapToGrid w:val="0"/>
        <w:spacing w:before="156" w:beforeLines="50" w:after="156" w:afterLines="50" w:line="240" w:lineRule="auto"/>
        <w:ind w:firstLine="480" w:firstLineChars="200"/>
        <w:contextualSpacing/>
        <w:textAlignment w:val="auto"/>
        <w:rPr>
          <w:rFonts w:hAnsi="宋体"/>
          <w:color w:val="auto"/>
          <w:szCs w:val="21"/>
          <w:highlight w:val="none"/>
        </w:rPr>
      </w:pPr>
      <w:r>
        <w:rPr>
          <w:rFonts w:hint="eastAsia" w:hAnsi="宋体"/>
          <w:color w:val="auto"/>
          <w:szCs w:val="21"/>
          <w:highlight w:val="none"/>
        </w:rPr>
        <w:t>乙方：</w:t>
      </w:r>
      <w:r>
        <w:rPr>
          <w:rFonts w:hint="eastAsia" w:hAnsi="宋体"/>
          <w:color w:val="auto"/>
          <w:szCs w:val="21"/>
          <w:highlight w:val="none"/>
          <w:u w:val="single"/>
        </w:rPr>
        <w:t xml:space="preserve">                                      </w:t>
      </w:r>
      <w:r>
        <w:rPr>
          <w:rFonts w:hAnsi="宋体"/>
          <w:color w:val="auto"/>
          <w:szCs w:val="21"/>
          <w:highlight w:val="none"/>
        </w:rPr>
        <w:t xml:space="preserve"> </w:t>
      </w:r>
    </w:p>
    <w:p w14:paraId="0F5B774F">
      <w:pPr>
        <w:keepNext w:val="0"/>
        <w:keepLines w:val="0"/>
        <w:pageBreakBefore w:val="0"/>
        <w:widowControl w:val="0"/>
        <w:kinsoku/>
        <w:wordWrap/>
        <w:overflowPunct/>
        <w:topLinePunct w:val="0"/>
        <w:autoSpaceDE w:val="0"/>
        <w:autoSpaceDN w:val="0"/>
        <w:bidi w:val="0"/>
        <w:adjustRightInd w:val="0"/>
        <w:snapToGrid w:val="0"/>
        <w:spacing w:before="156" w:beforeLines="50" w:after="156" w:afterLines="50" w:line="240" w:lineRule="auto"/>
        <w:ind w:firstLine="480" w:firstLineChars="200"/>
        <w:contextualSpacing/>
        <w:textAlignment w:val="auto"/>
        <w:rPr>
          <w:rFonts w:hAnsi="宋体"/>
          <w:color w:val="auto"/>
          <w:szCs w:val="21"/>
          <w:highlight w:val="none"/>
        </w:rPr>
      </w:pPr>
    </w:p>
    <w:p w14:paraId="23DA45FC">
      <w:pPr>
        <w:keepNext w:val="0"/>
        <w:keepLines w:val="0"/>
        <w:pageBreakBefore w:val="0"/>
        <w:widowControl w:val="0"/>
        <w:kinsoku/>
        <w:wordWrap/>
        <w:overflowPunct/>
        <w:topLinePunct w:val="0"/>
        <w:autoSpaceDE w:val="0"/>
        <w:autoSpaceDN w:val="0"/>
        <w:bidi w:val="0"/>
        <w:adjustRightInd w:val="0"/>
        <w:snapToGrid w:val="0"/>
        <w:spacing w:before="156" w:beforeLines="50" w:after="156" w:afterLines="50" w:line="240" w:lineRule="auto"/>
        <w:ind w:firstLine="480" w:firstLineChars="200"/>
        <w:contextualSpacing/>
        <w:textAlignment w:val="auto"/>
        <w:rPr>
          <w:rFonts w:hAnsi="宋体"/>
          <w:color w:val="auto"/>
          <w:szCs w:val="21"/>
          <w:highlight w:val="none"/>
        </w:rPr>
      </w:pPr>
      <w:r>
        <w:rPr>
          <w:rFonts w:hint="eastAsia" w:hAnsi="宋体"/>
          <w:color w:val="auto"/>
          <w:szCs w:val="21"/>
          <w:highlight w:val="none"/>
          <w:lang w:val="en-US" w:eastAsia="zh-CN"/>
        </w:rPr>
        <w:t>丙</w:t>
      </w:r>
      <w:r>
        <w:rPr>
          <w:rFonts w:hint="eastAsia" w:hAnsi="宋体"/>
          <w:color w:val="auto"/>
          <w:szCs w:val="21"/>
          <w:highlight w:val="none"/>
        </w:rPr>
        <w:t>方：</w:t>
      </w:r>
      <w:r>
        <w:rPr>
          <w:rFonts w:hint="eastAsia" w:hAnsi="宋体"/>
          <w:color w:val="auto"/>
          <w:szCs w:val="21"/>
          <w:highlight w:val="none"/>
          <w:u w:val="single"/>
        </w:rPr>
        <w:t xml:space="preserve">                                      </w:t>
      </w:r>
      <w:r>
        <w:rPr>
          <w:rFonts w:hAnsi="宋体"/>
          <w:color w:val="auto"/>
          <w:szCs w:val="21"/>
          <w:highlight w:val="none"/>
        </w:rPr>
        <w:t xml:space="preserve"> </w:t>
      </w:r>
    </w:p>
    <w:p w14:paraId="454B93C0">
      <w:pPr>
        <w:spacing w:before="156" w:beforeLines="50" w:after="156" w:afterLines="50" w:line="360" w:lineRule="auto"/>
        <w:ind w:firstLine="480" w:firstLineChars="200"/>
        <w:contextualSpacing/>
        <w:rPr>
          <w:rFonts w:hint="eastAsia" w:hAnsi="宋体"/>
          <w:color w:val="auto"/>
          <w:szCs w:val="21"/>
          <w:highlight w:val="none"/>
        </w:rPr>
      </w:pPr>
    </w:p>
    <w:p w14:paraId="16B255BB">
      <w:pPr>
        <w:spacing w:before="156" w:beforeLines="50" w:after="156" w:afterLines="50" w:line="360" w:lineRule="auto"/>
        <w:ind w:firstLine="480" w:firstLineChars="200"/>
        <w:contextualSpacing/>
        <w:rPr>
          <w:color w:val="auto"/>
          <w:szCs w:val="21"/>
          <w:highlight w:val="none"/>
        </w:rPr>
      </w:pPr>
      <w:r>
        <w:rPr>
          <w:rFonts w:hint="eastAsia" w:hAnsi="宋体"/>
          <w:color w:val="auto"/>
          <w:szCs w:val="21"/>
          <w:highlight w:val="none"/>
        </w:rPr>
        <w:t>甲乙</w:t>
      </w:r>
      <w:r>
        <w:rPr>
          <w:rFonts w:hint="eastAsia" w:hAnsi="宋体"/>
          <w:color w:val="auto"/>
          <w:szCs w:val="21"/>
          <w:highlight w:val="none"/>
          <w:lang w:val="en-US" w:eastAsia="zh-CN"/>
        </w:rPr>
        <w:t>丙三</w:t>
      </w:r>
      <w:r>
        <w:rPr>
          <w:rFonts w:hint="eastAsia" w:hAnsi="宋体"/>
          <w:color w:val="auto"/>
          <w:szCs w:val="21"/>
          <w:highlight w:val="none"/>
        </w:rPr>
        <w:t>方于</w:t>
      </w:r>
      <w:r>
        <w:rPr>
          <w:rFonts w:hint="eastAsia" w:hAnsi="宋体"/>
          <w:color w:val="auto"/>
          <w:szCs w:val="21"/>
          <w:highlight w:val="none"/>
          <w:u w:val="single"/>
        </w:rPr>
        <w:t xml:space="preserve">      </w:t>
      </w:r>
      <w:r>
        <w:rPr>
          <w:rFonts w:hint="eastAsia" w:hAnsi="宋体"/>
          <w:color w:val="auto"/>
          <w:szCs w:val="21"/>
          <w:highlight w:val="none"/>
        </w:rPr>
        <w:t>年</w:t>
      </w:r>
      <w:r>
        <w:rPr>
          <w:rFonts w:hint="eastAsia" w:hAnsi="宋体"/>
          <w:color w:val="auto"/>
          <w:szCs w:val="21"/>
          <w:highlight w:val="none"/>
          <w:u w:val="single"/>
        </w:rPr>
        <w:t xml:space="preserve">      </w:t>
      </w:r>
      <w:r>
        <w:rPr>
          <w:rFonts w:hint="eastAsia" w:hAnsi="宋体"/>
          <w:color w:val="auto"/>
          <w:szCs w:val="21"/>
          <w:highlight w:val="none"/>
        </w:rPr>
        <w:t>月</w:t>
      </w:r>
      <w:r>
        <w:rPr>
          <w:rFonts w:hint="eastAsia" w:hAnsi="宋体"/>
          <w:color w:val="auto"/>
          <w:szCs w:val="21"/>
          <w:highlight w:val="none"/>
          <w:u w:val="single"/>
        </w:rPr>
        <w:t xml:space="preserve">      </w:t>
      </w:r>
      <w:r>
        <w:rPr>
          <w:rFonts w:hint="eastAsia" w:hAnsi="宋体"/>
          <w:color w:val="auto"/>
          <w:szCs w:val="21"/>
          <w:highlight w:val="none"/>
        </w:rPr>
        <w:t>日签署了《</w:t>
      </w:r>
      <w:r>
        <w:rPr>
          <w:rFonts w:hint="eastAsia" w:hAnsi="宋体"/>
          <w:color w:val="auto"/>
          <w:szCs w:val="21"/>
          <w:highlight w:val="none"/>
          <w:lang w:val="en-US" w:eastAsia="zh-CN"/>
        </w:rPr>
        <w:t xml:space="preserve">         </w:t>
      </w:r>
      <w:r>
        <w:rPr>
          <w:rFonts w:hint="eastAsia" w:hAnsi="宋体"/>
          <w:color w:val="auto"/>
          <w:szCs w:val="21"/>
          <w:highlight w:val="none"/>
        </w:rPr>
        <w:t>施工合同》（以下简称原合同），为加强</w:t>
      </w:r>
      <w:r>
        <w:rPr>
          <w:rFonts w:hint="eastAsia" w:hAnsi="宋体"/>
          <w:color w:val="auto"/>
          <w:szCs w:val="21"/>
          <w:highlight w:val="none"/>
          <w:lang w:val="en-US" w:eastAsia="zh-CN"/>
        </w:rPr>
        <w:t>各</w:t>
      </w:r>
      <w:r>
        <w:rPr>
          <w:rFonts w:hint="eastAsia" w:hAnsi="宋体"/>
          <w:color w:val="auto"/>
          <w:szCs w:val="21"/>
          <w:highlight w:val="none"/>
        </w:rPr>
        <w:t>方阳光合作，保证职员职业安全，甲乙</w:t>
      </w:r>
      <w:r>
        <w:rPr>
          <w:rFonts w:hint="eastAsia" w:hAnsi="宋体"/>
          <w:color w:val="auto"/>
          <w:szCs w:val="21"/>
          <w:highlight w:val="none"/>
          <w:lang w:val="en-US" w:eastAsia="zh-CN"/>
        </w:rPr>
        <w:t>丙三</w:t>
      </w:r>
      <w:r>
        <w:rPr>
          <w:rFonts w:hint="eastAsia" w:hAnsi="宋体"/>
          <w:color w:val="auto"/>
          <w:szCs w:val="21"/>
          <w:highlight w:val="none"/>
        </w:rPr>
        <w:t>方经协商签订本协议并作为</w:t>
      </w:r>
      <w:r>
        <w:rPr>
          <w:rFonts w:hint="eastAsia" w:hAnsi="宋体"/>
          <w:color w:val="auto"/>
          <w:szCs w:val="21"/>
          <w:highlight w:val="none"/>
          <w:lang w:val="en-US" w:eastAsia="zh-CN"/>
        </w:rPr>
        <w:t>三</w:t>
      </w:r>
      <w:r>
        <w:rPr>
          <w:rFonts w:hint="eastAsia" w:hAnsi="宋体"/>
          <w:color w:val="auto"/>
          <w:szCs w:val="21"/>
          <w:highlight w:val="none"/>
        </w:rPr>
        <w:t>方共同遵守的阳光合作行为准则。</w:t>
      </w:r>
    </w:p>
    <w:p w14:paraId="6580BD8B">
      <w:pPr>
        <w:spacing w:before="156" w:beforeLines="50" w:after="156" w:afterLines="50" w:line="360" w:lineRule="auto"/>
        <w:ind w:left="480" w:leftChars="200"/>
        <w:contextualSpacing/>
        <w:rPr>
          <w:rFonts w:hAnsi="宋体"/>
          <w:b/>
          <w:color w:val="auto"/>
          <w:szCs w:val="21"/>
          <w:highlight w:val="none"/>
        </w:rPr>
      </w:pPr>
      <w:r>
        <w:rPr>
          <w:rFonts w:hint="eastAsia" w:hAnsi="宋体"/>
          <w:b/>
          <w:color w:val="auto"/>
          <w:szCs w:val="21"/>
          <w:highlight w:val="none"/>
        </w:rPr>
        <w:t>一、甲方责任</w:t>
      </w:r>
    </w:p>
    <w:p w14:paraId="2D4A71D5">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1.甲方有责任向乙方</w:t>
      </w:r>
      <w:r>
        <w:rPr>
          <w:rFonts w:hint="eastAsia" w:hAnsi="宋体"/>
          <w:color w:val="auto"/>
          <w:szCs w:val="21"/>
          <w:highlight w:val="none"/>
          <w:lang w:eastAsia="zh-CN"/>
        </w:rPr>
        <w:t>、</w:t>
      </w:r>
      <w:r>
        <w:rPr>
          <w:rFonts w:hint="eastAsia" w:hAnsi="宋体"/>
          <w:color w:val="auto"/>
          <w:szCs w:val="21"/>
          <w:highlight w:val="none"/>
          <w:lang w:val="en-US" w:eastAsia="zh-CN"/>
        </w:rPr>
        <w:t>丙方</w:t>
      </w:r>
      <w:r>
        <w:rPr>
          <w:rFonts w:hint="eastAsia" w:hAnsi="宋体"/>
          <w:color w:val="auto"/>
          <w:szCs w:val="21"/>
          <w:highlight w:val="none"/>
        </w:rPr>
        <w:t>介绍本单位有关采购管理通用原则和本协议的规定。</w:t>
      </w:r>
    </w:p>
    <w:p w14:paraId="2C330261">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2.甲方有责任对本单位相关人员进行阳光合作教育。</w:t>
      </w:r>
    </w:p>
    <w:p w14:paraId="70C60A8F">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3.甲方人员应严格遵守本单位有关阳光合作管理的规定，不得接受乙方</w:t>
      </w:r>
      <w:r>
        <w:rPr>
          <w:rFonts w:hint="eastAsia" w:hAnsi="宋体"/>
          <w:color w:val="auto"/>
          <w:szCs w:val="21"/>
          <w:highlight w:val="none"/>
          <w:lang w:eastAsia="zh-CN"/>
        </w:rPr>
        <w:t>、</w:t>
      </w:r>
      <w:r>
        <w:rPr>
          <w:rFonts w:hint="eastAsia" w:hAnsi="宋体"/>
          <w:color w:val="auto"/>
          <w:szCs w:val="21"/>
          <w:highlight w:val="none"/>
          <w:lang w:val="en-US" w:eastAsia="zh-CN"/>
        </w:rPr>
        <w:t>丙方</w:t>
      </w:r>
      <w:r>
        <w:rPr>
          <w:rFonts w:hint="eastAsia" w:hAnsi="宋体"/>
          <w:color w:val="auto"/>
          <w:szCs w:val="21"/>
          <w:highlight w:val="none"/>
        </w:rPr>
        <w:t xml:space="preserve">任何形式的回扣、实物、现金、有价证券、礼券等有价物品，不得参加乙方提供的旅游或其他可能影响职务行为公正履行的活动。 </w:t>
      </w:r>
    </w:p>
    <w:p w14:paraId="5EE56EFE">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4.甲方人员如违反阳光合作管理制度及本协议规定，甲方视情节轻重、影响大小给予行政及经济处罚。</w:t>
      </w:r>
    </w:p>
    <w:p w14:paraId="79671AD2">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5．对于乙方</w:t>
      </w:r>
      <w:r>
        <w:rPr>
          <w:rFonts w:hint="eastAsia" w:hAnsi="宋体"/>
          <w:color w:val="auto"/>
          <w:szCs w:val="21"/>
          <w:highlight w:val="none"/>
          <w:lang w:eastAsia="zh-CN"/>
        </w:rPr>
        <w:t>、</w:t>
      </w:r>
      <w:r>
        <w:rPr>
          <w:rFonts w:hint="eastAsia" w:hAnsi="宋体"/>
          <w:color w:val="auto"/>
          <w:szCs w:val="21"/>
          <w:highlight w:val="none"/>
          <w:lang w:val="en-US" w:eastAsia="zh-CN"/>
        </w:rPr>
        <w:t>丙方</w:t>
      </w:r>
      <w:r>
        <w:rPr>
          <w:rFonts w:hint="eastAsia" w:hAnsi="宋体"/>
          <w:color w:val="auto"/>
          <w:szCs w:val="21"/>
          <w:highlight w:val="none"/>
        </w:rPr>
        <w:t>举报甲方人员违反阳光合作规定的情况，甲方应及时进行调查，根据调查情况进行处理，并将调查结果向乙方</w:t>
      </w:r>
      <w:r>
        <w:rPr>
          <w:rFonts w:hint="eastAsia" w:hAnsi="宋体"/>
          <w:color w:val="auto"/>
          <w:szCs w:val="21"/>
          <w:highlight w:val="none"/>
          <w:lang w:eastAsia="zh-CN"/>
        </w:rPr>
        <w:t>、</w:t>
      </w:r>
      <w:r>
        <w:rPr>
          <w:rFonts w:hint="eastAsia" w:hAnsi="宋体"/>
          <w:color w:val="auto"/>
          <w:szCs w:val="21"/>
          <w:highlight w:val="none"/>
          <w:lang w:val="en-US" w:eastAsia="zh-CN"/>
        </w:rPr>
        <w:t>丙方</w:t>
      </w:r>
      <w:r>
        <w:rPr>
          <w:rFonts w:hint="eastAsia" w:hAnsi="宋体"/>
          <w:color w:val="auto"/>
          <w:szCs w:val="21"/>
          <w:highlight w:val="none"/>
        </w:rPr>
        <w:t>反馈。</w:t>
      </w:r>
    </w:p>
    <w:p w14:paraId="4D744437">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6.接受举报的一方应为举报方保密，不得对举报方进行报复，对举报属实和严格遵守《阳光合作协议》的合作方，在同等条件下给予后续合作的优先权。</w:t>
      </w:r>
    </w:p>
    <w:p w14:paraId="0C875582">
      <w:pPr>
        <w:spacing w:before="156" w:beforeLines="50" w:after="156" w:afterLines="50" w:line="360" w:lineRule="auto"/>
        <w:ind w:left="480" w:leftChars="200"/>
        <w:contextualSpacing/>
        <w:rPr>
          <w:rFonts w:hAnsi="宋体"/>
          <w:b/>
          <w:color w:val="auto"/>
          <w:szCs w:val="21"/>
          <w:highlight w:val="none"/>
        </w:rPr>
      </w:pPr>
      <w:r>
        <w:rPr>
          <w:rFonts w:hint="eastAsia" w:hAnsi="宋体"/>
          <w:b/>
          <w:color w:val="auto"/>
          <w:szCs w:val="21"/>
          <w:highlight w:val="none"/>
        </w:rPr>
        <w:t>二、乙方责任</w:t>
      </w:r>
    </w:p>
    <w:p w14:paraId="276618C7">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1.乙方</w:t>
      </w:r>
      <w:r>
        <w:rPr>
          <w:rFonts w:hint="eastAsia" w:hAnsi="宋体"/>
          <w:color w:val="auto"/>
          <w:szCs w:val="21"/>
          <w:highlight w:val="none"/>
          <w:lang w:val="en-US" w:eastAsia="zh-CN"/>
        </w:rPr>
        <w:t>及丙方</w:t>
      </w:r>
      <w:r>
        <w:rPr>
          <w:rFonts w:hint="eastAsia" w:hAnsi="宋体"/>
          <w:color w:val="auto"/>
          <w:szCs w:val="21"/>
          <w:highlight w:val="none"/>
        </w:rPr>
        <w:t>应保证乙方</w:t>
      </w:r>
      <w:r>
        <w:rPr>
          <w:rFonts w:hint="eastAsia" w:hAnsi="宋体"/>
          <w:color w:val="auto"/>
          <w:szCs w:val="21"/>
          <w:highlight w:val="none"/>
          <w:lang w:val="en-US" w:eastAsia="zh-CN"/>
        </w:rPr>
        <w:t>及丙方</w:t>
      </w:r>
      <w:r>
        <w:rPr>
          <w:rFonts w:hint="eastAsia" w:hAnsi="宋体"/>
          <w:color w:val="auto"/>
          <w:szCs w:val="21"/>
          <w:highlight w:val="none"/>
        </w:rPr>
        <w:t>人员了解甲方有关采购管理通用原则和及本协议的规定，并遵照执行。</w:t>
      </w:r>
    </w:p>
    <w:p w14:paraId="342120EF">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2.乙方</w:t>
      </w:r>
      <w:r>
        <w:rPr>
          <w:rFonts w:hint="eastAsia" w:hAnsi="宋体"/>
          <w:color w:val="auto"/>
          <w:szCs w:val="21"/>
          <w:highlight w:val="none"/>
          <w:lang w:val="en-US" w:eastAsia="zh-CN"/>
        </w:rPr>
        <w:t>及丙方</w:t>
      </w:r>
      <w:r>
        <w:rPr>
          <w:rFonts w:hint="eastAsia" w:hAnsi="宋体"/>
          <w:color w:val="auto"/>
          <w:szCs w:val="21"/>
          <w:highlight w:val="none"/>
        </w:rPr>
        <w:t>不得以任何形式给予甲方人员回扣、赠送实物、现金、有价证券、礼券等有价物品或提供旅游等其他可能影响职务行为公正履行的活动（以下统称“财物”）。</w:t>
      </w:r>
    </w:p>
    <w:p w14:paraId="6C720E5A">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3.乙方</w:t>
      </w:r>
      <w:r>
        <w:rPr>
          <w:rFonts w:hint="eastAsia" w:hAnsi="宋体"/>
          <w:color w:val="auto"/>
          <w:szCs w:val="21"/>
          <w:highlight w:val="none"/>
          <w:lang w:val="en-US" w:eastAsia="zh-CN"/>
        </w:rPr>
        <w:t>及丙方</w:t>
      </w:r>
      <w:r>
        <w:rPr>
          <w:rFonts w:hint="eastAsia" w:hAnsi="宋体"/>
          <w:color w:val="auto"/>
          <w:szCs w:val="21"/>
          <w:highlight w:val="none"/>
        </w:rPr>
        <w:t>有责任接受甲方对乙方在合作期间阳光合作管理执行情况的监督，并对甲方相关调查工作主动配合。</w:t>
      </w:r>
    </w:p>
    <w:p w14:paraId="14CE2703">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4.乙方</w:t>
      </w:r>
      <w:r>
        <w:rPr>
          <w:rFonts w:hint="eastAsia" w:hAnsi="宋体"/>
          <w:color w:val="auto"/>
          <w:szCs w:val="21"/>
          <w:highlight w:val="none"/>
          <w:lang w:val="en-US" w:eastAsia="zh-CN"/>
        </w:rPr>
        <w:t>及丙方</w:t>
      </w:r>
      <w:r>
        <w:rPr>
          <w:rFonts w:hint="eastAsia" w:hAnsi="宋体"/>
          <w:color w:val="auto"/>
          <w:szCs w:val="21"/>
          <w:highlight w:val="none"/>
        </w:rPr>
        <w:t>有义务就甲方人员任何形式的索取或收受财物行为及时向甲方（直接联系人为东莞实业投资控股集团有限公司</w:t>
      </w:r>
      <w:r>
        <w:rPr>
          <w:rFonts w:hint="eastAsia" w:hAnsi="宋体"/>
          <w:color w:val="auto"/>
          <w:szCs w:val="21"/>
          <w:highlight w:val="none"/>
          <w:lang w:eastAsia="zh-CN"/>
        </w:rPr>
        <w:t>风控法务</w:t>
      </w:r>
      <w:r>
        <w:rPr>
          <w:rFonts w:hint="eastAsia" w:hAnsi="宋体"/>
          <w:color w:val="auto"/>
          <w:szCs w:val="21"/>
          <w:highlight w:val="none"/>
        </w:rPr>
        <w:t>部）举报。如乙方</w:t>
      </w:r>
      <w:r>
        <w:rPr>
          <w:rFonts w:hint="eastAsia" w:hAnsi="宋体"/>
          <w:color w:val="auto"/>
          <w:szCs w:val="21"/>
          <w:highlight w:val="none"/>
          <w:lang w:val="en-US" w:eastAsia="zh-CN"/>
        </w:rPr>
        <w:t>及丙方</w:t>
      </w:r>
      <w:r>
        <w:rPr>
          <w:rFonts w:hint="eastAsia" w:hAnsi="宋体"/>
          <w:color w:val="auto"/>
          <w:szCs w:val="21"/>
          <w:highlight w:val="none"/>
        </w:rPr>
        <w:t>或其人员向甲方人员给予财物，或甲方人员向乙方</w:t>
      </w:r>
      <w:r>
        <w:rPr>
          <w:rFonts w:hint="eastAsia" w:hAnsi="宋体"/>
          <w:color w:val="auto"/>
          <w:szCs w:val="21"/>
          <w:highlight w:val="none"/>
          <w:lang w:val="en-US" w:eastAsia="zh-CN"/>
        </w:rPr>
        <w:t>及丙方</w:t>
      </w:r>
      <w:r>
        <w:rPr>
          <w:rFonts w:hint="eastAsia" w:hAnsi="宋体"/>
          <w:color w:val="auto"/>
          <w:szCs w:val="21"/>
          <w:highlight w:val="none"/>
        </w:rPr>
        <w:t>索取财物，乙方</w:t>
      </w:r>
      <w:r>
        <w:rPr>
          <w:rFonts w:hint="eastAsia" w:hAnsi="宋体"/>
          <w:color w:val="auto"/>
          <w:szCs w:val="21"/>
          <w:highlight w:val="none"/>
          <w:lang w:val="en-US" w:eastAsia="zh-CN"/>
        </w:rPr>
        <w:t>及丙方</w:t>
      </w:r>
      <w:r>
        <w:rPr>
          <w:rFonts w:hint="eastAsia" w:hAnsi="宋体"/>
          <w:color w:val="auto"/>
          <w:szCs w:val="21"/>
          <w:highlight w:val="none"/>
        </w:rPr>
        <w:t>满足其要求并且未向甲方举报的，一经查实（包括但不限于被甲方核实属实，或者被司法机关或第三方核实属实的），甲方将在内部通报；乙方</w:t>
      </w:r>
      <w:r>
        <w:rPr>
          <w:rFonts w:hint="eastAsia" w:hAnsi="宋体"/>
          <w:color w:val="auto"/>
          <w:szCs w:val="21"/>
          <w:highlight w:val="none"/>
          <w:lang w:val="en-US" w:eastAsia="zh-CN"/>
        </w:rPr>
        <w:t>及丙方</w:t>
      </w:r>
      <w:r>
        <w:rPr>
          <w:rFonts w:hint="eastAsia" w:hAnsi="宋体"/>
          <w:color w:val="auto"/>
          <w:szCs w:val="21"/>
          <w:highlight w:val="none"/>
        </w:rPr>
        <w:t>除应向甲方赔偿由此给甲方造成的损失外，乙方</w:t>
      </w:r>
      <w:r>
        <w:rPr>
          <w:rFonts w:hint="eastAsia" w:hAnsi="宋体"/>
          <w:color w:val="auto"/>
          <w:szCs w:val="21"/>
          <w:highlight w:val="none"/>
          <w:lang w:val="en-US" w:eastAsia="zh-CN"/>
        </w:rPr>
        <w:t>及丙方</w:t>
      </w:r>
      <w:r>
        <w:rPr>
          <w:rFonts w:hint="eastAsia" w:hAnsi="宋体"/>
          <w:color w:val="auto"/>
          <w:szCs w:val="21"/>
          <w:highlight w:val="none"/>
        </w:rPr>
        <w:t>还应向甲方支付相当于原合同总价的10%的违约金，并对乙方知情不报人员进行相应处罚；连续出现2次及以上类似情况或者如因乙方</w:t>
      </w:r>
      <w:r>
        <w:rPr>
          <w:rFonts w:hint="eastAsia" w:hAnsi="宋体"/>
          <w:color w:val="auto"/>
          <w:szCs w:val="21"/>
          <w:highlight w:val="none"/>
          <w:lang w:val="en-US" w:eastAsia="zh-CN"/>
        </w:rPr>
        <w:t>及丙方</w:t>
      </w:r>
      <w:r>
        <w:rPr>
          <w:rFonts w:hint="eastAsia" w:hAnsi="宋体"/>
          <w:color w:val="auto"/>
          <w:szCs w:val="21"/>
          <w:highlight w:val="none"/>
        </w:rPr>
        <w:t>在合作期间贿赂甲方人员，被司法机关立案查处核实属实的，甲方有权解除原合同，如甲方解除原合同的，则乙方</w:t>
      </w:r>
      <w:r>
        <w:rPr>
          <w:rFonts w:hint="eastAsia" w:hAnsi="宋体"/>
          <w:color w:val="auto"/>
          <w:szCs w:val="21"/>
          <w:highlight w:val="none"/>
          <w:lang w:val="en-US" w:eastAsia="zh-CN"/>
        </w:rPr>
        <w:t>及丙方</w:t>
      </w:r>
      <w:r>
        <w:rPr>
          <w:rFonts w:hint="eastAsia" w:hAnsi="宋体"/>
          <w:color w:val="auto"/>
          <w:szCs w:val="21"/>
          <w:highlight w:val="none"/>
        </w:rPr>
        <w:t>应退还甲方所支付的所有款项并按原合同与本合同约定承担违约责任，且五年之内不得作为东实集团（东莞实业投资控股集团有限公司及下属子公司）合格供应商。</w:t>
      </w:r>
    </w:p>
    <w:p w14:paraId="76B01C98">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5．甲方接受乙方</w:t>
      </w:r>
      <w:r>
        <w:rPr>
          <w:rFonts w:hint="eastAsia" w:hAnsi="宋体"/>
          <w:color w:val="auto"/>
          <w:szCs w:val="21"/>
          <w:highlight w:val="none"/>
          <w:lang w:val="en-US" w:eastAsia="zh-CN"/>
        </w:rPr>
        <w:t>及丙方</w:t>
      </w:r>
      <w:r>
        <w:rPr>
          <w:rFonts w:hint="eastAsia" w:hAnsi="宋体"/>
          <w:color w:val="auto"/>
          <w:szCs w:val="21"/>
          <w:highlight w:val="none"/>
        </w:rPr>
        <w:t xml:space="preserve">实名或匿名举报，保证为举报者的信息保密，常设举报部门及电话： </w:t>
      </w:r>
    </w:p>
    <w:p w14:paraId="0736312A">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举报受理部门：东莞实业投资控股集团有限公司</w:t>
      </w:r>
      <w:r>
        <w:rPr>
          <w:rFonts w:hint="eastAsia" w:hAnsi="宋体"/>
          <w:color w:val="auto"/>
          <w:szCs w:val="21"/>
          <w:highlight w:val="none"/>
          <w:lang w:eastAsia="zh-CN"/>
        </w:rPr>
        <w:t>风控法务</w:t>
      </w:r>
      <w:r>
        <w:rPr>
          <w:rFonts w:hint="eastAsia" w:hAnsi="宋体"/>
          <w:color w:val="auto"/>
          <w:szCs w:val="21"/>
          <w:highlight w:val="none"/>
        </w:rPr>
        <w:t>部</w:t>
      </w:r>
    </w:p>
    <w:p w14:paraId="1C655408">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东实集团举报邮箱：dgsyxf@163.com</w:t>
      </w:r>
    </w:p>
    <w:p w14:paraId="43703ECB">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东实集团举报电话：0769-28820703（周一至周五9:00-12:00和14:00-18:00）</w:t>
      </w:r>
    </w:p>
    <w:p w14:paraId="7584D600">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邮寄地址：东莞市东城区八一路1号机关二号大院9号楼，东莞实业投资控股集团有限公司</w:t>
      </w:r>
      <w:r>
        <w:rPr>
          <w:rFonts w:hint="eastAsia" w:hAnsi="宋体"/>
          <w:color w:val="auto"/>
          <w:szCs w:val="21"/>
          <w:highlight w:val="none"/>
          <w:lang w:eastAsia="zh-CN"/>
        </w:rPr>
        <w:t>风控法务</w:t>
      </w:r>
      <w:r>
        <w:rPr>
          <w:rFonts w:hint="eastAsia" w:hAnsi="宋体"/>
          <w:color w:val="auto"/>
          <w:szCs w:val="21"/>
          <w:highlight w:val="none"/>
        </w:rPr>
        <w:t>部收，邮编523000。</w:t>
      </w:r>
    </w:p>
    <w:p w14:paraId="6F1B7231">
      <w:pPr>
        <w:spacing w:before="156" w:beforeLines="50" w:after="156" w:afterLines="50" w:line="360" w:lineRule="auto"/>
        <w:ind w:left="480" w:leftChars="200"/>
        <w:contextualSpacing/>
        <w:rPr>
          <w:rFonts w:hAnsi="宋体"/>
          <w:b/>
          <w:color w:val="auto"/>
          <w:szCs w:val="21"/>
          <w:highlight w:val="none"/>
        </w:rPr>
      </w:pPr>
      <w:r>
        <w:rPr>
          <w:rFonts w:hint="eastAsia" w:hAnsi="宋体"/>
          <w:b/>
          <w:color w:val="auto"/>
          <w:szCs w:val="21"/>
          <w:highlight w:val="none"/>
        </w:rPr>
        <w:t>三、其他</w:t>
      </w:r>
    </w:p>
    <w:p w14:paraId="10966C3A">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1.本协议是原合同的补充协议，与原合同有同等法律效力。</w:t>
      </w:r>
    </w:p>
    <w:p w14:paraId="54646BFB">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2.</w:t>
      </w:r>
      <w:r>
        <w:rPr>
          <w:rFonts w:hAnsi="宋体"/>
          <w:color w:val="auto"/>
          <w:szCs w:val="21"/>
          <w:highlight w:val="none"/>
        </w:rPr>
        <w:t>本</w:t>
      </w:r>
      <w:r>
        <w:rPr>
          <w:rFonts w:hint="eastAsia" w:hAnsi="宋体"/>
          <w:color w:val="auto"/>
          <w:szCs w:val="21"/>
          <w:highlight w:val="none"/>
        </w:rPr>
        <w:t>协议</w:t>
      </w:r>
      <w:r>
        <w:rPr>
          <w:rFonts w:hAnsi="宋体"/>
          <w:color w:val="auto"/>
          <w:szCs w:val="21"/>
          <w:highlight w:val="none"/>
        </w:rPr>
        <w:t>一式</w:t>
      </w:r>
      <w:r>
        <w:rPr>
          <w:rFonts w:hint="eastAsia" w:hAnsi="宋体"/>
          <w:color w:val="auto"/>
          <w:szCs w:val="21"/>
          <w:highlight w:val="none"/>
          <w:lang w:val="en-US" w:eastAsia="zh-CN"/>
        </w:rPr>
        <w:t>玖</w:t>
      </w:r>
      <w:r>
        <w:rPr>
          <w:rFonts w:hAnsi="宋体"/>
          <w:color w:val="auto"/>
          <w:szCs w:val="21"/>
          <w:highlight w:val="none"/>
        </w:rPr>
        <w:t>份，甲方执</w:t>
      </w:r>
      <w:r>
        <w:rPr>
          <w:rFonts w:hint="eastAsia" w:hAnsi="宋体"/>
          <w:color w:val="auto"/>
          <w:szCs w:val="21"/>
          <w:highlight w:val="none"/>
        </w:rPr>
        <w:t>肆</w:t>
      </w:r>
      <w:r>
        <w:rPr>
          <w:rFonts w:hAnsi="宋体"/>
          <w:color w:val="auto"/>
          <w:szCs w:val="21"/>
          <w:highlight w:val="none"/>
        </w:rPr>
        <w:t>份，乙方执</w:t>
      </w:r>
      <w:r>
        <w:rPr>
          <w:rFonts w:hint="eastAsia" w:hAnsi="宋体"/>
          <w:color w:val="auto"/>
          <w:szCs w:val="21"/>
          <w:highlight w:val="none"/>
          <w:lang w:val="en-US" w:eastAsia="zh-CN"/>
        </w:rPr>
        <w:t>叁</w:t>
      </w:r>
      <w:r>
        <w:rPr>
          <w:rFonts w:hAnsi="宋体"/>
          <w:color w:val="auto"/>
          <w:szCs w:val="21"/>
          <w:highlight w:val="none"/>
        </w:rPr>
        <w:t>份</w:t>
      </w:r>
      <w:r>
        <w:rPr>
          <w:rFonts w:hint="eastAsia" w:hAnsi="宋体"/>
          <w:color w:val="auto"/>
          <w:szCs w:val="21"/>
          <w:highlight w:val="none"/>
        </w:rPr>
        <w:t>,</w:t>
      </w:r>
      <w:r>
        <w:rPr>
          <w:rFonts w:hint="eastAsia" w:hAnsi="宋体"/>
          <w:color w:val="auto"/>
          <w:szCs w:val="21"/>
          <w:highlight w:val="none"/>
          <w:lang w:val="en-US" w:eastAsia="zh-CN"/>
        </w:rPr>
        <w:t>丙方执贰份，</w:t>
      </w:r>
      <w:r>
        <w:rPr>
          <w:rFonts w:hint="eastAsia" w:hAnsi="宋体"/>
          <w:color w:val="auto"/>
          <w:szCs w:val="21"/>
          <w:highlight w:val="none"/>
        </w:rPr>
        <w:t>具有同等法律效力。</w:t>
      </w:r>
    </w:p>
    <w:p w14:paraId="60A16953">
      <w:pPr>
        <w:spacing w:before="156" w:beforeLines="50" w:after="156" w:afterLines="50" w:line="360" w:lineRule="auto"/>
        <w:ind w:left="120" w:leftChars="50" w:firstLine="480" w:firstLineChars="200"/>
        <w:contextualSpacing/>
        <w:rPr>
          <w:rFonts w:hAnsi="宋体"/>
          <w:color w:val="auto"/>
          <w:szCs w:val="21"/>
          <w:highlight w:val="none"/>
        </w:rPr>
      </w:pPr>
      <w:r>
        <w:rPr>
          <w:rFonts w:hint="eastAsia" w:hAnsi="宋体"/>
          <w:color w:val="auto"/>
          <w:szCs w:val="21"/>
          <w:highlight w:val="none"/>
        </w:rPr>
        <w:t>3.本协议经</w:t>
      </w:r>
      <w:r>
        <w:rPr>
          <w:rFonts w:hint="eastAsia" w:hAnsi="宋体"/>
          <w:color w:val="auto"/>
          <w:szCs w:val="21"/>
          <w:highlight w:val="none"/>
          <w:lang w:val="en-US" w:eastAsia="zh-CN"/>
        </w:rPr>
        <w:t>三</w:t>
      </w:r>
      <w:r>
        <w:rPr>
          <w:rFonts w:hint="eastAsia" w:hAnsi="宋体"/>
          <w:color w:val="auto"/>
          <w:szCs w:val="21"/>
          <w:highlight w:val="none"/>
        </w:rPr>
        <w:t>方签署后生效。</w:t>
      </w:r>
    </w:p>
    <w:p w14:paraId="03446F53">
      <w:pPr>
        <w:spacing w:before="156" w:beforeLines="50" w:after="156" w:afterLines="50" w:line="360" w:lineRule="auto"/>
        <w:ind w:firstLine="480" w:firstLineChars="200"/>
        <w:contextualSpacing/>
        <w:rPr>
          <w:rFonts w:hAnsi="宋体"/>
          <w:color w:val="auto"/>
          <w:szCs w:val="21"/>
          <w:highlight w:val="none"/>
        </w:rPr>
      </w:pPr>
    </w:p>
    <w:p w14:paraId="62ED64DE">
      <w:pPr>
        <w:spacing w:before="156" w:beforeLines="50" w:after="156" w:afterLines="50" w:line="360" w:lineRule="auto"/>
        <w:ind w:firstLine="480" w:firstLineChars="200"/>
        <w:contextualSpacing/>
        <w:rPr>
          <w:rFonts w:hAnsi="宋体"/>
          <w:color w:val="auto"/>
          <w:szCs w:val="21"/>
          <w:highlight w:val="none"/>
        </w:rPr>
      </w:pPr>
      <w:r>
        <w:rPr>
          <w:rFonts w:hint="eastAsia" w:hAnsi="宋体"/>
          <w:color w:val="auto"/>
          <w:szCs w:val="21"/>
          <w:highlight w:val="none"/>
        </w:rPr>
        <w:t>甲方（盖章）：                      乙方（盖章）：</w:t>
      </w:r>
      <w:r>
        <w:rPr>
          <w:color w:val="auto"/>
          <w:szCs w:val="21"/>
          <w:highlight w:val="none"/>
        </w:rPr>
        <w:t xml:space="preserve"> </w:t>
      </w:r>
    </w:p>
    <w:p w14:paraId="6D9F954E">
      <w:pPr>
        <w:spacing w:before="156" w:beforeLines="50" w:after="156" w:afterLines="50" w:line="360" w:lineRule="auto"/>
        <w:ind w:firstLine="480" w:firstLineChars="200"/>
        <w:contextualSpacing/>
        <w:rPr>
          <w:rFonts w:hAnsi="宋体"/>
          <w:color w:val="auto"/>
          <w:szCs w:val="21"/>
          <w:highlight w:val="none"/>
        </w:rPr>
      </w:pPr>
      <w:r>
        <w:rPr>
          <w:rFonts w:hint="eastAsia" w:hAnsi="宋体"/>
          <w:color w:val="auto"/>
          <w:szCs w:val="21"/>
          <w:highlight w:val="none"/>
        </w:rPr>
        <w:t>法定代表人（授权代表）：</w:t>
      </w:r>
      <w:r>
        <w:rPr>
          <w:rFonts w:hint="eastAsia"/>
          <w:color w:val="auto"/>
          <w:szCs w:val="21"/>
          <w:highlight w:val="none"/>
        </w:rPr>
        <w:tab/>
      </w:r>
      <w:r>
        <w:rPr>
          <w:rFonts w:hint="eastAsia"/>
          <w:color w:val="auto"/>
          <w:szCs w:val="21"/>
          <w:highlight w:val="none"/>
        </w:rPr>
        <w:tab/>
      </w:r>
      <w:r>
        <w:rPr>
          <w:rFonts w:hint="eastAsia"/>
          <w:color w:val="auto"/>
          <w:szCs w:val="21"/>
          <w:highlight w:val="none"/>
        </w:rPr>
        <w:t xml:space="preserve">  </w:t>
      </w:r>
      <w:r>
        <w:rPr>
          <w:rFonts w:hint="eastAsia"/>
          <w:color w:val="auto"/>
          <w:szCs w:val="21"/>
          <w:highlight w:val="none"/>
        </w:rPr>
        <w:tab/>
      </w:r>
      <w:r>
        <w:rPr>
          <w:rFonts w:hint="eastAsia"/>
          <w:color w:val="auto"/>
          <w:szCs w:val="21"/>
          <w:highlight w:val="none"/>
        </w:rPr>
        <w:t xml:space="preserve">   </w:t>
      </w:r>
      <w:r>
        <w:rPr>
          <w:rFonts w:hint="eastAsia" w:hAnsi="宋体"/>
          <w:color w:val="auto"/>
          <w:szCs w:val="21"/>
          <w:highlight w:val="none"/>
        </w:rPr>
        <w:t>法定代表人（授权代表）：</w:t>
      </w:r>
    </w:p>
    <w:p w14:paraId="7D9ADD25">
      <w:pPr>
        <w:spacing w:before="156" w:beforeLines="50" w:after="156" w:afterLines="50" w:line="360" w:lineRule="auto"/>
        <w:ind w:firstLine="480" w:firstLineChars="200"/>
        <w:contextualSpacing/>
        <w:rPr>
          <w:color w:val="auto"/>
          <w:szCs w:val="21"/>
          <w:highlight w:val="none"/>
        </w:rPr>
      </w:pPr>
      <w:r>
        <w:rPr>
          <w:rFonts w:hint="eastAsia" w:hAnsi="宋体"/>
          <w:color w:val="auto"/>
          <w:szCs w:val="21"/>
          <w:highlight w:val="none"/>
        </w:rPr>
        <w:t>签约日期：   年   月   日</w:t>
      </w:r>
      <w:r>
        <w:rPr>
          <w:color w:val="auto"/>
          <w:szCs w:val="21"/>
          <w:highlight w:val="none"/>
        </w:rPr>
        <w:tab/>
      </w:r>
      <w:r>
        <w:rPr>
          <w:color w:val="auto"/>
          <w:szCs w:val="21"/>
          <w:highlight w:val="none"/>
        </w:rPr>
        <w:t xml:space="preserve">    </w:t>
      </w:r>
      <w:r>
        <w:rPr>
          <w:rFonts w:hint="eastAsia"/>
          <w:color w:val="auto"/>
          <w:szCs w:val="21"/>
          <w:highlight w:val="none"/>
        </w:rPr>
        <w:t xml:space="preserve">   </w:t>
      </w:r>
      <w:r>
        <w:rPr>
          <w:rFonts w:hint="eastAsia" w:hAnsi="宋体"/>
          <w:color w:val="auto"/>
          <w:szCs w:val="21"/>
          <w:highlight w:val="none"/>
        </w:rPr>
        <w:t>签约日期：   年   月   日</w:t>
      </w:r>
    </w:p>
    <w:p w14:paraId="00CC4ED1">
      <w:pPr>
        <w:shd w:val="clear"/>
        <w:rPr>
          <w:color w:val="auto"/>
          <w:highlight w:val="none"/>
          <w:lang w:val="zh-CN"/>
        </w:rPr>
      </w:pPr>
    </w:p>
    <w:p w14:paraId="41BF54FE">
      <w:pPr>
        <w:spacing w:before="156" w:beforeLines="50" w:after="156" w:afterLines="50" w:line="360" w:lineRule="auto"/>
        <w:ind w:firstLine="480" w:firstLineChars="200"/>
        <w:contextualSpacing/>
        <w:rPr>
          <w:rFonts w:hint="eastAsia" w:hAnsi="宋体" w:eastAsia="宋体"/>
          <w:color w:val="auto"/>
          <w:szCs w:val="21"/>
          <w:highlight w:val="none"/>
          <w:lang w:val="en-US" w:eastAsia="zh-CN"/>
        </w:rPr>
      </w:pPr>
      <w:r>
        <w:rPr>
          <w:rFonts w:hint="eastAsia" w:hAnsi="宋体"/>
          <w:color w:val="auto"/>
          <w:szCs w:val="21"/>
          <w:highlight w:val="none"/>
          <w:lang w:val="en-US" w:eastAsia="zh-CN"/>
        </w:rPr>
        <w:t>丙</w:t>
      </w:r>
      <w:r>
        <w:rPr>
          <w:rFonts w:hint="eastAsia" w:hAnsi="宋体"/>
          <w:color w:val="auto"/>
          <w:szCs w:val="21"/>
          <w:highlight w:val="none"/>
        </w:rPr>
        <w:t xml:space="preserve">方（盖章）：                     </w:t>
      </w:r>
      <w:r>
        <w:rPr>
          <w:rFonts w:hint="eastAsia" w:hAnsi="宋体"/>
          <w:color w:val="auto"/>
          <w:szCs w:val="21"/>
          <w:highlight w:val="none"/>
          <w:lang w:val="en-US" w:eastAsia="zh-CN"/>
        </w:rPr>
        <w:t xml:space="preserve"> </w:t>
      </w:r>
    </w:p>
    <w:p w14:paraId="525C127E">
      <w:pPr>
        <w:spacing w:before="156" w:beforeLines="50" w:after="156" w:afterLines="50" w:line="360" w:lineRule="auto"/>
        <w:ind w:firstLine="480" w:firstLineChars="200"/>
        <w:contextualSpacing/>
        <w:rPr>
          <w:rFonts w:hAnsi="宋体"/>
          <w:color w:val="auto"/>
          <w:szCs w:val="21"/>
          <w:highlight w:val="none"/>
        </w:rPr>
      </w:pPr>
      <w:r>
        <w:rPr>
          <w:rFonts w:hint="eastAsia" w:hAnsi="宋体"/>
          <w:color w:val="auto"/>
          <w:szCs w:val="21"/>
          <w:highlight w:val="none"/>
        </w:rPr>
        <w:t>法定代表人（授权代表）：</w:t>
      </w:r>
      <w:r>
        <w:rPr>
          <w:rFonts w:hint="eastAsia"/>
          <w:color w:val="auto"/>
          <w:szCs w:val="21"/>
          <w:highlight w:val="none"/>
        </w:rPr>
        <w:tab/>
      </w:r>
      <w:r>
        <w:rPr>
          <w:rFonts w:hint="eastAsia"/>
          <w:color w:val="auto"/>
          <w:szCs w:val="21"/>
          <w:highlight w:val="none"/>
        </w:rPr>
        <w:tab/>
      </w:r>
      <w:r>
        <w:rPr>
          <w:rFonts w:hint="eastAsia"/>
          <w:color w:val="auto"/>
          <w:szCs w:val="21"/>
          <w:highlight w:val="none"/>
        </w:rPr>
        <w:t xml:space="preserve">  </w:t>
      </w:r>
      <w:r>
        <w:rPr>
          <w:rFonts w:hint="eastAsia"/>
          <w:color w:val="auto"/>
          <w:szCs w:val="21"/>
          <w:highlight w:val="none"/>
        </w:rPr>
        <w:tab/>
      </w:r>
      <w:r>
        <w:rPr>
          <w:rFonts w:hint="eastAsia"/>
          <w:color w:val="auto"/>
          <w:szCs w:val="21"/>
          <w:highlight w:val="none"/>
        </w:rPr>
        <w:t xml:space="preserve">  </w:t>
      </w:r>
    </w:p>
    <w:p w14:paraId="2331D24D">
      <w:pPr>
        <w:spacing w:before="156" w:beforeLines="50" w:after="156" w:afterLines="50" w:line="360" w:lineRule="auto"/>
        <w:ind w:firstLine="480" w:firstLineChars="200"/>
        <w:contextualSpacing/>
        <w:rPr>
          <w:color w:val="auto"/>
          <w:szCs w:val="21"/>
          <w:highlight w:val="none"/>
        </w:rPr>
      </w:pPr>
      <w:r>
        <w:rPr>
          <w:rFonts w:hint="eastAsia" w:hAnsi="宋体"/>
          <w:color w:val="auto"/>
          <w:szCs w:val="21"/>
          <w:highlight w:val="none"/>
        </w:rPr>
        <w:t>签约日期：   年   月   日</w:t>
      </w:r>
      <w:r>
        <w:rPr>
          <w:color w:val="auto"/>
          <w:szCs w:val="21"/>
          <w:highlight w:val="none"/>
        </w:rPr>
        <w:tab/>
      </w:r>
      <w:r>
        <w:rPr>
          <w:color w:val="auto"/>
          <w:szCs w:val="21"/>
          <w:highlight w:val="none"/>
        </w:rPr>
        <w:t xml:space="preserve">    </w:t>
      </w:r>
      <w:r>
        <w:rPr>
          <w:rFonts w:hint="eastAsia"/>
          <w:color w:val="auto"/>
          <w:szCs w:val="21"/>
          <w:highlight w:val="none"/>
        </w:rPr>
        <w:t xml:space="preserve">   </w:t>
      </w:r>
    </w:p>
    <w:p w14:paraId="65DF4EC3">
      <w:pPr>
        <w:rPr>
          <w:color w:val="auto"/>
          <w:highlight w:val="none"/>
        </w:rPr>
      </w:pPr>
    </w:p>
    <w:p w14:paraId="313D485B">
      <w:pPr>
        <w:rPr>
          <w:color w:val="auto"/>
          <w:highlight w:val="none"/>
        </w:rPr>
      </w:pPr>
    </w:p>
    <w:p w14:paraId="1181974D">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br w:type="page"/>
      </w:r>
    </w:p>
    <w:p w14:paraId="72B55BCB">
      <w:pPr>
        <w:pStyle w:val="2"/>
        <w:keepNext/>
        <w:keepLines/>
        <w:pageBreakBefore/>
        <w:shd w:val="clear"/>
        <w:spacing w:line="360" w:lineRule="auto"/>
        <w:jc w:val="center"/>
        <w:rPr>
          <w:rFonts w:hAnsi="宋体"/>
          <w:b/>
          <w:bCs/>
          <w:color w:val="auto"/>
          <w:kern w:val="44"/>
          <w:sz w:val="28"/>
          <w:szCs w:val="28"/>
          <w:highlight w:val="none"/>
          <w:lang w:val="zh-CN"/>
        </w:rPr>
      </w:pPr>
      <w:r>
        <w:rPr>
          <w:rFonts w:hint="eastAsia" w:hAnsi="宋体"/>
          <w:b/>
          <w:bCs/>
          <w:color w:val="auto"/>
          <w:kern w:val="44"/>
          <w:sz w:val="28"/>
          <w:szCs w:val="28"/>
          <w:highlight w:val="none"/>
          <w:lang w:val="zh-CN"/>
        </w:rPr>
        <w:t>第六篇磋商响应文件格式</w:t>
      </w:r>
      <w:bookmarkEnd w:id="174"/>
      <w:bookmarkEnd w:id="175"/>
      <w:bookmarkEnd w:id="176"/>
    </w:p>
    <w:p w14:paraId="394BC4B5">
      <w:pPr>
        <w:shd w:val="clear"/>
        <w:ind w:firstLine="1800" w:firstLineChars="750"/>
        <w:rPr>
          <w:rFonts w:hAnsi="宋体"/>
          <w:color w:val="auto"/>
          <w:highlight w:val="none"/>
        </w:rPr>
      </w:pPr>
    </w:p>
    <w:p w14:paraId="1EC23447">
      <w:pPr>
        <w:pStyle w:val="3"/>
        <w:jc w:val="center"/>
        <w:rPr>
          <w:rFonts w:hAnsi="宋体"/>
          <w:color w:val="auto"/>
          <w:highlight w:val="none"/>
        </w:rPr>
      </w:pPr>
      <w:bookmarkStart w:id="177" w:name="_Toc9566"/>
      <w:bookmarkStart w:id="178" w:name="_Toc19311"/>
      <w:r>
        <w:rPr>
          <w:rFonts w:hint="eastAsia"/>
          <w:color w:val="auto"/>
          <w:sz w:val="28"/>
          <w:szCs w:val="28"/>
          <w:highlight w:val="none"/>
        </w:rPr>
        <w:t>第一部分 价格文件（单独编制装订成册）</w:t>
      </w:r>
      <w:bookmarkEnd w:id="177"/>
      <w:bookmarkEnd w:id="178"/>
    </w:p>
    <w:p w14:paraId="33359381">
      <w:pPr>
        <w:pStyle w:val="3"/>
        <w:numPr>
          <w:ilvl w:val="0"/>
          <w:numId w:val="17"/>
        </w:numPr>
        <w:jc w:val="center"/>
        <w:rPr>
          <w:rFonts w:hAnsi="宋体"/>
          <w:color w:val="auto"/>
          <w:sz w:val="21"/>
          <w:szCs w:val="21"/>
          <w:highlight w:val="none"/>
        </w:rPr>
      </w:pPr>
      <w:bookmarkStart w:id="179" w:name="_Toc7897888"/>
      <w:bookmarkStart w:id="180" w:name="_Toc20730"/>
      <w:bookmarkStart w:id="181" w:name="_Toc21786"/>
      <w:bookmarkStart w:id="182" w:name="_Toc12373"/>
      <w:bookmarkStart w:id="183" w:name="_Toc396137244"/>
      <w:bookmarkStart w:id="184" w:name="_Toc486671573"/>
      <w:bookmarkStart w:id="185" w:name="_Toc18848"/>
      <w:bookmarkStart w:id="186" w:name="_Toc467236769"/>
      <w:bookmarkStart w:id="187" w:name="_Toc458262639"/>
      <w:bookmarkStart w:id="188" w:name="_Toc19671"/>
      <w:bookmarkStart w:id="189" w:name="_Toc476976201"/>
      <w:bookmarkStart w:id="190" w:name="_Toc32736"/>
      <w:bookmarkStart w:id="191" w:name="_Toc12383"/>
      <w:bookmarkStart w:id="192" w:name="_Toc15960"/>
      <w:bookmarkStart w:id="193" w:name="_Toc32273"/>
      <w:bookmarkStart w:id="194" w:name="_Toc2544"/>
      <w:bookmarkStart w:id="195" w:name="_Toc9348"/>
      <w:bookmarkStart w:id="196" w:name="_Toc454701406"/>
      <w:bookmarkStart w:id="197" w:name="_Toc29841"/>
      <w:bookmarkStart w:id="198" w:name="_Toc32405"/>
      <w:bookmarkStart w:id="199" w:name="_Toc30637"/>
      <w:bookmarkStart w:id="200" w:name="_Toc28095"/>
      <w:r>
        <w:rPr>
          <w:rFonts w:hint="eastAsia"/>
          <w:color w:val="auto"/>
          <w:sz w:val="28"/>
          <w:szCs w:val="28"/>
          <w:highlight w:val="none"/>
        </w:rPr>
        <w:t>报价一览表</w:t>
      </w:r>
      <w:bookmarkEnd w:id="179"/>
      <w:bookmarkEnd w:id="180"/>
      <w:bookmarkEnd w:id="181"/>
      <w:bookmarkEnd w:id="182"/>
    </w:p>
    <w:p w14:paraId="2ABBF07F">
      <w:pPr>
        <w:shd w:val="clear"/>
        <w:rPr>
          <w:rFonts w:hAnsi="宋体"/>
          <w:color w:val="auto"/>
          <w:sz w:val="21"/>
          <w:szCs w:val="21"/>
          <w:highlight w:val="none"/>
        </w:rPr>
      </w:pPr>
      <w:r>
        <w:rPr>
          <w:rFonts w:hint="eastAsia" w:hAnsi="宋体"/>
          <w:color w:val="auto"/>
          <w:sz w:val="21"/>
          <w:szCs w:val="21"/>
          <w:highlight w:val="none"/>
        </w:rPr>
        <w:t>供应商名称：</w:t>
      </w:r>
    </w:p>
    <w:p w14:paraId="6B55D22F">
      <w:pPr>
        <w:shd w:val="clear"/>
        <w:rPr>
          <w:color w:val="auto"/>
          <w:sz w:val="21"/>
          <w:szCs w:val="21"/>
          <w:highlight w:val="none"/>
        </w:rPr>
      </w:pPr>
      <w:r>
        <w:rPr>
          <w:rFonts w:hint="eastAsia" w:hAnsi="宋体"/>
          <w:color w:val="auto"/>
          <w:sz w:val="21"/>
          <w:szCs w:val="21"/>
          <w:highlight w:val="none"/>
        </w:rPr>
        <w:t>采购项目编号：</w:t>
      </w:r>
    </w:p>
    <w:tbl>
      <w:tblPr>
        <w:tblStyle w:val="5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1"/>
        <w:gridCol w:w="5878"/>
      </w:tblGrid>
      <w:tr w14:paraId="3AA60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1915" w:type="pct"/>
            <w:tcBorders>
              <w:bottom w:val="single" w:color="auto" w:sz="4" w:space="0"/>
            </w:tcBorders>
            <w:noWrap w:val="0"/>
            <w:vAlign w:val="center"/>
          </w:tcPr>
          <w:p w14:paraId="7265BA0B">
            <w:pPr>
              <w:jc w:val="center"/>
              <w:rPr>
                <w:rFonts w:hint="eastAsia" w:eastAsia="宋体"/>
                <w:bCs/>
                <w:color w:val="auto"/>
                <w:szCs w:val="21"/>
                <w:highlight w:val="none"/>
                <w:lang w:eastAsia="zh-CN"/>
              </w:rPr>
            </w:pPr>
            <w:r>
              <w:rPr>
                <w:rFonts w:hint="eastAsia"/>
                <w:bCs/>
                <w:color w:val="auto"/>
                <w:szCs w:val="21"/>
                <w:highlight w:val="none"/>
              </w:rPr>
              <w:t>项</w:t>
            </w:r>
            <w:r>
              <w:rPr>
                <w:rFonts w:hint="eastAsia"/>
                <w:bCs/>
                <w:color w:val="auto"/>
                <w:szCs w:val="21"/>
                <w:highlight w:val="none"/>
                <w:lang w:eastAsia="zh-CN"/>
              </w:rPr>
              <w:t>目</w:t>
            </w:r>
          </w:p>
        </w:tc>
        <w:tc>
          <w:tcPr>
            <w:tcW w:w="2835" w:type="pct"/>
            <w:tcBorders>
              <w:bottom w:val="single" w:color="auto" w:sz="4" w:space="0"/>
            </w:tcBorders>
            <w:noWrap w:val="0"/>
            <w:vAlign w:val="center"/>
          </w:tcPr>
          <w:p w14:paraId="277F4CB9">
            <w:pPr>
              <w:jc w:val="center"/>
              <w:rPr>
                <w:rFonts w:hint="eastAsia"/>
                <w:bCs/>
                <w:color w:val="auto"/>
                <w:szCs w:val="21"/>
                <w:highlight w:val="none"/>
              </w:rPr>
            </w:pPr>
            <w:r>
              <w:rPr>
                <w:rFonts w:hint="eastAsia"/>
                <w:bCs/>
                <w:color w:val="auto"/>
                <w:szCs w:val="21"/>
                <w:highlight w:val="none"/>
              </w:rPr>
              <w:t>金额（元）</w:t>
            </w:r>
          </w:p>
        </w:tc>
      </w:tr>
      <w:tr w14:paraId="222A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0" w:hRule="atLeast"/>
        </w:trPr>
        <w:tc>
          <w:tcPr>
            <w:tcW w:w="1915" w:type="pct"/>
            <w:tcBorders>
              <w:bottom w:val="single" w:color="auto" w:sz="2" w:space="0"/>
            </w:tcBorders>
            <w:noWrap w:val="0"/>
            <w:vAlign w:val="center"/>
          </w:tcPr>
          <w:p w14:paraId="2B0DA50C">
            <w:pPr>
              <w:pStyle w:val="134"/>
              <w:widowControl w:val="0"/>
              <w:pBdr>
                <w:bottom w:val="none" w:color="auto" w:sz="0" w:space="0"/>
                <w:right w:val="none" w:color="auto" w:sz="0" w:space="0"/>
              </w:pBdr>
              <w:spacing w:before="0" w:beforeAutospacing="0" w:after="0" w:afterAutospacing="0" w:line="360" w:lineRule="auto"/>
              <w:rPr>
                <w:rFonts w:hint="eastAsia" w:ascii="Times New Roman" w:hAnsi="Times New Roman" w:eastAsia="宋体"/>
                <w:bCs/>
                <w:color w:val="auto"/>
                <w:szCs w:val="21"/>
                <w:highlight w:val="none"/>
                <w:lang w:eastAsia="zh-CN"/>
              </w:rPr>
            </w:pPr>
            <w:r>
              <w:rPr>
                <w:rFonts w:hint="eastAsia" w:ascii="Times New Roman" w:hAnsi="Times New Roman"/>
                <w:bCs/>
                <w:color w:val="auto"/>
                <w:szCs w:val="21"/>
                <w:highlight w:val="none"/>
                <w:lang w:eastAsia="zh-CN"/>
              </w:rPr>
              <w:t>大塘村优质产业空间项目(北一期)新建1台500KVA箱变工程（重新采购）</w:t>
            </w:r>
          </w:p>
        </w:tc>
        <w:tc>
          <w:tcPr>
            <w:tcW w:w="2835" w:type="pct"/>
            <w:tcBorders>
              <w:bottom w:val="single" w:color="auto" w:sz="2" w:space="0"/>
            </w:tcBorders>
            <w:noWrap w:val="0"/>
            <w:vAlign w:val="center"/>
          </w:tcPr>
          <w:p w14:paraId="246A57EB">
            <w:pPr>
              <w:spacing w:line="480" w:lineRule="auto"/>
              <w:rPr>
                <w:rFonts w:hint="eastAsia"/>
                <w:bCs/>
                <w:color w:val="auto"/>
                <w:szCs w:val="21"/>
                <w:highlight w:val="none"/>
              </w:rPr>
            </w:pPr>
            <w:r>
              <w:rPr>
                <w:rFonts w:hint="eastAsia" w:ascii="宋体" w:hAnsi="宋体"/>
                <w:color w:val="auto"/>
                <w:szCs w:val="21"/>
                <w:highlight w:val="none"/>
              </w:rPr>
              <w:t>大写人民币</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小写：</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元</w:t>
            </w:r>
            <w:r>
              <w:rPr>
                <w:rFonts w:hint="eastAsia" w:ascii="宋体" w:hAnsi="宋体"/>
                <w:color w:val="auto"/>
                <w:szCs w:val="21"/>
                <w:highlight w:val="none"/>
              </w:rPr>
              <w:t>），其中增值税税率</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w:t>
            </w:r>
          </w:p>
        </w:tc>
      </w:tr>
      <w:tr w14:paraId="028D8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trPr>
        <w:tc>
          <w:tcPr>
            <w:tcW w:w="4750" w:type="pct"/>
            <w:gridSpan w:val="2"/>
            <w:noWrap w:val="0"/>
            <w:vAlign w:val="center"/>
          </w:tcPr>
          <w:p w14:paraId="683A4773">
            <w:pPr>
              <w:jc w:val="center"/>
              <w:rPr>
                <w:rFonts w:hint="eastAsia"/>
                <w:bCs/>
                <w:color w:val="auto"/>
                <w:szCs w:val="21"/>
                <w:highlight w:val="none"/>
              </w:rPr>
            </w:pPr>
            <w:r>
              <w:rPr>
                <w:rFonts w:hint="eastAsia"/>
                <w:color w:val="auto"/>
                <w:szCs w:val="21"/>
                <w:highlight w:val="none"/>
              </w:rPr>
              <w:t>备注：详细内容见《工程量清单报价表》。</w:t>
            </w:r>
          </w:p>
        </w:tc>
      </w:tr>
    </w:tbl>
    <w:p w14:paraId="54F9DA2E">
      <w:pPr>
        <w:spacing w:line="360" w:lineRule="auto"/>
        <w:rPr>
          <w:rFonts w:hint="eastAsia"/>
          <w:color w:val="auto"/>
          <w:szCs w:val="21"/>
          <w:highlight w:val="none"/>
        </w:rPr>
      </w:pPr>
    </w:p>
    <w:p w14:paraId="6820C3D0">
      <w:pPr>
        <w:spacing w:line="360" w:lineRule="auto"/>
        <w:rPr>
          <w:rFonts w:hint="eastAsia"/>
          <w:color w:val="auto"/>
          <w:szCs w:val="21"/>
          <w:highlight w:val="none"/>
        </w:rPr>
      </w:pPr>
      <w:r>
        <w:rPr>
          <w:rFonts w:hint="eastAsia"/>
          <w:color w:val="auto"/>
          <w:szCs w:val="21"/>
          <w:highlight w:val="none"/>
        </w:rPr>
        <w:t>注：1.供应商须按要求填写所有信息，不得随意更改本表格式。</w:t>
      </w:r>
    </w:p>
    <w:p w14:paraId="466738E0">
      <w:pPr>
        <w:spacing w:line="360" w:lineRule="auto"/>
        <w:ind w:firstLine="480" w:firstLineChars="200"/>
        <w:rPr>
          <w:color w:val="auto"/>
          <w:szCs w:val="21"/>
          <w:highlight w:val="none"/>
        </w:rPr>
      </w:pPr>
      <w:r>
        <w:rPr>
          <w:rFonts w:hint="eastAsia"/>
          <w:color w:val="auto"/>
          <w:szCs w:val="21"/>
          <w:highlight w:val="none"/>
        </w:rPr>
        <w:t>2.所有价格均应以人民币报价，金额单位为元。</w:t>
      </w:r>
    </w:p>
    <w:p w14:paraId="0CD83CA7">
      <w:pPr>
        <w:spacing w:line="360" w:lineRule="auto"/>
        <w:ind w:firstLine="480" w:firstLineChars="200"/>
        <w:rPr>
          <w:rFonts w:hint="eastAsia"/>
          <w:color w:val="auto"/>
          <w:szCs w:val="21"/>
          <w:highlight w:val="none"/>
        </w:rPr>
      </w:pPr>
      <w:r>
        <w:rPr>
          <w:rFonts w:hint="eastAsia"/>
          <w:color w:val="auto"/>
          <w:szCs w:val="21"/>
          <w:highlight w:val="none"/>
        </w:rPr>
        <w:t>3</w:t>
      </w:r>
      <w:r>
        <w:rPr>
          <w:color w:val="auto"/>
          <w:szCs w:val="21"/>
          <w:highlight w:val="none"/>
        </w:rPr>
        <w:t>.</w:t>
      </w:r>
      <w:r>
        <w:rPr>
          <w:rFonts w:hint="eastAsia"/>
          <w:color w:val="auto"/>
          <w:szCs w:val="21"/>
          <w:highlight w:val="none"/>
        </w:rPr>
        <w:t>首次报价不可超</w:t>
      </w:r>
      <w:r>
        <w:rPr>
          <w:rFonts w:hint="eastAsia"/>
          <w:color w:val="auto"/>
          <w:szCs w:val="21"/>
          <w:highlight w:val="none"/>
          <w:lang w:eastAsia="zh-CN"/>
        </w:rPr>
        <w:t>最高限价</w:t>
      </w:r>
      <w:r>
        <w:rPr>
          <w:rFonts w:hint="eastAsia" w:hAnsi="宋体"/>
          <w:color w:val="auto"/>
          <w:sz w:val="21"/>
          <w:szCs w:val="21"/>
          <w:highlight w:val="none"/>
          <w:u w:val="single"/>
          <w:lang w:eastAsia="zh-CN"/>
        </w:rPr>
        <w:t>294507.85</w:t>
      </w:r>
      <w:r>
        <w:rPr>
          <w:rFonts w:hint="eastAsia" w:hAnsi="宋体"/>
          <w:color w:val="auto"/>
          <w:szCs w:val="21"/>
          <w:highlight w:val="none"/>
        </w:rPr>
        <w:t>元，且绿色施工安全防护措施单列费为固定不变价。</w:t>
      </w:r>
    </w:p>
    <w:p w14:paraId="1E580AA2">
      <w:pPr>
        <w:spacing w:line="360" w:lineRule="exact"/>
        <w:ind w:firstLine="480" w:firstLineChars="200"/>
        <w:rPr>
          <w:rFonts w:hint="eastAsia"/>
          <w:color w:val="auto"/>
          <w:szCs w:val="21"/>
          <w:highlight w:val="none"/>
        </w:rPr>
      </w:pPr>
    </w:p>
    <w:p w14:paraId="35B92D80">
      <w:pPr>
        <w:shd w:val="clear"/>
        <w:rPr>
          <w:rFonts w:hAnsi="宋体"/>
          <w:color w:val="auto"/>
          <w:sz w:val="21"/>
          <w:szCs w:val="21"/>
          <w:highlight w:val="none"/>
        </w:rPr>
      </w:pPr>
    </w:p>
    <w:p w14:paraId="6AC28B51">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1DEB68F3">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72432C17">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 xml:space="preserve">日期：年月日 </w:t>
      </w:r>
    </w:p>
    <w:p w14:paraId="522CA3F3">
      <w:pPr>
        <w:shd w:val="clear"/>
        <w:ind w:firstLine="359" w:firstLineChars="171"/>
        <w:rPr>
          <w:rFonts w:hAnsi="宋体"/>
          <w:color w:val="auto"/>
          <w:sz w:val="21"/>
          <w:szCs w:val="21"/>
          <w:highlight w:val="none"/>
        </w:rPr>
      </w:pPr>
    </w:p>
    <w:p w14:paraId="4F91EB1B">
      <w:pPr>
        <w:shd w:val="clear"/>
        <w:ind w:left="391" w:hanging="390" w:hangingChars="186"/>
        <w:rPr>
          <w:rFonts w:hAnsi="宋体"/>
          <w:color w:val="auto"/>
          <w:sz w:val="21"/>
          <w:szCs w:val="21"/>
          <w:highlight w:val="none"/>
        </w:rPr>
      </w:pPr>
      <w:r>
        <w:rPr>
          <w:rFonts w:hint="eastAsia" w:hAnsi="宋体"/>
          <w:color w:val="auto"/>
          <w:sz w:val="21"/>
          <w:szCs w:val="21"/>
          <w:highlight w:val="none"/>
        </w:rPr>
        <w:t xml:space="preserve">    注：</w:t>
      </w:r>
    </w:p>
    <w:p w14:paraId="39EC1E49">
      <w:pPr>
        <w:shd w:val="clear"/>
        <w:ind w:firstLine="420" w:firstLineChars="200"/>
        <w:rPr>
          <w:rFonts w:hAnsi="宋体"/>
          <w:color w:val="auto"/>
          <w:sz w:val="21"/>
          <w:szCs w:val="21"/>
          <w:highlight w:val="none"/>
        </w:rPr>
      </w:pPr>
      <w:r>
        <w:rPr>
          <w:rFonts w:hint="eastAsia" w:hAnsi="宋体"/>
          <w:color w:val="auto"/>
          <w:sz w:val="21"/>
          <w:szCs w:val="21"/>
          <w:highlight w:val="none"/>
        </w:rPr>
        <w:t>1、磋商响应总价栏须</w:t>
      </w:r>
      <w:r>
        <w:rPr>
          <w:rFonts w:hAnsi="宋体"/>
          <w:color w:val="auto"/>
          <w:sz w:val="21"/>
          <w:szCs w:val="21"/>
          <w:highlight w:val="none"/>
        </w:rPr>
        <w:t>用</w:t>
      </w:r>
      <w:r>
        <w:rPr>
          <w:rFonts w:hint="eastAsia" w:hAnsi="宋体"/>
          <w:color w:val="auto"/>
          <w:sz w:val="21"/>
          <w:szCs w:val="21"/>
          <w:highlight w:val="none"/>
        </w:rPr>
        <w:t>大写金额和小写金额两种方式</w:t>
      </w:r>
      <w:r>
        <w:rPr>
          <w:rFonts w:hAnsi="宋体"/>
          <w:color w:val="auto"/>
          <w:sz w:val="21"/>
          <w:szCs w:val="21"/>
          <w:highlight w:val="none"/>
        </w:rPr>
        <w:t>表示的</w:t>
      </w:r>
      <w:r>
        <w:rPr>
          <w:rFonts w:hint="eastAsia" w:hAnsi="宋体"/>
          <w:color w:val="auto"/>
          <w:sz w:val="21"/>
          <w:szCs w:val="21"/>
          <w:highlight w:val="none"/>
        </w:rPr>
        <w:t>磋商</w:t>
      </w:r>
      <w:r>
        <w:rPr>
          <w:rFonts w:hAnsi="宋体"/>
          <w:color w:val="auto"/>
          <w:sz w:val="21"/>
          <w:szCs w:val="21"/>
          <w:highlight w:val="none"/>
        </w:rPr>
        <w:t>总价</w:t>
      </w:r>
      <w:r>
        <w:rPr>
          <w:rFonts w:hint="eastAsia" w:hAnsi="宋体"/>
          <w:color w:val="auto"/>
          <w:sz w:val="21"/>
          <w:szCs w:val="21"/>
          <w:highlight w:val="none"/>
        </w:rPr>
        <w:t>，报价保留小数点后两位。磋商总价大小写不一致，以大写为准。磋商总价必须准确唯一且应包含采购文件要求的所有费用。</w:t>
      </w:r>
    </w:p>
    <w:p w14:paraId="3744BE72">
      <w:pPr>
        <w:shd w:val="clear"/>
        <w:ind w:firstLine="420" w:firstLineChars="200"/>
        <w:rPr>
          <w:rFonts w:hAnsi="宋体"/>
          <w:color w:val="auto"/>
          <w:sz w:val="21"/>
          <w:szCs w:val="21"/>
          <w:highlight w:val="none"/>
        </w:rPr>
      </w:pPr>
      <w:r>
        <w:rPr>
          <w:rFonts w:hint="eastAsia" w:hAnsi="宋体"/>
          <w:color w:val="auto"/>
          <w:sz w:val="21"/>
          <w:szCs w:val="21"/>
          <w:highlight w:val="none"/>
        </w:rPr>
        <w:t>2、温馨提示：未按采购文件要求报价、填写报价一览表是导致供应商废标的常见问题，请供应商仔细填写，认真核对。</w:t>
      </w:r>
    </w:p>
    <w:p w14:paraId="02C142D5">
      <w:pPr>
        <w:rPr>
          <w:color w:val="auto"/>
          <w:highlight w:val="none"/>
        </w:rPr>
      </w:pPr>
      <w:r>
        <w:rPr>
          <w:color w:val="auto"/>
          <w:highlight w:val="none"/>
        </w:rPr>
        <w:br w:type="page"/>
      </w:r>
    </w:p>
    <w:p w14:paraId="1700EB03">
      <w:pPr>
        <w:pStyle w:val="3"/>
        <w:numPr>
          <w:ilvl w:val="0"/>
          <w:numId w:val="17"/>
        </w:numPr>
        <w:jc w:val="center"/>
        <w:rPr>
          <w:rFonts w:hAnsi="宋体"/>
          <w:color w:val="auto"/>
          <w:sz w:val="21"/>
          <w:szCs w:val="21"/>
          <w:highlight w:val="none"/>
        </w:rPr>
      </w:pPr>
      <w:r>
        <w:rPr>
          <w:rFonts w:hint="eastAsia"/>
          <w:color w:val="auto"/>
          <w:sz w:val="21"/>
          <w:szCs w:val="21"/>
          <w:highlight w:val="none"/>
          <w:lang w:eastAsia="zh-CN"/>
        </w:rPr>
        <w:t>工程量清单（另附）</w:t>
      </w:r>
    </w:p>
    <w:p w14:paraId="789F5AC5">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说明：</w:t>
      </w:r>
    </w:p>
    <w:p w14:paraId="37A8A93F">
      <w:pPr>
        <w:widowControl w:val="0"/>
        <w:numPr>
          <w:ilvl w:val="0"/>
          <w:numId w:val="18"/>
        </w:numPr>
        <w:autoSpaceDE w:val="0"/>
        <w:autoSpaceDN w:val="0"/>
        <w:adjustRightInd w:val="0"/>
        <w:spacing w:line="360" w:lineRule="auto"/>
        <w:ind w:firstLine="422" w:firstLineChars="200"/>
        <w:rPr>
          <w:rFonts w:hAnsi="宋体"/>
          <w:b/>
          <w:bCs/>
          <w:color w:val="auto"/>
          <w:sz w:val="21"/>
          <w:szCs w:val="21"/>
          <w:highlight w:val="none"/>
        </w:rPr>
      </w:pPr>
      <w:r>
        <w:rPr>
          <w:rFonts w:hint="eastAsia" w:hAnsi="宋体"/>
          <w:b/>
          <w:bCs/>
          <w:color w:val="auto"/>
          <w:sz w:val="21"/>
          <w:szCs w:val="21"/>
          <w:highlight w:val="none"/>
        </w:rPr>
        <w:t>工程报价清单</w:t>
      </w:r>
      <w:r>
        <w:rPr>
          <w:rFonts w:hint="eastAsia" w:hAnsi="宋体"/>
          <w:b/>
          <w:bCs/>
          <w:color w:val="auto"/>
          <w:spacing w:val="6"/>
          <w:sz w:val="21"/>
          <w:szCs w:val="21"/>
          <w:highlight w:val="none"/>
        </w:rPr>
        <w:t>必须使用采购人发出的</w:t>
      </w:r>
      <w:r>
        <w:rPr>
          <w:rFonts w:hint="eastAsia" w:hAnsi="宋体"/>
          <w:b/>
          <w:bCs/>
          <w:color w:val="auto"/>
          <w:sz w:val="21"/>
          <w:szCs w:val="21"/>
          <w:highlight w:val="none"/>
        </w:rPr>
        <w:t>工程量清单。</w:t>
      </w:r>
    </w:p>
    <w:p w14:paraId="34AA4FEA">
      <w:pPr>
        <w:widowControl w:val="0"/>
        <w:numPr>
          <w:ilvl w:val="0"/>
          <w:numId w:val="18"/>
        </w:numPr>
        <w:autoSpaceDE w:val="0"/>
        <w:autoSpaceDN w:val="0"/>
        <w:adjustRightInd w:val="0"/>
        <w:spacing w:line="360" w:lineRule="auto"/>
        <w:ind w:firstLine="422" w:firstLineChars="200"/>
        <w:rPr>
          <w:rFonts w:hAnsi="宋体"/>
          <w:color w:val="auto"/>
          <w:sz w:val="21"/>
          <w:szCs w:val="21"/>
          <w:highlight w:val="none"/>
        </w:rPr>
      </w:pPr>
      <w:r>
        <w:rPr>
          <w:rFonts w:hint="eastAsia" w:hAnsi="宋体"/>
          <w:b/>
          <w:bCs/>
          <w:color w:val="auto"/>
          <w:sz w:val="21"/>
          <w:szCs w:val="21"/>
          <w:highlight w:val="none"/>
        </w:rPr>
        <w:t>价格包图纸深化设计、包报装、包验收通电、包工包料、包机械设备、包工期、包质量、包安全、包税收，以及包括项目的服务及其他附属服务的服务费用、相关人员工资、一切税费、保险费、仓储费、税费、资料等履约过程可预见和不可预见的一切费用，且在合同执行过程中不作任何调整。</w:t>
      </w:r>
    </w:p>
    <w:p w14:paraId="73263A44">
      <w:pPr>
        <w:widowControl w:val="0"/>
        <w:numPr>
          <w:ilvl w:val="0"/>
          <w:numId w:val="18"/>
        </w:numPr>
        <w:autoSpaceDE w:val="0"/>
        <w:autoSpaceDN w:val="0"/>
        <w:adjustRightIn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总价金额与清单算术总额不一致的，以总价金额为准。</w:t>
      </w:r>
    </w:p>
    <w:p w14:paraId="6257AE12">
      <w:pPr>
        <w:numPr>
          <w:ilvl w:val="0"/>
          <w:numId w:val="18"/>
        </w:numPr>
        <w:autoSpaceDE w:val="0"/>
        <w:autoSpaceDN w:val="0"/>
        <w:spacing w:line="360" w:lineRule="auto"/>
        <w:ind w:firstLine="420" w:firstLineChars="200"/>
        <w:rPr>
          <w:color w:val="auto"/>
          <w:sz w:val="21"/>
          <w:szCs w:val="21"/>
          <w:highlight w:val="none"/>
        </w:rPr>
      </w:pPr>
      <w:r>
        <w:rPr>
          <w:rFonts w:hint="eastAsia" w:hAnsi="宋体"/>
          <w:color w:val="auto"/>
          <w:sz w:val="21"/>
          <w:szCs w:val="21"/>
          <w:highlight w:val="none"/>
        </w:rPr>
        <w:t>工程报价清单须每页加盖供应商公章。</w:t>
      </w:r>
      <w:r>
        <w:rPr>
          <w:rFonts w:hint="eastAsia" w:hAnsi="宋体"/>
          <w:color w:val="auto"/>
          <w:sz w:val="21"/>
          <w:szCs w:val="21"/>
          <w:highlight w:val="none"/>
          <w:lang w:val="en-US" w:eastAsia="zh-CN"/>
        </w:rPr>
        <w:t xml:space="preserve"> </w:t>
      </w:r>
    </w:p>
    <w:p w14:paraId="14498DD4">
      <w:pPr>
        <w:numPr>
          <w:ilvl w:val="0"/>
          <w:numId w:val="18"/>
        </w:numPr>
        <w:autoSpaceDE w:val="0"/>
        <w:autoSpaceDN w:val="0"/>
        <w:spacing w:line="360" w:lineRule="auto"/>
        <w:ind w:left="0" w:leftChars="0" w:firstLine="420" w:firstLineChars="200"/>
        <w:rPr>
          <w:rFonts w:hint="eastAsia" w:hAnsi="宋体"/>
          <w:color w:val="auto"/>
          <w:sz w:val="21"/>
          <w:szCs w:val="21"/>
          <w:highlight w:val="none"/>
          <w:lang w:val="en-US" w:eastAsia="zh-CN"/>
        </w:rPr>
      </w:pPr>
      <w:r>
        <w:rPr>
          <w:rFonts w:hint="eastAsia" w:hAnsi="宋体"/>
          <w:color w:val="auto"/>
          <w:sz w:val="21"/>
          <w:szCs w:val="21"/>
          <w:highlight w:val="none"/>
        </w:rPr>
        <w:t>图纸及清单包干</w:t>
      </w:r>
      <w:r>
        <w:rPr>
          <w:rFonts w:hint="eastAsia" w:hAnsi="宋体"/>
          <w:color w:val="auto"/>
          <w:sz w:val="21"/>
          <w:szCs w:val="21"/>
          <w:highlight w:val="none"/>
          <w:lang w:val="en-US" w:eastAsia="zh-CN"/>
        </w:rPr>
        <w:t>。</w:t>
      </w:r>
    </w:p>
    <w:p w14:paraId="33BD3287">
      <w:pPr>
        <w:rPr>
          <w:color w:val="auto"/>
          <w:highlight w:val="none"/>
        </w:rPr>
      </w:pPr>
      <w:r>
        <w:rPr>
          <w:color w:val="auto"/>
          <w:highlight w:val="none"/>
        </w:rPr>
        <w:br w:type="page"/>
      </w:r>
    </w:p>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14:paraId="4B764A42">
      <w:pPr>
        <w:pStyle w:val="3"/>
        <w:shd w:val="clear"/>
        <w:jc w:val="center"/>
        <w:rPr>
          <w:color w:val="auto"/>
          <w:sz w:val="28"/>
          <w:szCs w:val="28"/>
          <w:highlight w:val="none"/>
        </w:rPr>
      </w:pPr>
      <w:bookmarkStart w:id="201" w:name="_Toc12158"/>
      <w:bookmarkStart w:id="202" w:name="_Toc18450"/>
      <w:bookmarkStart w:id="203" w:name="_Toc476976200"/>
      <w:bookmarkStart w:id="204" w:name="_Toc27849"/>
      <w:bookmarkStart w:id="205" w:name="_Toc458262638"/>
      <w:bookmarkStart w:id="206" w:name="_Toc467236768"/>
      <w:bookmarkStart w:id="207" w:name="_Toc486671572"/>
      <w:bookmarkStart w:id="208" w:name="_Toc7897890"/>
      <w:bookmarkStart w:id="209" w:name="_Toc454701405"/>
      <w:bookmarkStart w:id="210" w:name="_Toc110953866"/>
      <w:bookmarkStart w:id="211" w:name="_Toc468606064"/>
      <w:bookmarkStart w:id="212" w:name="_Toc479991616"/>
      <w:bookmarkStart w:id="213" w:name="_Toc480010742"/>
      <w:bookmarkStart w:id="214" w:name="_Toc480020289"/>
      <w:bookmarkStart w:id="215" w:name="_Toc480021085"/>
      <w:bookmarkStart w:id="216" w:name="_Toc467987856"/>
      <w:bookmarkStart w:id="217" w:name="_Toc468157569"/>
      <w:r>
        <w:rPr>
          <w:rFonts w:hint="eastAsia"/>
          <w:color w:val="auto"/>
          <w:sz w:val="28"/>
          <w:szCs w:val="28"/>
          <w:highlight w:val="none"/>
        </w:rPr>
        <w:t>第二部分  商务文件</w:t>
      </w:r>
      <w:bookmarkEnd w:id="201"/>
      <w:bookmarkEnd w:id="202"/>
      <w:bookmarkStart w:id="218" w:name="_Hlt10519799"/>
      <w:bookmarkEnd w:id="218"/>
      <w:bookmarkStart w:id="219" w:name="_Hlt10456397"/>
      <w:bookmarkEnd w:id="219"/>
      <w:r>
        <w:rPr>
          <w:rFonts w:hint="eastAsia"/>
          <w:color w:val="auto"/>
          <w:sz w:val="28"/>
          <w:szCs w:val="28"/>
          <w:highlight w:val="none"/>
        </w:rPr>
        <w:t>（单独编制装订成册）</w:t>
      </w:r>
    </w:p>
    <w:p w14:paraId="3A9C8987">
      <w:pPr>
        <w:shd w:val="clear"/>
        <w:rPr>
          <w:color w:val="auto"/>
          <w:highlight w:val="none"/>
        </w:rPr>
      </w:pPr>
    </w:p>
    <w:p w14:paraId="36F4C35C">
      <w:pPr>
        <w:pStyle w:val="3"/>
        <w:numPr>
          <w:ilvl w:val="0"/>
          <w:numId w:val="19"/>
        </w:numPr>
        <w:shd w:val="clear"/>
        <w:jc w:val="center"/>
        <w:rPr>
          <w:b w:val="0"/>
          <w:color w:val="auto"/>
          <w:sz w:val="28"/>
          <w:szCs w:val="28"/>
          <w:highlight w:val="none"/>
        </w:rPr>
      </w:pPr>
      <w:bookmarkStart w:id="220" w:name="_Toc18728"/>
      <w:bookmarkStart w:id="221" w:name="_Toc8815"/>
      <w:r>
        <w:rPr>
          <w:rFonts w:hint="eastAsia"/>
          <w:color w:val="auto"/>
          <w:sz w:val="28"/>
          <w:szCs w:val="28"/>
          <w:highlight w:val="none"/>
        </w:rPr>
        <w:t>响应书</w:t>
      </w:r>
      <w:bookmarkEnd w:id="203"/>
      <w:bookmarkEnd w:id="204"/>
      <w:bookmarkEnd w:id="205"/>
      <w:bookmarkEnd w:id="206"/>
      <w:bookmarkEnd w:id="207"/>
      <w:bookmarkEnd w:id="208"/>
      <w:bookmarkEnd w:id="209"/>
      <w:bookmarkEnd w:id="220"/>
      <w:bookmarkEnd w:id="221"/>
    </w:p>
    <w:p w14:paraId="39A14F95">
      <w:pPr>
        <w:pStyle w:val="30"/>
        <w:shd w:val="clear"/>
        <w:autoSpaceDE/>
        <w:autoSpaceDN/>
        <w:adjustRightInd/>
        <w:spacing w:line="480" w:lineRule="exact"/>
        <w:ind w:left="6000"/>
        <w:rPr>
          <w:rFonts w:hAnsi="宋体"/>
          <w:color w:val="auto"/>
          <w:sz w:val="24"/>
          <w:highlight w:val="none"/>
        </w:rPr>
      </w:pPr>
    </w:p>
    <w:p w14:paraId="4505D06C">
      <w:pPr>
        <w:pStyle w:val="30"/>
        <w:shd w:val="clear"/>
        <w:autoSpaceDE/>
        <w:autoSpaceDN/>
        <w:adjustRightInd/>
        <w:spacing w:line="480" w:lineRule="exact"/>
        <w:ind w:left="0" w:leftChars="0"/>
        <w:rPr>
          <w:rFonts w:hint="eastAsia" w:hAnsi="宋体" w:eastAsia="宋体"/>
          <w:color w:val="auto"/>
          <w:highlight w:val="none"/>
          <w:lang w:eastAsia="zh-CN"/>
        </w:rPr>
      </w:pPr>
      <w:r>
        <w:rPr>
          <w:rFonts w:hint="eastAsia" w:hAnsi="宋体"/>
          <w:color w:val="auto"/>
          <w:highlight w:val="none"/>
        </w:rPr>
        <w:t>致：</w:t>
      </w:r>
      <w:r>
        <w:rPr>
          <w:rFonts w:hint="eastAsia" w:hAnsi="宋体"/>
          <w:color w:val="auto"/>
          <w:highlight w:val="none"/>
          <w:lang w:eastAsia="zh-CN"/>
        </w:rPr>
        <w:t>广东志正招标有限公司东莞分公司</w:t>
      </w:r>
    </w:p>
    <w:p w14:paraId="00D4D2A7">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根据贵方（采购编号：）的采购邀请和磋商文件，供应商承诺如下：</w:t>
      </w:r>
    </w:p>
    <w:p w14:paraId="65B71F10">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1.签字代表</w:t>
      </w:r>
      <w:r>
        <w:rPr>
          <w:rFonts w:hint="eastAsia" w:hAnsi="宋体"/>
          <w:color w:val="auto"/>
          <w:sz w:val="21"/>
          <w:szCs w:val="21"/>
          <w:highlight w:val="none"/>
          <w:u w:val="single"/>
        </w:rPr>
        <w:t>（姓名、职务）</w:t>
      </w:r>
      <w:r>
        <w:rPr>
          <w:rFonts w:hint="eastAsia" w:hAnsi="宋体"/>
          <w:color w:val="auto"/>
          <w:sz w:val="21"/>
          <w:szCs w:val="21"/>
          <w:highlight w:val="none"/>
        </w:rPr>
        <w:t>经正式授权并代表供应商</w:t>
      </w:r>
      <w:r>
        <w:rPr>
          <w:rFonts w:hint="eastAsia" w:hAnsi="宋体"/>
          <w:color w:val="auto"/>
          <w:sz w:val="21"/>
          <w:szCs w:val="21"/>
          <w:highlight w:val="none"/>
          <w:u w:val="single"/>
        </w:rPr>
        <w:t>（供应商名称、地址）</w:t>
      </w:r>
      <w:r>
        <w:rPr>
          <w:rFonts w:hint="eastAsia" w:hAnsi="宋体"/>
          <w:color w:val="auto"/>
          <w:sz w:val="21"/>
          <w:szCs w:val="21"/>
          <w:highlight w:val="none"/>
        </w:rPr>
        <w:t>提交响应文件正本份和副本份。</w:t>
      </w:r>
    </w:p>
    <w:p w14:paraId="054D78E2">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2.供应商愿意参加响应并在成交后按磋商文件规定履行义务。</w:t>
      </w:r>
    </w:p>
    <w:p w14:paraId="792F3F44">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3.供应商已详细审查全部磋商文件，包括澄清或修改文件（如有的话）等全部资料。供应商完全理解磋商文件的内容，不存在对磋商文件不明白和误解。</w:t>
      </w:r>
    </w:p>
    <w:p w14:paraId="57CCA79C">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4.响应文件中所提交的所有资料均是准确的和真实的，否则，我单位愿意放弃成交的权利和接受采购监督管理部门的处罚。</w:t>
      </w:r>
    </w:p>
    <w:p w14:paraId="13D77C0D">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5.参加本项目采购活动前3年内，在经营活动中没有重大违法记录。</w:t>
      </w:r>
    </w:p>
    <w:p w14:paraId="11670D9A">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6.响应有效期为90个工作日，自开启响应文件之日起算。</w:t>
      </w:r>
    </w:p>
    <w:p w14:paraId="56F9A505">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7.同意在成交后按照磋商文件的规定缴纳</w:t>
      </w:r>
      <w:r>
        <w:rPr>
          <w:rFonts w:hint="eastAsia" w:hAnsi="宋体"/>
          <w:color w:val="auto"/>
          <w:sz w:val="21"/>
          <w:szCs w:val="21"/>
          <w:highlight w:val="none"/>
          <w:lang w:eastAsia="zh-CN"/>
        </w:rPr>
        <w:t>采购代理服务费</w:t>
      </w:r>
      <w:r>
        <w:rPr>
          <w:rFonts w:hint="eastAsia" w:hAnsi="宋体"/>
          <w:color w:val="auto"/>
          <w:sz w:val="21"/>
          <w:szCs w:val="21"/>
          <w:highlight w:val="none"/>
        </w:rPr>
        <w:t>。</w:t>
      </w:r>
    </w:p>
    <w:p w14:paraId="24384C73">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8.如果开启响应文件后，在响应有效期内撤回文件的，我单位愿意承担贵单位由此而产生的损失。</w:t>
      </w:r>
    </w:p>
    <w:p w14:paraId="4B42322F">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9.供应商同意提供按照贵方可能要求的有关的一切资料，理解贵单位不一定要接受最低价的响应或收到的任何响应。</w:t>
      </w:r>
    </w:p>
    <w:p w14:paraId="2D569110">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10.与本响应有关的一切正式往来通讯请寄：</w:t>
      </w:r>
    </w:p>
    <w:p w14:paraId="61F4C9AE">
      <w:pPr>
        <w:shd w:val="clear"/>
        <w:spacing w:line="480" w:lineRule="exact"/>
        <w:ind w:firstLine="420" w:firstLineChars="200"/>
        <w:rPr>
          <w:rFonts w:hAnsi="宋体"/>
          <w:color w:val="auto"/>
          <w:sz w:val="21"/>
          <w:szCs w:val="21"/>
          <w:highlight w:val="none"/>
        </w:rPr>
      </w:pPr>
    </w:p>
    <w:p w14:paraId="7763CACD">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供应商名称：</w:t>
      </w:r>
      <w:r>
        <w:rPr>
          <w:rFonts w:hint="eastAsia" w:hAnsi="宋体"/>
          <w:color w:val="auto"/>
          <w:sz w:val="21"/>
          <w:szCs w:val="21"/>
          <w:highlight w:val="none"/>
          <w:u w:val="single"/>
        </w:rPr>
        <w:t xml:space="preserve">            （盖公章）                   </w:t>
      </w:r>
    </w:p>
    <w:p w14:paraId="779E48D9">
      <w:pPr>
        <w:shd w:val="clear"/>
        <w:spacing w:line="480" w:lineRule="exact"/>
        <w:ind w:firstLine="420" w:firstLineChars="200"/>
        <w:rPr>
          <w:rFonts w:hAnsi="宋体"/>
          <w:color w:val="auto"/>
          <w:sz w:val="21"/>
          <w:szCs w:val="21"/>
          <w:highlight w:val="none"/>
          <w:u w:val="single"/>
        </w:rPr>
      </w:pPr>
      <w:r>
        <w:rPr>
          <w:rFonts w:hint="eastAsia" w:hAnsi="宋体"/>
          <w:color w:val="auto"/>
          <w:sz w:val="21"/>
          <w:szCs w:val="21"/>
          <w:highlight w:val="none"/>
        </w:rPr>
        <w:t>供应商代表姓名、职务（印刷体）：</w:t>
      </w:r>
    </w:p>
    <w:p w14:paraId="53CCC802">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供应商联系电话、传真：</w:t>
      </w:r>
    </w:p>
    <w:p w14:paraId="69384F11">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日期：年月日</w:t>
      </w:r>
    </w:p>
    <w:p w14:paraId="63D74A94">
      <w:pPr>
        <w:pStyle w:val="3"/>
        <w:numPr>
          <w:ilvl w:val="0"/>
          <w:numId w:val="19"/>
        </w:numPr>
        <w:shd w:val="clear"/>
        <w:jc w:val="center"/>
        <w:rPr>
          <w:bCs/>
          <w:color w:val="auto"/>
          <w:sz w:val="28"/>
          <w:szCs w:val="28"/>
          <w:highlight w:val="none"/>
        </w:rPr>
      </w:pPr>
      <w:r>
        <w:rPr>
          <w:color w:val="auto"/>
          <w:sz w:val="22"/>
          <w:szCs w:val="22"/>
          <w:highlight w:val="none"/>
        </w:rPr>
        <w:br w:type="page"/>
      </w:r>
      <w:bookmarkStart w:id="222" w:name="_Toc31943"/>
      <w:bookmarkStart w:id="223" w:name="_Toc7897891"/>
      <w:bookmarkStart w:id="224" w:name="_Toc24748"/>
      <w:bookmarkStart w:id="225" w:name="_Toc10808"/>
      <w:r>
        <w:rPr>
          <w:rFonts w:hint="eastAsia"/>
          <w:bCs/>
          <w:color w:val="auto"/>
          <w:sz w:val="28"/>
          <w:szCs w:val="28"/>
          <w:highlight w:val="none"/>
        </w:rPr>
        <w:t>法定代表人证明书</w:t>
      </w:r>
      <w:bookmarkEnd w:id="222"/>
      <w:bookmarkEnd w:id="223"/>
      <w:bookmarkEnd w:id="224"/>
      <w:bookmarkEnd w:id="225"/>
    </w:p>
    <w:p w14:paraId="45121AB2">
      <w:pPr>
        <w:shd w:val="clear"/>
        <w:jc w:val="center"/>
        <w:rPr>
          <w:rFonts w:hAnsi="宋体"/>
          <w:color w:val="auto"/>
          <w:sz w:val="28"/>
          <w:szCs w:val="28"/>
          <w:highlight w:val="none"/>
        </w:rPr>
      </w:pPr>
    </w:p>
    <w:p w14:paraId="5B858A0A">
      <w:pPr>
        <w:shd w:val="clear"/>
        <w:rPr>
          <w:rFonts w:hAnsi="宋体"/>
          <w:color w:val="auto"/>
          <w:sz w:val="28"/>
          <w:szCs w:val="28"/>
          <w:highlight w:val="none"/>
        </w:rPr>
      </w:pPr>
    </w:p>
    <w:p w14:paraId="160A1FB6">
      <w:pPr>
        <w:shd w:val="clear"/>
        <w:spacing w:line="420" w:lineRule="atLeast"/>
        <w:rPr>
          <w:rFonts w:hint="eastAsia" w:hAnsi="宋体" w:eastAsia="宋体"/>
          <w:color w:val="auto"/>
          <w:sz w:val="21"/>
          <w:szCs w:val="21"/>
          <w:highlight w:val="none"/>
          <w:lang w:eastAsia="zh-CN"/>
        </w:rPr>
      </w:pPr>
      <w:r>
        <w:rPr>
          <w:rFonts w:hint="eastAsia" w:hAnsi="宋体"/>
          <w:color w:val="auto"/>
          <w:sz w:val="21"/>
          <w:szCs w:val="21"/>
          <w:highlight w:val="none"/>
        </w:rPr>
        <w:t>致：</w:t>
      </w:r>
      <w:r>
        <w:rPr>
          <w:rFonts w:hint="eastAsia" w:hAnsi="宋体"/>
          <w:color w:val="auto"/>
          <w:sz w:val="21"/>
          <w:szCs w:val="21"/>
          <w:highlight w:val="none"/>
          <w:lang w:eastAsia="zh-CN"/>
        </w:rPr>
        <w:t>广东志正招标有限公司东莞分公司</w:t>
      </w:r>
    </w:p>
    <w:p w14:paraId="4D60A6AD">
      <w:pPr>
        <w:pStyle w:val="77"/>
        <w:shd w:val="clear"/>
        <w:spacing w:line="420" w:lineRule="atLeast"/>
        <w:ind w:firstLine="433"/>
        <w:rPr>
          <w:rFonts w:ascii="宋体" w:eastAsia="宋体"/>
          <w:color w:val="auto"/>
          <w:sz w:val="21"/>
          <w:szCs w:val="21"/>
          <w:highlight w:val="none"/>
        </w:rPr>
      </w:pPr>
    </w:p>
    <w:p w14:paraId="02427105">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 xml:space="preserve">供应商名称: </w:t>
      </w:r>
    </w:p>
    <w:p w14:paraId="44CC2CA2">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单 位 性质：</w:t>
      </w:r>
    </w:p>
    <w:p w14:paraId="4F1F73E0">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地      址：</w:t>
      </w:r>
    </w:p>
    <w:p w14:paraId="0EFA81F7">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499196FC">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501E9E2D">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5E0EE0EB">
      <w:pPr>
        <w:pStyle w:val="77"/>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系（供应商名称）的法定代表人。</w:t>
      </w:r>
    </w:p>
    <w:p w14:paraId="553A2203">
      <w:pPr>
        <w:shd w:val="clear"/>
        <w:spacing w:line="420" w:lineRule="atLeast"/>
        <w:ind w:firstLine="420" w:firstLineChars="200"/>
        <w:rPr>
          <w:rFonts w:hAnsi="宋体"/>
          <w:color w:val="auto"/>
          <w:sz w:val="21"/>
          <w:szCs w:val="21"/>
          <w:highlight w:val="none"/>
        </w:rPr>
      </w:pPr>
      <w:r>
        <w:rPr>
          <w:rFonts w:hint="eastAsia" w:hAnsi="宋体"/>
          <w:color w:val="auto"/>
          <w:sz w:val="21"/>
          <w:szCs w:val="21"/>
          <w:highlight w:val="none"/>
        </w:rPr>
        <w:t>特此证明。</w:t>
      </w:r>
    </w:p>
    <w:p w14:paraId="045E77A5">
      <w:pPr>
        <w:pStyle w:val="77"/>
        <w:shd w:val="clear"/>
        <w:spacing w:line="500" w:lineRule="atLeast"/>
        <w:ind w:firstLine="3517" w:firstLineChars="1675"/>
        <w:rPr>
          <w:rFonts w:ascii="宋体" w:eastAsia="宋体"/>
          <w:color w:val="auto"/>
          <w:sz w:val="21"/>
          <w:szCs w:val="21"/>
          <w:highlight w:val="none"/>
        </w:rPr>
      </w:pPr>
    </w:p>
    <w:p w14:paraId="69DFCF3A">
      <w:pPr>
        <w:pStyle w:val="77"/>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供应商名称（加盖公章）</w:t>
      </w:r>
    </w:p>
    <w:p w14:paraId="65F699A4">
      <w:pPr>
        <w:pStyle w:val="77"/>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1431E2AB">
      <w:pPr>
        <w:pStyle w:val="77"/>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29BD21C">
      <w:pPr>
        <w:pStyle w:val="77"/>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50C7D658">
      <w:pPr>
        <w:pStyle w:val="77"/>
        <w:shd w:val="clear"/>
        <w:spacing w:line="460" w:lineRule="exact"/>
        <w:ind w:firstLine="433"/>
        <w:rPr>
          <w:rFonts w:ascii="宋体" w:eastAsia="宋体"/>
          <w:color w:val="auto"/>
          <w:sz w:val="21"/>
          <w:szCs w:val="21"/>
          <w:highlight w:val="none"/>
        </w:rPr>
      </w:pPr>
    </w:p>
    <w:p w14:paraId="7BF16BF8">
      <w:pPr>
        <w:shd w:val="clear"/>
        <w:spacing w:line="420" w:lineRule="atLeast"/>
        <w:ind w:firstLine="422" w:firstLineChars="200"/>
        <w:rPr>
          <w:rFonts w:hAnsi="宋体"/>
          <w:b/>
          <w:color w:val="auto"/>
          <w:sz w:val="21"/>
          <w:szCs w:val="21"/>
          <w:highlight w:val="none"/>
        </w:rPr>
      </w:pPr>
    </w:p>
    <w:p w14:paraId="7F1195E0">
      <w:pPr>
        <w:shd w:val="clear"/>
        <w:spacing w:line="420" w:lineRule="atLeast"/>
        <w:ind w:firstLine="422" w:firstLineChars="200"/>
        <w:rPr>
          <w:rFonts w:hAnsi="宋体"/>
          <w:b/>
          <w:color w:val="auto"/>
          <w:sz w:val="21"/>
          <w:szCs w:val="21"/>
          <w:highlight w:val="none"/>
        </w:rPr>
      </w:pPr>
      <w:r>
        <w:rPr>
          <w:rFonts w:hint="eastAsia" w:hAnsi="宋体"/>
          <w:b/>
          <w:color w:val="auto"/>
          <w:sz w:val="21"/>
          <w:szCs w:val="21"/>
          <w:highlight w:val="none"/>
        </w:rPr>
        <w:t>须附：法定代表人身份证复印件</w:t>
      </w:r>
    </w:p>
    <w:p w14:paraId="7AAFC1F0">
      <w:pPr>
        <w:shd w:val="clear"/>
        <w:spacing w:line="420" w:lineRule="atLeast"/>
        <w:ind w:firstLine="422" w:firstLineChars="200"/>
        <w:rPr>
          <w:b/>
          <w:color w:val="auto"/>
          <w:sz w:val="21"/>
          <w:szCs w:val="21"/>
          <w:highlight w:val="none"/>
        </w:rPr>
      </w:pPr>
    </w:p>
    <w:tbl>
      <w:tblPr>
        <w:tblStyle w:val="5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02ED38F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0BEE6EEF">
            <w:pPr>
              <w:pStyle w:val="77"/>
              <w:shd w:val="clear"/>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4182" w:type="dxa"/>
            <w:vAlign w:val="center"/>
          </w:tcPr>
          <w:p w14:paraId="5EA5B536">
            <w:pPr>
              <w:pStyle w:val="77"/>
              <w:shd w:val="clear"/>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6B33FBE">
      <w:pPr>
        <w:shd w:val="clear"/>
        <w:rPr>
          <w:rFonts w:hAnsi="宋体"/>
          <w:color w:val="auto"/>
          <w:highlight w:val="none"/>
        </w:rPr>
      </w:pPr>
    </w:p>
    <w:p w14:paraId="009BF808">
      <w:pPr>
        <w:shd w:val="clear"/>
        <w:rPr>
          <w:rFonts w:hAnsi="宋体"/>
          <w:color w:val="auto"/>
          <w:sz w:val="28"/>
          <w:szCs w:val="28"/>
          <w:highlight w:val="none"/>
        </w:rPr>
      </w:pPr>
    </w:p>
    <w:p w14:paraId="64B3E876">
      <w:pPr>
        <w:pStyle w:val="3"/>
        <w:numPr>
          <w:ilvl w:val="0"/>
          <w:numId w:val="19"/>
        </w:numPr>
        <w:shd w:val="clear"/>
        <w:jc w:val="center"/>
        <w:rPr>
          <w:bCs/>
          <w:color w:val="auto"/>
          <w:sz w:val="28"/>
          <w:szCs w:val="28"/>
          <w:highlight w:val="none"/>
        </w:rPr>
      </w:pPr>
      <w:r>
        <w:rPr>
          <w:rFonts w:hint="eastAsia"/>
          <w:bCs/>
          <w:color w:val="auto"/>
          <w:sz w:val="28"/>
          <w:szCs w:val="28"/>
          <w:highlight w:val="none"/>
        </w:rPr>
        <w:br w:type="page"/>
      </w:r>
      <w:bookmarkStart w:id="226" w:name="_Toc18590"/>
      <w:bookmarkStart w:id="227" w:name="_Toc28882"/>
      <w:bookmarkStart w:id="228" w:name="_Toc7897892"/>
      <w:bookmarkStart w:id="229" w:name="_Toc19634"/>
      <w:r>
        <w:rPr>
          <w:rFonts w:hint="eastAsia"/>
          <w:bCs/>
          <w:color w:val="auto"/>
          <w:sz w:val="28"/>
          <w:szCs w:val="28"/>
          <w:highlight w:val="none"/>
        </w:rPr>
        <w:t>授权委托书（加法人证明书）</w:t>
      </w:r>
      <w:bookmarkEnd w:id="226"/>
      <w:bookmarkEnd w:id="227"/>
      <w:bookmarkEnd w:id="228"/>
      <w:bookmarkEnd w:id="229"/>
    </w:p>
    <w:p w14:paraId="21BF00C5">
      <w:pPr>
        <w:pStyle w:val="12"/>
        <w:shd w:val="clear"/>
        <w:ind w:firstLine="400"/>
        <w:rPr>
          <w:color w:val="auto"/>
          <w:highlight w:val="none"/>
        </w:rPr>
      </w:pPr>
    </w:p>
    <w:p w14:paraId="3E714105">
      <w:pPr>
        <w:shd w:val="clear"/>
        <w:spacing w:line="420" w:lineRule="exact"/>
        <w:rPr>
          <w:rFonts w:hAnsi="宋体"/>
          <w:color w:val="auto"/>
          <w:sz w:val="22"/>
          <w:szCs w:val="22"/>
          <w:highlight w:val="none"/>
        </w:rPr>
      </w:pPr>
    </w:p>
    <w:p w14:paraId="2AE38EA0">
      <w:pPr>
        <w:shd w:val="clear"/>
        <w:spacing w:line="420" w:lineRule="exact"/>
        <w:rPr>
          <w:rFonts w:hint="eastAsia" w:hAnsi="宋体" w:eastAsia="宋体"/>
          <w:color w:val="auto"/>
          <w:sz w:val="21"/>
          <w:szCs w:val="21"/>
          <w:highlight w:val="none"/>
          <w:lang w:eastAsia="zh-CN"/>
        </w:rPr>
      </w:pPr>
      <w:r>
        <w:rPr>
          <w:rFonts w:hint="eastAsia" w:hAnsi="宋体"/>
          <w:color w:val="auto"/>
          <w:sz w:val="21"/>
          <w:szCs w:val="21"/>
          <w:highlight w:val="none"/>
        </w:rPr>
        <w:t>致：</w:t>
      </w:r>
      <w:r>
        <w:rPr>
          <w:rFonts w:hint="eastAsia" w:hAnsi="宋体"/>
          <w:color w:val="auto"/>
          <w:sz w:val="21"/>
          <w:szCs w:val="21"/>
          <w:highlight w:val="none"/>
          <w:lang w:eastAsia="zh-CN"/>
        </w:rPr>
        <w:t>广东志正招标有限公司东莞分公司</w:t>
      </w:r>
    </w:p>
    <w:p w14:paraId="619299F8">
      <w:pPr>
        <w:pStyle w:val="77"/>
        <w:shd w:val="clear"/>
        <w:spacing w:line="420" w:lineRule="exact"/>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hint="eastAsia" w:ascii="宋体" w:eastAsia="宋体"/>
          <w:color w:val="auto"/>
          <w:sz w:val="21"/>
          <w:szCs w:val="21"/>
          <w:highlight w:val="none"/>
          <w:u w:val="single"/>
        </w:rPr>
        <w:t xml:space="preserve">  （姓名） </w:t>
      </w:r>
      <w:r>
        <w:rPr>
          <w:rFonts w:hint="eastAsia" w:ascii="宋体" w:eastAsia="宋体"/>
          <w:color w:val="auto"/>
          <w:sz w:val="21"/>
          <w:szCs w:val="21"/>
          <w:highlight w:val="none"/>
        </w:rPr>
        <w:t>系</w:t>
      </w:r>
      <w:r>
        <w:rPr>
          <w:rFonts w:hint="eastAsia"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hint="eastAsia"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hint="eastAsia" w:ascii="宋体" w:eastAsia="宋体"/>
          <w:color w:val="auto"/>
          <w:sz w:val="21"/>
          <w:szCs w:val="21"/>
          <w:highlight w:val="none"/>
          <w:u w:val="single"/>
        </w:rPr>
        <w:t xml:space="preserve">        （项目名称）        </w:t>
      </w:r>
      <w:r>
        <w:rPr>
          <w:rFonts w:hint="eastAsia" w:ascii="宋体" w:eastAsia="宋体"/>
          <w:color w:val="auto"/>
          <w:sz w:val="21"/>
          <w:szCs w:val="21"/>
          <w:highlight w:val="none"/>
        </w:rPr>
        <w:t>[采购编号：</w:t>
      </w:r>
      <w:r>
        <w:rPr>
          <w:rFonts w:hint="eastAsia" w:ascii="宋体" w:eastAsia="宋体"/>
          <w:color w:val="auto"/>
          <w:sz w:val="21"/>
          <w:szCs w:val="21"/>
          <w:highlight w:val="none"/>
          <w:u w:val="single"/>
        </w:rPr>
        <w:t>　　　　　　　</w:t>
      </w:r>
      <w:r>
        <w:rPr>
          <w:rFonts w:hint="eastAsia" w:ascii="宋体" w:eastAsia="宋体"/>
          <w:color w:val="auto"/>
          <w:sz w:val="21"/>
          <w:szCs w:val="21"/>
          <w:highlight w:val="none"/>
        </w:rPr>
        <w:t>]磋商响应文件、签订合同和处理有关事宜，其法律后果由我方承担。</w:t>
      </w:r>
    </w:p>
    <w:p w14:paraId="174553C1">
      <w:pPr>
        <w:pStyle w:val="77"/>
        <w:shd w:val="clear"/>
        <w:spacing w:line="420" w:lineRule="exact"/>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62530312">
      <w:pPr>
        <w:pStyle w:val="77"/>
        <w:shd w:val="clear"/>
        <w:spacing w:line="420" w:lineRule="exact"/>
        <w:ind w:firstLine="450" w:firstLineChars="0"/>
        <w:rPr>
          <w:rFonts w:ascii="宋体" w:eastAsia="宋体"/>
          <w:color w:val="auto"/>
          <w:sz w:val="21"/>
          <w:szCs w:val="21"/>
          <w:highlight w:val="none"/>
        </w:rPr>
      </w:pPr>
      <w:r>
        <w:rPr>
          <w:rFonts w:hint="eastAsia" w:ascii="宋体" w:eastAsia="宋体"/>
          <w:color w:val="auto"/>
          <w:sz w:val="21"/>
          <w:szCs w:val="21"/>
          <w:highlight w:val="none"/>
        </w:rPr>
        <w:t>代理人无转委托权</w:t>
      </w:r>
    </w:p>
    <w:p w14:paraId="3EE30ABD">
      <w:pPr>
        <w:pStyle w:val="77"/>
        <w:shd w:val="clear"/>
        <w:spacing w:line="420" w:lineRule="exact"/>
        <w:ind w:firstLine="450" w:firstLineChars="0"/>
        <w:rPr>
          <w:rFonts w:ascii="宋体" w:eastAsia="宋体"/>
          <w:color w:val="auto"/>
          <w:sz w:val="21"/>
          <w:szCs w:val="21"/>
          <w:highlight w:val="none"/>
        </w:rPr>
      </w:pPr>
    </w:p>
    <w:p w14:paraId="2302891D">
      <w:pPr>
        <w:pStyle w:val="77"/>
        <w:shd w:val="clear"/>
        <w:spacing w:line="420" w:lineRule="exact"/>
        <w:ind w:firstLine="428" w:firstLineChars="204"/>
        <w:rPr>
          <w:rFonts w:ascii="宋体" w:eastAsia="宋体"/>
          <w:color w:val="auto"/>
          <w:sz w:val="21"/>
          <w:szCs w:val="21"/>
          <w:highlight w:val="none"/>
        </w:rPr>
      </w:pPr>
    </w:p>
    <w:p w14:paraId="66330764">
      <w:pPr>
        <w:pStyle w:val="77"/>
        <w:shd w:val="clear"/>
        <w:spacing w:line="420" w:lineRule="exac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供应商名称（加盖公章）</w:t>
      </w:r>
    </w:p>
    <w:p w14:paraId="65876201">
      <w:pPr>
        <w:pStyle w:val="77"/>
        <w:shd w:val="clear"/>
        <w:spacing w:line="420" w:lineRule="exac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3EA4D370">
      <w:pPr>
        <w:pStyle w:val="77"/>
        <w:shd w:val="clear"/>
        <w:spacing w:line="420" w:lineRule="exac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身份证号码：</w:t>
      </w:r>
    </w:p>
    <w:p w14:paraId="7242BC80">
      <w:pPr>
        <w:pStyle w:val="77"/>
        <w:shd w:val="clear"/>
        <w:spacing w:line="420" w:lineRule="exact"/>
        <w:ind w:firstLine="3517" w:firstLineChars="1675"/>
        <w:rPr>
          <w:rFonts w:ascii="宋体" w:eastAsia="宋体"/>
          <w:color w:val="auto"/>
          <w:sz w:val="21"/>
          <w:szCs w:val="21"/>
          <w:highlight w:val="none"/>
        </w:rPr>
      </w:pPr>
    </w:p>
    <w:p w14:paraId="6BA0C3C4">
      <w:pPr>
        <w:pStyle w:val="77"/>
        <w:shd w:val="clear"/>
        <w:spacing w:line="420" w:lineRule="exac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受托代理人（签名或盖私章）：</w:t>
      </w:r>
    </w:p>
    <w:p w14:paraId="0BC82BD6">
      <w:pPr>
        <w:pStyle w:val="77"/>
        <w:shd w:val="clear"/>
        <w:spacing w:line="420" w:lineRule="exac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3E4632E">
      <w:pPr>
        <w:pStyle w:val="77"/>
        <w:shd w:val="clear"/>
        <w:spacing w:line="460" w:lineRule="exac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181CEB12">
      <w:pPr>
        <w:shd w:val="clear"/>
        <w:spacing w:line="420" w:lineRule="atLeast"/>
        <w:ind w:firstLine="422" w:firstLineChars="200"/>
        <w:rPr>
          <w:rFonts w:hAnsi="宋体"/>
          <w:b/>
          <w:color w:val="auto"/>
          <w:sz w:val="21"/>
          <w:szCs w:val="21"/>
          <w:highlight w:val="none"/>
        </w:rPr>
      </w:pPr>
    </w:p>
    <w:p w14:paraId="376B5BE7">
      <w:pPr>
        <w:shd w:val="clear"/>
        <w:spacing w:line="420" w:lineRule="atLeast"/>
        <w:ind w:firstLine="422" w:firstLineChars="200"/>
        <w:rPr>
          <w:rFonts w:hAnsi="宋体"/>
          <w:b/>
          <w:color w:val="auto"/>
          <w:sz w:val="21"/>
          <w:szCs w:val="21"/>
          <w:highlight w:val="none"/>
        </w:rPr>
      </w:pPr>
    </w:p>
    <w:p w14:paraId="738AE9FC">
      <w:pPr>
        <w:shd w:val="clear"/>
        <w:spacing w:line="420" w:lineRule="atLeast"/>
        <w:ind w:firstLine="422" w:firstLineChars="200"/>
        <w:rPr>
          <w:rFonts w:hAnsi="宋体"/>
          <w:b/>
          <w:color w:val="auto"/>
          <w:sz w:val="21"/>
          <w:szCs w:val="21"/>
          <w:highlight w:val="none"/>
        </w:rPr>
      </w:pPr>
      <w:r>
        <w:rPr>
          <w:rFonts w:hint="eastAsia" w:hAnsi="宋体"/>
          <w:b/>
          <w:color w:val="auto"/>
          <w:sz w:val="21"/>
          <w:szCs w:val="21"/>
          <w:highlight w:val="none"/>
        </w:rPr>
        <w:t>须附：授权代理人身份证复印件</w:t>
      </w:r>
    </w:p>
    <w:p w14:paraId="79674858">
      <w:pPr>
        <w:shd w:val="clear"/>
        <w:spacing w:line="420" w:lineRule="atLeast"/>
        <w:ind w:firstLine="420" w:firstLineChars="200"/>
        <w:rPr>
          <w:color w:val="auto"/>
          <w:sz w:val="21"/>
          <w:szCs w:val="21"/>
          <w:highlight w:val="none"/>
        </w:rPr>
      </w:pPr>
    </w:p>
    <w:tbl>
      <w:tblPr>
        <w:tblStyle w:val="5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1ADEDDF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4852D0A2">
            <w:pPr>
              <w:pStyle w:val="77"/>
              <w:shd w:val="clear"/>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4232" w:type="dxa"/>
            <w:vAlign w:val="center"/>
          </w:tcPr>
          <w:p w14:paraId="211ED9C4">
            <w:pPr>
              <w:pStyle w:val="77"/>
              <w:shd w:val="clear"/>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FFFBBEA">
      <w:pPr>
        <w:pStyle w:val="12"/>
        <w:shd w:val="clear"/>
        <w:ind w:firstLine="482"/>
        <w:rPr>
          <w:b/>
          <w:color w:val="auto"/>
          <w:sz w:val="24"/>
          <w:szCs w:val="24"/>
          <w:highlight w:val="none"/>
        </w:rPr>
      </w:pPr>
    </w:p>
    <w:p w14:paraId="0D910639">
      <w:pPr>
        <w:shd w:val="clear"/>
        <w:tabs>
          <w:tab w:val="left" w:pos="7740"/>
        </w:tabs>
        <w:spacing w:line="360" w:lineRule="auto"/>
        <w:rPr>
          <w:rFonts w:hAnsi="宋体"/>
          <w:color w:val="auto"/>
          <w:sz w:val="21"/>
          <w:szCs w:val="21"/>
          <w:highlight w:val="none"/>
        </w:rPr>
      </w:pPr>
      <w:bookmarkStart w:id="230" w:name="_Toc4592"/>
      <w:bookmarkStart w:id="231" w:name="_Toc7897893"/>
    </w:p>
    <w:p w14:paraId="06FB9103">
      <w:pPr>
        <w:pStyle w:val="12"/>
        <w:shd w:val="clear"/>
        <w:ind w:firstLine="0" w:firstLineChars="0"/>
        <w:rPr>
          <w:color w:val="auto"/>
          <w:highlight w:val="none"/>
        </w:rPr>
      </w:pPr>
    </w:p>
    <w:p w14:paraId="45986A8A">
      <w:pPr>
        <w:pStyle w:val="12"/>
        <w:shd w:val="clear"/>
        <w:ind w:firstLine="0" w:firstLineChars="0"/>
        <w:rPr>
          <w:color w:val="auto"/>
          <w:highlight w:val="none"/>
        </w:rPr>
      </w:pPr>
    </w:p>
    <w:p w14:paraId="3F5ED7F0">
      <w:pPr>
        <w:pStyle w:val="12"/>
        <w:shd w:val="clear"/>
        <w:ind w:firstLine="0" w:firstLineChars="0"/>
        <w:rPr>
          <w:color w:val="auto"/>
          <w:highlight w:val="none"/>
        </w:rPr>
      </w:pPr>
    </w:p>
    <w:p w14:paraId="42110364">
      <w:pPr>
        <w:pStyle w:val="3"/>
        <w:numPr>
          <w:ilvl w:val="0"/>
          <w:numId w:val="19"/>
        </w:numPr>
        <w:shd w:val="clear"/>
        <w:jc w:val="center"/>
        <w:rPr>
          <w:color w:val="auto"/>
          <w:sz w:val="28"/>
          <w:szCs w:val="28"/>
          <w:highlight w:val="none"/>
        </w:rPr>
      </w:pPr>
      <w:bookmarkStart w:id="232" w:name="_Toc17363"/>
      <w:bookmarkStart w:id="233" w:name="_Toc1276"/>
      <w:r>
        <w:rPr>
          <w:rFonts w:hint="eastAsia"/>
          <w:color w:val="auto"/>
          <w:sz w:val="28"/>
          <w:szCs w:val="28"/>
          <w:highlight w:val="none"/>
        </w:rPr>
        <w:t>供应商基本情况说明</w:t>
      </w:r>
      <w:bookmarkEnd w:id="230"/>
      <w:bookmarkEnd w:id="231"/>
      <w:bookmarkEnd w:id="232"/>
      <w:bookmarkEnd w:id="233"/>
    </w:p>
    <w:p w14:paraId="03C120DB">
      <w:pPr>
        <w:shd w:val="clear"/>
        <w:spacing w:line="360" w:lineRule="auto"/>
        <w:rPr>
          <w:rFonts w:hAnsi="宋体"/>
          <w:color w:val="auto"/>
          <w:sz w:val="22"/>
          <w:szCs w:val="22"/>
          <w:highlight w:val="none"/>
        </w:rPr>
      </w:pPr>
    </w:p>
    <w:p w14:paraId="129B45A5">
      <w:pPr>
        <w:shd w:val="clear"/>
        <w:spacing w:line="360" w:lineRule="auto"/>
        <w:rPr>
          <w:rFonts w:hAnsi="宋体"/>
          <w:color w:val="auto"/>
          <w:sz w:val="21"/>
          <w:szCs w:val="21"/>
          <w:highlight w:val="none"/>
        </w:rPr>
      </w:pPr>
      <w:r>
        <w:rPr>
          <w:rFonts w:hint="eastAsia" w:hAnsi="宋体"/>
          <w:color w:val="auto"/>
          <w:sz w:val="21"/>
          <w:szCs w:val="21"/>
          <w:highlight w:val="none"/>
        </w:rPr>
        <w:t>一、</w:t>
      </w:r>
      <w:r>
        <w:rPr>
          <w:rFonts w:hAnsi="宋体"/>
          <w:color w:val="auto"/>
          <w:sz w:val="21"/>
          <w:szCs w:val="21"/>
          <w:highlight w:val="none"/>
        </w:rPr>
        <w:t>公司基本情况</w:t>
      </w:r>
    </w:p>
    <w:p w14:paraId="416A6C31">
      <w:pPr>
        <w:shd w:val="clear"/>
        <w:tabs>
          <w:tab w:val="left" w:pos="4678"/>
        </w:tabs>
        <w:spacing w:line="360" w:lineRule="auto"/>
        <w:rPr>
          <w:rFonts w:hAnsi="宋体"/>
          <w:color w:val="auto"/>
          <w:sz w:val="21"/>
          <w:szCs w:val="21"/>
          <w:highlight w:val="none"/>
        </w:rPr>
      </w:pPr>
      <w:r>
        <w:rPr>
          <w:rFonts w:hAnsi="宋体"/>
          <w:color w:val="auto"/>
          <w:sz w:val="21"/>
          <w:szCs w:val="21"/>
          <w:highlight w:val="none"/>
        </w:rPr>
        <w:t>1、公司名称： 电话号码：</w:t>
      </w:r>
    </w:p>
    <w:p w14:paraId="2EFEF959">
      <w:pPr>
        <w:shd w:val="clear"/>
        <w:spacing w:line="360" w:lineRule="auto"/>
        <w:rPr>
          <w:rFonts w:hAnsi="宋体"/>
          <w:color w:val="auto"/>
          <w:sz w:val="21"/>
          <w:szCs w:val="21"/>
          <w:highlight w:val="none"/>
        </w:rPr>
      </w:pPr>
      <w:r>
        <w:rPr>
          <w:rFonts w:hAnsi="宋体"/>
          <w:color w:val="auto"/>
          <w:sz w:val="21"/>
          <w:szCs w:val="21"/>
          <w:highlight w:val="none"/>
        </w:rPr>
        <w:t>2、地  址： 传  真：</w:t>
      </w:r>
    </w:p>
    <w:p w14:paraId="3C653851">
      <w:pPr>
        <w:shd w:val="clear"/>
        <w:spacing w:line="360" w:lineRule="auto"/>
        <w:rPr>
          <w:rFonts w:hAnsi="宋体"/>
          <w:color w:val="auto"/>
          <w:sz w:val="21"/>
          <w:szCs w:val="21"/>
          <w:highlight w:val="none"/>
          <w:u w:val="single"/>
        </w:rPr>
      </w:pPr>
      <w:r>
        <w:rPr>
          <w:rFonts w:hAnsi="宋体"/>
          <w:color w:val="auto"/>
          <w:sz w:val="21"/>
          <w:szCs w:val="21"/>
          <w:highlight w:val="none"/>
        </w:rPr>
        <w:t>3、注册资金： 经济性质：</w:t>
      </w:r>
    </w:p>
    <w:p w14:paraId="0F2B18DD">
      <w:pPr>
        <w:shd w:val="clear"/>
        <w:spacing w:line="360" w:lineRule="auto"/>
        <w:rPr>
          <w:rFonts w:hAnsi="宋体"/>
          <w:color w:val="auto"/>
          <w:sz w:val="21"/>
          <w:szCs w:val="21"/>
          <w:highlight w:val="none"/>
        </w:rPr>
      </w:pPr>
      <w:r>
        <w:rPr>
          <w:rFonts w:hAnsi="宋体"/>
          <w:color w:val="auto"/>
          <w:sz w:val="21"/>
          <w:szCs w:val="21"/>
          <w:highlight w:val="none"/>
        </w:rPr>
        <w:t xml:space="preserve">4、公司开户银行名称及账号：      </w:t>
      </w:r>
    </w:p>
    <w:p w14:paraId="5E0F477D">
      <w:pPr>
        <w:shd w:val="clear"/>
        <w:spacing w:line="360" w:lineRule="auto"/>
        <w:rPr>
          <w:rFonts w:hAnsi="宋体"/>
          <w:color w:val="auto"/>
          <w:sz w:val="21"/>
          <w:szCs w:val="21"/>
          <w:highlight w:val="none"/>
        </w:rPr>
      </w:pPr>
      <w:r>
        <w:rPr>
          <w:rFonts w:hAnsi="宋体"/>
          <w:color w:val="auto"/>
          <w:sz w:val="21"/>
          <w:szCs w:val="21"/>
          <w:highlight w:val="none"/>
        </w:rPr>
        <w:t xml:space="preserve">5、营业注册执照号：  </w:t>
      </w:r>
    </w:p>
    <w:p w14:paraId="1A12F930">
      <w:pPr>
        <w:shd w:val="clear"/>
        <w:spacing w:line="360" w:lineRule="auto"/>
        <w:rPr>
          <w:rFonts w:hAnsi="宋体"/>
          <w:color w:val="auto"/>
          <w:sz w:val="21"/>
          <w:szCs w:val="21"/>
          <w:highlight w:val="none"/>
        </w:rPr>
      </w:pPr>
      <w:r>
        <w:rPr>
          <w:rFonts w:hAnsi="宋体"/>
          <w:color w:val="auto"/>
          <w:sz w:val="21"/>
          <w:szCs w:val="21"/>
          <w:highlight w:val="none"/>
        </w:rPr>
        <w:t>6、公司简介:</w:t>
      </w:r>
    </w:p>
    <w:p w14:paraId="34013C2F">
      <w:pPr>
        <w:shd w:val="clear"/>
        <w:spacing w:line="360" w:lineRule="auto"/>
        <w:rPr>
          <w:rFonts w:hAnsi="宋体"/>
          <w:color w:val="auto"/>
          <w:sz w:val="21"/>
          <w:szCs w:val="21"/>
          <w:highlight w:val="none"/>
        </w:rPr>
      </w:pPr>
      <w:r>
        <w:rPr>
          <w:rFonts w:hAnsi="宋体"/>
          <w:color w:val="auto"/>
          <w:sz w:val="21"/>
          <w:szCs w:val="21"/>
          <w:highlight w:val="none"/>
        </w:rPr>
        <w:t>7、公司财务情况：</w:t>
      </w:r>
    </w:p>
    <w:p w14:paraId="7CFAA8B9">
      <w:pPr>
        <w:shd w:val="clear"/>
        <w:spacing w:line="360" w:lineRule="auto"/>
        <w:jc w:val="right"/>
        <w:rPr>
          <w:rFonts w:hAnsi="宋体"/>
          <w:color w:val="auto"/>
          <w:sz w:val="21"/>
          <w:szCs w:val="21"/>
          <w:highlight w:val="none"/>
        </w:rPr>
      </w:pPr>
      <w:r>
        <w:rPr>
          <w:rFonts w:hint="eastAsia" w:hAnsi="宋体"/>
          <w:color w:val="auto"/>
          <w:sz w:val="21"/>
          <w:szCs w:val="21"/>
          <w:highlight w:val="none"/>
        </w:rPr>
        <w:t>【价格单位：（人民币）元】</w:t>
      </w:r>
    </w:p>
    <w:tbl>
      <w:tblPr>
        <w:tblStyle w:val="53"/>
        <w:tblW w:w="89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9"/>
        <w:gridCol w:w="1809"/>
        <w:gridCol w:w="1809"/>
        <w:gridCol w:w="1839"/>
        <w:gridCol w:w="1851"/>
      </w:tblGrid>
      <w:tr w14:paraId="7BD4C1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1629" w:type="dxa"/>
            <w:vAlign w:val="center"/>
          </w:tcPr>
          <w:p w14:paraId="7B66E936">
            <w:pPr>
              <w:shd w:val="clear"/>
              <w:jc w:val="center"/>
              <w:rPr>
                <w:rFonts w:hAnsi="宋体"/>
                <w:color w:val="auto"/>
                <w:sz w:val="21"/>
                <w:szCs w:val="21"/>
                <w:highlight w:val="none"/>
              </w:rPr>
            </w:pPr>
            <w:r>
              <w:rPr>
                <w:rFonts w:hint="eastAsia" w:hAnsi="宋体"/>
                <w:color w:val="auto"/>
                <w:sz w:val="21"/>
                <w:szCs w:val="21"/>
                <w:highlight w:val="none"/>
              </w:rPr>
              <w:t>年  度</w:t>
            </w:r>
          </w:p>
        </w:tc>
        <w:tc>
          <w:tcPr>
            <w:tcW w:w="1809" w:type="dxa"/>
            <w:vAlign w:val="center"/>
          </w:tcPr>
          <w:p w14:paraId="7A3B54D9">
            <w:pPr>
              <w:shd w:val="clear"/>
              <w:jc w:val="center"/>
              <w:rPr>
                <w:rFonts w:hAnsi="宋体"/>
                <w:color w:val="auto"/>
                <w:sz w:val="21"/>
                <w:szCs w:val="21"/>
                <w:highlight w:val="none"/>
              </w:rPr>
            </w:pPr>
            <w:r>
              <w:rPr>
                <w:rFonts w:hint="eastAsia" w:hAnsi="宋体"/>
                <w:color w:val="auto"/>
                <w:sz w:val="21"/>
                <w:szCs w:val="21"/>
                <w:highlight w:val="none"/>
              </w:rPr>
              <w:t>总资产（元）</w:t>
            </w:r>
          </w:p>
        </w:tc>
        <w:tc>
          <w:tcPr>
            <w:tcW w:w="1809" w:type="dxa"/>
            <w:vAlign w:val="center"/>
          </w:tcPr>
          <w:p w14:paraId="44073637">
            <w:pPr>
              <w:shd w:val="clear"/>
              <w:jc w:val="center"/>
              <w:rPr>
                <w:rFonts w:hAnsi="宋体"/>
                <w:color w:val="auto"/>
                <w:sz w:val="21"/>
                <w:szCs w:val="21"/>
                <w:highlight w:val="none"/>
              </w:rPr>
            </w:pPr>
            <w:r>
              <w:rPr>
                <w:rFonts w:hint="eastAsia" w:hAnsi="宋体"/>
                <w:color w:val="auto"/>
                <w:sz w:val="21"/>
                <w:szCs w:val="21"/>
                <w:highlight w:val="none"/>
              </w:rPr>
              <w:t>资产负债率（%）</w:t>
            </w:r>
          </w:p>
        </w:tc>
        <w:tc>
          <w:tcPr>
            <w:tcW w:w="1839" w:type="dxa"/>
            <w:vAlign w:val="center"/>
          </w:tcPr>
          <w:p w14:paraId="48245082">
            <w:pPr>
              <w:shd w:val="clear"/>
              <w:jc w:val="center"/>
              <w:rPr>
                <w:rFonts w:hAnsi="宋体"/>
                <w:color w:val="auto"/>
                <w:sz w:val="21"/>
                <w:szCs w:val="21"/>
                <w:highlight w:val="none"/>
              </w:rPr>
            </w:pPr>
            <w:r>
              <w:rPr>
                <w:rFonts w:hint="eastAsia" w:hAnsi="宋体"/>
                <w:color w:val="auto"/>
                <w:sz w:val="21"/>
                <w:szCs w:val="21"/>
                <w:highlight w:val="none"/>
              </w:rPr>
              <w:t>年营业额（元）</w:t>
            </w:r>
          </w:p>
        </w:tc>
        <w:tc>
          <w:tcPr>
            <w:tcW w:w="1851" w:type="dxa"/>
            <w:vAlign w:val="center"/>
          </w:tcPr>
          <w:p w14:paraId="0342634D">
            <w:pPr>
              <w:shd w:val="clear"/>
              <w:jc w:val="center"/>
              <w:rPr>
                <w:rFonts w:hAnsi="宋体"/>
                <w:color w:val="auto"/>
                <w:sz w:val="21"/>
                <w:szCs w:val="21"/>
                <w:highlight w:val="none"/>
              </w:rPr>
            </w:pPr>
            <w:r>
              <w:rPr>
                <w:rFonts w:hint="eastAsia" w:hAnsi="宋体"/>
                <w:color w:val="auto"/>
                <w:sz w:val="21"/>
                <w:szCs w:val="21"/>
                <w:highlight w:val="none"/>
              </w:rPr>
              <w:t>年净利润（元）</w:t>
            </w:r>
          </w:p>
        </w:tc>
      </w:tr>
      <w:tr w14:paraId="6C7FA4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629" w:type="dxa"/>
            <w:vAlign w:val="center"/>
          </w:tcPr>
          <w:p w14:paraId="0146B162">
            <w:pPr>
              <w:shd w:val="clear"/>
              <w:spacing w:line="360" w:lineRule="auto"/>
              <w:jc w:val="center"/>
              <w:rPr>
                <w:rFonts w:hAnsi="宋体"/>
                <w:color w:val="auto"/>
                <w:sz w:val="21"/>
                <w:szCs w:val="21"/>
                <w:highlight w:val="none"/>
              </w:rPr>
            </w:pPr>
          </w:p>
        </w:tc>
        <w:tc>
          <w:tcPr>
            <w:tcW w:w="1809" w:type="dxa"/>
            <w:vAlign w:val="center"/>
          </w:tcPr>
          <w:p w14:paraId="4890D6DD">
            <w:pPr>
              <w:shd w:val="clear"/>
              <w:spacing w:line="360" w:lineRule="auto"/>
              <w:jc w:val="center"/>
              <w:rPr>
                <w:rFonts w:hAnsi="宋体"/>
                <w:color w:val="auto"/>
                <w:sz w:val="21"/>
                <w:szCs w:val="21"/>
                <w:highlight w:val="none"/>
              </w:rPr>
            </w:pPr>
          </w:p>
        </w:tc>
        <w:tc>
          <w:tcPr>
            <w:tcW w:w="1809" w:type="dxa"/>
            <w:vAlign w:val="center"/>
          </w:tcPr>
          <w:p w14:paraId="566D31A2">
            <w:pPr>
              <w:shd w:val="clear"/>
              <w:spacing w:line="360" w:lineRule="auto"/>
              <w:jc w:val="center"/>
              <w:rPr>
                <w:rFonts w:hAnsi="宋体"/>
                <w:color w:val="auto"/>
                <w:sz w:val="21"/>
                <w:szCs w:val="21"/>
                <w:highlight w:val="none"/>
              </w:rPr>
            </w:pPr>
          </w:p>
        </w:tc>
        <w:tc>
          <w:tcPr>
            <w:tcW w:w="1839" w:type="dxa"/>
            <w:vAlign w:val="center"/>
          </w:tcPr>
          <w:p w14:paraId="78524168">
            <w:pPr>
              <w:shd w:val="clear"/>
              <w:spacing w:line="360" w:lineRule="auto"/>
              <w:jc w:val="center"/>
              <w:rPr>
                <w:rFonts w:hAnsi="宋体"/>
                <w:color w:val="auto"/>
                <w:sz w:val="21"/>
                <w:szCs w:val="21"/>
                <w:highlight w:val="none"/>
              </w:rPr>
            </w:pPr>
          </w:p>
        </w:tc>
        <w:tc>
          <w:tcPr>
            <w:tcW w:w="1851" w:type="dxa"/>
            <w:vAlign w:val="center"/>
          </w:tcPr>
          <w:p w14:paraId="3E3BA9A1">
            <w:pPr>
              <w:shd w:val="clear"/>
              <w:spacing w:line="360" w:lineRule="auto"/>
              <w:jc w:val="center"/>
              <w:rPr>
                <w:rFonts w:hAnsi="宋体"/>
                <w:color w:val="auto"/>
                <w:sz w:val="21"/>
                <w:szCs w:val="21"/>
                <w:highlight w:val="none"/>
              </w:rPr>
            </w:pPr>
          </w:p>
        </w:tc>
      </w:tr>
      <w:tr w14:paraId="2FED1F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629" w:type="dxa"/>
            <w:vAlign w:val="center"/>
          </w:tcPr>
          <w:p w14:paraId="05662960">
            <w:pPr>
              <w:shd w:val="clear"/>
              <w:spacing w:line="360" w:lineRule="auto"/>
              <w:jc w:val="center"/>
              <w:rPr>
                <w:rFonts w:hAnsi="宋体"/>
                <w:color w:val="auto"/>
                <w:sz w:val="21"/>
                <w:szCs w:val="21"/>
                <w:highlight w:val="none"/>
              </w:rPr>
            </w:pPr>
          </w:p>
        </w:tc>
        <w:tc>
          <w:tcPr>
            <w:tcW w:w="1809" w:type="dxa"/>
            <w:vAlign w:val="center"/>
          </w:tcPr>
          <w:p w14:paraId="7CCF36B3">
            <w:pPr>
              <w:shd w:val="clear"/>
              <w:spacing w:line="360" w:lineRule="auto"/>
              <w:jc w:val="center"/>
              <w:rPr>
                <w:rFonts w:hAnsi="宋体"/>
                <w:color w:val="auto"/>
                <w:sz w:val="21"/>
                <w:szCs w:val="21"/>
                <w:highlight w:val="none"/>
              </w:rPr>
            </w:pPr>
          </w:p>
        </w:tc>
        <w:tc>
          <w:tcPr>
            <w:tcW w:w="1809" w:type="dxa"/>
            <w:vAlign w:val="center"/>
          </w:tcPr>
          <w:p w14:paraId="1B525F6C">
            <w:pPr>
              <w:shd w:val="clear"/>
              <w:spacing w:line="360" w:lineRule="auto"/>
              <w:jc w:val="center"/>
              <w:rPr>
                <w:rFonts w:hAnsi="宋体"/>
                <w:color w:val="auto"/>
                <w:sz w:val="21"/>
                <w:szCs w:val="21"/>
                <w:highlight w:val="none"/>
              </w:rPr>
            </w:pPr>
          </w:p>
        </w:tc>
        <w:tc>
          <w:tcPr>
            <w:tcW w:w="1839" w:type="dxa"/>
            <w:vAlign w:val="center"/>
          </w:tcPr>
          <w:p w14:paraId="70A43E38">
            <w:pPr>
              <w:shd w:val="clear"/>
              <w:spacing w:line="360" w:lineRule="auto"/>
              <w:jc w:val="center"/>
              <w:rPr>
                <w:rFonts w:hAnsi="宋体"/>
                <w:color w:val="auto"/>
                <w:sz w:val="21"/>
                <w:szCs w:val="21"/>
                <w:highlight w:val="none"/>
              </w:rPr>
            </w:pPr>
          </w:p>
        </w:tc>
        <w:tc>
          <w:tcPr>
            <w:tcW w:w="1851" w:type="dxa"/>
            <w:vAlign w:val="center"/>
          </w:tcPr>
          <w:p w14:paraId="277E400E">
            <w:pPr>
              <w:shd w:val="clear"/>
              <w:spacing w:line="360" w:lineRule="auto"/>
              <w:jc w:val="center"/>
              <w:rPr>
                <w:rFonts w:hAnsi="宋体"/>
                <w:color w:val="auto"/>
                <w:sz w:val="21"/>
                <w:szCs w:val="21"/>
                <w:highlight w:val="none"/>
              </w:rPr>
            </w:pPr>
          </w:p>
        </w:tc>
      </w:tr>
      <w:tr w14:paraId="125C2F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1629" w:type="dxa"/>
            <w:vAlign w:val="center"/>
          </w:tcPr>
          <w:p w14:paraId="2BAE4641">
            <w:pPr>
              <w:shd w:val="clear"/>
              <w:spacing w:line="360" w:lineRule="auto"/>
              <w:jc w:val="center"/>
              <w:rPr>
                <w:rFonts w:hAnsi="宋体"/>
                <w:color w:val="auto"/>
                <w:sz w:val="21"/>
                <w:szCs w:val="21"/>
                <w:highlight w:val="none"/>
              </w:rPr>
            </w:pPr>
          </w:p>
        </w:tc>
        <w:tc>
          <w:tcPr>
            <w:tcW w:w="1809" w:type="dxa"/>
            <w:vAlign w:val="center"/>
          </w:tcPr>
          <w:p w14:paraId="095E33C6">
            <w:pPr>
              <w:shd w:val="clear"/>
              <w:spacing w:line="360" w:lineRule="auto"/>
              <w:jc w:val="center"/>
              <w:rPr>
                <w:rFonts w:hAnsi="宋体"/>
                <w:color w:val="auto"/>
                <w:sz w:val="21"/>
                <w:szCs w:val="21"/>
                <w:highlight w:val="none"/>
              </w:rPr>
            </w:pPr>
          </w:p>
        </w:tc>
        <w:tc>
          <w:tcPr>
            <w:tcW w:w="1809" w:type="dxa"/>
            <w:vAlign w:val="center"/>
          </w:tcPr>
          <w:p w14:paraId="22528307">
            <w:pPr>
              <w:shd w:val="clear"/>
              <w:spacing w:line="360" w:lineRule="auto"/>
              <w:jc w:val="center"/>
              <w:rPr>
                <w:rFonts w:hAnsi="宋体"/>
                <w:color w:val="auto"/>
                <w:sz w:val="21"/>
                <w:szCs w:val="21"/>
                <w:highlight w:val="none"/>
              </w:rPr>
            </w:pPr>
          </w:p>
        </w:tc>
        <w:tc>
          <w:tcPr>
            <w:tcW w:w="1839" w:type="dxa"/>
            <w:vAlign w:val="center"/>
          </w:tcPr>
          <w:p w14:paraId="661CD474">
            <w:pPr>
              <w:shd w:val="clear"/>
              <w:spacing w:line="360" w:lineRule="auto"/>
              <w:jc w:val="center"/>
              <w:rPr>
                <w:rFonts w:hAnsi="宋体"/>
                <w:color w:val="auto"/>
                <w:sz w:val="21"/>
                <w:szCs w:val="21"/>
                <w:highlight w:val="none"/>
              </w:rPr>
            </w:pPr>
          </w:p>
        </w:tc>
        <w:tc>
          <w:tcPr>
            <w:tcW w:w="1851" w:type="dxa"/>
            <w:vAlign w:val="center"/>
          </w:tcPr>
          <w:p w14:paraId="2D3B840E">
            <w:pPr>
              <w:shd w:val="clear"/>
              <w:spacing w:line="360" w:lineRule="auto"/>
              <w:jc w:val="center"/>
              <w:rPr>
                <w:rFonts w:hAnsi="宋体"/>
                <w:color w:val="auto"/>
                <w:sz w:val="21"/>
                <w:szCs w:val="21"/>
                <w:highlight w:val="none"/>
              </w:rPr>
            </w:pPr>
          </w:p>
        </w:tc>
      </w:tr>
    </w:tbl>
    <w:p w14:paraId="1D05165F">
      <w:pPr>
        <w:shd w:val="clear"/>
        <w:spacing w:line="360" w:lineRule="auto"/>
        <w:rPr>
          <w:rFonts w:hAnsi="宋体"/>
          <w:b/>
          <w:color w:val="auto"/>
          <w:sz w:val="21"/>
          <w:szCs w:val="21"/>
          <w:highlight w:val="none"/>
        </w:rPr>
      </w:pPr>
    </w:p>
    <w:p w14:paraId="7A26A317">
      <w:pPr>
        <w:shd w:val="clear"/>
        <w:tabs>
          <w:tab w:val="left" w:pos="420"/>
          <w:tab w:val="left" w:pos="1485"/>
        </w:tabs>
        <w:spacing w:line="360" w:lineRule="auto"/>
        <w:rPr>
          <w:rFonts w:hAnsi="宋体"/>
          <w:color w:val="auto"/>
          <w:sz w:val="21"/>
          <w:szCs w:val="21"/>
          <w:highlight w:val="none"/>
        </w:rPr>
      </w:pPr>
      <w:bookmarkStart w:id="234" w:name="_Toc7860"/>
      <w:r>
        <w:rPr>
          <w:rFonts w:hint="eastAsia" w:hAnsi="宋体"/>
          <w:color w:val="auto"/>
          <w:sz w:val="21"/>
          <w:szCs w:val="21"/>
          <w:highlight w:val="none"/>
        </w:rPr>
        <w:t>二、</w:t>
      </w:r>
      <w:r>
        <w:rPr>
          <w:rFonts w:hAnsi="宋体"/>
          <w:color w:val="auto"/>
          <w:sz w:val="21"/>
          <w:szCs w:val="21"/>
          <w:highlight w:val="none"/>
        </w:rPr>
        <w:t>供应商获得国家有关部门颁发的资质证明</w:t>
      </w:r>
      <w:r>
        <w:rPr>
          <w:rFonts w:hint="eastAsia" w:hAnsi="宋体"/>
          <w:color w:val="auto"/>
          <w:sz w:val="21"/>
          <w:szCs w:val="21"/>
          <w:highlight w:val="none"/>
        </w:rPr>
        <w:t>或荣誉</w:t>
      </w:r>
      <w:r>
        <w:rPr>
          <w:rFonts w:hAnsi="宋体"/>
          <w:color w:val="auto"/>
          <w:sz w:val="21"/>
          <w:szCs w:val="21"/>
          <w:highlight w:val="none"/>
        </w:rPr>
        <w:t>：</w:t>
      </w:r>
      <w:r>
        <w:rPr>
          <w:rFonts w:hint="eastAsia" w:hAnsi="宋体"/>
          <w:color w:val="auto"/>
          <w:sz w:val="21"/>
          <w:szCs w:val="21"/>
          <w:highlight w:val="none"/>
        </w:rPr>
        <w:t>（如有）</w:t>
      </w:r>
      <w:bookmarkEnd w:id="234"/>
    </w:p>
    <w:tbl>
      <w:tblPr>
        <w:tblStyle w:val="53"/>
        <w:tblW w:w="88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0"/>
        <w:gridCol w:w="1800"/>
        <w:gridCol w:w="1800"/>
        <w:gridCol w:w="1830"/>
        <w:gridCol w:w="1842"/>
      </w:tblGrid>
      <w:tr w14:paraId="414DD3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620" w:type="dxa"/>
            <w:vAlign w:val="center"/>
          </w:tcPr>
          <w:p w14:paraId="35AEFAAF">
            <w:pPr>
              <w:shd w:val="clear"/>
              <w:jc w:val="center"/>
              <w:rPr>
                <w:rFonts w:hAnsi="宋体"/>
                <w:color w:val="auto"/>
                <w:sz w:val="21"/>
                <w:szCs w:val="21"/>
                <w:highlight w:val="none"/>
              </w:rPr>
            </w:pPr>
            <w:r>
              <w:rPr>
                <w:rFonts w:hAnsi="宋体"/>
                <w:color w:val="auto"/>
                <w:sz w:val="21"/>
                <w:szCs w:val="21"/>
                <w:highlight w:val="none"/>
              </w:rPr>
              <w:t>证书名称</w:t>
            </w:r>
          </w:p>
        </w:tc>
        <w:tc>
          <w:tcPr>
            <w:tcW w:w="1800" w:type="dxa"/>
            <w:vAlign w:val="center"/>
          </w:tcPr>
          <w:p w14:paraId="7AA21BFE">
            <w:pPr>
              <w:shd w:val="clear"/>
              <w:jc w:val="center"/>
              <w:rPr>
                <w:rFonts w:hAnsi="宋体"/>
                <w:color w:val="auto"/>
                <w:sz w:val="21"/>
                <w:szCs w:val="21"/>
                <w:highlight w:val="none"/>
              </w:rPr>
            </w:pPr>
            <w:r>
              <w:rPr>
                <w:rFonts w:hAnsi="宋体"/>
                <w:color w:val="auto"/>
                <w:sz w:val="21"/>
                <w:szCs w:val="21"/>
                <w:highlight w:val="none"/>
              </w:rPr>
              <w:t>发证单位</w:t>
            </w:r>
          </w:p>
        </w:tc>
        <w:tc>
          <w:tcPr>
            <w:tcW w:w="1800" w:type="dxa"/>
            <w:vAlign w:val="center"/>
          </w:tcPr>
          <w:p w14:paraId="11730BC6">
            <w:pPr>
              <w:shd w:val="clear"/>
              <w:jc w:val="center"/>
              <w:rPr>
                <w:rFonts w:hAnsi="宋体"/>
                <w:color w:val="auto"/>
                <w:sz w:val="21"/>
                <w:szCs w:val="21"/>
                <w:highlight w:val="none"/>
              </w:rPr>
            </w:pPr>
            <w:r>
              <w:rPr>
                <w:rFonts w:hAnsi="宋体"/>
                <w:color w:val="auto"/>
                <w:sz w:val="21"/>
                <w:szCs w:val="21"/>
                <w:highlight w:val="none"/>
              </w:rPr>
              <w:t>证书等级</w:t>
            </w:r>
          </w:p>
        </w:tc>
        <w:tc>
          <w:tcPr>
            <w:tcW w:w="1830" w:type="dxa"/>
            <w:vAlign w:val="center"/>
          </w:tcPr>
          <w:p w14:paraId="1BB7CC79">
            <w:pPr>
              <w:shd w:val="clear"/>
              <w:jc w:val="center"/>
              <w:rPr>
                <w:rFonts w:hAnsi="宋体"/>
                <w:color w:val="auto"/>
                <w:sz w:val="21"/>
                <w:szCs w:val="21"/>
                <w:highlight w:val="none"/>
              </w:rPr>
            </w:pPr>
            <w:r>
              <w:rPr>
                <w:rFonts w:hAnsi="宋体"/>
                <w:color w:val="auto"/>
                <w:sz w:val="21"/>
                <w:szCs w:val="21"/>
                <w:highlight w:val="none"/>
              </w:rPr>
              <w:t>证书有效期</w:t>
            </w:r>
          </w:p>
        </w:tc>
        <w:tc>
          <w:tcPr>
            <w:tcW w:w="1842" w:type="dxa"/>
            <w:vAlign w:val="center"/>
          </w:tcPr>
          <w:p w14:paraId="1D88B60B">
            <w:pPr>
              <w:shd w:val="clear"/>
              <w:jc w:val="center"/>
              <w:rPr>
                <w:rFonts w:hAnsi="宋体"/>
                <w:color w:val="auto"/>
                <w:sz w:val="21"/>
                <w:szCs w:val="21"/>
                <w:highlight w:val="none"/>
              </w:rPr>
            </w:pPr>
            <w:r>
              <w:rPr>
                <w:rFonts w:hint="eastAsia" w:hAnsi="宋体"/>
                <w:color w:val="auto"/>
                <w:sz w:val="21"/>
                <w:szCs w:val="21"/>
                <w:highlight w:val="none"/>
              </w:rPr>
              <w:t>备注</w:t>
            </w:r>
          </w:p>
        </w:tc>
      </w:tr>
      <w:tr w14:paraId="0AF649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1620" w:type="dxa"/>
            <w:vAlign w:val="center"/>
          </w:tcPr>
          <w:p w14:paraId="1E4B2B66">
            <w:pPr>
              <w:shd w:val="clear"/>
              <w:spacing w:line="360" w:lineRule="auto"/>
              <w:jc w:val="center"/>
              <w:rPr>
                <w:rFonts w:hAnsi="宋体"/>
                <w:color w:val="auto"/>
                <w:sz w:val="21"/>
                <w:szCs w:val="21"/>
                <w:highlight w:val="none"/>
              </w:rPr>
            </w:pPr>
          </w:p>
        </w:tc>
        <w:tc>
          <w:tcPr>
            <w:tcW w:w="1800" w:type="dxa"/>
            <w:vAlign w:val="center"/>
          </w:tcPr>
          <w:p w14:paraId="04B16075">
            <w:pPr>
              <w:shd w:val="clear"/>
              <w:spacing w:line="360" w:lineRule="auto"/>
              <w:jc w:val="center"/>
              <w:rPr>
                <w:rFonts w:hAnsi="宋体"/>
                <w:color w:val="auto"/>
                <w:sz w:val="21"/>
                <w:szCs w:val="21"/>
                <w:highlight w:val="none"/>
              </w:rPr>
            </w:pPr>
          </w:p>
        </w:tc>
        <w:tc>
          <w:tcPr>
            <w:tcW w:w="1800" w:type="dxa"/>
            <w:vAlign w:val="center"/>
          </w:tcPr>
          <w:p w14:paraId="3E913519">
            <w:pPr>
              <w:shd w:val="clear"/>
              <w:spacing w:line="360" w:lineRule="auto"/>
              <w:jc w:val="center"/>
              <w:rPr>
                <w:rFonts w:hAnsi="宋体"/>
                <w:color w:val="auto"/>
                <w:sz w:val="21"/>
                <w:szCs w:val="21"/>
                <w:highlight w:val="none"/>
              </w:rPr>
            </w:pPr>
          </w:p>
        </w:tc>
        <w:tc>
          <w:tcPr>
            <w:tcW w:w="1830" w:type="dxa"/>
            <w:vAlign w:val="center"/>
          </w:tcPr>
          <w:p w14:paraId="4F0EA94E">
            <w:pPr>
              <w:shd w:val="clear"/>
              <w:spacing w:line="360" w:lineRule="auto"/>
              <w:jc w:val="center"/>
              <w:rPr>
                <w:rFonts w:hAnsi="宋体"/>
                <w:color w:val="auto"/>
                <w:sz w:val="21"/>
                <w:szCs w:val="21"/>
                <w:highlight w:val="none"/>
              </w:rPr>
            </w:pPr>
          </w:p>
        </w:tc>
        <w:tc>
          <w:tcPr>
            <w:tcW w:w="1842" w:type="dxa"/>
            <w:vAlign w:val="center"/>
          </w:tcPr>
          <w:p w14:paraId="1C231075">
            <w:pPr>
              <w:shd w:val="clear"/>
              <w:spacing w:line="360" w:lineRule="auto"/>
              <w:jc w:val="center"/>
              <w:rPr>
                <w:rFonts w:hAnsi="宋体"/>
                <w:color w:val="auto"/>
                <w:sz w:val="21"/>
                <w:szCs w:val="21"/>
                <w:highlight w:val="none"/>
              </w:rPr>
            </w:pPr>
          </w:p>
        </w:tc>
      </w:tr>
      <w:tr w14:paraId="1EB69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620" w:type="dxa"/>
            <w:vAlign w:val="center"/>
          </w:tcPr>
          <w:p w14:paraId="6A752485">
            <w:pPr>
              <w:shd w:val="clear"/>
              <w:spacing w:line="360" w:lineRule="auto"/>
              <w:jc w:val="center"/>
              <w:rPr>
                <w:rFonts w:hAnsi="宋体"/>
                <w:color w:val="auto"/>
                <w:sz w:val="21"/>
                <w:szCs w:val="21"/>
                <w:highlight w:val="none"/>
              </w:rPr>
            </w:pPr>
          </w:p>
        </w:tc>
        <w:tc>
          <w:tcPr>
            <w:tcW w:w="1800" w:type="dxa"/>
            <w:vAlign w:val="center"/>
          </w:tcPr>
          <w:p w14:paraId="32D41982">
            <w:pPr>
              <w:shd w:val="clear"/>
              <w:spacing w:line="360" w:lineRule="auto"/>
              <w:jc w:val="center"/>
              <w:rPr>
                <w:rFonts w:hAnsi="宋体"/>
                <w:color w:val="auto"/>
                <w:sz w:val="21"/>
                <w:szCs w:val="21"/>
                <w:highlight w:val="none"/>
              </w:rPr>
            </w:pPr>
          </w:p>
        </w:tc>
        <w:tc>
          <w:tcPr>
            <w:tcW w:w="1800" w:type="dxa"/>
            <w:vAlign w:val="center"/>
          </w:tcPr>
          <w:p w14:paraId="4EA500C3">
            <w:pPr>
              <w:shd w:val="clear"/>
              <w:spacing w:line="360" w:lineRule="auto"/>
              <w:jc w:val="center"/>
              <w:rPr>
                <w:rFonts w:hAnsi="宋体"/>
                <w:color w:val="auto"/>
                <w:sz w:val="21"/>
                <w:szCs w:val="21"/>
                <w:highlight w:val="none"/>
              </w:rPr>
            </w:pPr>
          </w:p>
        </w:tc>
        <w:tc>
          <w:tcPr>
            <w:tcW w:w="1830" w:type="dxa"/>
            <w:vAlign w:val="center"/>
          </w:tcPr>
          <w:p w14:paraId="5ED08CEB">
            <w:pPr>
              <w:shd w:val="clear"/>
              <w:spacing w:line="360" w:lineRule="auto"/>
              <w:jc w:val="center"/>
              <w:rPr>
                <w:rFonts w:hAnsi="宋体"/>
                <w:color w:val="auto"/>
                <w:sz w:val="21"/>
                <w:szCs w:val="21"/>
                <w:highlight w:val="none"/>
              </w:rPr>
            </w:pPr>
          </w:p>
        </w:tc>
        <w:tc>
          <w:tcPr>
            <w:tcW w:w="1842" w:type="dxa"/>
            <w:vAlign w:val="center"/>
          </w:tcPr>
          <w:p w14:paraId="13C5CFBB">
            <w:pPr>
              <w:shd w:val="clear"/>
              <w:spacing w:line="360" w:lineRule="auto"/>
              <w:jc w:val="center"/>
              <w:rPr>
                <w:rFonts w:hAnsi="宋体"/>
                <w:color w:val="auto"/>
                <w:sz w:val="21"/>
                <w:szCs w:val="21"/>
                <w:highlight w:val="none"/>
              </w:rPr>
            </w:pPr>
          </w:p>
        </w:tc>
      </w:tr>
    </w:tbl>
    <w:p w14:paraId="27DDE44B">
      <w:pPr>
        <w:shd w:val="clear"/>
        <w:spacing w:line="420" w:lineRule="atLeast"/>
        <w:rPr>
          <w:rFonts w:hAnsi="宋体"/>
          <w:color w:val="auto"/>
          <w:sz w:val="21"/>
          <w:szCs w:val="21"/>
          <w:highlight w:val="none"/>
        </w:rPr>
      </w:pPr>
      <w:r>
        <w:rPr>
          <w:rFonts w:hint="eastAsia" w:hAnsi="宋体"/>
          <w:color w:val="auto"/>
          <w:sz w:val="21"/>
          <w:szCs w:val="21"/>
          <w:highlight w:val="none"/>
        </w:rPr>
        <w:t>备注：以上资质或荣誉必须提供相关证明材料。</w:t>
      </w:r>
    </w:p>
    <w:p w14:paraId="7F7FE3CC">
      <w:pPr>
        <w:shd w:val="clear"/>
        <w:spacing w:line="420" w:lineRule="atLeast"/>
        <w:rPr>
          <w:rFonts w:hAnsi="宋体"/>
          <w:color w:val="auto"/>
          <w:sz w:val="21"/>
          <w:szCs w:val="21"/>
          <w:highlight w:val="none"/>
        </w:rPr>
      </w:pPr>
      <w:r>
        <w:rPr>
          <w:rFonts w:hint="eastAsia" w:hAnsi="宋体"/>
          <w:color w:val="auto"/>
          <w:sz w:val="21"/>
          <w:szCs w:val="21"/>
          <w:highlight w:val="none"/>
        </w:rPr>
        <w:t>兹证明上述声明是真实、正确的，并提供了全部能提供的资料和数据，我方同意遵照贵方要求出示有关证明文件。</w:t>
      </w:r>
    </w:p>
    <w:p w14:paraId="73060E40">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7613D2AD">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06C742BF">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 xml:space="preserve">日期：年月日 </w:t>
      </w:r>
    </w:p>
    <w:p w14:paraId="12D24863">
      <w:pPr>
        <w:pStyle w:val="3"/>
        <w:numPr>
          <w:ilvl w:val="0"/>
          <w:numId w:val="19"/>
        </w:numPr>
        <w:shd w:val="clear"/>
        <w:jc w:val="center"/>
        <w:rPr>
          <w:b w:val="0"/>
          <w:color w:val="auto"/>
          <w:sz w:val="28"/>
          <w:szCs w:val="28"/>
          <w:highlight w:val="none"/>
          <w:u w:val="single"/>
        </w:rPr>
      </w:pPr>
      <w:r>
        <w:rPr>
          <w:color w:val="auto"/>
          <w:sz w:val="22"/>
          <w:szCs w:val="22"/>
          <w:highlight w:val="none"/>
        </w:rPr>
        <w:br w:type="page"/>
      </w:r>
      <w:bookmarkStart w:id="235" w:name="_Toc27094"/>
      <w:bookmarkStart w:id="236" w:name="_Toc7897894"/>
      <w:bookmarkStart w:id="237" w:name="_Toc17704"/>
      <w:bookmarkStart w:id="238" w:name="_Toc8896"/>
      <w:r>
        <w:rPr>
          <w:rFonts w:hint="eastAsia"/>
          <w:bCs/>
          <w:color w:val="auto"/>
          <w:sz w:val="28"/>
          <w:szCs w:val="28"/>
          <w:highlight w:val="none"/>
        </w:rPr>
        <w:t>偏离表</w:t>
      </w:r>
      <w:bookmarkEnd w:id="210"/>
      <w:bookmarkEnd w:id="235"/>
      <w:bookmarkEnd w:id="236"/>
      <w:bookmarkEnd w:id="237"/>
      <w:bookmarkEnd w:id="238"/>
    </w:p>
    <w:p w14:paraId="377DE566">
      <w:pPr>
        <w:pStyle w:val="12"/>
        <w:shd w:val="clear"/>
        <w:ind w:firstLine="480"/>
        <w:rPr>
          <w:color w:val="auto"/>
          <w:sz w:val="24"/>
          <w:szCs w:val="21"/>
          <w:highlight w:val="none"/>
        </w:rPr>
      </w:pPr>
    </w:p>
    <w:p w14:paraId="21B13862">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Cs w:val="21"/>
          <w:highlight w:val="none"/>
        </w:rPr>
      </w:pPr>
    </w:p>
    <w:tbl>
      <w:tblPr>
        <w:tblStyle w:val="53"/>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61"/>
        <w:gridCol w:w="1241"/>
        <w:gridCol w:w="1984"/>
        <w:gridCol w:w="1276"/>
        <w:gridCol w:w="1594"/>
      </w:tblGrid>
      <w:tr w14:paraId="741FF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17" w:type="dxa"/>
            <w:vAlign w:val="center"/>
          </w:tcPr>
          <w:p w14:paraId="504EB51C">
            <w:pPr>
              <w:shd w:val="clear"/>
              <w:jc w:val="center"/>
              <w:rPr>
                <w:rFonts w:hAnsi="宋体"/>
                <w:b/>
                <w:bCs/>
                <w:color w:val="auto"/>
                <w:sz w:val="21"/>
                <w:szCs w:val="21"/>
                <w:highlight w:val="none"/>
              </w:rPr>
            </w:pPr>
            <w:r>
              <w:rPr>
                <w:rFonts w:hint="eastAsia" w:hAnsi="宋体"/>
                <w:b/>
                <w:bCs/>
                <w:color w:val="auto"/>
                <w:sz w:val="21"/>
                <w:szCs w:val="21"/>
                <w:highlight w:val="none"/>
              </w:rPr>
              <w:t>序号</w:t>
            </w:r>
          </w:p>
        </w:tc>
        <w:tc>
          <w:tcPr>
            <w:tcW w:w="2161" w:type="dxa"/>
            <w:vAlign w:val="center"/>
          </w:tcPr>
          <w:p w14:paraId="487B8575">
            <w:pPr>
              <w:shd w:val="clear"/>
              <w:jc w:val="center"/>
              <w:rPr>
                <w:rFonts w:hAnsi="宋体"/>
                <w:b/>
                <w:bCs/>
                <w:color w:val="auto"/>
                <w:sz w:val="21"/>
                <w:szCs w:val="21"/>
                <w:highlight w:val="none"/>
              </w:rPr>
            </w:pPr>
            <w:r>
              <w:rPr>
                <w:rFonts w:hint="eastAsia" w:hAnsi="宋体"/>
                <w:b/>
                <w:bCs/>
                <w:color w:val="auto"/>
                <w:sz w:val="21"/>
                <w:szCs w:val="21"/>
                <w:highlight w:val="none"/>
              </w:rPr>
              <w:t>项 目</w:t>
            </w:r>
          </w:p>
        </w:tc>
        <w:tc>
          <w:tcPr>
            <w:tcW w:w="1241" w:type="dxa"/>
            <w:vAlign w:val="center"/>
          </w:tcPr>
          <w:p w14:paraId="4DA26DF4">
            <w:pPr>
              <w:shd w:val="clear"/>
              <w:jc w:val="center"/>
              <w:rPr>
                <w:rFonts w:hAnsi="宋体"/>
                <w:b/>
                <w:bCs/>
                <w:color w:val="auto"/>
                <w:sz w:val="21"/>
                <w:szCs w:val="21"/>
                <w:highlight w:val="none"/>
              </w:rPr>
            </w:pPr>
            <w:r>
              <w:rPr>
                <w:rFonts w:hint="eastAsia" w:hAnsi="宋体"/>
                <w:b/>
                <w:bCs/>
                <w:color w:val="auto"/>
                <w:sz w:val="21"/>
                <w:szCs w:val="21"/>
                <w:highlight w:val="none"/>
              </w:rPr>
              <w:t>磋商文件要求</w:t>
            </w:r>
          </w:p>
        </w:tc>
        <w:tc>
          <w:tcPr>
            <w:tcW w:w="1984" w:type="dxa"/>
            <w:vAlign w:val="center"/>
          </w:tcPr>
          <w:p w14:paraId="5F8BD297">
            <w:pPr>
              <w:shd w:val="clear"/>
              <w:jc w:val="center"/>
              <w:rPr>
                <w:rFonts w:hAnsi="宋体"/>
                <w:b/>
                <w:bCs/>
                <w:color w:val="auto"/>
                <w:sz w:val="21"/>
                <w:szCs w:val="21"/>
                <w:highlight w:val="none"/>
              </w:rPr>
            </w:pPr>
            <w:r>
              <w:rPr>
                <w:rFonts w:hint="eastAsia" w:hAnsi="宋体"/>
                <w:b/>
                <w:bCs/>
                <w:color w:val="auto"/>
                <w:sz w:val="21"/>
                <w:szCs w:val="21"/>
                <w:highlight w:val="none"/>
              </w:rPr>
              <w:t>响应文件</w:t>
            </w:r>
          </w:p>
          <w:p w14:paraId="759977EE">
            <w:pPr>
              <w:shd w:val="clear"/>
              <w:jc w:val="center"/>
              <w:rPr>
                <w:rFonts w:hAnsi="宋体"/>
                <w:b/>
                <w:bCs/>
                <w:color w:val="auto"/>
                <w:sz w:val="21"/>
                <w:szCs w:val="21"/>
                <w:highlight w:val="none"/>
              </w:rPr>
            </w:pPr>
            <w:r>
              <w:rPr>
                <w:rFonts w:hint="eastAsia" w:hAnsi="宋体"/>
                <w:b/>
                <w:bCs/>
                <w:color w:val="auto"/>
                <w:sz w:val="21"/>
                <w:szCs w:val="21"/>
                <w:highlight w:val="none"/>
              </w:rPr>
              <w:t>响应情况</w:t>
            </w:r>
          </w:p>
        </w:tc>
        <w:tc>
          <w:tcPr>
            <w:tcW w:w="1276" w:type="dxa"/>
            <w:vAlign w:val="center"/>
          </w:tcPr>
          <w:p w14:paraId="2492A607">
            <w:pPr>
              <w:shd w:val="clear"/>
              <w:jc w:val="center"/>
              <w:rPr>
                <w:rFonts w:hAnsi="宋体"/>
                <w:b/>
                <w:bCs/>
                <w:color w:val="auto"/>
                <w:sz w:val="21"/>
                <w:szCs w:val="21"/>
                <w:highlight w:val="none"/>
              </w:rPr>
            </w:pPr>
            <w:r>
              <w:rPr>
                <w:rFonts w:hint="eastAsia" w:hAnsi="宋体"/>
                <w:b/>
                <w:bCs/>
                <w:color w:val="auto"/>
                <w:sz w:val="21"/>
                <w:szCs w:val="21"/>
                <w:highlight w:val="none"/>
              </w:rPr>
              <w:t>偏离情况</w:t>
            </w:r>
          </w:p>
        </w:tc>
        <w:tc>
          <w:tcPr>
            <w:tcW w:w="1594" w:type="dxa"/>
            <w:vAlign w:val="center"/>
          </w:tcPr>
          <w:p w14:paraId="7F857A13">
            <w:pPr>
              <w:shd w:val="clear"/>
              <w:jc w:val="center"/>
              <w:rPr>
                <w:rFonts w:hAnsi="宋体"/>
                <w:b/>
                <w:bCs/>
                <w:color w:val="auto"/>
                <w:sz w:val="21"/>
                <w:szCs w:val="21"/>
                <w:highlight w:val="none"/>
              </w:rPr>
            </w:pPr>
            <w:r>
              <w:rPr>
                <w:rFonts w:hint="eastAsia" w:hAnsi="宋体"/>
                <w:b/>
                <w:bCs/>
                <w:color w:val="auto"/>
                <w:sz w:val="21"/>
                <w:szCs w:val="21"/>
                <w:highlight w:val="none"/>
              </w:rPr>
              <w:t>偏离情况</w:t>
            </w:r>
          </w:p>
          <w:p w14:paraId="2C65B789">
            <w:pPr>
              <w:shd w:val="clear"/>
              <w:jc w:val="center"/>
              <w:rPr>
                <w:rFonts w:hAnsi="宋体"/>
                <w:b/>
                <w:bCs/>
                <w:color w:val="auto"/>
                <w:sz w:val="21"/>
                <w:szCs w:val="21"/>
                <w:highlight w:val="none"/>
              </w:rPr>
            </w:pPr>
            <w:r>
              <w:rPr>
                <w:rFonts w:hint="eastAsia" w:hAnsi="宋体"/>
                <w:b/>
                <w:bCs/>
                <w:color w:val="auto"/>
                <w:sz w:val="21"/>
                <w:szCs w:val="21"/>
                <w:highlight w:val="none"/>
              </w:rPr>
              <w:t>说明</w:t>
            </w:r>
          </w:p>
        </w:tc>
      </w:tr>
      <w:tr w14:paraId="7F9B3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A500A18">
            <w:pPr>
              <w:shd w:val="clear"/>
              <w:jc w:val="center"/>
              <w:rPr>
                <w:rFonts w:hAnsi="宋体"/>
                <w:b/>
                <w:color w:val="auto"/>
                <w:sz w:val="21"/>
                <w:szCs w:val="21"/>
                <w:highlight w:val="none"/>
              </w:rPr>
            </w:pPr>
            <w:r>
              <w:rPr>
                <w:rFonts w:hint="eastAsia" w:hAnsi="宋体"/>
                <w:b/>
                <w:color w:val="auto"/>
                <w:sz w:val="21"/>
                <w:szCs w:val="21"/>
                <w:highlight w:val="none"/>
              </w:rPr>
              <w:t>1</w:t>
            </w:r>
          </w:p>
        </w:tc>
        <w:tc>
          <w:tcPr>
            <w:tcW w:w="2161" w:type="dxa"/>
            <w:vAlign w:val="center"/>
          </w:tcPr>
          <w:p w14:paraId="7769120B">
            <w:pPr>
              <w:shd w:val="clear"/>
              <w:rPr>
                <w:rFonts w:hAnsi="宋体"/>
                <w:bCs/>
                <w:color w:val="auto"/>
                <w:sz w:val="21"/>
                <w:szCs w:val="21"/>
                <w:highlight w:val="none"/>
              </w:rPr>
            </w:pPr>
          </w:p>
        </w:tc>
        <w:tc>
          <w:tcPr>
            <w:tcW w:w="1241" w:type="dxa"/>
            <w:vAlign w:val="center"/>
          </w:tcPr>
          <w:p w14:paraId="55DE2971">
            <w:pPr>
              <w:shd w:val="clear"/>
              <w:jc w:val="center"/>
              <w:rPr>
                <w:rFonts w:hAnsi="宋体"/>
                <w:color w:val="auto"/>
                <w:sz w:val="21"/>
                <w:szCs w:val="21"/>
                <w:highlight w:val="none"/>
              </w:rPr>
            </w:pPr>
          </w:p>
        </w:tc>
        <w:tc>
          <w:tcPr>
            <w:tcW w:w="1984" w:type="dxa"/>
            <w:vAlign w:val="center"/>
          </w:tcPr>
          <w:p w14:paraId="3481FC7E">
            <w:pPr>
              <w:shd w:val="clear"/>
              <w:jc w:val="center"/>
              <w:rPr>
                <w:rFonts w:hAnsi="宋体"/>
                <w:color w:val="auto"/>
                <w:sz w:val="21"/>
                <w:szCs w:val="21"/>
                <w:highlight w:val="none"/>
              </w:rPr>
            </w:pPr>
          </w:p>
        </w:tc>
        <w:tc>
          <w:tcPr>
            <w:tcW w:w="1276" w:type="dxa"/>
            <w:vAlign w:val="center"/>
          </w:tcPr>
          <w:p w14:paraId="4C08D143">
            <w:pPr>
              <w:shd w:val="clear"/>
              <w:ind w:left="-446" w:leftChars="-186" w:firstLine="390" w:firstLineChars="186"/>
              <w:jc w:val="center"/>
              <w:rPr>
                <w:rFonts w:hAnsi="宋体"/>
                <w:color w:val="auto"/>
                <w:sz w:val="21"/>
                <w:szCs w:val="21"/>
                <w:highlight w:val="none"/>
              </w:rPr>
            </w:pPr>
          </w:p>
        </w:tc>
        <w:tc>
          <w:tcPr>
            <w:tcW w:w="1594" w:type="dxa"/>
            <w:vAlign w:val="center"/>
          </w:tcPr>
          <w:p w14:paraId="4745701A">
            <w:pPr>
              <w:shd w:val="clear"/>
              <w:ind w:left="-446" w:leftChars="-186" w:firstLine="390" w:firstLineChars="186"/>
              <w:jc w:val="center"/>
              <w:rPr>
                <w:rFonts w:hAnsi="宋体"/>
                <w:color w:val="auto"/>
                <w:sz w:val="21"/>
                <w:szCs w:val="21"/>
                <w:highlight w:val="none"/>
              </w:rPr>
            </w:pPr>
          </w:p>
        </w:tc>
      </w:tr>
      <w:tr w14:paraId="0CBC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82C9F19">
            <w:pPr>
              <w:shd w:val="clear"/>
              <w:jc w:val="center"/>
              <w:rPr>
                <w:rFonts w:hAnsi="宋体"/>
                <w:b/>
                <w:color w:val="auto"/>
                <w:sz w:val="21"/>
                <w:szCs w:val="21"/>
                <w:highlight w:val="none"/>
              </w:rPr>
            </w:pPr>
            <w:r>
              <w:rPr>
                <w:rFonts w:hint="eastAsia" w:hAnsi="宋体"/>
                <w:b/>
                <w:color w:val="auto"/>
                <w:sz w:val="21"/>
                <w:szCs w:val="21"/>
                <w:highlight w:val="none"/>
              </w:rPr>
              <w:t>2</w:t>
            </w:r>
          </w:p>
        </w:tc>
        <w:tc>
          <w:tcPr>
            <w:tcW w:w="2161" w:type="dxa"/>
            <w:vAlign w:val="center"/>
          </w:tcPr>
          <w:p w14:paraId="66DECC81">
            <w:pPr>
              <w:shd w:val="clear"/>
              <w:rPr>
                <w:rFonts w:hAnsi="宋体"/>
                <w:bCs/>
                <w:color w:val="auto"/>
                <w:sz w:val="21"/>
                <w:szCs w:val="21"/>
                <w:highlight w:val="none"/>
              </w:rPr>
            </w:pPr>
          </w:p>
        </w:tc>
        <w:tc>
          <w:tcPr>
            <w:tcW w:w="1241" w:type="dxa"/>
            <w:vAlign w:val="center"/>
          </w:tcPr>
          <w:p w14:paraId="41FA7337">
            <w:pPr>
              <w:shd w:val="clear"/>
              <w:jc w:val="center"/>
              <w:rPr>
                <w:rFonts w:hAnsi="宋体"/>
                <w:color w:val="auto"/>
                <w:sz w:val="21"/>
                <w:szCs w:val="21"/>
                <w:highlight w:val="none"/>
              </w:rPr>
            </w:pPr>
          </w:p>
        </w:tc>
        <w:tc>
          <w:tcPr>
            <w:tcW w:w="1984" w:type="dxa"/>
            <w:vAlign w:val="center"/>
          </w:tcPr>
          <w:p w14:paraId="1A7387E4">
            <w:pPr>
              <w:shd w:val="clear"/>
              <w:jc w:val="center"/>
              <w:rPr>
                <w:rFonts w:hAnsi="宋体"/>
                <w:color w:val="auto"/>
                <w:sz w:val="21"/>
                <w:szCs w:val="21"/>
                <w:highlight w:val="none"/>
              </w:rPr>
            </w:pPr>
          </w:p>
        </w:tc>
        <w:tc>
          <w:tcPr>
            <w:tcW w:w="1276" w:type="dxa"/>
            <w:vAlign w:val="center"/>
          </w:tcPr>
          <w:p w14:paraId="46F6585D">
            <w:pPr>
              <w:shd w:val="clear"/>
              <w:jc w:val="center"/>
              <w:rPr>
                <w:rFonts w:hAnsi="宋体"/>
                <w:color w:val="auto"/>
                <w:sz w:val="21"/>
                <w:szCs w:val="21"/>
                <w:highlight w:val="none"/>
              </w:rPr>
            </w:pPr>
          </w:p>
        </w:tc>
        <w:tc>
          <w:tcPr>
            <w:tcW w:w="1594" w:type="dxa"/>
            <w:vAlign w:val="center"/>
          </w:tcPr>
          <w:p w14:paraId="3B495B78">
            <w:pPr>
              <w:shd w:val="clear"/>
              <w:jc w:val="center"/>
              <w:rPr>
                <w:rFonts w:hAnsi="宋体"/>
                <w:color w:val="auto"/>
                <w:sz w:val="21"/>
                <w:szCs w:val="21"/>
                <w:highlight w:val="none"/>
              </w:rPr>
            </w:pPr>
          </w:p>
        </w:tc>
      </w:tr>
      <w:tr w14:paraId="3DAB3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DA9C876">
            <w:pPr>
              <w:shd w:val="clear"/>
              <w:jc w:val="center"/>
              <w:rPr>
                <w:rFonts w:hAnsi="宋体"/>
                <w:b/>
                <w:color w:val="auto"/>
                <w:sz w:val="21"/>
                <w:szCs w:val="21"/>
                <w:highlight w:val="none"/>
              </w:rPr>
            </w:pPr>
            <w:r>
              <w:rPr>
                <w:rFonts w:hint="eastAsia" w:hAnsi="宋体"/>
                <w:b/>
                <w:color w:val="auto"/>
                <w:sz w:val="21"/>
                <w:szCs w:val="21"/>
                <w:highlight w:val="none"/>
              </w:rPr>
              <w:t>3</w:t>
            </w:r>
          </w:p>
        </w:tc>
        <w:tc>
          <w:tcPr>
            <w:tcW w:w="2161" w:type="dxa"/>
            <w:vAlign w:val="center"/>
          </w:tcPr>
          <w:p w14:paraId="0A7C03CD">
            <w:pPr>
              <w:shd w:val="clear"/>
              <w:rPr>
                <w:rFonts w:hAnsi="宋体"/>
                <w:bCs/>
                <w:color w:val="auto"/>
                <w:sz w:val="21"/>
                <w:szCs w:val="21"/>
                <w:highlight w:val="none"/>
              </w:rPr>
            </w:pPr>
          </w:p>
        </w:tc>
        <w:tc>
          <w:tcPr>
            <w:tcW w:w="1241" w:type="dxa"/>
            <w:vAlign w:val="center"/>
          </w:tcPr>
          <w:p w14:paraId="4674353A">
            <w:pPr>
              <w:shd w:val="clear"/>
              <w:jc w:val="center"/>
              <w:rPr>
                <w:rFonts w:hAnsi="宋体"/>
                <w:color w:val="auto"/>
                <w:sz w:val="21"/>
                <w:szCs w:val="21"/>
                <w:highlight w:val="none"/>
              </w:rPr>
            </w:pPr>
          </w:p>
        </w:tc>
        <w:tc>
          <w:tcPr>
            <w:tcW w:w="1984" w:type="dxa"/>
            <w:vAlign w:val="center"/>
          </w:tcPr>
          <w:p w14:paraId="5BDD19E7">
            <w:pPr>
              <w:shd w:val="clear"/>
              <w:jc w:val="center"/>
              <w:rPr>
                <w:rFonts w:hAnsi="宋体"/>
                <w:color w:val="auto"/>
                <w:sz w:val="21"/>
                <w:szCs w:val="21"/>
                <w:highlight w:val="none"/>
              </w:rPr>
            </w:pPr>
          </w:p>
        </w:tc>
        <w:tc>
          <w:tcPr>
            <w:tcW w:w="1276" w:type="dxa"/>
            <w:vAlign w:val="center"/>
          </w:tcPr>
          <w:p w14:paraId="115A8049">
            <w:pPr>
              <w:shd w:val="clear"/>
              <w:jc w:val="center"/>
              <w:rPr>
                <w:rFonts w:hAnsi="宋体"/>
                <w:color w:val="auto"/>
                <w:sz w:val="21"/>
                <w:szCs w:val="21"/>
                <w:highlight w:val="none"/>
              </w:rPr>
            </w:pPr>
          </w:p>
        </w:tc>
        <w:tc>
          <w:tcPr>
            <w:tcW w:w="1594" w:type="dxa"/>
            <w:vAlign w:val="center"/>
          </w:tcPr>
          <w:p w14:paraId="3770ECD8">
            <w:pPr>
              <w:shd w:val="clear"/>
              <w:jc w:val="center"/>
              <w:rPr>
                <w:rFonts w:hAnsi="宋体"/>
                <w:color w:val="auto"/>
                <w:sz w:val="21"/>
                <w:szCs w:val="21"/>
                <w:highlight w:val="none"/>
              </w:rPr>
            </w:pPr>
          </w:p>
        </w:tc>
      </w:tr>
      <w:tr w14:paraId="4E40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75B4D15">
            <w:pPr>
              <w:shd w:val="clear"/>
              <w:jc w:val="center"/>
              <w:rPr>
                <w:rFonts w:hAnsi="宋体"/>
                <w:b/>
                <w:color w:val="auto"/>
                <w:sz w:val="21"/>
                <w:szCs w:val="21"/>
                <w:highlight w:val="none"/>
              </w:rPr>
            </w:pPr>
            <w:r>
              <w:rPr>
                <w:rFonts w:hint="eastAsia" w:hAnsi="宋体"/>
                <w:b/>
                <w:color w:val="auto"/>
                <w:sz w:val="21"/>
                <w:szCs w:val="21"/>
                <w:highlight w:val="none"/>
              </w:rPr>
              <w:t>···</w:t>
            </w:r>
          </w:p>
        </w:tc>
        <w:tc>
          <w:tcPr>
            <w:tcW w:w="2161" w:type="dxa"/>
            <w:vAlign w:val="center"/>
          </w:tcPr>
          <w:p w14:paraId="7AAF88CA">
            <w:pPr>
              <w:shd w:val="clear"/>
              <w:rPr>
                <w:rFonts w:hAnsi="宋体"/>
                <w:bCs/>
                <w:color w:val="auto"/>
                <w:sz w:val="21"/>
                <w:szCs w:val="21"/>
                <w:highlight w:val="none"/>
              </w:rPr>
            </w:pPr>
          </w:p>
        </w:tc>
        <w:tc>
          <w:tcPr>
            <w:tcW w:w="1241" w:type="dxa"/>
            <w:vAlign w:val="center"/>
          </w:tcPr>
          <w:p w14:paraId="41708A38">
            <w:pPr>
              <w:shd w:val="clear"/>
              <w:jc w:val="center"/>
              <w:rPr>
                <w:rFonts w:hAnsi="宋体"/>
                <w:color w:val="auto"/>
                <w:sz w:val="21"/>
                <w:szCs w:val="21"/>
                <w:highlight w:val="none"/>
              </w:rPr>
            </w:pPr>
          </w:p>
        </w:tc>
        <w:tc>
          <w:tcPr>
            <w:tcW w:w="1984" w:type="dxa"/>
            <w:vAlign w:val="center"/>
          </w:tcPr>
          <w:p w14:paraId="470B7B6D">
            <w:pPr>
              <w:shd w:val="clear"/>
              <w:jc w:val="center"/>
              <w:rPr>
                <w:rFonts w:hAnsi="宋体"/>
                <w:color w:val="auto"/>
                <w:sz w:val="21"/>
                <w:szCs w:val="21"/>
                <w:highlight w:val="none"/>
              </w:rPr>
            </w:pPr>
          </w:p>
        </w:tc>
        <w:tc>
          <w:tcPr>
            <w:tcW w:w="1276" w:type="dxa"/>
            <w:vAlign w:val="center"/>
          </w:tcPr>
          <w:p w14:paraId="3B7B08CA">
            <w:pPr>
              <w:shd w:val="clear"/>
              <w:jc w:val="center"/>
              <w:rPr>
                <w:rFonts w:hAnsi="宋体"/>
                <w:color w:val="auto"/>
                <w:sz w:val="21"/>
                <w:szCs w:val="21"/>
                <w:highlight w:val="none"/>
              </w:rPr>
            </w:pPr>
          </w:p>
        </w:tc>
        <w:tc>
          <w:tcPr>
            <w:tcW w:w="1594" w:type="dxa"/>
            <w:vAlign w:val="center"/>
          </w:tcPr>
          <w:p w14:paraId="24E7FAA7">
            <w:pPr>
              <w:shd w:val="clear"/>
              <w:jc w:val="center"/>
              <w:rPr>
                <w:rFonts w:hAnsi="宋体"/>
                <w:color w:val="auto"/>
                <w:sz w:val="21"/>
                <w:szCs w:val="21"/>
                <w:highlight w:val="none"/>
              </w:rPr>
            </w:pPr>
          </w:p>
        </w:tc>
      </w:tr>
      <w:tr w14:paraId="4861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C1F9B49">
            <w:pPr>
              <w:shd w:val="clear"/>
              <w:jc w:val="center"/>
              <w:rPr>
                <w:rFonts w:hAnsi="宋体"/>
                <w:b/>
                <w:color w:val="auto"/>
                <w:sz w:val="21"/>
                <w:szCs w:val="21"/>
                <w:highlight w:val="none"/>
              </w:rPr>
            </w:pPr>
          </w:p>
        </w:tc>
        <w:tc>
          <w:tcPr>
            <w:tcW w:w="2161" w:type="dxa"/>
            <w:vAlign w:val="center"/>
          </w:tcPr>
          <w:p w14:paraId="3B5B68A4">
            <w:pPr>
              <w:shd w:val="clear"/>
              <w:rPr>
                <w:rFonts w:hAnsi="宋体"/>
                <w:bCs/>
                <w:color w:val="auto"/>
                <w:sz w:val="21"/>
                <w:szCs w:val="21"/>
                <w:highlight w:val="none"/>
              </w:rPr>
            </w:pPr>
          </w:p>
        </w:tc>
        <w:tc>
          <w:tcPr>
            <w:tcW w:w="1241" w:type="dxa"/>
            <w:vAlign w:val="center"/>
          </w:tcPr>
          <w:p w14:paraId="1B684C62">
            <w:pPr>
              <w:shd w:val="clear"/>
              <w:jc w:val="center"/>
              <w:rPr>
                <w:rFonts w:hAnsi="宋体"/>
                <w:color w:val="auto"/>
                <w:sz w:val="21"/>
                <w:szCs w:val="21"/>
                <w:highlight w:val="none"/>
              </w:rPr>
            </w:pPr>
          </w:p>
        </w:tc>
        <w:tc>
          <w:tcPr>
            <w:tcW w:w="1984" w:type="dxa"/>
            <w:vAlign w:val="center"/>
          </w:tcPr>
          <w:p w14:paraId="566B9F72">
            <w:pPr>
              <w:shd w:val="clear"/>
              <w:jc w:val="center"/>
              <w:rPr>
                <w:rFonts w:hAnsi="宋体"/>
                <w:color w:val="auto"/>
                <w:sz w:val="21"/>
                <w:szCs w:val="21"/>
                <w:highlight w:val="none"/>
              </w:rPr>
            </w:pPr>
          </w:p>
        </w:tc>
        <w:tc>
          <w:tcPr>
            <w:tcW w:w="1276" w:type="dxa"/>
            <w:vAlign w:val="center"/>
          </w:tcPr>
          <w:p w14:paraId="16A3D687">
            <w:pPr>
              <w:shd w:val="clear"/>
              <w:jc w:val="center"/>
              <w:rPr>
                <w:rFonts w:hAnsi="宋体"/>
                <w:color w:val="auto"/>
                <w:sz w:val="21"/>
                <w:szCs w:val="21"/>
                <w:highlight w:val="none"/>
              </w:rPr>
            </w:pPr>
          </w:p>
        </w:tc>
        <w:tc>
          <w:tcPr>
            <w:tcW w:w="1594" w:type="dxa"/>
            <w:vAlign w:val="center"/>
          </w:tcPr>
          <w:p w14:paraId="200D9B07">
            <w:pPr>
              <w:shd w:val="clear"/>
              <w:jc w:val="center"/>
              <w:rPr>
                <w:rFonts w:hAnsi="宋体"/>
                <w:color w:val="auto"/>
                <w:sz w:val="21"/>
                <w:szCs w:val="21"/>
                <w:highlight w:val="none"/>
              </w:rPr>
            </w:pPr>
          </w:p>
        </w:tc>
      </w:tr>
      <w:tr w14:paraId="31A0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31FCB01">
            <w:pPr>
              <w:shd w:val="clear"/>
              <w:jc w:val="center"/>
              <w:rPr>
                <w:rFonts w:hAnsi="宋体"/>
                <w:b/>
                <w:color w:val="auto"/>
                <w:sz w:val="21"/>
                <w:szCs w:val="21"/>
                <w:highlight w:val="none"/>
              </w:rPr>
            </w:pPr>
          </w:p>
        </w:tc>
        <w:tc>
          <w:tcPr>
            <w:tcW w:w="2161" w:type="dxa"/>
            <w:vAlign w:val="center"/>
          </w:tcPr>
          <w:p w14:paraId="23FBBC90">
            <w:pPr>
              <w:shd w:val="clear"/>
              <w:rPr>
                <w:rFonts w:hAnsi="宋体"/>
                <w:bCs/>
                <w:color w:val="auto"/>
                <w:sz w:val="21"/>
                <w:szCs w:val="21"/>
                <w:highlight w:val="none"/>
              </w:rPr>
            </w:pPr>
          </w:p>
        </w:tc>
        <w:tc>
          <w:tcPr>
            <w:tcW w:w="1241" w:type="dxa"/>
            <w:vAlign w:val="center"/>
          </w:tcPr>
          <w:p w14:paraId="0756B6F9">
            <w:pPr>
              <w:shd w:val="clear"/>
              <w:jc w:val="center"/>
              <w:rPr>
                <w:rFonts w:hAnsi="宋体"/>
                <w:color w:val="auto"/>
                <w:sz w:val="21"/>
                <w:szCs w:val="21"/>
                <w:highlight w:val="none"/>
              </w:rPr>
            </w:pPr>
          </w:p>
        </w:tc>
        <w:tc>
          <w:tcPr>
            <w:tcW w:w="1984" w:type="dxa"/>
            <w:vAlign w:val="center"/>
          </w:tcPr>
          <w:p w14:paraId="60522522">
            <w:pPr>
              <w:shd w:val="clear"/>
              <w:jc w:val="center"/>
              <w:rPr>
                <w:rFonts w:hAnsi="宋体"/>
                <w:color w:val="auto"/>
                <w:sz w:val="21"/>
                <w:szCs w:val="21"/>
                <w:highlight w:val="none"/>
              </w:rPr>
            </w:pPr>
          </w:p>
        </w:tc>
        <w:tc>
          <w:tcPr>
            <w:tcW w:w="1276" w:type="dxa"/>
            <w:vAlign w:val="center"/>
          </w:tcPr>
          <w:p w14:paraId="324C0654">
            <w:pPr>
              <w:shd w:val="clear"/>
              <w:jc w:val="center"/>
              <w:rPr>
                <w:rFonts w:hAnsi="宋体"/>
                <w:color w:val="auto"/>
                <w:sz w:val="21"/>
                <w:szCs w:val="21"/>
                <w:highlight w:val="none"/>
              </w:rPr>
            </w:pPr>
          </w:p>
        </w:tc>
        <w:tc>
          <w:tcPr>
            <w:tcW w:w="1594" w:type="dxa"/>
            <w:vAlign w:val="center"/>
          </w:tcPr>
          <w:p w14:paraId="7375B742">
            <w:pPr>
              <w:shd w:val="clear"/>
              <w:jc w:val="center"/>
              <w:rPr>
                <w:rFonts w:hAnsi="宋体"/>
                <w:color w:val="auto"/>
                <w:sz w:val="21"/>
                <w:szCs w:val="21"/>
                <w:highlight w:val="none"/>
              </w:rPr>
            </w:pPr>
          </w:p>
        </w:tc>
      </w:tr>
      <w:tr w14:paraId="50310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8CE1CED">
            <w:pPr>
              <w:shd w:val="clear"/>
              <w:jc w:val="center"/>
              <w:rPr>
                <w:rFonts w:hAnsi="宋体"/>
                <w:b/>
                <w:color w:val="auto"/>
                <w:sz w:val="21"/>
                <w:szCs w:val="21"/>
                <w:highlight w:val="none"/>
              </w:rPr>
            </w:pPr>
          </w:p>
        </w:tc>
        <w:tc>
          <w:tcPr>
            <w:tcW w:w="2161" w:type="dxa"/>
            <w:vAlign w:val="center"/>
          </w:tcPr>
          <w:p w14:paraId="5C0BF224">
            <w:pPr>
              <w:shd w:val="clear"/>
              <w:jc w:val="center"/>
              <w:rPr>
                <w:rFonts w:hAnsi="宋体"/>
                <w:bCs/>
                <w:color w:val="auto"/>
                <w:sz w:val="21"/>
                <w:szCs w:val="21"/>
                <w:highlight w:val="none"/>
              </w:rPr>
            </w:pPr>
            <w:r>
              <w:rPr>
                <w:rFonts w:hint="eastAsia" w:hAnsi="宋体"/>
                <w:bCs/>
                <w:color w:val="auto"/>
                <w:sz w:val="21"/>
                <w:szCs w:val="21"/>
                <w:highlight w:val="none"/>
              </w:rPr>
              <w:t>其他</w:t>
            </w:r>
          </w:p>
        </w:tc>
        <w:tc>
          <w:tcPr>
            <w:tcW w:w="1241" w:type="dxa"/>
            <w:vAlign w:val="center"/>
          </w:tcPr>
          <w:p w14:paraId="4D1B9483">
            <w:pPr>
              <w:shd w:val="clear"/>
              <w:jc w:val="center"/>
              <w:rPr>
                <w:rFonts w:hAnsi="宋体"/>
                <w:color w:val="auto"/>
                <w:sz w:val="21"/>
                <w:szCs w:val="21"/>
                <w:highlight w:val="none"/>
              </w:rPr>
            </w:pPr>
          </w:p>
        </w:tc>
        <w:tc>
          <w:tcPr>
            <w:tcW w:w="1984" w:type="dxa"/>
            <w:vAlign w:val="center"/>
          </w:tcPr>
          <w:p w14:paraId="216A0DC0">
            <w:pPr>
              <w:shd w:val="clear"/>
              <w:jc w:val="center"/>
              <w:rPr>
                <w:rFonts w:hAnsi="宋体"/>
                <w:color w:val="auto"/>
                <w:sz w:val="21"/>
                <w:szCs w:val="21"/>
                <w:highlight w:val="none"/>
              </w:rPr>
            </w:pPr>
          </w:p>
        </w:tc>
        <w:tc>
          <w:tcPr>
            <w:tcW w:w="1276" w:type="dxa"/>
            <w:vAlign w:val="center"/>
          </w:tcPr>
          <w:p w14:paraId="61E07A56">
            <w:pPr>
              <w:shd w:val="clear"/>
              <w:jc w:val="center"/>
              <w:rPr>
                <w:rFonts w:hAnsi="宋体"/>
                <w:color w:val="auto"/>
                <w:sz w:val="21"/>
                <w:szCs w:val="21"/>
                <w:highlight w:val="none"/>
              </w:rPr>
            </w:pPr>
          </w:p>
        </w:tc>
        <w:tc>
          <w:tcPr>
            <w:tcW w:w="1594" w:type="dxa"/>
            <w:vAlign w:val="center"/>
          </w:tcPr>
          <w:p w14:paraId="0DE04302">
            <w:pPr>
              <w:shd w:val="clear"/>
              <w:jc w:val="center"/>
              <w:rPr>
                <w:rFonts w:hAnsi="宋体"/>
                <w:color w:val="auto"/>
                <w:sz w:val="21"/>
                <w:szCs w:val="21"/>
                <w:highlight w:val="none"/>
              </w:rPr>
            </w:pPr>
          </w:p>
        </w:tc>
      </w:tr>
    </w:tbl>
    <w:p w14:paraId="7ED2B486">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b/>
          <w:bCs/>
          <w:color w:val="auto"/>
          <w:sz w:val="21"/>
          <w:szCs w:val="21"/>
          <w:highlight w:val="none"/>
        </w:rPr>
      </w:pPr>
    </w:p>
    <w:p w14:paraId="2CA0A2AE">
      <w:pPr>
        <w:shd w:val="clear"/>
        <w:tabs>
          <w:tab w:val="left" w:pos="654"/>
          <w:tab w:val="left" w:pos="1734"/>
          <w:tab w:val="left" w:pos="2814"/>
          <w:tab w:val="left" w:pos="3894"/>
          <w:tab w:val="left" w:pos="5334"/>
          <w:tab w:val="left" w:pos="6414"/>
          <w:tab w:val="left" w:pos="7254"/>
          <w:tab w:val="left" w:pos="8574"/>
          <w:tab w:val="left" w:pos="9654"/>
        </w:tabs>
        <w:spacing w:line="480" w:lineRule="exact"/>
        <w:rPr>
          <w:rFonts w:hAnsi="宋体"/>
          <w:color w:val="auto"/>
          <w:sz w:val="21"/>
          <w:szCs w:val="21"/>
          <w:highlight w:val="none"/>
        </w:rPr>
      </w:pPr>
      <w:r>
        <w:rPr>
          <w:rFonts w:hint="eastAsia" w:hAnsi="宋体"/>
          <w:color w:val="auto"/>
          <w:sz w:val="21"/>
          <w:szCs w:val="21"/>
          <w:highlight w:val="none"/>
        </w:rPr>
        <w:t>要求：</w:t>
      </w:r>
    </w:p>
    <w:p w14:paraId="085935F6">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1.“磋商文件要求”见磋商文件“用户需求书”，“响应文件响应情况”是指供应商的投报情况。</w:t>
      </w:r>
    </w:p>
    <w:p w14:paraId="329112E5">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2.“</w:t>
      </w:r>
      <w:r>
        <w:rPr>
          <w:rFonts w:hint="eastAsia" w:hAnsi="宋体"/>
          <w:bCs/>
          <w:color w:val="auto"/>
          <w:sz w:val="21"/>
          <w:szCs w:val="21"/>
          <w:highlight w:val="none"/>
        </w:rPr>
        <w:t>偏离情况</w:t>
      </w:r>
      <w:r>
        <w:rPr>
          <w:rFonts w:hint="eastAsia" w:hAnsi="宋体"/>
          <w:color w:val="auto"/>
          <w:sz w:val="21"/>
          <w:szCs w:val="21"/>
          <w:highlight w:val="none"/>
        </w:rPr>
        <w:t>”包括“完全响应”、“正偏离”、“负偏离”。</w:t>
      </w:r>
    </w:p>
    <w:p w14:paraId="2DDB8118">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 w:val="21"/>
          <w:szCs w:val="21"/>
          <w:highlight w:val="none"/>
        </w:rPr>
      </w:pPr>
    </w:p>
    <w:p w14:paraId="53288FDD">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43F6651C">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0455ACD8">
      <w:pPr>
        <w:shd w:val="clear"/>
        <w:overflowPunct w:val="0"/>
        <w:spacing w:line="460" w:lineRule="exact"/>
        <w:rPr>
          <w:rFonts w:hAnsi="宋体"/>
          <w:color w:val="auto"/>
          <w:sz w:val="22"/>
          <w:szCs w:val="22"/>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日 </w:t>
      </w:r>
    </w:p>
    <w:p w14:paraId="273C8A41">
      <w:pPr>
        <w:shd w:val="clear"/>
        <w:rPr>
          <w:color w:val="auto"/>
          <w:highlight w:val="none"/>
        </w:rPr>
      </w:pPr>
    </w:p>
    <w:p w14:paraId="396F142A">
      <w:pPr>
        <w:shd w:val="clear"/>
        <w:rPr>
          <w:color w:val="auto"/>
          <w:highlight w:val="none"/>
        </w:rPr>
      </w:pPr>
    </w:p>
    <w:p w14:paraId="6AEE71CD">
      <w:pPr>
        <w:shd w:val="clear"/>
        <w:rPr>
          <w:color w:val="auto"/>
          <w:highlight w:val="none"/>
        </w:rPr>
      </w:pPr>
    </w:p>
    <w:p w14:paraId="01B719F0">
      <w:pPr>
        <w:shd w:val="clear"/>
        <w:rPr>
          <w:color w:val="auto"/>
          <w:highlight w:val="none"/>
        </w:rPr>
      </w:pPr>
    </w:p>
    <w:p w14:paraId="432FC507">
      <w:pPr>
        <w:shd w:val="clear"/>
        <w:rPr>
          <w:color w:val="auto"/>
          <w:highlight w:val="none"/>
        </w:rPr>
      </w:pPr>
    </w:p>
    <w:p w14:paraId="0C3BCDF9">
      <w:pPr>
        <w:shd w:val="clear"/>
        <w:rPr>
          <w:color w:val="auto"/>
          <w:highlight w:val="none"/>
        </w:rPr>
      </w:pPr>
    </w:p>
    <w:p w14:paraId="2FE4EB94">
      <w:pPr>
        <w:shd w:val="clear"/>
        <w:rPr>
          <w:color w:val="auto"/>
          <w:highlight w:val="none"/>
        </w:rPr>
      </w:pPr>
    </w:p>
    <w:p w14:paraId="626DCB2A">
      <w:pPr>
        <w:shd w:val="clear"/>
        <w:rPr>
          <w:color w:val="auto"/>
          <w:highlight w:val="none"/>
        </w:rPr>
      </w:pPr>
    </w:p>
    <w:p w14:paraId="70372E78">
      <w:pPr>
        <w:shd w:val="clear"/>
        <w:rPr>
          <w:color w:val="auto"/>
          <w:highlight w:val="none"/>
        </w:rPr>
      </w:pPr>
    </w:p>
    <w:p w14:paraId="67E1549B">
      <w:pPr>
        <w:shd w:val="clear"/>
        <w:rPr>
          <w:color w:val="auto"/>
          <w:highlight w:val="none"/>
        </w:rPr>
      </w:pPr>
    </w:p>
    <w:p w14:paraId="0F558012">
      <w:pPr>
        <w:shd w:val="clear"/>
        <w:rPr>
          <w:color w:val="auto"/>
          <w:highlight w:val="none"/>
        </w:rPr>
      </w:pPr>
    </w:p>
    <w:p w14:paraId="2DDCF3E7">
      <w:pPr>
        <w:shd w:val="clear"/>
        <w:rPr>
          <w:color w:val="auto"/>
          <w:highlight w:val="none"/>
        </w:rPr>
      </w:pPr>
    </w:p>
    <w:p w14:paraId="0588FD06">
      <w:pPr>
        <w:shd w:val="clear"/>
        <w:rPr>
          <w:color w:val="auto"/>
          <w:highlight w:val="none"/>
        </w:rPr>
      </w:pPr>
    </w:p>
    <w:p w14:paraId="68CD97A2">
      <w:pPr>
        <w:shd w:val="clear"/>
        <w:rPr>
          <w:color w:val="auto"/>
          <w:highlight w:val="none"/>
        </w:rPr>
      </w:pPr>
    </w:p>
    <w:p w14:paraId="75D98E64">
      <w:pPr>
        <w:shd w:val="clear"/>
        <w:rPr>
          <w:color w:val="auto"/>
          <w:highlight w:val="none"/>
        </w:rPr>
      </w:pPr>
    </w:p>
    <w:p w14:paraId="7F7D02EC">
      <w:pPr>
        <w:pStyle w:val="3"/>
        <w:numPr>
          <w:ilvl w:val="0"/>
          <w:numId w:val="19"/>
        </w:numPr>
        <w:shd w:val="clear"/>
        <w:jc w:val="center"/>
        <w:rPr>
          <w:rFonts w:ascii="Calibri" w:hAnsi="Times New Roman"/>
          <w:color w:val="auto"/>
          <w:sz w:val="28"/>
          <w:szCs w:val="28"/>
          <w:highlight w:val="none"/>
        </w:rPr>
      </w:pPr>
      <w:bookmarkStart w:id="239" w:name="_Toc8299"/>
      <w:bookmarkStart w:id="240" w:name="_Toc10734"/>
      <w:bookmarkStart w:id="241" w:name="_Toc7897895"/>
      <w:bookmarkStart w:id="242" w:name="_Toc31965"/>
      <w:r>
        <w:rPr>
          <w:rFonts w:hint="eastAsia" w:ascii="Calibri"/>
          <w:color w:val="auto"/>
          <w:sz w:val="28"/>
          <w:szCs w:val="28"/>
          <w:highlight w:val="none"/>
        </w:rPr>
        <w:t>磋商</w:t>
      </w:r>
      <w:r>
        <w:rPr>
          <w:rFonts w:hint="eastAsia" w:ascii="Calibri" w:hAnsi="Times New Roman"/>
          <w:color w:val="auto"/>
          <w:sz w:val="28"/>
          <w:szCs w:val="28"/>
          <w:highlight w:val="none"/>
        </w:rPr>
        <w:t>文件“★”号条款响应表</w:t>
      </w:r>
      <w:bookmarkEnd w:id="239"/>
      <w:bookmarkEnd w:id="240"/>
    </w:p>
    <w:p w14:paraId="3EF980E2">
      <w:pPr>
        <w:shd w:val="clear"/>
        <w:rPr>
          <w:rFonts w:hAnsi="宋体"/>
          <w:b/>
          <w:bCs/>
          <w:color w:val="auto"/>
          <w:highlight w:val="none"/>
        </w:rPr>
      </w:pPr>
    </w:p>
    <w:p w14:paraId="1ADC2B77">
      <w:pPr>
        <w:shd w:val="clear"/>
        <w:rPr>
          <w:rFonts w:hAnsi="宋体"/>
          <w:b/>
          <w:bCs/>
          <w:color w:val="auto"/>
          <w:highlight w:val="none"/>
        </w:rPr>
      </w:pPr>
    </w:p>
    <w:tbl>
      <w:tblPr>
        <w:tblStyle w:val="53"/>
        <w:tblW w:w="96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66"/>
        <w:gridCol w:w="3371"/>
        <w:gridCol w:w="2113"/>
        <w:gridCol w:w="2079"/>
      </w:tblGrid>
      <w:tr w14:paraId="502A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restart"/>
            <w:vAlign w:val="center"/>
          </w:tcPr>
          <w:p w14:paraId="74EE8C01">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序号</w:t>
            </w:r>
          </w:p>
        </w:tc>
        <w:tc>
          <w:tcPr>
            <w:tcW w:w="4637" w:type="dxa"/>
            <w:gridSpan w:val="2"/>
            <w:vAlign w:val="center"/>
          </w:tcPr>
          <w:p w14:paraId="73AA7416">
            <w:pPr>
              <w:shd w:val="clear"/>
              <w:autoSpaceDE/>
              <w:autoSpaceDN/>
              <w:adjustRightInd/>
              <w:spacing w:before="120" w:after="120" w:line="360" w:lineRule="auto"/>
              <w:ind w:left="-122" w:leftChars="-51"/>
              <w:jc w:val="center"/>
              <w:rPr>
                <w:rFonts w:hAnsi="宋体"/>
                <w:color w:val="auto"/>
                <w:sz w:val="21"/>
                <w:szCs w:val="21"/>
                <w:highlight w:val="none"/>
              </w:rPr>
            </w:pPr>
            <w:r>
              <w:rPr>
                <w:rFonts w:hint="eastAsia" w:hAnsi="宋体"/>
                <w:color w:val="auto"/>
                <w:sz w:val="21"/>
                <w:szCs w:val="21"/>
                <w:highlight w:val="none"/>
              </w:rPr>
              <w:t>磋商文件“★”号条款要求</w:t>
            </w:r>
          </w:p>
        </w:tc>
        <w:tc>
          <w:tcPr>
            <w:tcW w:w="4192" w:type="dxa"/>
            <w:gridSpan w:val="2"/>
            <w:vAlign w:val="center"/>
          </w:tcPr>
          <w:p w14:paraId="3C134A68">
            <w:pPr>
              <w:shd w:val="clear"/>
              <w:autoSpaceDE/>
              <w:autoSpaceDN/>
              <w:adjustRightInd/>
              <w:spacing w:before="120" w:after="120" w:line="360" w:lineRule="auto"/>
              <w:ind w:left="-88"/>
              <w:jc w:val="center"/>
              <w:rPr>
                <w:rFonts w:hAnsi="宋体"/>
                <w:color w:val="auto"/>
                <w:sz w:val="21"/>
                <w:szCs w:val="21"/>
                <w:highlight w:val="none"/>
              </w:rPr>
            </w:pPr>
            <w:r>
              <w:rPr>
                <w:rFonts w:hint="eastAsia" w:hAnsi="宋体"/>
                <w:color w:val="auto"/>
                <w:sz w:val="21"/>
                <w:szCs w:val="21"/>
                <w:highlight w:val="none"/>
              </w:rPr>
              <w:t>磋商响应文件内容</w:t>
            </w:r>
          </w:p>
        </w:tc>
      </w:tr>
      <w:tr w14:paraId="3A161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continue"/>
            <w:vAlign w:val="center"/>
          </w:tcPr>
          <w:p w14:paraId="43DA85E5">
            <w:pPr>
              <w:keepNext/>
              <w:keepLines/>
              <w:shd w:val="clear"/>
              <w:autoSpaceDE/>
              <w:autoSpaceDN/>
              <w:adjustRightInd/>
              <w:spacing w:before="120" w:after="120" w:line="360" w:lineRule="auto"/>
              <w:ind w:left="629"/>
              <w:jc w:val="center"/>
              <w:rPr>
                <w:rFonts w:hAnsi="宋体"/>
                <w:color w:val="auto"/>
                <w:sz w:val="21"/>
                <w:szCs w:val="21"/>
                <w:highlight w:val="none"/>
              </w:rPr>
            </w:pPr>
          </w:p>
        </w:tc>
        <w:tc>
          <w:tcPr>
            <w:tcW w:w="1266" w:type="dxa"/>
            <w:vAlign w:val="center"/>
          </w:tcPr>
          <w:p w14:paraId="07BAC88C">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条款号</w:t>
            </w:r>
          </w:p>
        </w:tc>
        <w:tc>
          <w:tcPr>
            <w:tcW w:w="3371" w:type="dxa"/>
            <w:vAlign w:val="center"/>
          </w:tcPr>
          <w:p w14:paraId="31999C9D">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简要内容</w:t>
            </w:r>
          </w:p>
        </w:tc>
        <w:tc>
          <w:tcPr>
            <w:tcW w:w="2113" w:type="dxa"/>
            <w:vAlign w:val="center"/>
          </w:tcPr>
          <w:p w14:paraId="0684A85E">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偏离情况</w:t>
            </w:r>
          </w:p>
        </w:tc>
        <w:tc>
          <w:tcPr>
            <w:tcW w:w="2079" w:type="dxa"/>
            <w:vAlign w:val="center"/>
          </w:tcPr>
          <w:p w14:paraId="159BBF2B">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具体偏离内容</w:t>
            </w:r>
          </w:p>
        </w:tc>
      </w:tr>
      <w:tr w14:paraId="6DC9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6110F076">
            <w:pPr>
              <w:shd w:val="clear"/>
              <w:autoSpaceDE/>
              <w:autoSpaceDN/>
              <w:adjustRightInd/>
              <w:spacing w:before="120" w:after="120" w:line="360" w:lineRule="auto"/>
              <w:ind w:left="-108"/>
              <w:jc w:val="center"/>
              <w:rPr>
                <w:rFonts w:hAnsi="宋体"/>
                <w:color w:val="auto"/>
                <w:sz w:val="21"/>
                <w:szCs w:val="21"/>
                <w:highlight w:val="none"/>
              </w:rPr>
            </w:pPr>
            <w:r>
              <w:rPr>
                <w:rFonts w:hint="eastAsia" w:hAnsi="宋体"/>
                <w:color w:val="auto"/>
                <w:sz w:val="21"/>
                <w:szCs w:val="21"/>
                <w:highlight w:val="none"/>
              </w:rPr>
              <w:t>1</w:t>
            </w:r>
          </w:p>
        </w:tc>
        <w:tc>
          <w:tcPr>
            <w:tcW w:w="1266" w:type="dxa"/>
            <w:vAlign w:val="center"/>
          </w:tcPr>
          <w:p w14:paraId="57F50E8B">
            <w:pPr>
              <w:shd w:val="clear"/>
              <w:spacing w:line="360" w:lineRule="auto"/>
              <w:jc w:val="center"/>
              <w:rPr>
                <w:rFonts w:hAnsi="宋体"/>
                <w:color w:val="auto"/>
                <w:sz w:val="21"/>
                <w:szCs w:val="21"/>
                <w:highlight w:val="none"/>
              </w:rPr>
            </w:pPr>
          </w:p>
          <w:p w14:paraId="1B9028D0">
            <w:pPr>
              <w:shd w:val="clear"/>
              <w:spacing w:line="360" w:lineRule="auto"/>
              <w:jc w:val="center"/>
              <w:rPr>
                <w:rFonts w:hAnsi="宋体"/>
                <w:color w:val="auto"/>
                <w:sz w:val="21"/>
                <w:szCs w:val="21"/>
                <w:highlight w:val="none"/>
              </w:rPr>
            </w:pPr>
          </w:p>
          <w:p w14:paraId="1F37A916">
            <w:pPr>
              <w:shd w:val="clear"/>
              <w:spacing w:line="360" w:lineRule="auto"/>
              <w:jc w:val="center"/>
              <w:rPr>
                <w:rFonts w:hAnsi="宋体"/>
                <w:color w:val="auto"/>
                <w:sz w:val="21"/>
                <w:szCs w:val="21"/>
                <w:highlight w:val="none"/>
              </w:rPr>
            </w:pPr>
          </w:p>
          <w:p w14:paraId="0F01281D">
            <w:pPr>
              <w:shd w:val="clear"/>
              <w:spacing w:line="360" w:lineRule="auto"/>
              <w:jc w:val="center"/>
              <w:rPr>
                <w:rFonts w:hAnsi="宋体"/>
                <w:color w:val="auto"/>
                <w:sz w:val="21"/>
                <w:szCs w:val="21"/>
                <w:highlight w:val="none"/>
              </w:rPr>
            </w:pPr>
          </w:p>
          <w:p w14:paraId="5E69ED19">
            <w:pPr>
              <w:shd w:val="clear"/>
              <w:spacing w:line="360" w:lineRule="auto"/>
              <w:jc w:val="center"/>
              <w:rPr>
                <w:rFonts w:hAnsi="宋体"/>
                <w:color w:val="auto"/>
                <w:sz w:val="21"/>
                <w:szCs w:val="21"/>
                <w:highlight w:val="none"/>
              </w:rPr>
            </w:pPr>
          </w:p>
        </w:tc>
        <w:tc>
          <w:tcPr>
            <w:tcW w:w="3371" w:type="dxa"/>
            <w:vAlign w:val="center"/>
          </w:tcPr>
          <w:p w14:paraId="374BBF3A">
            <w:pPr>
              <w:shd w:val="clear"/>
              <w:spacing w:line="360" w:lineRule="auto"/>
              <w:jc w:val="center"/>
              <w:rPr>
                <w:rFonts w:hAnsi="宋体"/>
                <w:color w:val="auto"/>
                <w:sz w:val="21"/>
                <w:szCs w:val="21"/>
                <w:highlight w:val="none"/>
              </w:rPr>
            </w:pPr>
          </w:p>
        </w:tc>
        <w:tc>
          <w:tcPr>
            <w:tcW w:w="2113" w:type="dxa"/>
            <w:vAlign w:val="center"/>
          </w:tcPr>
          <w:p w14:paraId="11F7586C">
            <w:pPr>
              <w:keepNext/>
              <w:keepLines/>
              <w:shd w:val="clear"/>
              <w:autoSpaceDE/>
              <w:autoSpaceDN/>
              <w:adjustRightInd/>
              <w:spacing w:before="120" w:after="120" w:line="360" w:lineRule="auto"/>
              <w:ind w:left="629"/>
              <w:jc w:val="center"/>
              <w:rPr>
                <w:rFonts w:hAnsi="宋体"/>
                <w:color w:val="auto"/>
                <w:sz w:val="21"/>
                <w:szCs w:val="21"/>
                <w:highlight w:val="none"/>
              </w:rPr>
            </w:pPr>
          </w:p>
        </w:tc>
        <w:tc>
          <w:tcPr>
            <w:tcW w:w="2079" w:type="dxa"/>
            <w:vAlign w:val="center"/>
          </w:tcPr>
          <w:p w14:paraId="199CDB28">
            <w:pPr>
              <w:keepNext/>
              <w:keepLines/>
              <w:shd w:val="clear"/>
              <w:autoSpaceDE/>
              <w:autoSpaceDN/>
              <w:adjustRightInd/>
              <w:spacing w:before="120" w:after="120" w:line="360" w:lineRule="auto"/>
              <w:ind w:left="629"/>
              <w:jc w:val="center"/>
              <w:rPr>
                <w:rFonts w:hAnsi="宋体"/>
                <w:color w:val="auto"/>
                <w:sz w:val="21"/>
                <w:szCs w:val="21"/>
                <w:highlight w:val="none"/>
              </w:rPr>
            </w:pPr>
          </w:p>
        </w:tc>
      </w:tr>
      <w:tr w14:paraId="3083E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370D695">
            <w:pPr>
              <w:shd w:val="clear"/>
              <w:autoSpaceDE/>
              <w:autoSpaceDN/>
              <w:adjustRightInd/>
              <w:spacing w:before="120" w:after="120" w:line="360" w:lineRule="auto"/>
              <w:ind w:left="-108"/>
              <w:jc w:val="center"/>
              <w:rPr>
                <w:rFonts w:hAnsi="宋体"/>
                <w:color w:val="auto"/>
                <w:sz w:val="21"/>
                <w:szCs w:val="21"/>
                <w:highlight w:val="none"/>
              </w:rPr>
            </w:pPr>
            <w:r>
              <w:rPr>
                <w:rFonts w:hint="eastAsia" w:hAnsi="宋体"/>
                <w:color w:val="auto"/>
                <w:sz w:val="21"/>
                <w:szCs w:val="21"/>
                <w:highlight w:val="none"/>
              </w:rPr>
              <w:t>2</w:t>
            </w:r>
          </w:p>
        </w:tc>
        <w:tc>
          <w:tcPr>
            <w:tcW w:w="1266" w:type="dxa"/>
            <w:vAlign w:val="center"/>
          </w:tcPr>
          <w:p w14:paraId="1A4926A7">
            <w:pPr>
              <w:shd w:val="clear"/>
              <w:spacing w:line="360" w:lineRule="auto"/>
              <w:jc w:val="center"/>
              <w:rPr>
                <w:rFonts w:hAnsi="宋体"/>
                <w:color w:val="auto"/>
                <w:sz w:val="21"/>
                <w:szCs w:val="21"/>
                <w:highlight w:val="none"/>
              </w:rPr>
            </w:pPr>
          </w:p>
        </w:tc>
        <w:tc>
          <w:tcPr>
            <w:tcW w:w="3371" w:type="dxa"/>
            <w:vAlign w:val="center"/>
          </w:tcPr>
          <w:p w14:paraId="506651E5">
            <w:pPr>
              <w:shd w:val="clear"/>
              <w:spacing w:line="360" w:lineRule="auto"/>
              <w:jc w:val="center"/>
              <w:rPr>
                <w:rFonts w:hAnsi="宋体"/>
                <w:color w:val="auto"/>
                <w:sz w:val="21"/>
                <w:szCs w:val="21"/>
                <w:highlight w:val="none"/>
              </w:rPr>
            </w:pPr>
          </w:p>
        </w:tc>
        <w:tc>
          <w:tcPr>
            <w:tcW w:w="2113" w:type="dxa"/>
          </w:tcPr>
          <w:p w14:paraId="50A453F8">
            <w:pPr>
              <w:keepNext/>
              <w:keepLines/>
              <w:shd w:val="clear"/>
              <w:autoSpaceDE/>
              <w:autoSpaceDN/>
              <w:adjustRightInd/>
              <w:spacing w:before="120" w:after="120" w:line="360" w:lineRule="auto"/>
              <w:ind w:left="629"/>
              <w:jc w:val="both"/>
              <w:rPr>
                <w:rFonts w:hAnsi="宋体"/>
                <w:color w:val="auto"/>
                <w:sz w:val="21"/>
                <w:szCs w:val="21"/>
                <w:highlight w:val="none"/>
              </w:rPr>
            </w:pPr>
          </w:p>
        </w:tc>
        <w:tc>
          <w:tcPr>
            <w:tcW w:w="2079" w:type="dxa"/>
            <w:vAlign w:val="center"/>
          </w:tcPr>
          <w:p w14:paraId="0874C6EE">
            <w:pPr>
              <w:keepNext/>
              <w:keepLines/>
              <w:shd w:val="clear"/>
              <w:autoSpaceDE/>
              <w:autoSpaceDN/>
              <w:adjustRightInd/>
              <w:spacing w:before="120" w:after="120" w:line="360" w:lineRule="auto"/>
              <w:ind w:left="629"/>
              <w:jc w:val="both"/>
              <w:rPr>
                <w:rFonts w:hAnsi="宋体"/>
                <w:color w:val="auto"/>
                <w:sz w:val="21"/>
                <w:szCs w:val="21"/>
                <w:highlight w:val="none"/>
              </w:rPr>
            </w:pPr>
          </w:p>
        </w:tc>
      </w:tr>
      <w:tr w14:paraId="58557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38C2D668">
            <w:pPr>
              <w:shd w:val="clear"/>
              <w:autoSpaceDE/>
              <w:autoSpaceDN/>
              <w:adjustRightInd/>
              <w:spacing w:before="120" w:after="120" w:line="360" w:lineRule="auto"/>
              <w:ind w:left="-122" w:leftChars="-51"/>
              <w:jc w:val="center"/>
              <w:rPr>
                <w:rFonts w:hAnsi="宋体"/>
                <w:color w:val="auto"/>
                <w:kern w:val="2"/>
                <w:sz w:val="21"/>
                <w:szCs w:val="21"/>
                <w:highlight w:val="none"/>
              </w:rPr>
            </w:pPr>
            <w:r>
              <w:rPr>
                <w:rFonts w:hint="eastAsia" w:hAnsi="宋体"/>
                <w:color w:val="auto"/>
                <w:kern w:val="2"/>
                <w:sz w:val="21"/>
                <w:szCs w:val="21"/>
                <w:highlight w:val="none"/>
              </w:rPr>
              <w:t>3</w:t>
            </w:r>
          </w:p>
        </w:tc>
        <w:tc>
          <w:tcPr>
            <w:tcW w:w="1266" w:type="dxa"/>
            <w:vAlign w:val="center"/>
          </w:tcPr>
          <w:p w14:paraId="6B6CE7A1">
            <w:pPr>
              <w:shd w:val="clear"/>
              <w:spacing w:line="360" w:lineRule="auto"/>
              <w:jc w:val="center"/>
              <w:rPr>
                <w:rFonts w:hAnsi="宋体"/>
                <w:color w:val="auto"/>
                <w:sz w:val="21"/>
                <w:szCs w:val="21"/>
                <w:highlight w:val="none"/>
              </w:rPr>
            </w:pPr>
          </w:p>
        </w:tc>
        <w:tc>
          <w:tcPr>
            <w:tcW w:w="3371" w:type="dxa"/>
            <w:vAlign w:val="center"/>
          </w:tcPr>
          <w:p w14:paraId="0E4733DE">
            <w:pPr>
              <w:shd w:val="clear"/>
              <w:spacing w:line="360" w:lineRule="auto"/>
              <w:jc w:val="center"/>
              <w:rPr>
                <w:rFonts w:hAnsi="宋体"/>
                <w:color w:val="auto"/>
                <w:sz w:val="21"/>
                <w:szCs w:val="21"/>
                <w:highlight w:val="none"/>
              </w:rPr>
            </w:pPr>
          </w:p>
        </w:tc>
        <w:tc>
          <w:tcPr>
            <w:tcW w:w="2113" w:type="dxa"/>
          </w:tcPr>
          <w:p w14:paraId="33B4576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37D9C1A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2760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2A022BFD">
            <w:pPr>
              <w:shd w:val="clear"/>
              <w:autoSpaceDE/>
              <w:autoSpaceDN/>
              <w:adjustRightInd/>
              <w:spacing w:before="120" w:after="120" w:line="360" w:lineRule="auto"/>
              <w:ind w:left="-122" w:leftChars="-51"/>
              <w:jc w:val="center"/>
              <w:rPr>
                <w:rFonts w:hAnsi="宋体"/>
                <w:color w:val="auto"/>
                <w:kern w:val="2"/>
                <w:sz w:val="21"/>
                <w:szCs w:val="21"/>
                <w:highlight w:val="none"/>
              </w:rPr>
            </w:pPr>
            <w:r>
              <w:rPr>
                <w:rFonts w:hint="eastAsia" w:hAnsi="宋体"/>
                <w:color w:val="auto"/>
                <w:kern w:val="2"/>
                <w:sz w:val="21"/>
                <w:szCs w:val="21"/>
                <w:highlight w:val="none"/>
              </w:rPr>
              <w:t>……</w:t>
            </w:r>
          </w:p>
        </w:tc>
        <w:tc>
          <w:tcPr>
            <w:tcW w:w="1266" w:type="dxa"/>
            <w:vAlign w:val="center"/>
          </w:tcPr>
          <w:p w14:paraId="020F1200">
            <w:pPr>
              <w:shd w:val="clear"/>
              <w:spacing w:line="360" w:lineRule="auto"/>
              <w:jc w:val="center"/>
              <w:rPr>
                <w:rFonts w:hAnsi="宋体"/>
                <w:color w:val="auto"/>
                <w:sz w:val="21"/>
                <w:szCs w:val="21"/>
                <w:highlight w:val="none"/>
              </w:rPr>
            </w:pPr>
          </w:p>
        </w:tc>
        <w:tc>
          <w:tcPr>
            <w:tcW w:w="3371" w:type="dxa"/>
            <w:vAlign w:val="center"/>
          </w:tcPr>
          <w:p w14:paraId="230570D8">
            <w:pPr>
              <w:shd w:val="clear"/>
              <w:spacing w:line="360" w:lineRule="auto"/>
              <w:jc w:val="center"/>
              <w:rPr>
                <w:rFonts w:hAnsi="宋体"/>
                <w:color w:val="auto"/>
                <w:sz w:val="21"/>
                <w:szCs w:val="21"/>
                <w:highlight w:val="none"/>
              </w:rPr>
            </w:pPr>
          </w:p>
        </w:tc>
        <w:tc>
          <w:tcPr>
            <w:tcW w:w="2113" w:type="dxa"/>
          </w:tcPr>
          <w:p w14:paraId="4706DD9B">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0A0CA00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5AAE3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CE67A1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0D98A0C7">
            <w:pPr>
              <w:shd w:val="clear"/>
              <w:spacing w:line="360" w:lineRule="auto"/>
              <w:jc w:val="center"/>
              <w:rPr>
                <w:rFonts w:hAnsi="宋体"/>
                <w:color w:val="auto"/>
                <w:sz w:val="21"/>
                <w:szCs w:val="21"/>
                <w:highlight w:val="none"/>
              </w:rPr>
            </w:pPr>
          </w:p>
        </w:tc>
        <w:tc>
          <w:tcPr>
            <w:tcW w:w="3371" w:type="dxa"/>
            <w:vAlign w:val="center"/>
          </w:tcPr>
          <w:p w14:paraId="3164D62D">
            <w:pPr>
              <w:shd w:val="clear"/>
              <w:spacing w:line="360" w:lineRule="auto"/>
              <w:jc w:val="center"/>
              <w:rPr>
                <w:rFonts w:hAnsi="宋体"/>
                <w:color w:val="auto"/>
                <w:sz w:val="21"/>
                <w:szCs w:val="21"/>
                <w:highlight w:val="none"/>
              </w:rPr>
            </w:pPr>
          </w:p>
        </w:tc>
        <w:tc>
          <w:tcPr>
            <w:tcW w:w="2113" w:type="dxa"/>
          </w:tcPr>
          <w:p w14:paraId="4F8AC6E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35E8D52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74833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AE1F94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80637A0">
            <w:pPr>
              <w:shd w:val="clear"/>
              <w:spacing w:line="360" w:lineRule="auto"/>
              <w:jc w:val="center"/>
              <w:rPr>
                <w:rFonts w:hAnsi="宋体"/>
                <w:color w:val="auto"/>
                <w:sz w:val="21"/>
                <w:szCs w:val="21"/>
                <w:highlight w:val="none"/>
              </w:rPr>
            </w:pPr>
          </w:p>
        </w:tc>
        <w:tc>
          <w:tcPr>
            <w:tcW w:w="3371" w:type="dxa"/>
            <w:vAlign w:val="center"/>
          </w:tcPr>
          <w:p w14:paraId="628D3CD2">
            <w:pPr>
              <w:shd w:val="clear"/>
              <w:spacing w:line="360" w:lineRule="auto"/>
              <w:jc w:val="center"/>
              <w:rPr>
                <w:rFonts w:hAnsi="宋体"/>
                <w:color w:val="auto"/>
                <w:sz w:val="21"/>
                <w:szCs w:val="21"/>
                <w:highlight w:val="none"/>
              </w:rPr>
            </w:pPr>
          </w:p>
        </w:tc>
        <w:tc>
          <w:tcPr>
            <w:tcW w:w="2113" w:type="dxa"/>
          </w:tcPr>
          <w:p w14:paraId="3F917F9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5230DC09">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4E97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726C323">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3090B58F">
            <w:pPr>
              <w:shd w:val="clear"/>
              <w:spacing w:line="360" w:lineRule="auto"/>
              <w:jc w:val="center"/>
              <w:rPr>
                <w:rFonts w:hAnsi="宋体"/>
                <w:color w:val="auto"/>
                <w:sz w:val="21"/>
                <w:szCs w:val="21"/>
                <w:highlight w:val="none"/>
              </w:rPr>
            </w:pPr>
          </w:p>
        </w:tc>
        <w:tc>
          <w:tcPr>
            <w:tcW w:w="3371" w:type="dxa"/>
            <w:vAlign w:val="center"/>
          </w:tcPr>
          <w:p w14:paraId="1C81295D">
            <w:pPr>
              <w:shd w:val="clear"/>
              <w:spacing w:line="360" w:lineRule="auto"/>
              <w:jc w:val="center"/>
              <w:rPr>
                <w:rFonts w:hAnsi="宋体"/>
                <w:color w:val="auto"/>
                <w:sz w:val="21"/>
                <w:szCs w:val="21"/>
                <w:highlight w:val="none"/>
              </w:rPr>
            </w:pPr>
          </w:p>
        </w:tc>
        <w:tc>
          <w:tcPr>
            <w:tcW w:w="2113" w:type="dxa"/>
          </w:tcPr>
          <w:p w14:paraId="6A048EF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5B3F62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6BBF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319DCBA">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54F12521">
            <w:pPr>
              <w:shd w:val="clear"/>
              <w:spacing w:line="360" w:lineRule="auto"/>
              <w:jc w:val="center"/>
              <w:rPr>
                <w:rFonts w:hAnsi="宋体"/>
                <w:color w:val="auto"/>
                <w:sz w:val="21"/>
                <w:szCs w:val="21"/>
                <w:highlight w:val="none"/>
              </w:rPr>
            </w:pPr>
          </w:p>
        </w:tc>
        <w:tc>
          <w:tcPr>
            <w:tcW w:w="3371" w:type="dxa"/>
            <w:vAlign w:val="center"/>
          </w:tcPr>
          <w:p w14:paraId="0C08A939">
            <w:pPr>
              <w:shd w:val="clear"/>
              <w:spacing w:line="360" w:lineRule="auto"/>
              <w:jc w:val="center"/>
              <w:rPr>
                <w:rFonts w:hAnsi="宋体"/>
                <w:color w:val="auto"/>
                <w:sz w:val="21"/>
                <w:szCs w:val="21"/>
                <w:highlight w:val="none"/>
              </w:rPr>
            </w:pPr>
          </w:p>
        </w:tc>
        <w:tc>
          <w:tcPr>
            <w:tcW w:w="2113" w:type="dxa"/>
          </w:tcPr>
          <w:p w14:paraId="3F8018E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28F8D86F">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6597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0C58C16B">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8B23D73">
            <w:pPr>
              <w:shd w:val="clear"/>
              <w:spacing w:line="360" w:lineRule="auto"/>
              <w:jc w:val="center"/>
              <w:rPr>
                <w:rFonts w:hAnsi="宋体"/>
                <w:color w:val="auto"/>
                <w:sz w:val="21"/>
                <w:szCs w:val="21"/>
                <w:highlight w:val="none"/>
              </w:rPr>
            </w:pPr>
          </w:p>
        </w:tc>
        <w:tc>
          <w:tcPr>
            <w:tcW w:w="3371" w:type="dxa"/>
            <w:vAlign w:val="center"/>
          </w:tcPr>
          <w:p w14:paraId="18465D60">
            <w:pPr>
              <w:shd w:val="clear"/>
              <w:spacing w:line="360" w:lineRule="auto"/>
              <w:jc w:val="center"/>
              <w:rPr>
                <w:rFonts w:hAnsi="宋体"/>
                <w:color w:val="auto"/>
                <w:sz w:val="21"/>
                <w:szCs w:val="21"/>
                <w:highlight w:val="none"/>
              </w:rPr>
            </w:pPr>
          </w:p>
        </w:tc>
        <w:tc>
          <w:tcPr>
            <w:tcW w:w="2113" w:type="dxa"/>
          </w:tcPr>
          <w:p w14:paraId="1F8BC41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EBE87C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74A4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57C7A7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49FEBDD4">
            <w:pPr>
              <w:shd w:val="clear"/>
              <w:spacing w:line="360" w:lineRule="auto"/>
              <w:jc w:val="center"/>
              <w:rPr>
                <w:rFonts w:hAnsi="宋体"/>
                <w:color w:val="auto"/>
                <w:sz w:val="21"/>
                <w:szCs w:val="21"/>
                <w:highlight w:val="none"/>
              </w:rPr>
            </w:pPr>
          </w:p>
        </w:tc>
        <w:tc>
          <w:tcPr>
            <w:tcW w:w="3371" w:type="dxa"/>
            <w:vAlign w:val="center"/>
          </w:tcPr>
          <w:p w14:paraId="1C73C8B9">
            <w:pPr>
              <w:shd w:val="clear"/>
              <w:spacing w:line="360" w:lineRule="auto"/>
              <w:jc w:val="center"/>
              <w:rPr>
                <w:rFonts w:hAnsi="宋体"/>
                <w:color w:val="auto"/>
                <w:sz w:val="21"/>
                <w:szCs w:val="21"/>
                <w:highlight w:val="none"/>
              </w:rPr>
            </w:pPr>
          </w:p>
        </w:tc>
        <w:tc>
          <w:tcPr>
            <w:tcW w:w="2113" w:type="dxa"/>
          </w:tcPr>
          <w:p w14:paraId="2139E58C">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7206556D">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05207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6F2F1373">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450F284">
            <w:pPr>
              <w:shd w:val="clear"/>
              <w:spacing w:line="360" w:lineRule="auto"/>
              <w:jc w:val="center"/>
              <w:rPr>
                <w:rFonts w:hAnsi="宋体"/>
                <w:color w:val="auto"/>
                <w:sz w:val="21"/>
                <w:szCs w:val="21"/>
                <w:highlight w:val="none"/>
              </w:rPr>
            </w:pPr>
          </w:p>
        </w:tc>
        <w:tc>
          <w:tcPr>
            <w:tcW w:w="3371" w:type="dxa"/>
            <w:vAlign w:val="center"/>
          </w:tcPr>
          <w:p w14:paraId="00AE8514">
            <w:pPr>
              <w:shd w:val="clear"/>
              <w:spacing w:line="360" w:lineRule="auto"/>
              <w:jc w:val="center"/>
              <w:rPr>
                <w:rFonts w:hAnsi="宋体"/>
                <w:color w:val="auto"/>
                <w:sz w:val="21"/>
                <w:szCs w:val="21"/>
                <w:highlight w:val="none"/>
              </w:rPr>
            </w:pPr>
          </w:p>
        </w:tc>
        <w:tc>
          <w:tcPr>
            <w:tcW w:w="2113" w:type="dxa"/>
          </w:tcPr>
          <w:p w14:paraId="4160A46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D378B7B">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3863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B2DCE12">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0E251038">
            <w:pPr>
              <w:shd w:val="clear"/>
              <w:spacing w:line="360" w:lineRule="auto"/>
              <w:jc w:val="center"/>
              <w:rPr>
                <w:rFonts w:hAnsi="宋体"/>
                <w:color w:val="auto"/>
                <w:sz w:val="21"/>
                <w:szCs w:val="21"/>
                <w:highlight w:val="none"/>
              </w:rPr>
            </w:pPr>
          </w:p>
        </w:tc>
        <w:tc>
          <w:tcPr>
            <w:tcW w:w="3371" w:type="dxa"/>
            <w:vAlign w:val="center"/>
          </w:tcPr>
          <w:p w14:paraId="30638C20">
            <w:pPr>
              <w:shd w:val="clear"/>
              <w:spacing w:line="360" w:lineRule="auto"/>
              <w:jc w:val="center"/>
              <w:rPr>
                <w:rFonts w:hAnsi="宋体"/>
                <w:color w:val="auto"/>
                <w:sz w:val="21"/>
                <w:szCs w:val="21"/>
                <w:highlight w:val="none"/>
              </w:rPr>
            </w:pPr>
          </w:p>
        </w:tc>
        <w:tc>
          <w:tcPr>
            <w:tcW w:w="2113" w:type="dxa"/>
          </w:tcPr>
          <w:p w14:paraId="706A1FCD">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63FFAE7F">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4A59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23DAD2AD">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6C5BD6B">
            <w:pPr>
              <w:shd w:val="clear"/>
              <w:spacing w:line="360" w:lineRule="auto"/>
              <w:jc w:val="center"/>
              <w:rPr>
                <w:rFonts w:hAnsi="宋体"/>
                <w:color w:val="auto"/>
                <w:sz w:val="21"/>
                <w:szCs w:val="21"/>
                <w:highlight w:val="none"/>
              </w:rPr>
            </w:pPr>
          </w:p>
        </w:tc>
        <w:tc>
          <w:tcPr>
            <w:tcW w:w="3371" w:type="dxa"/>
            <w:vAlign w:val="center"/>
          </w:tcPr>
          <w:p w14:paraId="3AB8D9AF">
            <w:pPr>
              <w:shd w:val="clear"/>
              <w:spacing w:line="360" w:lineRule="auto"/>
              <w:jc w:val="center"/>
              <w:rPr>
                <w:rFonts w:hAnsi="宋体"/>
                <w:color w:val="auto"/>
                <w:sz w:val="21"/>
                <w:szCs w:val="21"/>
                <w:highlight w:val="none"/>
              </w:rPr>
            </w:pPr>
          </w:p>
        </w:tc>
        <w:tc>
          <w:tcPr>
            <w:tcW w:w="2113" w:type="dxa"/>
          </w:tcPr>
          <w:p w14:paraId="760F45E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5CCD194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bl>
    <w:p w14:paraId="1BB8DD23">
      <w:pPr>
        <w:shd w:val="clear"/>
        <w:autoSpaceDE/>
        <w:autoSpaceDN/>
        <w:adjustRightInd/>
        <w:spacing w:line="360" w:lineRule="auto"/>
        <w:ind w:left="565" w:leftChars="-59" w:hanging="707" w:hangingChars="337"/>
        <w:jc w:val="both"/>
        <w:rPr>
          <w:rFonts w:hAnsi="宋体"/>
          <w:b/>
          <w:color w:val="auto"/>
          <w:kern w:val="2"/>
          <w:sz w:val="21"/>
          <w:szCs w:val="21"/>
          <w:highlight w:val="none"/>
        </w:rPr>
      </w:pPr>
      <w:r>
        <w:rPr>
          <w:rFonts w:hint="eastAsia" w:hAnsi="宋体"/>
          <w:color w:val="auto"/>
          <w:kern w:val="2"/>
          <w:sz w:val="21"/>
          <w:szCs w:val="21"/>
          <w:highlight w:val="none"/>
        </w:rPr>
        <w:t>注：1、</w:t>
      </w:r>
      <w:r>
        <w:rPr>
          <w:rFonts w:hint="eastAsia" w:hAnsi="宋体"/>
          <w:b/>
          <w:color w:val="auto"/>
          <w:kern w:val="2"/>
          <w:sz w:val="21"/>
          <w:szCs w:val="21"/>
          <w:highlight w:val="none"/>
        </w:rPr>
        <w:t>供应商应按照磋商文件用户需求要求，逐条、如实地填写“偏离情况”项</w:t>
      </w:r>
      <w:r>
        <w:rPr>
          <w:rFonts w:hint="eastAsia" w:hAnsi="宋体"/>
          <w:color w:val="auto"/>
          <w:kern w:val="2"/>
          <w:sz w:val="21"/>
          <w:szCs w:val="21"/>
          <w:highlight w:val="none"/>
        </w:rPr>
        <w:t>。</w:t>
      </w:r>
      <w:r>
        <w:rPr>
          <w:rFonts w:hint="eastAsia" w:hAnsi="宋体"/>
          <w:b/>
          <w:color w:val="auto"/>
          <w:kern w:val="2"/>
          <w:sz w:val="21"/>
          <w:szCs w:val="21"/>
          <w:highlight w:val="none"/>
        </w:rPr>
        <w:t>“偏离情况”项为正偏离（或负偏离）的，必须在“具体偏离内容”项内详细说明与磋商文件的偏离内容，“偏离情况”项为无偏离的，在“具体偏离内容”项内填“无”。若发现此表未逐条填写或虚假填写本表，按无效磋商响应文件处理。</w:t>
      </w:r>
    </w:p>
    <w:p w14:paraId="23986329">
      <w:pPr>
        <w:shd w:val="clear"/>
        <w:autoSpaceDE/>
        <w:autoSpaceDN/>
        <w:adjustRightInd/>
        <w:spacing w:line="360" w:lineRule="auto"/>
        <w:ind w:left="561" w:leftChars="115" w:hanging="285" w:hangingChars="135"/>
        <w:jc w:val="both"/>
        <w:rPr>
          <w:rFonts w:hAnsi="宋体"/>
          <w:i/>
          <w:iCs/>
          <w:color w:val="auto"/>
          <w:sz w:val="21"/>
          <w:szCs w:val="21"/>
          <w:highlight w:val="none"/>
        </w:rPr>
      </w:pPr>
      <w:r>
        <w:rPr>
          <w:rFonts w:hint="eastAsia" w:hAnsi="宋体"/>
          <w:b/>
          <w:color w:val="auto"/>
          <w:kern w:val="2"/>
          <w:sz w:val="21"/>
          <w:szCs w:val="21"/>
          <w:highlight w:val="none"/>
        </w:rPr>
        <w:t>2、由供应商自行补充磋商文件所有“★”号条款内容（如有），标注“★”号条款均为必须完全满足指标，供应商须进行实质性响应，供应商若有一项带“★”的条款未响应或不满足，将按无效磋商处理。</w:t>
      </w:r>
    </w:p>
    <w:p w14:paraId="743B7B64">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0684F07B">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1F1C3AE5">
      <w:pPr>
        <w:shd w:val="clear"/>
        <w:rPr>
          <w:rFonts w:hAnsi="宋体"/>
          <w:color w:val="auto"/>
          <w:sz w:val="22"/>
          <w:szCs w:val="22"/>
          <w:highlight w:val="none"/>
        </w:rPr>
      </w:pPr>
      <w:r>
        <w:rPr>
          <w:rFonts w:hint="eastAsia" w:hAnsi="宋体"/>
          <w:color w:val="auto"/>
          <w:sz w:val="21"/>
          <w:szCs w:val="21"/>
          <w:highlight w:val="none"/>
        </w:rPr>
        <w:t>日期：年月日</w:t>
      </w:r>
    </w:p>
    <w:p w14:paraId="76D12030">
      <w:pPr>
        <w:pStyle w:val="12"/>
        <w:shd w:val="clear"/>
        <w:ind w:firstLine="400"/>
        <w:rPr>
          <w:color w:val="auto"/>
          <w:highlight w:val="none"/>
        </w:rPr>
      </w:pPr>
    </w:p>
    <w:p w14:paraId="140BADCC">
      <w:pPr>
        <w:pStyle w:val="3"/>
        <w:numPr>
          <w:ilvl w:val="0"/>
          <w:numId w:val="19"/>
        </w:numPr>
        <w:shd w:val="clear"/>
        <w:jc w:val="center"/>
        <w:rPr>
          <w:color w:val="auto"/>
          <w:sz w:val="28"/>
          <w:szCs w:val="28"/>
          <w:highlight w:val="none"/>
        </w:rPr>
      </w:pPr>
      <w:bookmarkStart w:id="243" w:name="_Toc1441"/>
      <w:bookmarkStart w:id="244" w:name="_Toc12735"/>
      <w:r>
        <w:rPr>
          <w:rFonts w:hint="eastAsia"/>
          <w:bCs/>
          <w:color w:val="auto"/>
          <w:sz w:val="28"/>
          <w:szCs w:val="28"/>
          <w:highlight w:val="none"/>
        </w:rPr>
        <w:t>供应商所获资质或奖项证书一览表</w:t>
      </w:r>
      <w:bookmarkEnd w:id="241"/>
      <w:bookmarkEnd w:id="242"/>
      <w:bookmarkEnd w:id="243"/>
      <w:bookmarkEnd w:id="244"/>
    </w:p>
    <w:p w14:paraId="75132F17">
      <w:pPr>
        <w:pStyle w:val="12"/>
        <w:shd w:val="clear"/>
        <w:tabs>
          <w:tab w:val="left" w:pos="8280"/>
        </w:tabs>
        <w:spacing w:line="480" w:lineRule="exact"/>
        <w:ind w:firstLine="482"/>
        <w:rPr>
          <w:rFonts w:hAnsi="宋体"/>
          <w:b/>
          <w:color w:val="auto"/>
          <w:sz w:val="24"/>
          <w:szCs w:val="21"/>
          <w:highlight w:val="none"/>
        </w:rPr>
      </w:pPr>
    </w:p>
    <w:tbl>
      <w:tblPr>
        <w:tblStyle w:val="53"/>
        <w:tblW w:w="8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18"/>
        <w:gridCol w:w="2218"/>
        <w:gridCol w:w="1862"/>
        <w:gridCol w:w="1529"/>
      </w:tblGrid>
      <w:tr w14:paraId="5BBB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D240EDD">
            <w:pPr>
              <w:pStyle w:val="12"/>
              <w:shd w:val="clear"/>
              <w:ind w:firstLine="0" w:firstLineChars="0"/>
              <w:jc w:val="both"/>
              <w:rPr>
                <w:rFonts w:ascii="Times New Roman" w:hAnsi="宋体"/>
                <w:b/>
                <w:bCs/>
                <w:color w:val="auto"/>
                <w:sz w:val="21"/>
                <w:szCs w:val="21"/>
                <w:highlight w:val="none"/>
              </w:rPr>
            </w:pPr>
            <w:r>
              <w:rPr>
                <w:rFonts w:hint="eastAsia" w:ascii="Times New Roman" w:hAnsi="宋体"/>
                <w:b/>
                <w:bCs/>
                <w:color w:val="auto"/>
                <w:sz w:val="21"/>
                <w:szCs w:val="21"/>
                <w:highlight w:val="none"/>
              </w:rPr>
              <w:t>序号</w:t>
            </w:r>
          </w:p>
        </w:tc>
        <w:tc>
          <w:tcPr>
            <w:tcW w:w="2218" w:type="dxa"/>
            <w:vAlign w:val="center"/>
          </w:tcPr>
          <w:p w14:paraId="5CE910FC">
            <w:pPr>
              <w:pStyle w:val="12"/>
              <w:shd w:val="clear"/>
              <w:ind w:firstLine="422"/>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证书名称及等级</w:t>
            </w:r>
          </w:p>
        </w:tc>
        <w:tc>
          <w:tcPr>
            <w:tcW w:w="2218" w:type="dxa"/>
            <w:vAlign w:val="center"/>
          </w:tcPr>
          <w:p w14:paraId="4D50D684">
            <w:pPr>
              <w:pStyle w:val="12"/>
              <w:shd w:val="clear"/>
              <w:ind w:firstLine="422"/>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证书编号</w:t>
            </w:r>
          </w:p>
        </w:tc>
        <w:tc>
          <w:tcPr>
            <w:tcW w:w="1862" w:type="dxa"/>
            <w:vAlign w:val="center"/>
          </w:tcPr>
          <w:p w14:paraId="11F33FDE">
            <w:pPr>
              <w:pStyle w:val="12"/>
              <w:shd w:val="clear"/>
              <w:ind w:firstLine="422"/>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发证单位</w:t>
            </w:r>
          </w:p>
        </w:tc>
        <w:tc>
          <w:tcPr>
            <w:tcW w:w="1529" w:type="dxa"/>
            <w:vAlign w:val="center"/>
          </w:tcPr>
          <w:p w14:paraId="709C4907">
            <w:pPr>
              <w:pStyle w:val="12"/>
              <w:shd w:val="clear"/>
              <w:ind w:firstLine="422"/>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证书有效期</w:t>
            </w:r>
          </w:p>
        </w:tc>
      </w:tr>
      <w:tr w14:paraId="367B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7744345">
            <w:pPr>
              <w:pStyle w:val="12"/>
              <w:shd w:val="clear"/>
              <w:ind w:firstLine="422"/>
              <w:jc w:val="center"/>
              <w:rPr>
                <w:rFonts w:ascii="Times New Roman" w:hAnsi="宋体"/>
                <w:b/>
                <w:bCs/>
                <w:color w:val="auto"/>
                <w:sz w:val="21"/>
                <w:szCs w:val="21"/>
                <w:highlight w:val="none"/>
              </w:rPr>
            </w:pPr>
          </w:p>
        </w:tc>
        <w:tc>
          <w:tcPr>
            <w:tcW w:w="2218" w:type="dxa"/>
            <w:vAlign w:val="center"/>
          </w:tcPr>
          <w:p w14:paraId="68089E87">
            <w:pPr>
              <w:pStyle w:val="12"/>
              <w:shd w:val="clear"/>
              <w:ind w:firstLine="422"/>
              <w:jc w:val="center"/>
              <w:rPr>
                <w:rFonts w:ascii="Times New Roman" w:hAnsi="宋体"/>
                <w:b/>
                <w:bCs/>
                <w:color w:val="auto"/>
                <w:sz w:val="21"/>
                <w:szCs w:val="21"/>
                <w:highlight w:val="none"/>
              </w:rPr>
            </w:pPr>
          </w:p>
        </w:tc>
        <w:tc>
          <w:tcPr>
            <w:tcW w:w="2218" w:type="dxa"/>
            <w:vAlign w:val="center"/>
          </w:tcPr>
          <w:p w14:paraId="70EC093F">
            <w:pPr>
              <w:pStyle w:val="12"/>
              <w:shd w:val="clear"/>
              <w:ind w:firstLine="422"/>
              <w:jc w:val="center"/>
              <w:rPr>
                <w:rFonts w:ascii="Times New Roman" w:hAnsi="宋体"/>
                <w:b/>
                <w:bCs/>
                <w:color w:val="auto"/>
                <w:sz w:val="21"/>
                <w:szCs w:val="21"/>
                <w:highlight w:val="none"/>
              </w:rPr>
            </w:pPr>
          </w:p>
        </w:tc>
        <w:tc>
          <w:tcPr>
            <w:tcW w:w="1862" w:type="dxa"/>
            <w:vAlign w:val="center"/>
          </w:tcPr>
          <w:p w14:paraId="052E4659">
            <w:pPr>
              <w:pStyle w:val="12"/>
              <w:shd w:val="clear"/>
              <w:ind w:firstLine="422"/>
              <w:jc w:val="center"/>
              <w:rPr>
                <w:rFonts w:ascii="Times New Roman" w:hAnsi="宋体"/>
                <w:b/>
                <w:bCs/>
                <w:color w:val="auto"/>
                <w:sz w:val="21"/>
                <w:szCs w:val="21"/>
                <w:highlight w:val="none"/>
              </w:rPr>
            </w:pPr>
          </w:p>
        </w:tc>
        <w:tc>
          <w:tcPr>
            <w:tcW w:w="1529" w:type="dxa"/>
            <w:vAlign w:val="center"/>
          </w:tcPr>
          <w:p w14:paraId="37B76FB8">
            <w:pPr>
              <w:pStyle w:val="12"/>
              <w:shd w:val="clear"/>
              <w:ind w:firstLine="422"/>
              <w:jc w:val="center"/>
              <w:rPr>
                <w:rFonts w:ascii="Times New Roman" w:hAnsi="宋体"/>
                <w:b/>
                <w:bCs/>
                <w:color w:val="auto"/>
                <w:sz w:val="21"/>
                <w:szCs w:val="21"/>
                <w:highlight w:val="none"/>
              </w:rPr>
            </w:pPr>
          </w:p>
        </w:tc>
      </w:tr>
      <w:tr w14:paraId="15E9F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089E451">
            <w:pPr>
              <w:pStyle w:val="12"/>
              <w:shd w:val="clear"/>
              <w:ind w:firstLine="422"/>
              <w:jc w:val="center"/>
              <w:rPr>
                <w:rFonts w:ascii="Times New Roman" w:hAnsi="宋体"/>
                <w:b/>
                <w:bCs/>
                <w:color w:val="auto"/>
                <w:sz w:val="21"/>
                <w:szCs w:val="21"/>
                <w:highlight w:val="none"/>
              </w:rPr>
            </w:pPr>
          </w:p>
        </w:tc>
        <w:tc>
          <w:tcPr>
            <w:tcW w:w="2218" w:type="dxa"/>
            <w:vAlign w:val="center"/>
          </w:tcPr>
          <w:p w14:paraId="6D9BEB2B">
            <w:pPr>
              <w:pStyle w:val="12"/>
              <w:shd w:val="clear"/>
              <w:ind w:firstLine="422"/>
              <w:jc w:val="center"/>
              <w:rPr>
                <w:rFonts w:ascii="Times New Roman" w:hAnsi="宋体"/>
                <w:b/>
                <w:bCs/>
                <w:color w:val="auto"/>
                <w:sz w:val="21"/>
                <w:szCs w:val="21"/>
                <w:highlight w:val="none"/>
              </w:rPr>
            </w:pPr>
          </w:p>
        </w:tc>
        <w:tc>
          <w:tcPr>
            <w:tcW w:w="2218" w:type="dxa"/>
            <w:vAlign w:val="center"/>
          </w:tcPr>
          <w:p w14:paraId="305D3EAC">
            <w:pPr>
              <w:pStyle w:val="12"/>
              <w:shd w:val="clear"/>
              <w:ind w:firstLine="422"/>
              <w:jc w:val="center"/>
              <w:rPr>
                <w:rFonts w:ascii="Times New Roman" w:hAnsi="宋体"/>
                <w:b/>
                <w:bCs/>
                <w:color w:val="auto"/>
                <w:sz w:val="21"/>
                <w:szCs w:val="21"/>
                <w:highlight w:val="none"/>
              </w:rPr>
            </w:pPr>
          </w:p>
        </w:tc>
        <w:tc>
          <w:tcPr>
            <w:tcW w:w="1862" w:type="dxa"/>
            <w:vAlign w:val="center"/>
          </w:tcPr>
          <w:p w14:paraId="6A639A0F">
            <w:pPr>
              <w:pStyle w:val="12"/>
              <w:shd w:val="clear"/>
              <w:ind w:firstLine="422"/>
              <w:jc w:val="center"/>
              <w:rPr>
                <w:rFonts w:ascii="Times New Roman" w:hAnsi="宋体"/>
                <w:b/>
                <w:bCs/>
                <w:color w:val="auto"/>
                <w:sz w:val="21"/>
                <w:szCs w:val="21"/>
                <w:highlight w:val="none"/>
              </w:rPr>
            </w:pPr>
          </w:p>
        </w:tc>
        <w:tc>
          <w:tcPr>
            <w:tcW w:w="1529" w:type="dxa"/>
            <w:vAlign w:val="center"/>
          </w:tcPr>
          <w:p w14:paraId="7D5EBC83">
            <w:pPr>
              <w:pStyle w:val="12"/>
              <w:shd w:val="clear"/>
              <w:ind w:firstLine="422"/>
              <w:jc w:val="center"/>
              <w:rPr>
                <w:rFonts w:ascii="Times New Roman" w:hAnsi="宋体"/>
                <w:b/>
                <w:bCs/>
                <w:color w:val="auto"/>
                <w:sz w:val="21"/>
                <w:szCs w:val="21"/>
                <w:highlight w:val="none"/>
              </w:rPr>
            </w:pPr>
          </w:p>
        </w:tc>
      </w:tr>
      <w:tr w14:paraId="7C934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DB8FB14">
            <w:pPr>
              <w:pStyle w:val="12"/>
              <w:shd w:val="clear"/>
              <w:ind w:firstLine="422"/>
              <w:jc w:val="center"/>
              <w:rPr>
                <w:rFonts w:ascii="Times New Roman" w:hAnsi="宋体"/>
                <w:b/>
                <w:bCs/>
                <w:color w:val="auto"/>
                <w:sz w:val="21"/>
                <w:szCs w:val="21"/>
                <w:highlight w:val="none"/>
              </w:rPr>
            </w:pPr>
          </w:p>
        </w:tc>
        <w:tc>
          <w:tcPr>
            <w:tcW w:w="2218" w:type="dxa"/>
            <w:vAlign w:val="center"/>
          </w:tcPr>
          <w:p w14:paraId="1092EA26">
            <w:pPr>
              <w:pStyle w:val="12"/>
              <w:shd w:val="clear"/>
              <w:ind w:firstLine="422"/>
              <w:jc w:val="center"/>
              <w:rPr>
                <w:rFonts w:ascii="Times New Roman" w:hAnsi="宋体"/>
                <w:b/>
                <w:bCs/>
                <w:color w:val="auto"/>
                <w:sz w:val="21"/>
                <w:szCs w:val="21"/>
                <w:highlight w:val="none"/>
              </w:rPr>
            </w:pPr>
          </w:p>
        </w:tc>
        <w:tc>
          <w:tcPr>
            <w:tcW w:w="2218" w:type="dxa"/>
            <w:vAlign w:val="center"/>
          </w:tcPr>
          <w:p w14:paraId="31E0B1A1">
            <w:pPr>
              <w:pStyle w:val="12"/>
              <w:shd w:val="clear"/>
              <w:ind w:firstLine="422"/>
              <w:jc w:val="center"/>
              <w:rPr>
                <w:rFonts w:ascii="Times New Roman" w:hAnsi="宋体"/>
                <w:b/>
                <w:bCs/>
                <w:color w:val="auto"/>
                <w:sz w:val="21"/>
                <w:szCs w:val="21"/>
                <w:highlight w:val="none"/>
              </w:rPr>
            </w:pPr>
          </w:p>
        </w:tc>
        <w:tc>
          <w:tcPr>
            <w:tcW w:w="1862" w:type="dxa"/>
            <w:vAlign w:val="center"/>
          </w:tcPr>
          <w:p w14:paraId="50E7B841">
            <w:pPr>
              <w:pStyle w:val="12"/>
              <w:shd w:val="clear"/>
              <w:ind w:firstLine="422"/>
              <w:jc w:val="center"/>
              <w:rPr>
                <w:rFonts w:ascii="Times New Roman" w:hAnsi="宋体"/>
                <w:b/>
                <w:bCs/>
                <w:color w:val="auto"/>
                <w:sz w:val="21"/>
                <w:szCs w:val="21"/>
                <w:highlight w:val="none"/>
              </w:rPr>
            </w:pPr>
          </w:p>
        </w:tc>
        <w:tc>
          <w:tcPr>
            <w:tcW w:w="1529" w:type="dxa"/>
            <w:vAlign w:val="center"/>
          </w:tcPr>
          <w:p w14:paraId="422577B1">
            <w:pPr>
              <w:pStyle w:val="12"/>
              <w:shd w:val="clear"/>
              <w:ind w:firstLine="422"/>
              <w:jc w:val="center"/>
              <w:rPr>
                <w:rFonts w:ascii="Times New Roman" w:hAnsi="宋体"/>
                <w:b/>
                <w:bCs/>
                <w:color w:val="auto"/>
                <w:sz w:val="21"/>
                <w:szCs w:val="21"/>
                <w:highlight w:val="none"/>
              </w:rPr>
            </w:pPr>
          </w:p>
        </w:tc>
      </w:tr>
      <w:tr w14:paraId="3B83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0559C4A3">
            <w:pPr>
              <w:pStyle w:val="12"/>
              <w:shd w:val="clear"/>
              <w:ind w:firstLine="422"/>
              <w:jc w:val="center"/>
              <w:rPr>
                <w:rFonts w:ascii="Times New Roman" w:hAnsi="宋体"/>
                <w:b/>
                <w:bCs/>
                <w:color w:val="auto"/>
                <w:sz w:val="21"/>
                <w:szCs w:val="21"/>
                <w:highlight w:val="none"/>
              </w:rPr>
            </w:pPr>
          </w:p>
        </w:tc>
        <w:tc>
          <w:tcPr>
            <w:tcW w:w="2218" w:type="dxa"/>
            <w:vAlign w:val="center"/>
          </w:tcPr>
          <w:p w14:paraId="3ABD9A05">
            <w:pPr>
              <w:pStyle w:val="12"/>
              <w:shd w:val="clear"/>
              <w:ind w:firstLine="422"/>
              <w:jc w:val="center"/>
              <w:rPr>
                <w:rFonts w:ascii="Times New Roman" w:hAnsi="宋体"/>
                <w:b/>
                <w:bCs/>
                <w:color w:val="auto"/>
                <w:sz w:val="21"/>
                <w:szCs w:val="21"/>
                <w:highlight w:val="none"/>
              </w:rPr>
            </w:pPr>
          </w:p>
        </w:tc>
        <w:tc>
          <w:tcPr>
            <w:tcW w:w="2218" w:type="dxa"/>
            <w:vAlign w:val="center"/>
          </w:tcPr>
          <w:p w14:paraId="7C65532F">
            <w:pPr>
              <w:pStyle w:val="12"/>
              <w:shd w:val="clear"/>
              <w:ind w:firstLine="422"/>
              <w:jc w:val="center"/>
              <w:rPr>
                <w:rFonts w:ascii="Times New Roman" w:hAnsi="宋体"/>
                <w:b/>
                <w:bCs/>
                <w:color w:val="auto"/>
                <w:sz w:val="21"/>
                <w:szCs w:val="21"/>
                <w:highlight w:val="none"/>
              </w:rPr>
            </w:pPr>
          </w:p>
        </w:tc>
        <w:tc>
          <w:tcPr>
            <w:tcW w:w="1862" w:type="dxa"/>
            <w:vAlign w:val="center"/>
          </w:tcPr>
          <w:p w14:paraId="3C79B7EB">
            <w:pPr>
              <w:pStyle w:val="12"/>
              <w:shd w:val="clear"/>
              <w:ind w:firstLine="422"/>
              <w:jc w:val="center"/>
              <w:rPr>
                <w:rFonts w:ascii="Times New Roman" w:hAnsi="宋体"/>
                <w:b/>
                <w:bCs/>
                <w:color w:val="auto"/>
                <w:sz w:val="21"/>
                <w:szCs w:val="21"/>
                <w:highlight w:val="none"/>
              </w:rPr>
            </w:pPr>
          </w:p>
        </w:tc>
        <w:tc>
          <w:tcPr>
            <w:tcW w:w="1529" w:type="dxa"/>
            <w:vAlign w:val="center"/>
          </w:tcPr>
          <w:p w14:paraId="5DF20962">
            <w:pPr>
              <w:pStyle w:val="12"/>
              <w:shd w:val="clear"/>
              <w:ind w:firstLine="422"/>
              <w:jc w:val="center"/>
              <w:rPr>
                <w:rFonts w:ascii="Times New Roman" w:hAnsi="宋体"/>
                <w:b/>
                <w:bCs/>
                <w:color w:val="auto"/>
                <w:sz w:val="21"/>
                <w:szCs w:val="21"/>
                <w:highlight w:val="none"/>
              </w:rPr>
            </w:pPr>
          </w:p>
        </w:tc>
      </w:tr>
      <w:tr w14:paraId="3D7F7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0C136C6">
            <w:pPr>
              <w:pStyle w:val="12"/>
              <w:shd w:val="clear"/>
              <w:ind w:firstLine="422"/>
              <w:jc w:val="center"/>
              <w:rPr>
                <w:rFonts w:ascii="Times New Roman" w:hAnsi="宋体"/>
                <w:b/>
                <w:bCs/>
                <w:color w:val="auto"/>
                <w:sz w:val="21"/>
                <w:szCs w:val="21"/>
                <w:highlight w:val="none"/>
              </w:rPr>
            </w:pPr>
          </w:p>
        </w:tc>
        <w:tc>
          <w:tcPr>
            <w:tcW w:w="2218" w:type="dxa"/>
            <w:vAlign w:val="center"/>
          </w:tcPr>
          <w:p w14:paraId="78CD61CB">
            <w:pPr>
              <w:pStyle w:val="12"/>
              <w:shd w:val="clear"/>
              <w:ind w:firstLine="422"/>
              <w:jc w:val="center"/>
              <w:rPr>
                <w:rFonts w:ascii="Times New Roman" w:hAnsi="宋体"/>
                <w:b/>
                <w:bCs/>
                <w:color w:val="auto"/>
                <w:sz w:val="21"/>
                <w:szCs w:val="21"/>
                <w:highlight w:val="none"/>
              </w:rPr>
            </w:pPr>
          </w:p>
        </w:tc>
        <w:tc>
          <w:tcPr>
            <w:tcW w:w="2218" w:type="dxa"/>
            <w:vAlign w:val="center"/>
          </w:tcPr>
          <w:p w14:paraId="6AA821FE">
            <w:pPr>
              <w:pStyle w:val="12"/>
              <w:shd w:val="clear"/>
              <w:ind w:firstLine="422"/>
              <w:jc w:val="center"/>
              <w:rPr>
                <w:rFonts w:ascii="Times New Roman" w:hAnsi="宋体"/>
                <w:b/>
                <w:bCs/>
                <w:color w:val="auto"/>
                <w:sz w:val="21"/>
                <w:szCs w:val="21"/>
                <w:highlight w:val="none"/>
              </w:rPr>
            </w:pPr>
          </w:p>
        </w:tc>
        <w:tc>
          <w:tcPr>
            <w:tcW w:w="1862" w:type="dxa"/>
            <w:vAlign w:val="center"/>
          </w:tcPr>
          <w:p w14:paraId="24B6448B">
            <w:pPr>
              <w:pStyle w:val="12"/>
              <w:shd w:val="clear"/>
              <w:ind w:firstLine="422"/>
              <w:jc w:val="center"/>
              <w:rPr>
                <w:rFonts w:ascii="Times New Roman" w:hAnsi="宋体"/>
                <w:b/>
                <w:bCs/>
                <w:color w:val="auto"/>
                <w:sz w:val="21"/>
                <w:szCs w:val="21"/>
                <w:highlight w:val="none"/>
              </w:rPr>
            </w:pPr>
          </w:p>
        </w:tc>
        <w:tc>
          <w:tcPr>
            <w:tcW w:w="1529" w:type="dxa"/>
            <w:vAlign w:val="center"/>
          </w:tcPr>
          <w:p w14:paraId="506E8F6F">
            <w:pPr>
              <w:pStyle w:val="12"/>
              <w:shd w:val="clear"/>
              <w:ind w:firstLine="422"/>
              <w:jc w:val="center"/>
              <w:rPr>
                <w:rFonts w:ascii="Times New Roman" w:hAnsi="宋体"/>
                <w:b/>
                <w:bCs/>
                <w:color w:val="auto"/>
                <w:sz w:val="21"/>
                <w:szCs w:val="21"/>
                <w:highlight w:val="none"/>
              </w:rPr>
            </w:pPr>
          </w:p>
        </w:tc>
      </w:tr>
      <w:tr w14:paraId="11B7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16CB2CD">
            <w:pPr>
              <w:pStyle w:val="12"/>
              <w:shd w:val="clear"/>
              <w:ind w:firstLine="422"/>
              <w:jc w:val="center"/>
              <w:rPr>
                <w:rFonts w:ascii="Times New Roman" w:hAnsi="宋体"/>
                <w:b/>
                <w:bCs/>
                <w:color w:val="auto"/>
                <w:sz w:val="21"/>
                <w:szCs w:val="21"/>
                <w:highlight w:val="none"/>
              </w:rPr>
            </w:pPr>
          </w:p>
        </w:tc>
        <w:tc>
          <w:tcPr>
            <w:tcW w:w="2218" w:type="dxa"/>
            <w:vAlign w:val="center"/>
          </w:tcPr>
          <w:p w14:paraId="79E3B437">
            <w:pPr>
              <w:pStyle w:val="12"/>
              <w:shd w:val="clear"/>
              <w:ind w:firstLine="422"/>
              <w:jc w:val="center"/>
              <w:rPr>
                <w:rFonts w:ascii="Times New Roman" w:hAnsi="宋体"/>
                <w:b/>
                <w:bCs/>
                <w:color w:val="auto"/>
                <w:sz w:val="21"/>
                <w:szCs w:val="21"/>
                <w:highlight w:val="none"/>
              </w:rPr>
            </w:pPr>
          </w:p>
        </w:tc>
        <w:tc>
          <w:tcPr>
            <w:tcW w:w="2218" w:type="dxa"/>
            <w:vAlign w:val="center"/>
          </w:tcPr>
          <w:p w14:paraId="5111C575">
            <w:pPr>
              <w:pStyle w:val="12"/>
              <w:shd w:val="clear"/>
              <w:ind w:firstLine="422"/>
              <w:jc w:val="center"/>
              <w:rPr>
                <w:rFonts w:ascii="Times New Roman" w:hAnsi="宋体"/>
                <w:b/>
                <w:bCs/>
                <w:color w:val="auto"/>
                <w:sz w:val="21"/>
                <w:szCs w:val="21"/>
                <w:highlight w:val="none"/>
              </w:rPr>
            </w:pPr>
          </w:p>
        </w:tc>
        <w:tc>
          <w:tcPr>
            <w:tcW w:w="1862" w:type="dxa"/>
            <w:vAlign w:val="center"/>
          </w:tcPr>
          <w:p w14:paraId="5D2F5E5B">
            <w:pPr>
              <w:pStyle w:val="12"/>
              <w:shd w:val="clear"/>
              <w:ind w:firstLine="422"/>
              <w:jc w:val="center"/>
              <w:rPr>
                <w:rFonts w:ascii="Times New Roman" w:hAnsi="宋体"/>
                <w:b/>
                <w:bCs/>
                <w:color w:val="auto"/>
                <w:sz w:val="21"/>
                <w:szCs w:val="21"/>
                <w:highlight w:val="none"/>
              </w:rPr>
            </w:pPr>
          </w:p>
        </w:tc>
        <w:tc>
          <w:tcPr>
            <w:tcW w:w="1529" w:type="dxa"/>
            <w:vAlign w:val="center"/>
          </w:tcPr>
          <w:p w14:paraId="5DC0F6E6">
            <w:pPr>
              <w:pStyle w:val="12"/>
              <w:shd w:val="clear"/>
              <w:ind w:firstLine="422"/>
              <w:jc w:val="center"/>
              <w:rPr>
                <w:rFonts w:ascii="Times New Roman" w:hAnsi="宋体"/>
                <w:b/>
                <w:bCs/>
                <w:color w:val="auto"/>
                <w:sz w:val="21"/>
                <w:szCs w:val="21"/>
                <w:highlight w:val="none"/>
              </w:rPr>
            </w:pPr>
          </w:p>
        </w:tc>
      </w:tr>
      <w:tr w14:paraId="5FAB6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E29D1AB">
            <w:pPr>
              <w:pStyle w:val="12"/>
              <w:shd w:val="clear"/>
              <w:ind w:firstLine="422"/>
              <w:jc w:val="center"/>
              <w:rPr>
                <w:rFonts w:ascii="Times New Roman" w:hAnsi="宋体"/>
                <w:b/>
                <w:bCs/>
                <w:color w:val="auto"/>
                <w:sz w:val="21"/>
                <w:szCs w:val="21"/>
                <w:highlight w:val="none"/>
              </w:rPr>
            </w:pPr>
          </w:p>
        </w:tc>
        <w:tc>
          <w:tcPr>
            <w:tcW w:w="2218" w:type="dxa"/>
            <w:vAlign w:val="center"/>
          </w:tcPr>
          <w:p w14:paraId="7CA56AF1">
            <w:pPr>
              <w:pStyle w:val="12"/>
              <w:shd w:val="clear"/>
              <w:ind w:firstLine="422"/>
              <w:jc w:val="center"/>
              <w:rPr>
                <w:rFonts w:ascii="Times New Roman" w:hAnsi="宋体"/>
                <w:b/>
                <w:bCs/>
                <w:color w:val="auto"/>
                <w:sz w:val="21"/>
                <w:szCs w:val="21"/>
                <w:highlight w:val="none"/>
              </w:rPr>
            </w:pPr>
          </w:p>
        </w:tc>
        <w:tc>
          <w:tcPr>
            <w:tcW w:w="2218" w:type="dxa"/>
            <w:vAlign w:val="center"/>
          </w:tcPr>
          <w:p w14:paraId="344D9221">
            <w:pPr>
              <w:pStyle w:val="12"/>
              <w:shd w:val="clear"/>
              <w:ind w:firstLine="422"/>
              <w:jc w:val="center"/>
              <w:rPr>
                <w:rFonts w:ascii="Times New Roman" w:hAnsi="宋体"/>
                <w:b/>
                <w:bCs/>
                <w:color w:val="auto"/>
                <w:sz w:val="21"/>
                <w:szCs w:val="21"/>
                <w:highlight w:val="none"/>
              </w:rPr>
            </w:pPr>
          </w:p>
        </w:tc>
        <w:tc>
          <w:tcPr>
            <w:tcW w:w="1862" w:type="dxa"/>
            <w:vAlign w:val="center"/>
          </w:tcPr>
          <w:p w14:paraId="74E5CA46">
            <w:pPr>
              <w:pStyle w:val="12"/>
              <w:shd w:val="clear"/>
              <w:ind w:firstLine="422"/>
              <w:jc w:val="center"/>
              <w:rPr>
                <w:rFonts w:ascii="Times New Roman" w:hAnsi="宋体"/>
                <w:b/>
                <w:bCs/>
                <w:color w:val="auto"/>
                <w:sz w:val="21"/>
                <w:szCs w:val="21"/>
                <w:highlight w:val="none"/>
              </w:rPr>
            </w:pPr>
          </w:p>
        </w:tc>
        <w:tc>
          <w:tcPr>
            <w:tcW w:w="1529" w:type="dxa"/>
            <w:vAlign w:val="center"/>
          </w:tcPr>
          <w:p w14:paraId="72331D50">
            <w:pPr>
              <w:pStyle w:val="12"/>
              <w:shd w:val="clear"/>
              <w:ind w:firstLine="422"/>
              <w:jc w:val="center"/>
              <w:rPr>
                <w:rFonts w:ascii="Times New Roman" w:hAnsi="宋体"/>
                <w:b/>
                <w:bCs/>
                <w:color w:val="auto"/>
                <w:sz w:val="21"/>
                <w:szCs w:val="21"/>
                <w:highlight w:val="none"/>
              </w:rPr>
            </w:pPr>
          </w:p>
        </w:tc>
      </w:tr>
      <w:tr w14:paraId="66F94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42CDBD5">
            <w:pPr>
              <w:pStyle w:val="12"/>
              <w:shd w:val="clear"/>
              <w:ind w:firstLine="422"/>
              <w:jc w:val="center"/>
              <w:rPr>
                <w:rFonts w:ascii="Times New Roman" w:hAnsi="宋体"/>
                <w:b/>
                <w:bCs/>
                <w:color w:val="auto"/>
                <w:sz w:val="21"/>
                <w:szCs w:val="21"/>
                <w:highlight w:val="none"/>
              </w:rPr>
            </w:pPr>
          </w:p>
        </w:tc>
        <w:tc>
          <w:tcPr>
            <w:tcW w:w="2218" w:type="dxa"/>
            <w:vAlign w:val="center"/>
          </w:tcPr>
          <w:p w14:paraId="3C7A8ABB">
            <w:pPr>
              <w:pStyle w:val="12"/>
              <w:shd w:val="clear"/>
              <w:ind w:firstLine="422"/>
              <w:jc w:val="center"/>
              <w:rPr>
                <w:rFonts w:ascii="Times New Roman" w:hAnsi="宋体"/>
                <w:b/>
                <w:bCs/>
                <w:color w:val="auto"/>
                <w:sz w:val="21"/>
                <w:szCs w:val="21"/>
                <w:highlight w:val="none"/>
              </w:rPr>
            </w:pPr>
          </w:p>
        </w:tc>
        <w:tc>
          <w:tcPr>
            <w:tcW w:w="2218" w:type="dxa"/>
            <w:vAlign w:val="center"/>
          </w:tcPr>
          <w:p w14:paraId="60C6B97E">
            <w:pPr>
              <w:pStyle w:val="12"/>
              <w:shd w:val="clear"/>
              <w:ind w:firstLine="422"/>
              <w:jc w:val="center"/>
              <w:rPr>
                <w:rFonts w:ascii="Times New Roman" w:hAnsi="宋体"/>
                <w:b/>
                <w:bCs/>
                <w:color w:val="auto"/>
                <w:sz w:val="21"/>
                <w:szCs w:val="21"/>
                <w:highlight w:val="none"/>
              </w:rPr>
            </w:pPr>
          </w:p>
        </w:tc>
        <w:tc>
          <w:tcPr>
            <w:tcW w:w="1862" w:type="dxa"/>
            <w:vAlign w:val="center"/>
          </w:tcPr>
          <w:p w14:paraId="1BC887C0">
            <w:pPr>
              <w:pStyle w:val="12"/>
              <w:shd w:val="clear"/>
              <w:ind w:firstLine="422"/>
              <w:jc w:val="center"/>
              <w:rPr>
                <w:rFonts w:ascii="Times New Roman" w:hAnsi="宋体"/>
                <w:b/>
                <w:bCs/>
                <w:color w:val="auto"/>
                <w:sz w:val="21"/>
                <w:szCs w:val="21"/>
                <w:highlight w:val="none"/>
              </w:rPr>
            </w:pPr>
          </w:p>
        </w:tc>
        <w:tc>
          <w:tcPr>
            <w:tcW w:w="1529" w:type="dxa"/>
            <w:vAlign w:val="center"/>
          </w:tcPr>
          <w:p w14:paraId="4DFFBAB9">
            <w:pPr>
              <w:pStyle w:val="12"/>
              <w:shd w:val="clear"/>
              <w:ind w:firstLine="422"/>
              <w:jc w:val="center"/>
              <w:rPr>
                <w:rFonts w:ascii="Times New Roman" w:hAnsi="宋体"/>
                <w:b/>
                <w:bCs/>
                <w:color w:val="auto"/>
                <w:sz w:val="21"/>
                <w:szCs w:val="21"/>
                <w:highlight w:val="none"/>
              </w:rPr>
            </w:pPr>
          </w:p>
        </w:tc>
      </w:tr>
      <w:tr w14:paraId="2F1C2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BA446A4">
            <w:pPr>
              <w:pStyle w:val="12"/>
              <w:shd w:val="clear"/>
              <w:ind w:firstLine="422"/>
              <w:jc w:val="center"/>
              <w:rPr>
                <w:rFonts w:ascii="Times New Roman" w:hAnsi="宋体"/>
                <w:b/>
                <w:bCs/>
                <w:color w:val="auto"/>
                <w:sz w:val="21"/>
                <w:szCs w:val="21"/>
                <w:highlight w:val="none"/>
              </w:rPr>
            </w:pPr>
          </w:p>
        </w:tc>
        <w:tc>
          <w:tcPr>
            <w:tcW w:w="2218" w:type="dxa"/>
            <w:vAlign w:val="center"/>
          </w:tcPr>
          <w:p w14:paraId="45BDAD49">
            <w:pPr>
              <w:pStyle w:val="12"/>
              <w:shd w:val="clear"/>
              <w:ind w:firstLine="422"/>
              <w:jc w:val="center"/>
              <w:rPr>
                <w:rFonts w:ascii="Times New Roman" w:hAnsi="宋体"/>
                <w:b/>
                <w:bCs/>
                <w:color w:val="auto"/>
                <w:sz w:val="21"/>
                <w:szCs w:val="21"/>
                <w:highlight w:val="none"/>
              </w:rPr>
            </w:pPr>
          </w:p>
        </w:tc>
        <w:tc>
          <w:tcPr>
            <w:tcW w:w="2218" w:type="dxa"/>
            <w:vAlign w:val="center"/>
          </w:tcPr>
          <w:p w14:paraId="5199B735">
            <w:pPr>
              <w:pStyle w:val="12"/>
              <w:shd w:val="clear"/>
              <w:ind w:firstLine="422"/>
              <w:jc w:val="center"/>
              <w:rPr>
                <w:rFonts w:ascii="Times New Roman" w:hAnsi="宋体"/>
                <w:b/>
                <w:bCs/>
                <w:color w:val="auto"/>
                <w:sz w:val="21"/>
                <w:szCs w:val="21"/>
                <w:highlight w:val="none"/>
              </w:rPr>
            </w:pPr>
          </w:p>
        </w:tc>
        <w:tc>
          <w:tcPr>
            <w:tcW w:w="1862" w:type="dxa"/>
            <w:vAlign w:val="center"/>
          </w:tcPr>
          <w:p w14:paraId="7A764132">
            <w:pPr>
              <w:pStyle w:val="12"/>
              <w:shd w:val="clear"/>
              <w:ind w:firstLine="422"/>
              <w:jc w:val="center"/>
              <w:rPr>
                <w:rFonts w:ascii="Times New Roman" w:hAnsi="宋体"/>
                <w:b/>
                <w:bCs/>
                <w:color w:val="auto"/>
                <w:sz w:val="21"/>
                <w:szCs w:val="21"/>
                <w:highlight w:val="none"/>
              </w:rPr>
            </w:pPr>
          </w:p>
        </w:tc>
        <w:tc>
          <w:tcPr>
            <w:tcW w:w="1529" w:type="dxa"/>
            <w:vAlign w:val="center"/>
          </w:tcPr>
          <w:p w14:paraId="6486A490">
            <w:pPr>
              <w:pStyle w:val="12"/>
              <w:shd w:val="clear"/>
              <w:ind w:firstLine="422"/>
              <w:jc w:val="center"/>
              <w:rPr>
                <w:rFonts w:ascii="Times New Roman" w:hAnsi="宋体"/>
                <w:b/>
                <w:bCs/>
                <w:color w:val="auto"/>
                <w:sz w:val="21"/>
                <w:szCs w:val="21"/>
                <w:highlight w:val="none"/>
              </w:rPr>
            </w:pPr>
          </w:p>
        </w:tc>
      </w:tr>
      <w:tr w14:paraId="507C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D57B90C">
            <w:pPr>
              <w:pStyle w:val="12"/>
              <w:shd w:val="clear"/>
              <w:ind w:firstLine="422"/>
              <w:jc w:val="center"/>
              <w:rPr>
                <w:rFonts w:ascii="Times New Roman" w:hAnsi="宋体"/>
                <w:b/>
                <w:bCs/>
                <w:color w:val="auto"/>
                <w:sz w:val="21"/>
                <w:szCs w:val="21"/>
                <w:highlight w:val="none"/>
              </w:rPr>
            </w:pPr>
          </w:p>
        </w:tc>
        <w:tc>
          <w:tcPr>
            <w:tcW w:w="2218" w:type="dxa"/>
            <w:vAlign w:val="center"/>
          </w:tcPr>
          <w:p w14:paraId="75B0CBCE">
            <w:pPr>
              <w:pStyle w:val="12"/>
              <w:shd w:val="clear"/>
              <w:ind w:firstLine="422"/>
              <w:jc w:val="center"/>
              <w:rPr>
                <w:rFonts w:ascii="Times New Roman" w:hAnsi="宋体"/>
                <w:b/>
                <w:bCs/>
                <w:color w:val="auto"/>
                <w:sz w:val="21"/>
                <w:szCs w:val="21"/>
                <w:highlight w:val="none"/>
              </w:rPr>
            </w:pPr>
          </w:p>
        </w:tc>
        <w:tc>
          <w:tcPr>
            <w:tcW w:w="2218" w:type="dxa"/>
            <w:vAlign w:val="center"/>
          </w:tcPr>
          <w:p w14:paraId="24F66508">
            <w:pPr>
              <w:pStyle w:val="12"/>
              <w:shd w:val="clear"/>
              <w:ind w:firstLine="422"/>
              <w:jc w:val="center"/>
              <w:rPr>
                <w:rFonts w:ascii="Times New Roman" w:hAnsi="宋体"/>
                <w:b/>
                <w:bCs/>
                <w:color w:val="auto"/>
                <w:sz w:val="21"/>
                <w:szCs w:val="21"/>
                <w:highlight w:val="none"/>
              </w:rPr>
            </w:pPr>
          </w:p>
        </w:tc>
        <w:tc>
          <w:tcPr>
            <w:tcW w:w="1862" w:type="dxa"/>
            <w:vAlign w:val="center"/>
          </w:tcPr>
          <w:p w14:paraId="2BB6AF15">
            <w:pPr>
              <w:pStyle w:val="12"/>
              <w:shd w:val="clear"/>
              <w:ind w:firstLine="422"/>
              <w:jc w:val="center"/>
              <w:rPr>
                <w:rFonts w:ascii="Times New Roman" w:hAnsi="宋体"/>
                <w:b/>
                <w:bCs/>
                <w:color w:val="auto"/>
                <w:sz w:val="21"/>
                <w:szCs w:val="21"/>
                <w:highlight w:val="none"/>
              </w:rPr>
            </w:pPr>
          </w:p>
        </w:tc>
        <w:tc>
          <w:tcPr>
            <w:tcW w:w="1529" w:type="dxa"/>
            <w:vAlign w:val="center"/>
          </w:tcPr>
          <w:p w14:paraId="43CA47EB">
            <w:pPr>
              <w:pStyle w:val="12"/>
              <w:shd w:val="clear"/>
              <w:ind w:firstLine="422"/>
              <w:jc w:val="center"/>
              <w:rPr>
                <w:rFonts w:ascii="Times New Roman" w:hAnsi="宋体"/>
                <w:b/>
                <w:bCs/>
                <w:color w:val="auto"/>
                <w:sz w:val="21"/>
                <w:szCs w:val="21"/>
                <w:highlight w:val="none"/>
              </w:rPr>
            </w:pPr>
          </w:p>
        </w:tc>
      </w:tr>
      <w:tr w14:paraId="67034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813AE7F">
            <w:pPr>
              <w:pStyle w:val="12"/>
              <w:shd w:val="clear"/>
              <w:ind w:firstLine="422"/>
              <w:jc w:val="center"/>
              <w:rPr>
                <w:rFonts w:ascii="Times New Roman" w:hAnsi="宋体"/>
                <w:b/>
                <w:bCs/>
                <w:color w:val="auto"/>
                <w:sz w:val="21"/>
                <w:szCs w:val="21"/>
                <w:highlight w:val="none"/>
              </w:rPr>
            </w:pPr>
          </w:p>
        </w:tc>
        <w:tc>
          <w:tcPr>
            <w:tcW w:w="2218" w:type="dxa"/>
            <w:vAlign w:val="center"/>
          </w:tcPr>
          <w:p w14:paraId="45F12AA1">
            <w:pPr>
              <w:pStyle w:val="12"/>
              <w:shd w:val="clear"/>
              <w:ind w:firstLine="422"/>
              <w:jc w:val="center"/>
              <w:rPr>
                <w:rFonts w:ascii="Times New Roman" w:hAnsi="宋体"/>
                <w:b/>
                <w:bCs/>
                <w:color w:val="auto"/>
                <w:sz w:val="21"/>
                <w:szCs w:val="21"/>
                <w:highlight w:val="none"/>
              </w:rPr>
            </w:pPr>
          </w:p>
        </w:tc>
        <w:tc>
          <w:tcPr>
            <w:tcW w:w="2218" w:type="dxa"/>
            <w:vAlign w:val="center"/>
          </w:tcPr>
          <w:p w14:paraId="3E9CCDA6">
            <w:pPr>
              <w:pStyle w:val="12"/>
              <w:shd w:val="clear"/>
              <w:ind w:firstLine="422"/>
              <w:jc w:val="center"/>
              <w:rPr>
                <w:rFonts w:ascii="Times New Roman" w:hAnsi="宋体"/>
                <w:b/>
                <w:bCs/>
                <w:color w:val="auto"/>
                <w:sz w:val="21"/>
                <w:szCs w:val="21"/>
                <w:highlight w:val="none"/>
              </w:rPr>
            </w:pPr>
          </w:p>
        </w:tc>
        <w:tc>
          <w:tcPr>
            <w:tcW w:w="1862" w:type="dxa"/>
            <w:vAlign w:val="center"/>
          </w:tcPr>
          <w:p w14:paraId="08356647">
            <w:pPr>
              <w:pStyle w:val="12"/>
              <w:shd w:val="clear"/>
              <w:ind w:firstLine="422"/>
              <w:jc w:val="center"/>
              <w:rPr>
                <w:rFonts w:ascii="Times New Roman" w:hAnsi="宋体"/>
                <w:b/>
                <w:bCs/>
                <w:color w:val="auto"/>
                <w:sz w:val="21"/>
                <w:szCs w:val="21"/>
                <w:highlight w:val="none"/>
              </w:rPr>
            </w:pPr>
          </w:p>
        </w:tc>
        <w:tc>
          <w:tcPr>
            <w:tcW w:w="1529" w:type="dxa"/>
            <w:vAlign w:val="center"/>
          </w:tcPr>
          <w:p w14:paraId="6D0D4AD2">
            <w:pPr>
              <w:pStyle w:val="12"/>
              <w:shd w:val="clear"/>
              <w:ind w:firstLine="422"/>
              <w:jc w:val="center"/>
              <w:rPr>
                <w:rFonts w:ascii="Times New Roman" w:hAnsi="宋体"/>
                <w:b/>
                <w:bCs/>
                <w:color w:val="auto"/>
                <w:sz w:val="21"/>
                <w:szCs w:val="21"/>
                <w:highlight w:val="none"/>
              </w:rPr>
            </w:pPr>
          </w:p>
        </w:tc>
      </w:tr>
      <w:tr w14:paraId="70D5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B983B1C">
            <w:pPr>
              <w:pStyle w:val="12"/>
              <w:shd w:val="clear"/>
              <w:ind w:firstLine="422"/>
              <w:jc w:val="center"/>
              <w:rPr>
                <w:rFonts w:ascii="Times New Roman" w:hAnsi="宋体"/>
                <w:b/>
                <w:bCs/>
                <w:color w:val="auto"/>
                <w:sz w:val="21"/>
                <w:szCs w:val="21"/>
                <w:highlight w:val="none"/>
              </w:rPr>
            </w:pPr>
          </w:p>
        </w:tc>
        <w:tc>
          <w:tcPr>
            <w:tcW w:w="2218" w:type="dxa"/>
            <w:vAlign w:val="center"/>
          </w:tcPr>
          <w:p w14:paraId="2FA67303">
            <w:pPr>
              <w:pStyle w:val="12"/>
              <w:shd w:val="clear"/>
              <w:ind w:firstLine="422"/>
              <w:jc w:val="center"/>
              <w:rPr>
                <w:rFonts w:ascii="Times New Roman" w:hAnsi="宋体"/>
                <w:b/>
                <w:bCs/>
                <w:color w:val="auto"/>
                <w:sz w:val="21"/>
                <w:szCs w:val="21"/>
                <w:highlight w:val="none"/>
              </w:rPr>
            </w:pPr>
          </w:p>
        </w:tc>
        <w:tc>
          <w:tcPr>
            <w:tcW w:w="2218" w:type="dxa"/>
            <w:vAlign w:val="center"/>
          </w:tcPr>
          <w:p w14:paraId="05D676B1">
            <w:pPr>
              <w:pStyle w:val="12"/>
              <w:shd w:val="clear"/>
              <w:ind w:firstLine="422"/>
              <w:jc w:val="center"/>
              <w:rPr>
                <w:rFonts w:ascii="Times New Roman" w:hAnsi="宋体"/>
                <w:b/>
                <w:bCs/>
                <w:color w:val="auto"/>
                <w:sz w:val="21"/>
                <w:szCs w:val="21"/>
                <w:highlight w:val="none"/>
              </w:rPr>
            </w:pPr>
          </w:p>
        </w:tc>
        <w:tc>
          <w:tcPr>
            <w:tcW w:w="1862" w:type="dxa"/>
            <w:vAlign w:val="center"/>
          </w:tcPr>
          <w:p w14:paraId="53AAFD7D">
            <w:pPr>
              <w:pStyle w:val="12"/>
              <w:shd w:val="clear"/>
              <w:ind w:firstLine="422"/>
              <w:jc w:val="center"/>
              <w:rPr>
                <w:rFonts w:ascii="Times New Roman" w:hAnsi="宋体"/>
                <w:b/>
                <w:bCs/>
                <w:color w:val="auto"/>
                <w:sz w:val="21"/>
                <w:szCs w:val="21"/>
                <w:highlight w:val="none"/>
              </w:rPr>
            </w:pPr>
          </w:p>
        </w:tc>
        <w:tc>
          <w:tcPr>
            <w:tcW w:w="1529" w:type="dxa"/>
            <w:vAlign w:val="center"/>
          </w:tcPr>
          <w:p w14:paraId="0C64606D">
            <w:pPr>
              <w:pStyle w:val="12"/>
              <w:shd w:val="clear"/>
              <w:ind w:firstLine="422"/>
              <w:jc w:val="center"/>
              <w:rPr>
                <w:rFonts w:ascii="Times New Roman" w:hAnsi="宋体"/>
                <w:b/>
                <w:bCs/>
                <w:color w:val="auto"/>
                <w:sz w:val="21"/>
                <w:szCs w:val="21"/>
                <w:highlight w:val="none"/>
              </w:rPr>
            </w:pPr>
          </w:p>
        </w:tc>
      </w:tr>
    </w:tbl>
    <w:p w14:paraId="6F4C9808">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08DB70C0">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5169DA10">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 xml:space="preserve">日期：年月日 </w:t>
      </w:r>
    </w:p>
    <w:p w14:paraId="157045D4">
      <w:pPr>
        <w:shd w:val="clear"/>
        <w:spacing w:line="480" w:lineRule="exact"/>
        <w:rPr>
          <w:rFonts w:hAnsi="宋体"/>
          <w:b/>
          <w:color w:val="auto"/>
          <w:szCs w:val="21"/>
          <w:highlight w:val="none"/>
          <w:u w:val="single"/>
        </w:rPr>
      </w:pPr>
    </w:p>
    <w:p w14:paraId="74E83713">
      <w:pPr>
        <w:shd w:val="clear"/>
        <w:spacing w:line="480" w:lineRule="exact"/>
        <w:rPr>
          <w:rFonts w:hAnsi="宋体"/>
          <w:b/>
          <w:bCs/>
          <w:color w:val="auto"/>
          <w:szCs w:val="21"/>
          <w:highlight w:val="none"/>
        </w:rPr>
      </w:pPr>
    </w:p>
    <w:p w14:paraId="7C4EABAE">
      <w:pPr>
        <w:shd w:val="clear"/>
        <w:spacing w:line="480" w:lineRule="exact"/>
        <w:rPr>
          <w:rFonts w:hAnsi="宋体"/>
          <w:b/>
          <w:bCs/>
          <w:color w:val="auto"/>
          <w:szCs w:val="21"/>
          <w:highlight w:val="none"/>
        </w:rPr>
      </w:pPr>
    </w:p>
    <w:p w14:paraId="49FF4E6A">
      <w:pPr>
        <w:shd w:val="clear"/>
        <w:rPr>
          <w:color w:val="auto"/>
          <w:highlight w:val="none"/>
        </w:rPr>
      </w:pPr>
    </w:p>
    <w:p w14:paraId="2A18529A">
      <w:pPr>
        <w:pStyle w:val="3"/>
        <w:numPr>
          <w:ilvl w:val="0"/>
          <w:numId w:val="19"/>
        </w:numPr>
        <w:shd w:val="clear"/>
        <w:jc w:val="center"/>
        <w:rPr>
          <w:color w:val="auto"/>
          <w:sz w:val="28"/>
          <w:szCs w:val="28"/>
          <w:highlight w:val="none"/>
        </w:rPr>
      </w:pPr>
      <w:r>
        <w:rPr>
          <w:color w:val="auto"/>
          <w:highlight w:val="none"/>
        </w:rPr>
        <w:br w:type="page"/>
      </w:r>
      <w:bookmarkStart w:id="245" w:name="_Toc7897896"/>
      <w:bookmarkStart w:id="246" w:name="_Toc4539"/>
      <w:bookmarkStart w:id="247" w:name="_Toc23874"/>
      <w:bookmarkStart w:id="248" w:name="_Toc4884"/>
      <w:r>
        <w:rPr>
          <w:rFonts w:hint="eastAsia"/>
          <w:bCs/>
          <w:color w:val="auto"/>
          <w:sz w:val="28"/>
          <w:szCs w:val="28"/>
          <w:highlight w:val="none"/>
        </w:rPr>
        <w:t>项目业绩一览表</w:t>
      </w:r>
      <w:bookmarkEnd w:id="245"/>
      <w:bookmarkEnd w:id="246"/>
      <w:bookmarkEnd w:id="247"/>
      <w:bookmarkEnd w:id="248"/>
    </w:p>
    <w:p w14:paraId="7B764ECE">
      <w:pPr>
        <w:pStyle w:val="28"/>
        <w:shd w:val="clear"/>
        <w:spacing w:line="480" w:lineRule="exact"/>
        <w:jc w:val="center"/>
        <w:rPr>
          <w:rFonts w:hAnsi="宋体"/>
          <w:b/>
          <w:color w:val="auto"/>
          <w:sz w:val="22"/>
          <w:szCs w:val="22"/>
          <w:highlight w:val="none"/>
        </w:rPr>
      </w:pPr>
    </w:p>
    <w:tbl>
      <w:tblPr>
        <w:tblStyle w:val="53"/>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3225"/>
        <w:gridCol w:w="1365"/>
        <w:gridCol w:w="1721"/>
        <w:gridCol w:w="835"/>
        <w:gridCol w:w="832"/>
      </w:tblGrid>
      <w:tr w14:paraId="00BB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01" w:type="dxa"/>
            <w:tcBorders>
              <w:top w:val="single" w:color="auto" w:sz="4" w:space="0"/>
              <w:left w:val="single" w:color="auto" w:sz="4" w:space="0"/>
              <w:bottom w:val="single" w:color="auto" w:sz="4" w:space="0"/>
              <w:right w:val="single" w:color="auto" w:sz="4" w:space="0"/>
            </w:tcBorders>
            <w:vAlign w:val="center"/>
          </w:tcPr>
          <w:p w14:paraId="3A9BBA08">
            <w:pPr>
              <w:shd w:val="clear"/>
              <w:snapToGrid w:val="0"/>
              <w:jc w:val="center"/>
              <w:rPr>
                <w:rFonts w:hAnsi="宋体"/>
                <w:b/>
                <w:color w:val="auto"/>
                <w:sz w:val="21"/>
                <w:szCs w:val="21"/>
                <w:highlight w:val="none"/>
              </w:rPr>
            </w:pPr>
            <w:r>
              <w:rPr>
                <w:rFonts w:hint="eastAsia" w:hAnsi="宋体"/>
                <w:b/>
                <w:color w:val="auto"/>
                <w:sz w:val="21"/>
                <w:szCs w:val="21"/>
                <w:highlight w:val="none"/>
              </w:rPr>
              <w:t>序号</w:t>
            </w:r>
          </w:p>
        </w:tc>
        <w:tc>
          <w:tcPr>
            <w:tcW w:w="3225" w:type="dxa"/>
            <w:tcBorders>
              <w:top w:val="single" w:color="auto" w:sz="4" w:space="0"/>
              <w:left w:val="single" w:color="auto" w:sz="4" w:space="0"/>
              <w:bottom w:val="single" w:color="auto" w:sz="4" w:space="0"/>
              <w:right w:val="single" w:color="auto" w:sz="4" w:space="0"/>
            </w:tcBorders>
            <w:vAlign w:val="center"/>
          </w:tcPr>
          <w:p w14:paraId="2766C8B5">
            <w:pPr>
              <w:shd w:val="clear"/>
              <w:snapToGrid w:val="0"/>
              <w:jc w:val="center"/>
              <w:rPr>
                <w:rFonts w:hAnsi="宋体"/>
                <w:b/>
                <w:color w:val="auto"/>
                <w:sz w:val="21"/>
                <w:szCs w:val="21"/>
                <w:highlight w:val="none"/>
              </w:rPr>
            </w:pPr>
            <w:r>
              <w:rPr>
                <w:rFonts w:hint="eastAsia" w:hAnsi="宋体"/>
                <w:b/>
                <w:color w:val="auto"/>
                <w:sz w:val="21"/>
                <w:szCs w:val="21"/>
                <w:highlight w:val="none"/>
              </w:rPr>
              <w:t>项目名称</w:t>
            </w:r>
          </w:p>
        </w:tc>
        <w:tc>
          <w:tcPr>
            <w:tcW w:w="1365" w:type="dxa"/>
            <w:tcBorders>
              <w:top w:val="single" w:color="auto" w:sz="4" w:space="0"/>
              <w:left w:val="single" w:color="auto" w:sz="4" w:space="0"/>
              <w:bottom w:val="single" w:color="auto" w:sz="4" w:space="0"/>
              <w:right w:val="single" w:color="auto" w:sz="4" w:space="0"/>
            </w:tcBorders>
            <w:vAlign w:val="center"/>
          </w:tcPr>
          <w:p w14:paraId="3A9FBF91">
            <w:pPr>
              <w:shd w:val="clear"/>
              <w:snapToGrid w:val="0"/>
              <w:jc w:val="center"/>
              <w:rPr>
                <w:rFonts w:hAnsi="宋体"/>
                <w:b/>
                <w:color w:val="auto"/>
                <w:sz w:val="21"/>
                <w:szCs w:val="21"/>
                <w:highlight w:val="none"/>
              </w:rPr>
            </w:pPr>
            <w:r>
              <w:rPr>
                <w:rFonts w:hint="eastAsia" w:hAnsi="宋体"/>
                <w:b/>
                <w:color w:val="auto"/>
                <w:sz w:val="21"/>
                <w:szCs w:val="21"/>
                <w:highlight w:val="none"/>
              </w:rPr>
              <w:t>用户单位</w:t>
            </w:r>
          </w:p>
        </w:tc>
        <w:tc>
          <w:tcPr>
            <w:tcW w:w="1721" w:type="dxa"/>
            <w:tcBorders>
              <w:top w:val="single" w:color="auto" w:sz="4" w:space="0"/>
              <w:left w:val="single" w:color="auto" w:sz="4" w:space="0"/>
              <w:bottom w:val="single" w:color="auto" w:sz="4" w:space="0"/>
              <w:right w:val="single" w:color="auto" w:sz="4" w:space="0"/>
            </w:tcBorders>
            <w:vAlign w:val="center"/>
          </w:tcPr>
          <w:p w14:paraId="27759789">
            <w:pPr>
              <w:shd w:val="clear"/>
              <w:snapToGrid w:val="0"/>
              <w:jc w:val="center"/>
              <w:rPr>
                <w:rFonts w:hAnsi="宋体"/>
                <w:b/>
                <w:color w:val="auto"/>
                <w:sz w:val="21"/>
                <w:szCs w:val="21"/>
                <w:highlight w:val="none"/>
              </w:rPr>
            </w:pPr>
            <w:r>
              <w:rPr>
                <w:rFonts w:hint="eastAsia" w:hAnsi="宋体"/>
                <w:b/>
                <w:color w:val="auto"/>
                <w:sz w:val="21"/>
                <w:szCs w:val="21"/>
                <w:highlight w:val="none"/>
              </w:rPr>
              <w:t>项目金额</w:t>
            </w:r>
          </w:p>
        </w:tc>
        <w:tc>
          <w:tcPr>
            <w:tcW w:w="835" w:type="dxa"/>
            <w:tcBorders>
              <w:top w:val="single" w:color="auto" w:sz="4" w:space="0"/>
              <w:left w:val="single" w:color="auto" w:sz="4" w:space="0"/>
              <w:bottom w:val="single" w:color="auto" w:sz="4" w:space="0"/>
              <w:right w:val="single" w:color="auto" w:sz="4" w:space="0"/>
            </w:tcBorders>
            <w:vAlign w:val="center"/>
          </w:tcPr>
          <w:p w14:paraId="7CADB2F9">
            <w:pPr>
              <w:shd w:val="clear"/>
              <w:snapToGrid w:val="0"/>
              <w:jc w:val="center"/>
              <w:rPr>
                <w:rFonts w:hAnsi="宋体"/>
                <w:b/>
                <w:color w:val="auto"/>
                <w:sz w:val="21"/>
                <w:szCs w:val="21"/>
                <w:highlight w:val="none"/>
              </w:rPr>
            </w:pPr>
            <w:r>
              <w:rPr>
                <w:rFonts w:hint="eastAsia" w:hAnsi="宋体"/>
                <w:b/>
                <w:color w:val="auto"/>
                <w:sz w:val="21"/>
                <w:szCs w:val="21"/>
                <w:highlight w:val="none"/>
              </w:rPr>
              <w:t>执行时间</w:t>
            </w:r>
          </w:p>
        </w:tc>
        <w:tc>
          <w:tcPr>
            <w:tcW w:w="832" w:type="dxa"/>
            <w:tcBorders>
              <w:top w:val="single" w:color="auto" w:sz="4" w:space="0"/>
              <w:left w:val="single" w:color="auto" w:sz="4" w:space="0"/>
              <w:bottom w:val="single" w:color="auto" w:sz="4" w:space="0"/>
              <w:right w:val="single" w:color="auto" w:sz="4" w:space="0"/>
            </w:tcBorders>
            <w:vAlign w:val="center"/>
          </w:tcPr>
          <w:p w14:paraId="7743FAA8">
            <w:pPr>
              <w:shd w:val="clear"/>
              <w:snapToGrid w:val="0"/>
              <w:jc w:val="center"/>
              <w:rPr>
                <w:rFonts w:hAnsi="宋体"/>
                <w:b/>
                <w:color w:val="auto"/>
                <w:sz w:val="21"/>
                <w:szCs w:val="21"/>
                <w:highlight w:val="none"/>
              </w:rPr>
            </w:pPr>
            <w:r>
              <w:rPr>
                <w:rFonts w:hint="eastAsia" w:hAnsi="宋体"/>
                <w:b/>
                <w:color w:val="auto"/>
                <w:sz w:val="21"/>
                <w:szCs w:val="21"/>
                <w:highlight w:val="none"/>
              </w:rPr>
              <w:t>页码</w:t>
            </w:r>
          </w:p>
        </w:tc>
      </w:tr>
      <w:tr w14:paraId="438C7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41534D2F">
            <w:pPr>
              <w:pStyle w:val="28"/>
              <w:shd w:val="clear"/>
              <w:jc w:val="center"/>
              <w:rPr>
                <w:rFonts w:hAnsi="宋体"/>
                <w:color w:val="auto"/>
                <w:szCs w:val="21"/>
                <w:highlight w:val="none"/>
              </w:rPr>
            </w:pPr>
            <w:r>
              <w:rPr>
                <w:rFonts w:hint="eastAsia" w:hAnsi="宋体"/>
                <w:color w:val="auto"/>
                <w:szCs w:val="21"/>
                <w:highlight w:val="none"/>
              </w:rPr>
              <w:t>1</w:t>
            </w:r>
          </w:p>
        </w:tc>
        <w:tc>
          <w:tcPr>
            <w:tcW w:w="3225" w:type="dxa"/>
            <w:tcBorders>
              <w:top w:val="single" w:color="auto" w:sz="4" w:space="0"/>
              <w:left w:val="single" w:color="auto" w:sz="4" w:space="0"/>
              <w:bottom w:val="single" w:color="auto" w:sz="4" w:space="0"/>
              <w:right w:val="single" w:color="auto" w:sz="4" w:space="0"/>
            </w:tcBorders>
          </w:tcPr>
          <w:p w14:paraId="739597F8">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6C4EF514">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773607A0">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38D14AFF">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7223BFC5">
            <w:pPr>
              <w:shd w:val="clear"/>
              <w:snapToGrid w:val="0"/>
              <w:spacing w:line="360" w:lineRule="auto"/>
              <w:rPr>
                <w:rFonts w:hAnsi="宋体"/>
                <w:color w:val="auto"/>
                <w:sz w:val="21"/>
                <w:szCs w:val="21"/>
                <w:highlight w:val="none"/>
                <w:u w:val="single"/>
              </w:rPr>
            </w:pPr>
          </w:p>
        </w:tc>
      </w:tr>
      <w:tr w14:paraId="6621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4B966BBD">
            <w:pPr>
              <w:pStyle w:val="28"/>
              <w:shd w:val="clear"/>
              <w:jc w:val="center"/>
              <w:rPr>
                <w:rFonts w:hAnsi="宋体"/>
                <w:color w:val="auto"/>
                <w:szCs w:val="21"/>
                <w:highlight w:val="none"/>
              </w:rPr>
            </w:pPr>
            <w:r>
              <w:rPr>
                <w:rFonts w:hint="eastAsia" w:hAnsi="宋体"/>
                <w:color w:val="auto"/>
                <w:szCs w:val="21"/>
                <w:highlight w:val="none"/>
              </w:rPr>
              <w:t>2</w:t>
            </w:r>
          </w:p>
        </w:tc>
        <w:tc>
          <w:tcPr>
            <w:tcW w:w="3225" w:type="dxa"/>
            <w:tcBorders>
              <w:top w:val="single" w:color="auto" w:sz="4" w:space="0"/>
              <w:left w:val="single" w:color="auto" w:sz="4" w:space="0"/>
              <w:bottom w:val="single" w:color="auto" w:sz="4" w:space="0"/>
              <w:right w:val="single" w:color="auto" w:sz="4" w:space="0"/>
            </w:tcBorders>
          </w:tcPr>
          <w:p w14:paraId="74E45D6B">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10418873">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2D96114C">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6699461A">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6AD2D121">
            <w:pPr>
              <w:shd w:val="clear"/>
              <w:snapToGrid w:val="0"/>
              <w:spacing w:line="360" w:lineRule="auto"/>
              <w:rPr>
                <w:rFonts w:hAnsi="宋体"/>
                <w:color w:val="auto"/>
                <w:sz w:val="21"/>
                <w:szCs w:val="21"/>
                <w:highlight w:val="none"/>
                <w:u w:val="single"/>
              </w:rPr>
            </w:pPr>
          </w:p>
        </w:tc>
      </w:tr>
      <w:tr w14:paraId="116E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0C4EE980">
            <w:pPr>
              <w:pStyle w:val="28"/>
              <w:shd w:val="clear"/>
              <w:jc w:val="center"/>
              <w:rPr>
                <w:rFonts w:hAnsi="宋体"/>
                <w:color w:val="auto"/>
                <w:szCs w:val="21"/>
                <w:highlight w:val="none"/>
              </w:rPr>
            </w:pPr>
            <w:r>
              <w:rPr>
                <w:rFonts w:hint="eastAsia" w:hAnsi="宋体"/>
                <w:color w:val="auto"/>
                <w:szCs w:val="21"/>
                <w:highlight w:val="none"/>
              </w:rPr>
              <w:t>3</w:t>
            </w:r>
          </w:p>
        </w:tc>
        <w:tc>
          <w:tcPr>
            <w:tcW w:w="3225" w:type="dxa"/>
            <w:tcBorders>
              <w:top w:val="single" w:color="auto" w:sz="4" w:space="0"/>
              <w:left w:val="single" w:color="auto" w:sz="4" w:space="0"/>
              <w:bottom w:val="single" w:color="auto" w:sz="4" w:space="0"/>
              <w:right w:val="single" w:color="auto" w:sz="4" w:space="0"/>
            </w:tcBorders>
          </w:tcPr>
          <w:p w14:paraId="58BD4467">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5F6C9B15">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006B1AB0">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7E5A13D8">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23BAA52A">
            <w:pPr>
              <w:shd w:val="clear"/>
              <w:snapToGrid w:val="0"/>
              <w:spacing w:line="360" w:lineRule="auto"/>
              <w:rPr>
                <w:rFonts w:hAnsi="宋体"/>
                <w:color w:val="auto"/>
                <w:sz w:val="21"/>
                <w:szCs w:val="21"/>
                <w:highlight w:val="none"/>
                <w:u w:val="single"/>
              </w:rPr>
            </w:pPr>
          </w:p>
        </w:tc>
      </w:tr>
      <w:tr w14:paraId="3850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516C0F7D">
            <w:pPr>
              <w:pStyle w:val="28"/>
              <w:shd w:val="clear"/>
              <w:jc w:val="center"/>
              <w:rPr>
                <w:rFonts w:hAnsi="宋体"/>
                <w:color w:val="auto"/>
                <w:szCs w:val="21"/>
                <w:highlight w:val="none"/>
              </w:rPr>
            </w:pPr>
            <w:r>
              <w:rPr>
                <w:rFonts w:hint="eastAsia" w:hAnsi="宋体"/>
                <w:color w:val="auto"/>
                <w:szCs w:val="21"/>
                <w:highlight w:val="none"/>
              </w:rPr>
              <w:t>…</w:t>
            </w:r>
          </w:p>
        </w:tc>
        <w:tc>
          <w:tcPr>
            <w:tcW w:w="3225" w:type="dxa"/>
            <w:tcBorders>
              <w:top w:val="single" w:color="auto" w:sz="4" w:space="0"/>
              <w:left w:val="single" w:color="auto" w:sz="4" w:space="0"/>
              <w:bottom w:val="single" w:color="auto" w:sz="4" w:space="0"/>
              <w:right w:val="single" w:color="auto" w:sz="4" w:space="0"/>
            </w:tcBorders>
          </w:tcPr>
          <w:p w14:paraId="32C1D102">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6CF52A3F">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225E715C">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0A09B25B">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2FEE6F68">
            <w:pPr>
              <w:shd w:val="clear"/>
              <w:snapToGrid w:val="0"/>
              <w:spacing w:line="360" w:lineRule="auto"/>
              <w:rPr>
                <w:rFonts w:hAnsi="宋体"/>
                <w:color w:val="auto"/>
                <w:sz w:val="21"/>
                <w:szCs w:val="21"/>
                <w:highlight w:val="none"/>
                <w:u w:val="single"/>
              </w:rPr>
            </w:pPr>
          </w:p>
        </w:tc>
      </w:tr>
      <w:tr w14:paraId="77157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1E429233">
            <w:pPr>
              <w:pStyle w:val="28"/>
              <w:shd w:val="clear"/>
              <w:jc w:val="center"/>
              <w:rPr>
                <w:rFonts w:hAnsi="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5242D701">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35710419">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479C8E83">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6D62E645">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12A6AEC0">
            <w:pPr>
              <w:shd w:val="clear"/>
              <w:snapToGrid w:val="0"/>
              <w:spacing w:line="360" w:lineRule="auto"/>
              <w:rPr>
                <w:rFonts w:hAnsi="宋体"/>
                <w:color w:val="auto"/>
                <w:sz w:val="21"/>
                <w:szCs w:val="21"/>
                <w:highlight w:val="none"/>
                <w:u w:val="single"/>
              </w:rPr>
            </w:pPr>
          </w:p>
        </w:tc>
      </w:tr>
      <w:tr w14:paraId="3EA7C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4C72DAF2">
            <w:pPr>
              <w:pStyle w:val="28"/>
              <w:shd w:val="clear"/>
              <w:jc w:val="center"/>
              <w:rPr>
                <w:rFonts w:hAnsi="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763EE4A2">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753AF004">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698E12DA">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24EFD3F8">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3944B0EE">
            <w:pPr>
              <w:shd w:val="clear"/>
              <w:snapToGrid w:val="0"/>
              <w:spacing w:line="360" w:lineRule="auto"/>
              <w:rPr>
                <w:rFonts w:hAnsi="宋体"/>
                <w:color w:val="auto"/>
                <w:sz w:val="21"/>
                <w:szCs w:val="21"/>
                <w:highlight w:val="none"/>
                <w:u w:val="single"/>
              </w:rPr>
            </w:pPr>
          </w:p>
        </w:tc>
      </w:tr>
      <w:tr w14:paraId="5506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05B952C9">
            <w:pPr>
              <w:pStyle w:val="28"/>
              <w:shd w:val="clear"/>
              <w:jc w:val="center"/>
              <w:rPr>
                <w:rFonts w:hAnsi="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163BC82E">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6BA1D97A">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7483DE4E">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1A385CBC">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0AA3E977">
            <w:pPr>
              <w:shd w:val="clear"/>
              <w:snapToGrid w:val="0"/>
              <w:spacing w:line="360" w:lineRule="auto"/>
              <w:rPr>
                <w:rFonts w:hAnsi="宋体"/>
                <w:color w:val="auto"/>
                <w:sz w:val="21"/>
                <w:szCs w:val="21"/>
                <w:highlight w:val="none"/>
                <w:u w:val="single"/>
              </w:rPr>
            </w:pPr>
          </w:p>
        </w:tc>
      </w:tr>
      <w:tr w14:paraId="4B2C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0D1EA5E4">
            <w:pPr>
              <w:pStyle w:val="28"/>
              <w:shd w:val="clear"/>
              <w:jc w:val="center"/>
              <w:rPr>
                <w:rFonts w:hAnsi="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36790A31">
            <w:pPr>
              <w:shd w:val="clear"/>
              <w:snapToGrid w:val="0"/>
              <w:spacing w:line="360" w:lineRule="auto"/>
              <w:rPr>
                <w:rFonts w:hAnsi="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48E07F38">
            <w:pPr>
              <w:shd w:val="clear"/>
              <w:snapToGrid w:val="0"/>
              <w:spacing w:line="360" w:lineRule="auto"/>
              <w:rPr>
                <w:rFonts w:hAnsi="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00D1AE6F">
            <w:pPr>
              <w:shd w:val="clear"/>
              <w:snapToGrid w:val="0"/>
              <w:spacing w:line="360" w:lineRule="auto"/>
              <w:rPr>
                <w:rFonts w:hAnsi="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6DC367E3">
            <w:pPr>
              <w:shd w:val="clear"/>
              <w:snapToGrid w:val="0"/>
              <w:spacing w:line="360" w:lineRule="auto"/>
              <w:rPr>
                <w:rFonts w:hAnsi="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73ACA1F5">
            <w:pPr>
              <w:shd w:val="clear"/>
              <w:snapToGrid w:val="0"/>
              <w:spacing w:line="360" w:lineRule="auto"/>
              <w:rPr>
                <w:rFonts w:hAnsi="宋体"/>
                <w:color w:val="auto"/>
                <w:sz w:val="21"/>
                <w:szCs w:val="21"/>
                <w:highlight w:val="none"/>
                <w:u w:val="single"/>
              </w:rPr>
            </w:pPr>
          </w:p>
        </w:tc>
      </w:tr>
    </w:tbl>
    <w:p w14:paraId="4AA32614">
      <w:pPr>
        <w:pStyle w:val="28"/>
        <w:shd w:val="clear"/>
        <w:spacing w:line="480" w:lineRule="exact"/>
        <w:rPr>
          <w:rFonts w:hAnsi="宋体"/>
          <w:color w:val="auto"/>
          <w:sz w:val="22"/>
          <w:szCs w:val="22"/>
          <w:highlight w:val="none"/>
        </w:rPr>
      </w:pPr>
    </w:p>
    <w:p w14:paraId="7888E2A1">
      <w:pPr>
        <w:pStyle w:val="28"/>
        <w:shd w:val="clear"/>
        <w:spacing w:line="480" w:lineRule="exact"/>
        <w:rPr>
          <w:rFonts w:hAnsi="宋体"/>
          <w:color w:val="auto"/>
          <w:sz w:val="22"/>
          <w:szCs w:val="22"/>
          <w:highlight w:val="none"/>
        </w:rPr>
      </w:pPr>
      <w:r>
        <w:rPr>
          <w:rFonts w:hint="eastAsia" w:hAnsi="宋体"/>
          <w:color w:val="auto"/>
          <w:sz w:val="22"/>
          <w:szCs w:val="22"/>
          <w:highlight w:val="none"/>
        </w:rPr>
        <w:t>要求：</w:t>
      </w:r>
    </w:p>
    <w:p w14:paraId="33D2DD18">
      <w:pPr>
        <w:pStyle w:val="28"/>
        <w:shd w:val="clear"/>
        <w:spacing w:line="480" w:lineRule="exact"/>
        <w:ind w:firstLine="440" w:firstLineChars="200"/>
        <w:rPr>
          <w:rFonts w:hAnsi="宋体"/>
          <w:color w:val="auto"/>
          <w:sz w:val="22"/>
          <w:szCs w:val="22"/>
          <w:highlight w:val="none"/>
        </w:rPr>
      </w:pPr>
      <w:r>
        <w:rPr>
          <w:rFonts w:hint="eastAsia" w:hAnsi="宋体"/>
          <w:color w:val="auto"/>
          <w:sz w:val="22"/>
          <w:szCs w:val="22"/>
          <w:highlight w:val="none"/>
        </w:rPr>
        <w:t>供应商应当如实、完整地填写本表格，内容包括所有同类或近似项目业绩。根据评分标准提供相应的证明材料。在填写过程中请按年份顺序填写。</w:t>
      </w:r>
    </w:p>
    <w:p w14:paraId="29FFE8E6">
      <w:pPr>
        <w:pStyle w:val="28"/>
        <w:shd w:val="clear"/>
        <w:spacing w:line="480" w:lineRule="exact"/>
        <w:rPr>
          <w:rFonts w:hAnsi="宋体"/>
          <w:color w:val="auto"/>
          <w:sz w:val="22"/>
          <w:szCs w:val="22"/>
          <w:highlight w:val="none"/>
        </w:rPr>
      </w:pPr>
    </w:p>
    <w:p w14:paraId="4E9B0149">
      <w:pPr>
        <w:shd w:val="clear"/>
        <w:overflowPunct w:val="0"/>
        <w:spacing w:line="460" w:lineRule="exact"/>
        <w:rPr>
          <w:rFonts w:hAnsi="宋体"/>
          <w:color w:val="auto"/>
          <w:sz w:val="22"/>
          <w:szCs w:val="22"/>
          <w:highlight w:val="none"/>
        </w:rPr>
      </w:pPr>
      <w:r>
        <w:rPr>
          <w:rFonts w:hint="eastAsia" w:hAnsi="宋体"/>
          <w:color w:val="auto"/>
          <w:sz w:val="22"/>
          <w:szCs w:val="22"/>
          <w:highlight w:val="none"/>
        </w:rPr>
        <w:t>供应商名称（加盖公章）：</w:t>
      </w:r>
    </w:p>
    <w:p w14:paraId="2FAF19CE">
      <w:pPr>
        <w:shd w:val="clear"/>
        <w:overflowPunct w:val="0"/>
        <w:spacing w:line="460" w:lineRule="exact"/>
        <w:rPr>
          <w:rFonts w:hAnsi="宋体"/>
          <w:color w:val="auto"/>
          <w:sz w:val="22"/>
          <w:szCs w:val="22"/>
          <w:highlight w:val="none"/>
        </w:rPr>
      </w:pPr>
      <w:r>
        <w:rPr>
          <w:rFonts w:hint="eastAsia" w:hAnsi="宋体"/>
          <w:color w:val="auto"/>
          <w:sz w:val="22"/>
          <w:szCs w:val="22"/>
          <w:highlight w:val="none"/>
        </w:rPr>
        <w:t>供应商法定代表人或受委托人（签名或盖私章）：</w:t>
      </w:r>
    </w:p>
    <w:p w14:paraId="3639C199">
      <w:pPr>
        <w:shd w:val="clear"/>
        <w:overflowPunct w:val="0"/>
        <w:spacing w:line="460" w:lineRule="exact"/>
        <w:rPr>
          <w:rFonts w:hAnsi="宋体"/>
          <w:color w:val="auto"/>
          <w:sz w:val="22"/>
          <w:szCs w:val="22"/>
          <w:highlight w:val="none"/>
        </w:rPr>
      </w:pPr>
      <w:r>
        <w:rPr>
          <w:rFonts w:hint="eastAsia" w:hAnsi="宋体"/>
          <w:color w:val="auto"/>
          <w:sz w:val="22"/>
          <w:szCs w:val="22"/>
          <w:highlight w:val="none"/>
        </w:rPr>
        <w:t xml:space="preserve">日期：年月日 </w:t>
      </w:r>
    </w:p>
    <w:p w14:paraId="09B6303E">
      <w:pPr>
        <w:pStyle w:val="3"/>
        <w:numPr>
          <w:ilvl w:val="0"/>
          <w:numId w:val="19"/>
        </w:numPr>
        <w:shd w:val="clear"/>
        <w:jc w:val="center"/>
        <w:rPr>
          <w:b w:val="0"/>
          <w:bCs/>
          <w:color w:val="auto"/>
          <w:sz w:val="28"/>
          <w:highlight w:val="none"/>
        </w:rPr>
      </w:pPr>
      <w:r>
        <w:rPr>
          <w:color w:val="auto"/>
          <w:sz w:val="22"/>
          <w:szCs w:val="22"/>
          <w:highlight w:val="none"/>
        </w:rPr>
        <w:br w:type="page"/>
      </w:r>
      <w:bookmarkStart w:id="249" w:name="_Toc23633"/>
      <w:bookmarkStart w:id="250" w:name="_Toc7897897"/>
      <w:bookmarkStart w:id="251" w:name="_Toc17432"/>
      <w:bookmarkStart w:id="252" w:name="_Toc6882"/>
      <w:r>
        <w:rPr>
          <w:rFonts w:hint="eastAsia"/>
          <w:bCs/>
          <w:color w:val="auto"/>
          <w:sz w:val="28"/>
          <w:highlight w:val="none"/>
        </w:rPr>
        <w:t>在经营活动中没有重大违法记录的书面声明</w:t>
      </w:r>
      <w:bookmarkEnd w:id="249"/>
      <w:bookmarkEnd w:id="250"/>
      <w:bookmarkEnd w:id="251"/>
      <w:bookmarkEnd w:id="252"/>
    </w:p>
    <w:p w14:paraId="0B73E8FF">
      <w:pPr>
        <w:pStyle w:val="77"/>
        <w:shd w:val="clear"/>
        <w:ind w:firstLine="0" w:firstLineChars="0"/>
        <w:jc w:val="center"/>
        <w:rPr>
          <w:rFonts w:ascii="宋体" w:eastAsia="宋体"/>
          <w:b/>
          <w:color w:val="auto"/>
          <w:sz w:val="28"/>
          <w:highlight w:val="none"/>
        </w:rPr>
      </w:pPr>
    </w:p>
    <w:p w14:paraId="0E065599">
      <w:pPr>
        <w:shd w:val="clear"/>
        <w:spacing w:line="360" w:lineRule="auto"/>
        <w:rPr>
          <w:rFonts w:hAnsi="宋体"/>
          <w:color w:val="auto"/>
          <w:sz w:val="21"/>
          <w:szCs w:val="21"/>
          <w:highlight w:val="none"/>
          <w:u w:val="single"/>
        </w:rPr>
      </w:pPr>
      <w:r>
        <w:rPr>
          <w:rFonts w:hint="eastAsia" w:hAnsi="宋体"/>
          <w:color w:val="auto"/>
          <w:sz w:val="21"/>
          <w:szCs w:val="21"/>
          <w:highlight w:val="none"/>
        </w:rPr>
        <w:t>致：</w:t>
      </w:r>
    </w:p>
    <w:p w14:paraId="2A4BC755">
      <w:pPr>
        <w:shd w:val="clear"/>
        <w:spacing w:line="360" w:lineRule="auto"/>
        <w:rPr>
          <w:rFonts w:hAnsi="宋体"/>
          <w:color w:val="auto"/>
          <w:sz w:val="21"/>
          <w:szCs w:val="21"/>
          <w:highlight w:val="none"/>
        </w:rPr>
      </w:pPr>
      <w:r>
        <w:rPr>
          <w:rFonts w:hint="eastAsia" w:hAnsi="宋体"/>
          <w:color w:val="auto"/>
          <w:sz w:val="21"/>
          <w:szCs w:val="21"/>
          <w:highlight w:val="none"/>
        </w:rPr>
        <w:t xml:space="preserve">        本公司参加采购项目（采购编号）的采购活动，并声明：</w:t>
      </w:r>
    </w:p>
    <w:p w14:paraId="59F47FB7">
      <w:pPr>
        <w:shd w:val="clear"/>
        <w:spacing w:line="360" w:lineRule="auto"/>
        <w:rPr>
          <w:rFonts w:hAnsi="宋体"/>
          <w:color w:val="auto"/>
          <w:sz w:val="21"/>
          <w:szCs w:val="21"/>
          <w:highlight w:val="none"/>
        </w:rPr>
      </w:pPr>
      <w:r>
        <w:rPr>
          <w:rFonts w:hint="eastAsia" w:hAnsi="宋体"/>
          <w:color w:val="auto"/>
          <w:sz w:val="21"/>
          <w:szCs w:val="21"/>
          <w:highlight w:val="none"/>
        </w:rPr>
        <w:t xml:space="preserve">    本公司参加本采购项目采购前3年内在经营活动中没有因违法经营受到刑事处罚或者责令停产停业、吊销许可证或者执照、较大数额罚款等行政处罚。</w:t>
      </w:r>
    </w:p>
    <w:p w14:paraId="53D21EF6">
      <w:pPr>
        <w:shd w:val="clear"/>
        <w:spacing w:line="360" w:lineRule="auto"/>
        <w:rPr>
          <w:rFonts w:hAnsi="宋体"/>
          <w:color w:val="auto"/>
          <w:sz w:val="21"/>
          <w:szCs w:val="21"/>
          <w:highlight w:val="none"/>
        </w:rPr>
      </w:pPr>
      <w:r>
        <w:rPr>
          <w:rFonts w:hint="eastAsia" w:hAnsi="宋体"/>
          <w:color w:val="auto"/>
          <w:sz w:val="21"/>
          <w:szCs w:val="21"/>
          <w:highlight w:val="none"/>
        </w:rPr>
        <w:t xml:space="preserve">    特此声明！</w:t>
      </w:r>
    </w:p>
    <w:p w14:paraId="7D0B9489">
      <w:pPr>
        <w:shd w:val="clear"/>
        <w:rPr>
          <w:rFonts w:hAnsi="宋体"/>
          <w:color w:val="auto"/>
          <w:sz w:val="21"/>
          <w:szCs w:val="21"/>
          <w:highlight w:val="none"/>
        </w:rPr>
      </w:pPr>
    </w:p>
    <w:p w14:paraId="0850E2AD">
      <w:pPr>
        <w:shd w:val="clear"/>
        <w:rPr>
          <w:rFonts w:hAnsi="宋体"/>
          <w:color w:val="auto"/>
          <w:sz w:val="21"/>
          <w:szCs w:val="21"/>
          <w:highlight w:val="none"/>
        </w:rPr>
      </w:pPr>
    </w:p>
    <w:p w14:paraId="1B8AA792">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42BCB48E">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6717EF9F">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 xml:space="preserve">日期：年月日 </w:t>
      </w:r>
    </w:p>
    <w:bookmarkEnd w:id="211"/>
    <w:bookmarkEnd w:id="212"/>
    <w:bookmarkEnd w:id="213"/>
    <w:bookmarkEnd w:id="214"/>
    <w:bookmarkEnd w:id="215"/>
    <w:bookmarkEnd w:id="216"/>
    <w:bookmarkEnd w:id="217"/>
    <w:p w14:paraId="6BDDBC4A">
      <w:pPr>
        <w:pStyle w:val="3"/>
        <w:numPr>
          <w:ilvl w:val="0"/>
          <w:numId w:val="19"/>
        </w:numPr>
        <w:shd w:val="clear"/>
        <w:jc w:val="center"/>
        <w:rPr>
          <w:b w:val="0"/>
          <w:color w:val="auto"/>
          <w:sz w:val="28"/>
          <w:szCs w:val="28"/>
          <w:highlight w:val="none"/>
        </w:rPr>
      </w:pPr>
      <w:bookmarkStart w:id="253" w:name="_Toc110953865"/>
      <w:bookmarkStart w:id="254" w:name="_Toc480171915"/>
      <w:bookmarkStart w:id="255" w:name="_Toc468157570"/>
      <w:bookmarkStart w:id="256" w:name="_Toc458262644"/>
      <w:bookmarkStart w:id="257" w:name="_Toc454701411"/>
      <w:bookmarkStart w:id="258" w:name="_Toc467236774"/>
      <w:bookmarkStart w:id="259" w:name="_Toc479991617"/>
      <w:bookmarkStart w:id="260" w:name="_Toc468606065"/>
      <w:bookmarkStart w:id="261" w:name="_Toc35233726"/>
      <w:bookmarkStart w:id="262" w:name="_Toc467987857"/>
      <w:bookmarkStart w:id="263" w:name="_Toc480021086"/>
      <w:bookmarkStart w:id="264" w:name="_Toc480010743"/>
      <w:bookmarkStart w:id="265" w:name="_Toc480020290"/>
      <w:r>
        <w:rPr>
          <w:color w:val="auto"/>
          <w:sz w:val="22"/>
          <w:szCs w:val="22"/>
          <w:highlight w:val="none"/>
        </w:rPr>
        <w:br w:type="page"/>
      </w:r>
      <w:bookmarkEnd w:id="253"/>
      <w:bookmarkStart w:id="266" w:name="_Toc7897900"/>
      <w:bookmarkStart w:id="267" w:name="_Toc18024"/>
      <w:bookmarkStart w:id="268" w:name="_Toc2461"/>
      <w:bookmarkStart w:id="269" w:name="_Toc8181"/>
      <w:r>
        <w:rPr>
          <w:rFonts w:hint="eastAsia"/>
          <w:color w:val="auto"/>
          <w:sz w:val="28"/>
          <w:szCs w:val="28"/>
          <w:highlight w:val="none"/>
        </w:rPr>
        <w:t>针对本项目拟派人员及其技术资格一览表</w:t>
      </w:r>
      <w:bookmarkEnd w:id="266"/>
      <w:bookmarkEnd w:id="267"/>
      <w:bookmarkEnd w:id="268"/>
      <w:bookmarkEnd w:id="269"/>
    </w:p>
    <w:p w14:paraId="4A0DDA3F">
      <w:pPr>
        <w:pStyle w:val="28"/>
        <w:shd w:val="clear"/>
        <w:spacing w:line="480" w:lineRule="exact"/>
        <w:ind w:left="-202" w:leftChars="-84" w:firstLine="241" w:firstLineChars="100"/>
        <w:rPr>
          <w:rFonts w:hAnsi="宋体"/>
          <w:b/>
          <w:color w:val="auto"/>
          <w:sz w:val="24"/>
          <w:szCs w:val="21"/>
          <w:highlight w:val="none"/>
        </w:rPr>
      </w:pPr>
    </w:p>
    <w:p w14:paraId="6A87D040">
      <w:pPr>
        <w:pStyle w:val="28"/>
        <w:shd w:val="clear"/>
        <w:spacing w:line="480" w:lineRule="exact"/>
        <w:ind w:left="-202" w:leftChars="-84" w:firstLine="221" w:firstLineChars="100"/>
        <w:rPr>
          <w:rFonts w:hAnsi="宋体"/>
          <w:b/>
          <w:color w:val="auto"/>
          <w:sz w:val="22"/>
          <w:szCs w:val="22"/>
          <w:highlight w:val="none"/>
          <w:u w:val="single"/>
        </w:rPr>
      </w:pPr>
    </w:p>
    <w:tbl>
      <w:tblPr>
        <w:tblStyle w:val="53"/>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026"/>
        <w:gridCol w:w="877"/>
        <w:gridCol w:w="1533"/>
        <w:gridCol w:w="1357"/>
        <w:gridCol w:w="1200"/>
        <w:gridCol w:w="1403"/>
        <w:gridCol w:w="1403"/>
      </w:tblGrid>
      <w:tr w14:paraId="7565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vAlign w:val="center"/>
          </w:tcPr>
          <w:p w14:paraId="2FFA0953">
            <w:pPr>
              <w:pStyle w:val="28"/>
              <w:shd w:val="clear"/>
              <w:spacing w:line="480" w:lineRule="exact"/>
              <w:jc w:val="center"/>
              <w:rPr>
                <w:rFonts w:hAnsi="宋体"/>
                <w:b/>
                <w:color w:val="auto"/>
                <w:szCs w:val="21"/>
                <w:highlight w:val="none"/>
              </w:rPr>
            </w:pPr>
            <w:r>
              <w:rPr>
                <w:rFonts w:hint="eastAsia" w:hAnsi="宋体"/>
                <w:b/>
                <w:color w:val="auto"/>
                <w:szCs w:val="21"/>
                <w:highlight w:val="none"/>
              </w:rPr>
              <w:t>序号</w:t>
            </w:r>
          </w:p>
        </w:tc>
        <w:tc>
          <w:tcPr>
            <w:tcW w:w="1026" w:type="dxa"/>
            <w:vAlign w:val="center"/>
          </w:tcPr>
          <w:p w14:paraId="625DC407">
            <w:pPr>
              <w:pStyle w:val="28"/>
              <w:shd w:val="clear"/>
              <w:spacing w:line="480" w:lineRule="exact"/>
              <w:jc w:val="center"/>
              <w:rPr>
                <w:rFonts w:hAnsi="宋体"/>
                <w:b/>
                <w:color w:val="auto"/>
                <w:szCs w:val="21"/>
                <w:highlight w:val="none"/>
              </w:rPr>
            </w:pPr>
            <w:r>
              <w:rPr>
                <w:rFonts w:hint="eastAsia" w:hAnsi="宋体"/>
                <w:b/>
                <w:color w:val="auto"/>
                <w:szCs w:val="21"/>
                <w:highlight w:val="none"/>
              </w:rPr>
              <w:t>姓名</w:t>
            </w:r>
          </w:p>
        </w:tc>
        <w:tc>
          <w:tcPr>
            <w:tcW w:w="877" w:type="dxa"/>
            <w:vAlign w:val="center"/>
          </w:tcPr>
          <w:p w14:paraId="30531E54">
            <w:pPr>
              <w:pStyle w:val="28"/>
              <w:shd w:val="clear"/>
              <w:spacing w:line="480" w:lineRule="exact"/>
              <w:jc w:val="center"/>
              <w:rPr>
                <w:rFonts w:hAnsi="宋体"/>
                <w:b/>
                <w:color w:val="auto"/>
                <w:szCs w:val="21"/>
                <w:highlight w:val="none"/>
              </w:rPr>
            </w:pPr>
            <w:r>
              <w:rPr>
                <w:rFonts w:hint="eastAsia" w:hAnsi="宋体"/>
                <w:b/>
                <w:color w:val="auto"/>
                <w:szCs w:val="21"/>
                <w:highlight w:val="none"/>
              </w:rPr>
              <w:t>职位</w:t>
            </w:r>
          </w:p>
        </w:tc>
        <w:tc>
          <w:tcPr>
            <w:tcW w:w="1533" w:type="dxa"/>
          </w:tcPr>
          <w:p w14:paraId="1215B9F5">
            <w:pPr>
              <w:pStyle w:val="28"/>
              <w:shd w:val="clear"/>
              <w:spacing w:line="480" w:lineRule="exact"/>
              <w:jc w:val="center"/>
              <w:rPr>
                <w:rFonts w:hAnsi="宋体"/>
                <w:b/>
                <w:color w:val="auto"/>
                <w:szCs w:val="21"/>
                <w:highlight w:val="none"/>
              </w:rPr>
            </w:pPr>
            <w:r>
              <w:rPr>
                <w:rFonts w:hint="eastAsia" w:hAnsi="宋体"/>
                <w:b/>
                <w:color w:val="auto"/>
                <w:szCs w:val="21"/>
                <w:highlight w:val="none"/>
              </w:rPr>
              <w:t>拟在本项目担任职务</w:t>
            </w:r>
          </w:p>
        </w:tc>
        <w:tc>
          <w:tcPr>
            <w:tcW w:w="1357" w:type="dxa"/>
            <w:vAlign w:val="center"/>
          </w:tcPr>
          <w:p w14:paraId="375DCD70">
            <w:pPr>
              <w:pStyle w:val="28"/>
              <w:shd w:val="clear"/>
              <w:spacing w:line="480" w:lineRule="exact"/>
              <w:jc w:val="center"/>
              <w:rPr>
                <w:rFonts w:hAnsi="宋体"/>
                <w:b/>
                <w:color w:val="auto"/>
                <w:szCs w:val="21"/>
                <w:highlight w:val="none"/>
              </w:rPr>
            </w:pPr>
            <w:r>
              <w:rPr>
                <w:rFonts w:hint="eastAsia" w:hAnsi="宋体"/>
                <w:b/>
                <w:color w:val="auto"/>
                <w:szCs w:val="21"/>
                <w:highlight w:val="none"/>
              </w:rPr>
              <w:t>专业、资格证件</w:t>
            </w:r>
          </w:p>
        </w:tc>
        <w:tc>
          <w:tcPr>
            <w:tcW w:w="1200" w:type="dxa"/>
            <w:vAlign w:val="center"/>
          </w:tcPr>
          <w:p w14:paraId="6A68461E">
            <w:pPr>
              <w:pStyle w:val="28"/>
              <w:shd w:val="clear"/>
              <w:spacing w:line="480" w:lineRule="exact"/>
              <w:jc w:val="center"/>
              <w:rPr>
                <w:rFonts w:hAnsi="宋体"/>
                <w:b/>
                <w:color w:val="auto"/>
                <w:szCs w:val="21"/>
                <w:highlight w:val="none"/>
              </w:rPr>
            </w:pPr>
            <w:r>
              <w:rPr>
                <w:rFonts w:hint="eastAsia" w:hAnsi="宋体"/>
                <w:b/>
                <w:color w:val="auto"/>
                <w:szCs w:val="21"/>
                <w:highlight w:val="none"/>
              </w:rPr>
              <w:t>发证时间</w:t>
            </w:r>
          </w:p>
        </w:tc>
        <w:tc>
          <w:tcPr>
            <w:tcW w:w="1403" w:type="dxa"/>
            <w:vAlign w:val="center"/>
          </w:tcPr>
          <w:p w14:paraId="7747F923">
            <w:pPr>
              <w:pStyle w:val="28"/>
              <w:shd w:val="clear"/>
              <w:spacing w:line="480" w:lineRule="exact"/>
              <w:jc w:val="center"/>
              <w:rPr>
                <w:rFonts w:hAnsi="宋体"/>
                <w:b/>
                <w:color w:val="auto"/>
                <w:szCs w:val="21"/>
                <w:highlight w:val="none"/>
              </w:rPr>
            </w:pPr>
            <w:r>
              <w:rPr>
                <w:rFonts w:hint="eastAsia" w:hAnsi="宋体"/>
                <w:b/>
                <w:color w:val="auto"/>
                <w:szCs w:val="21"/>
                <w:highlight w:val="none"/>
              </w:rPr>
              <w:t>经验年限</w:t>
            </w:r>
          </w:p>
        </w:tc>
        <w:tc>
          <w:tcPr>
            <w:tcW w:w="1403" w:type="dxa"/>
          </w:tcPr>
          <w:p w14:paraId="6B06F4B1">
            <w:pPr>
              <w:pStyle w:val="28"/>
              <w:shd w:val="clear"/>
              <w:spacing w:line="480" w:lineRule="exact"/>
              <w:jc w:val="center"/>
              <w:rPr>
                <w:rFonts w:hAnsi="宋体"/>
                <w:b/>
                <w:color w:val="auto"/>
                <w:szCs w:val="21"/>
                <w:highlight w:val="none"/>
              </w:rPr>
            </w:pPr>
            <w:r>
              <w:rPr>
                <w:rFonts w:hint="eastAsia" w:hAnsi="宋体"/>
                <w:b/>
                <w:color w:val="auto"/>
                <w:szCs w:val="21"/>
                <w:highlight w:val="none"/>
              </w:rPr>
              <w:t>主要承担过的项目</w:t>
            </w:r>
          </w:p>
        </w:tc>
      </w:tr>
      <w:tr w14:paraId="677D6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08500825">
            <w:pPr>
              <w:pStyle w:val="28"/>
              <w:shd w:val="clear"/>
              <w:spacing w:line="480" w:lineRule="exact"/>
              <w:jc w:val="center"/>
              <w:rPr>
                <w:rFonts w:hAnsi="宋体"/>
                <w:color w:val="auto"/>
                <w:szCs w:val="21"/>
                <w:highlight w:val="none"/>
              </w:rPr>
            </w:pPr>
          </w:p>
        </w:tc>
        <w:tc>
          <w:tcPr>
            <w:tcW w:w="1026" w:type="dxa"/>
            <w:vAlign w:val="center"/>
          </w:tcPr>
          <w:p w14:paraId="60A78DFD">
            <w:pPr>
              <w:pStyle w:val="28"/>
              <w:shd w:val="clear"/>
              <w:spacing w:line="480" w:lineRule="exact"/>
              <w:jc w:val="center"/>
              <w:rPr>
                <w:rFonts w:hAnsi="宋体"/>
                <w:color w:val="auto"/>
                <w:szCs w:val="21"/>
                <w:highlight w:val="none"/>
              </w:rPr>
            </w:pPr>
          </w:p>
        </w:tc>
        <w:tc>
          <w:tcPr>
            <w:tcW w:w="877" w:type="dxa"/>
            <w:vAlign w:val="center"/>
          </w:tcPr>
          <w:p w14:paraId="1189B937">
            <w:pPr>
              <w:pStyle w:val="28"/>
              <w:shd w:val="clear"/>
              <w:spacing w:line="480" w:lineRule="exact"/>
              <w:jc w:val="center"/>
              <w:rPr>
                <w:rFonts w:hAnsi="宋体"/>
                <w:color w:val="auto"/>
                <w:szCs w:val="21"/>
                <w:highlight w:val="none"/>
              </w:rPr>
            </w:pPr>
          </w:p>
        </w:tc>
        <w:tc>
          <w:tcPr>
            <w:tcW w:w="1533" w:type="dxa"/>
          </w:tcPr>
          <w:p w14:paraId="2788EF72">
            <w:pPr>
              <w:pStyle w:val="28"/>
              <w:shd w:val="clear"/>
              <w:spacing w:line="480" w:lineRule="exact"/>
              <w:jc w:val="center"/>
              <w:rPr>
                <w:rFonts w:hAnsi="宋体"/>
                <w:color w:val="auto"/>
                <w:szCs w:val="21"/>
                <w:highlight w:val="none"/>
              </w:rPr>
            </w:pPr>
            <w:r>
              <w:rPr>
                <w:rFonts w:hint="eastAsia" w:hAnsi="宋体"/>
                <w:color w:val="auto"/>
                <w:szCs w:val="21"/>
                <w:highlight w:val="none"/>
              </w:rPr>
              <w:t>项目负责人</w:t>
            </w:r>
          </w:p>
        </w:tc>
        <w:tc>
          <w:tcPr>
            <w:tcW w:w="1357" w:type="dxa"/>
            <w:vAlign w:val="center"/>
          </w:tcPr>
          <w:p w14:paraId="01387F58">
            <w:pPr>
              <w:pStyle w:val="28"/>
              <w:shd w:val="clear"/>
              <w:spacing w:line="480" w:lineRule="exact"/>
              <w:jc w:val="center"/>
              <w:rPr>
                <w:rFonts w:hAnsi="宋体"/>
                <w:color w:val="auto"/>
                <w:szCs w:val="21"/>
                <w:highlight w:val="none"/>
              </w:rPr>
            </w:pPr>
          </w:p>
        </w:tc>
        <w:tc>
          <w:tcPr>
            <w:tcW w:w="1200" w:type="dxa"/>
            <w:vAlign w:val="center"/>
          </w:tcPr>
          <w:p w14:paraId="54F7A64A">
            <w:pPr>
              <w:pStyle w:val="28"/>
              <w:shd w:val="clear"/>
              <w:spacing w:line="480" w:lineRule="exact"/>
              <w:jc w:val="center"/>
              <w:rPr>
                <w:rFonts w:hAnsi="宋体"/>
                <w:color w:val="auto"/>
                <w:szCs w:val="21"/>
                <w:highlight w:val="none"/>
              </w:rPr>
            </w:pPr>
          </w:p>
        </w:tc>
        <w:tc>
          <w:tcPr>
            <w:tcW w:w="1403" w:type="dxa"/>
            <w:vAlign w:val="center"/>
          </w:tcPr>
          <w:p w14:paraId="4C71F52A">
            <w:pPr>
              <w:pStyle w:val="28"/>
              <w:shd w:val="clear"/>
              <w:spacing w:line="480" w:lineRule="exact"/>
              <w:jc w:val="center"/>
              <w:rPr>
                <w:rFonts w:hAnsi="宋体"/>
                <w:color w:val="auto"/>
                <w:szCs w:val="21"/>
                <w:highlight w:val="none"/>
              </w:rPr>
            </w:pPr>
          </w:p>
        </w:tc>
        <w:tc>
          <w:tcPr>
            <w:tcW w:w="1403" w:type="dxa"/>
          </w:tcPr>
          <w:p w14:paraId="25665A35">
            <w:pPr>
              <w:pStyle w:val="28"/>
              <w:shd w:val="clear"/>
              <w:spacing w:line="480" w:lineRule="exact"/>
              <w:jc w:val="center"/>
              <w:rPr>
                <w:rFonts w:hAnsi="宋体"/>
                <w:color w:val="auto"/>
                <w:szCs w:val="21"/>
                <w:highlight w:val="none"/>
              </w:rPr>
            </w:pPr>
          </w:p>
        </w:tc>
      </w:tr>
      <w:tr w14:paraId="3A87A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903D2DE">
            <w:pPr>
              <w:pStyle w:val="28"/>
              <w:shd w:val="clear"/>
              <w:spacing w:line="480" w:lineRule="exact"/>
              <w:jc w:val="center"/>
              <w:rPr>
                <w:rFonts w:hAnsi="宋体"/>
                <w:color w:val="auto"/>
                <w:szCs w:val="21"/>
                <w:highlight w:val="none"/>
              </w:rPr>
            </w:pPr>
          </w:p>
        </w:tc>
        <w:tc>
          <w:tcPr>
            <w:tcW w:w="1026" w:type="dxa"/>
            <w:vAlign w:val="center"/>
          </w:tcPr>
          <w:p w14:paraId="05882E9F">
            <w:pPr>
              <w:pStyle w:val="28"/>
              <w:shd w:val="clear"/>
              <w:spacing w:line="480" w:lineRule="exact"/>
              <w:jc w:val="center"/>
              <w:rPr>
                <w:rFonts w:hAnsi="宋体"/>
                <w:color w:val="auto"/>
                <w:szCs w:val="21"/>
                <w:highlight w:val="none"/>
              </w:rPr>
            </w:pPr>
          </w:p>
        </w:tc>
        <w:tc>
          <w:tcPr>
            <w:tcW w:w="877" w:type="dxa"/>
            <w:vAlign w:val="center"/>
          </w:tcPr>
          <w:p w14:paraId="5C837F55">
            <w:pPr>
              <w:pStyle w:val="28"/>
              <w:shd w:val="clear"/>
              <w:spacing w:line="480" w:lineRule="exact"/>
              <w:jc w:val="center"/>
              <w:rPr>
                <w:rFonts w:hAnsi="宋体"/>
                <w:color w:val="auto"/>
                <w:szCs w:val="21"/>
                <w:highlight w:val="none"/>
              </w:rPr>
            </w:pPr>
          </w:p>
        </w:tc>
        <w:tc>
          <w:tcPr>
            <w:tcW w:w="1533" w:type="dxa"/>
            <w:vAlign w:val="center"/>
          </w:tcPr>
          <w:p w14:paraId="7575376B">
            <w:pPr>
              <w:shd w:val="clear"/>
              <w:jc w:val="center"/>
              <w:rPr>
                <w:rFonts w:hAnsi="宋体"/>
                <w:color w:val="auto"/>
                <w:sz w:val="21"/>
                <w:szCs w:val="21"/>
                <w:highlight w:val="none"/>
              </w:rPr>
            </w:pPr>
            <w:r>
              <w:rPr>
                <w:rFonts w:hint="eastAsia" w:hAnsi="宋体"/>
                <w:color w:val="auto"/>
                <w:sz w:val="21"/>
                <w:szCs w:val="21"/>
                <w:highlight w:val="none"/>
              </w:rPr>
              <w:t>项目人员</w:t>
            </w:r>
          </w:p>
        </w:tc>
        <w:tc>
          <w:tcPr>
            <w:tcW w:w="1357" w:type="dxa"/>
            <w:vAlign w:val="center"/>
          </w:tcPr>
          <w:p w14:paraId="06576F91">
            <w:pPr>
              <w:pStyle w:val="28"/>
              <w:shd w:val="clear"/>
              <w:spacing w:line="480" w:lineRule="exact"/>
              <w:jc w:val="center"/>
              <w:rPr>
                <w:rFonts w:hAnsi="宋体"/>
                <w:color w:val="auto"/>
                <w:szCs w:val="21"/>
                <w:highlight w:val="none"/>
              </w:rPr>
            </w:pPr>
          </w:p>
        </w:tc>
        <w:tc>
          <w:tcPr>
            <w:tcW w:w="1200" w:type="dxa"/>
            <w:vAlign w:val="center"/>
          </w:tcPr>
          <w:p w14:paraId="559CF44B">
            <w:pPr>
              <w:pStyle w:val="28"/>
              <w:shd w:val="clear"/>
              <w:spacing w:line="480" w:lineRule="exact"/>
              <w:jc w:val="center"/>
              <w:rPr>
                <w:rFonts w:hAnsi="宋体"/>
                <w:color w:val="auto"/>
                <w:szCs w:val="21"/>
                <w:highlight w:val="none"/>
              </w:rPr>
            </w:pPr>
          </w:p>
        </w:tc>
        <w:tc>
          <w:tcPr>
            <w:tcW w:w="1403" w:type="dxa"/>
            <w:vAlign w:val="center"/>
          </w:tcPr>
          <w:p w14:paraId="5EDA7741">
            <w:pPr>
              <w:pStyle w:val="28"/>
              <w:shd w:val="clear"/>
              <w:spacing w:line="480" w:lineRule="exact"/>
              <w:jc w:val="center"/>
              <w:rPr>
                <w:rFonts w:hAnsi="宋体"/>
                <w:color w:val="auto"/>
                <w:szCs w:val="21"/>
                <w:highlight w:val="none"/>
              </w:rPr>
            </w:pPr>
          </w:p>
        </w:tc>
        <w:tc>
          <w:tcPr>
            <w:tcW w:w="1403" w:type="dxa"/>
          </w:tcPr>
          <w:p w14:paraId="445FCFD8">
            <w:pPr>
              <w:pStyle w:val="28"/>
              <w:shd w:val="clear"/>
              <w:spacing w:line="480" w:lineRule="exact"/>
              <w:jc w:val="center"/>
              <w:rPr>
                <w:rFonts w:hAnsi="宋体"/>
                <w:color w:val="auto"/>
                <w:szCs w:val="21"/>
                <w:highlight w:val="none"/>
              </w:rPr>
            </w:pPr>
          </w:p>
        </w:tc>
      </w:tr>
      <w:tr w14:paraId="1C63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930EBF0">
            <w:pPr>
              <w:pStyle w:val="28"/>
              <w:shd w:val="clear"/>
              <w:spacing w:line="480" w:lineRule="exact"/>
              <w:jc w:val="center"/>
              <w:rPr>
                <w:rFonts w:hAnsi="宋体"/>
                <w:color w:val="auto"/>
                <w:szCs w:val="21"/>
                <w:highlight w:val="none"/>
              </w:rPr>
            </w:pPr>
          </w:p>
        </w:tc>
        <w:tc>
          <w:tcPr>
            <w:tcW w:w="1026" w:type="dxa"/>
            <w:vAlign w:val="center"/>
          </w:tcPr>
          <w:p w14:paraId="0FD84F58">
            <w:pPr>
              <w:pStyle w:val="28"/>
              <w:shd w:val="clear"/>
              <w:spacing w:line="480" w:lineRule="exact"/>
              <w:jc w:val="center"/>
              <w:rPr>
                <w:rFonts w:hAnsi="宋体"/>
                <w:color w:val="auto"/>
                <w:szCs w:val="21"/>
                <w:highlight w:val="none"/>
              </w:rPr>
            </w:pPr>
          </w:p>
        </w:tc>
        <w:tc>
          <w:tcPr>
            <w:tcW w:w="877" w:type="dxa"/>
            <w:vAlign w:val="center"/>
          </w:tcPr>
          <w:p w14:paraId="74BC879D">
            <w:pPr>
              <w:pStyle w:val="28"/>
              <w:shd w:val="clear"/>
              <w:spacing w:line="480" w:lineRule="exact"/>
              <w:jc w:val="center"/>
              <w:rPr>
                <w:rFonts w:hAnsi="宋体"/>
                <w:color w:val="auto"/>
                <w:szCs w:val="21"/>
                <w:highlight w:val="none"/>
              </w:rPr>
            </w:pPr>
          </w:p>
        </w:tc>
        <w:tc>
          <w:tcPr>
            <w:tcW w:w="1533" w:type="dxa"/>
          </w:tcPr>
          <w:p w14:paraId="1E480FE8">
            <w:pPr>
              <w:pStyle w:val="28"/>
              <w:shd w:val="clear"/>
              <w:spacing w:line="480" w:lineRule="exact"/>
              <w:jc w:val="center"/>
              <w:rPr>
                <w:rFonts w:hAnsi="宋体"/>
                <w:color w:val="auto"/>
                <w:szCs w:val="21"/>
                <w:highlight w:val="none"/>
              </w:rPr>
            </w:pPr>
            <w:r>
              <w:rPr>
                <w:rFonts w:hint="eastAsia" w:hAnsi="宋体"/>
                <w:color w:val="auto"/>
                <w:szCs w:val="21"/>
                <w:highlight w:val="none"/>
              </w:rPr>
              <w:t>…</w:t>
            </w:r>
          </w:p>
        </w:tc>
        <w:tc>
          <w:tcPr>
            <w:tcW w:w="1357" w:type="dxa"/>
            <w:vAlign w:val="center"/>
          </w:tcPr>
          <w:p w14:paraId="4EA6D03B">
            <w:pPr>
              <w:pStyle w:val="28"/>
              <w:shd w:val="clear"/>
              <w:spacing w:line="480" w:lineRule="exact"/>
              <w:jc w:val="center"/>
              <w:rPr>
                <w:rFonts w:hAnsi="宋体"/>
                <w:color w:val="auto"/>
                <w:szCs w:val="21"/>
                <w:highlight w:val="none"/>
              </w:rPr>
            </w:pPr>
          </w:p>
        </w:tc>
        <w:tc>
          <w:tcPr>
            <w:tcW w:w="1200" w:type="dxa"/>
            <w:vAlign w:val="center"/>
          </w:tcPr>
          <w:p w14:paraId="277BCA6F">
            <w:pPr>
              <w:pStyle w:val="28"/>
              <w:shd w:val="clear"/>
              <w:spacing w:line="480" w:lineRule="exact"/>
              <w:jc w:val="center"/>
              <w:rPr>
                <w:rFonts w:hAnsi="宋体"/>
                <w:color w:val="auto"/>
                <w:szCs w:val="21"/>
                <w:highlight w:val="none"/>
              </w:rPr>
            </w:pPr>
          </w:p>
        </w:tc>
        <w:tc>
          <w:tcPr>
            <w:tcW w:w="1403" w:type="dxa"/>
            <w:vAlign w:val="center"/>
          </w:tcPr>
          <w:p w14:paraId="58076CE1">
            <w:pPr>
              <w:pStyle w:val="28"/>
              <w:shd w:val="clear"/>
              <w:spacing w:line="480" w:lineRule="exact"/>
              <w:jc w:val="center"/>
              <w:rPr>
                <w:rFonts w:hAnsi="宋体"/>
                <w:color w:val="auto"/>
                <w:szCs w:val="21"/>
                <w:highlight w:val="none"/>
              </w:rPr>
            </w:pPr>
          </w:p>
        </w:tc>
        <w:tc>
          <w:tcPr>
            <w:tcW w:w="1403" w:type="dxa"/>
          </w:tcPr>
          <w:p w14:paraId="327EC308">
            <w:pPr>
              <w:pStyle w:val="28"/>
              <w:shd w:val="clear"/>
              <w:spacing w:line="480" w:lineRule="exact"/>
              <w:jc w:val="center"/>
              <w:rPr>
                <w:rFonts w:hAnsi="宋体"/>
                <w:color w:val="auto"/>
                <w:szCs w:val="21"/>
                <w:highlight w:val="none"/>
              </w:rPr>
            </w:pPr>
          </w:p>
        </w:tc>
      </w:tr>
      <w:tr w14:paraId="583E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7DA3E442">
            <w:pPr>
              <w:pStyle w:val="28"/>
              <w:shd w:val="clear"/>
              <w:spacing w:line="480" w:lineRule="exact"/>
              <w:jc w:val="center"/>
              <w:rPr>
                <w:rFonts w:hAnsi="宋体"/>
                <w:color w:val="auto"/>
                <w:szCs w:val="21"/>
                <w:highlight w:val="none"/>
              </w:rPr>
            </w:pPr>
          </w:p>
        </w:tc>
        <w:tc>
          <w:tcPr>
            <w:tcW w:w="1026" w:type="dxa"/>
            <w:vAlign w:val="center"/>
          </w:tcPr>
          <w:p w14:paraId="7FB0D214">
            <w:pPr>
              <w:pStyle w:val="28"/>
              <w:shd w:val="clear"/>
              <w:spacing w:line="480" w:lineRule="exact"/>
              <w:jc w:val="center"/>
              <w:rPr>
                <w:rFonts w:hAnsi="宋体"/>
                <w:color w:val="auto"/>
                <w:szCs w:val="21"/>
                <w:highlight w:val="none"/>
              </w:rPr>
            </w:pPr>
          </w:p>
        </w:tc>
        <w:tc>
          <w:tcPr>
            <w:tcW w:w="877" w:type="dxa"/>
            <w:vAlign w:val="center"/>
          </w:tcPr>
          <w:p w14:paraId="732EA84E">
            <w:pPr>
              <w:pStyle w:val="28"/>
              <w:shd w:val="clear"/>
              <w:spacing w:line="480" w:lineRule="exact"/>
              <w:jc w:val="center"/>
              <w:rPr>
                <w:rFonts w:hAnsi="宋体"/>
                <w:color w:val="auto"/>
                <w:szCs w:val="21"/>
                <w:highlight w:val="none"/>
              </w:rPr>
            </w:pPr>
          </w:p>
        </w:tc>
        <w:tc>
          <w:tcPr>
            <w:tcW w:w="1533" w:type="dxa"/>
          </w:tcPr>
          <w:p w14:paraId="1B48CC2E">
            <w:pPr>
              <w:pStyle w:val="28"/>
              <w:shd w:val="clear"/>
              <w:spacing w:line="480" w:lineRule="exact"/>
              <w:jc w:val="center"/>
              <w:rPr>
                <w:rFonts w:hAnsi="宋体"/>
                <w:color w:val="auto"/>
                <w:szCs w:val="21"/>
                <w:highlight w:val="none"/>
              </w:rPr>
            </w:pPr>
          </w:p>
        </w:tc>
        <w:tc>
          <w:tcPr>
            <w:tcW w:w="1357" w:type="dxa"/>
            <w:vAlign w:val="center"/>
          </w:tcPr>
          <w:p w14:paraId="62904CB8">
            <w:pPr>
              <w:pStyle w:val="28"/>
              <w:shd w:val="clear"/>
              <w:spacing w:line="480" w:lineRule="exact"/>
              <w:jc w:val="center"/>
              <w:rPr>
                <w:rFonts w:hAnsi="宋体"/>
                <w:color w:val="auto"/>
                <w:szCs w:val="21"/>
                <w:highlight w:val="none"/>
              </w:rPr>
            </w:pPr>
          </w:p>
        </w:tc>
        <w:tc>
          <w:tcPr>
            <w:tcW w:w="1200" w:type="dxa"/>
            <w:vAlign w:val="center"/>
          </w:tcPr>
          <w:p w14:paraId="0310DE87">
            <w:pPr>
              <w:pStyle w:val="28"/>
              <w:shd w:val="clear"/>
              <w:spacing w:line="480" w:lineRule="exact"/>
              <w:jc w:val="center"/>
              <w:rPr>
                <w:rFonts w:hAnsi="宋体"/>
                <w:color w:val="auto"/>
                <w:szCs w:val="21"/>
                <w:highlight w:val="none"/>
              </w:rPr>
            </w:pPr>
          </w:p>
        </w:tc>
        <w:tc>
          <w:tcPr>
            <w:tcW w:w="1403" w:type="dxa"/>
            <w:vAlign w:val="center"/>
          </w:tcPr>
          <w:p w14:paraId="0318152A">
            <w:pPr>
              <w:pStyle w:val="28"/>
              <w:shd w:val="clear"/>
              <w:spacing w:line="480" w:lineRule="exact"/>
              <w:jc w:val="center"/>
              <w:rPr>
                <w:rFonts w:hAnsi="宋体"/>
                <w:color w:val="auto"/>
                <w:szCs w:val="21"/>
                <w:highlight w:val="none"/>
              </w:rPr>
            </w:pPr>
          </w:p>
        </w:tc>
        <w:tc>
          <w:tcPr>
            <w:tcW w:w="1403" w:type="dxa"/>
          </w:tcPr>
          <w:p w14:paraId="666F8607">
            <w:pPr>
              <w:pStyle w:val="28"/>
              <w:shd w:val="clear"/>
              <w:spacing w:line="480" w:lineRule="exact"/>
              <w:jc w:val="center"/>
              <w:rPr>
                <w:rFonts w:hAnsi="宋体"/>
                <w:color w:val="auto"/>
                <w:szCs w:val="21"/>
                <w:highlight w:val="none"/>
              </w:rPr>
            </w:pPr>
          </w:p>
        </w:tc>
      </w:tr>
      <w:tr w14:paraId="0DE64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6D4E994">
            <w:pPr>
              <w:pStyle w:val="28"/>
              <w:shd w:val="clear"/>
              <w:spacing w:line="480" w:lineRule="exact"/>
              <w:jc w:val="center"/>
              <w:rPr>
                <w:rFonts w:hAnsi="宋体"/>
                <w:color w:val="auto"/>
                <w:szCs w:val="21"/>
                <w:highlight w:val="none"/>
              </w:rPr>
            </w:pPr>
          </w:p>
        </w:tc>
        <w:tc>
          <w:tcPr>
            <w:tcW w:w="1026" w:type="dxa"/>
            <w:vAlign w:val="center"/>
          </w:tcPr>
          <w:p w14:paraId="571A190D">
            <w:pPr>
              <w:pStyle w:val="28"/>
              <w:shd w:val="clear"/>
              <w:spacing w:line="480" w:lineRule="exact"/>
              <w:jc w:val="center"/>
              <w:rPr>
                <w:rFonts w:hAnsi="宋体"/>
                <w:color w:val="auto"/>
                <w:szCs w:val="21"/>
                <w:highlight w:val="none"/>
              </w:rPr>
            </w:pPr>
          </w:p>
        </w:tc>
        <w:tc>
          <w:tcPr>
            <w:tcW w:w="877" w:type="dxa"/>
            <w:vAlign w:val="center"/>
          </w:tcPr>
          <w:p w14:paraId="53B3A0C7">
            <w:pPr>
              <w:pStyle w:val="28"/>
              <w:shd w:val="clear"/>
              <w:spacing w:line="480" w:lineRule="exact"/>
              <w:jc w:val="center"/>
              <w:rPr>
                <w:rFonts w:hAnsi="宋体"/>
                <w:color w:val="auto"/>
                <w:szCs w:val="21"/>
                <w:highlight w:val="none"/>
              </w:rPr>
            </w:pPr>
          </w:p>
        </w:tc>
        <w:tc>
          <w:tcPr>
            <w:tcW w:w="1533" w:type="dxa"/>
          </w:tcPr>
          <w:p w14:paraId="5718E70D">
            <w:pPr>
              <w:pStyle w:val="28"/>
              <w:shd w:val="clear"/>
              <w:spacing w:line="480" w:lineRule="exact"/>
              <w:jc w:val="center"/>
              <w:rPr>
                <w:rFonts w:hAnsi="宋体"/>
                <w:color w:val="auto"/>
                <w:szCs w:val="21"/>
                <w:highlight w:val="none"/>
              </w:rPr>
            </w:pPr>
          </w:p>
        </w:tc>
        <w:tc>
          <w:tcPr>
            <w:tcW w:w="1357" w:type="dxa"/>
            <w:vAlign w:val="center"/>
          </w:tcPr>
          <w:p w14:paraId="76F5FC83">
            <w:pPr>
              <w:pStyle w:val="28"/>
              <w:shd w:val="clear"/>
              <w:spacing w:line="480" w:lineRule="exact"/>
              <w:jc w:val="center"/>
              <w:rPr>
                <w:rFonts w:hAnsi="宋体"/>
                <w:color w:val="auto"/>
                <w:szCs w:val="21"/>
                <w:highlight w:val="none"/>
              </w:rPr>
            </w:pPr>
          </w:p>
        </w:tc>
        <w:tc>
          <w:tcPr>
            <w:tcW w:w="1200" w:type="dxa"/>
            <w:vAlign w:val="center"/>
          </w:tcPr>
          <w:p w14:paraId="397A767E">
            <w:pPr>
              <w:pStyle w:val="28"/>
              <w:shd w:val="clear"/>
              <w:spacing w:line="480" w:lineRule="exact"/>
              <w:jc w:val="center"/>
              <w:rPr>
                <w:rFonts w:hAnsi="宋体"/>
                <w:color w:val="auto"/>
                <w:szCs w:val="21"/>
                <w:highlight w:val="none"/>
              </w:rPr>
            </w:pPr>
          </w:p>
        </w:tc>
        <w:tc>
          <w:tcPr>
            <w:tcW w:w="1403" w:type="dxa"/>
            <w:vAlign w:val="center"/>
          </w:tcPr>
          <w:p w14:paraId="4CB7576B">
            <w:pPr>
              <w:pStyle w:val="28"/>
              <w:shd w:val="clear"/>
              <w:spacing w:line="480" w:lineRule="exact"/>
              <w:jc w:val="center"/>
              <w:rPr>
                <w:rFonts w:hAnsi="宋体"/>
                <w:color w:val="auto"/>
                <w:szCs w:val="21"/>
                <w:highlight w:val="none"/>
              </w:rPr>
            </w:pPr>
          </w:p>
        </w:tc>
        <w:tc>
          <w:tcPr>
            <w:tcW w:w="1403" w:type="dxa"/>
          </w:tcPr>
          <w:p w14:paraId="52F6189D">
            <w:pPr>
              <w:pStyle w:val="28"/>
              <w:shd w:val="clear"/>
              <w:spacing w:line="480" w:lineRule="exact"/>
              <w:jc w:val="center"/>
              <w:rPr>
                <w:rFonts w:hAnsi="宋体"/>
                <w:color w:val="auto"/>
                <w:szCs w:val="21"/>
                <w:highlight w:val="none"/>
              </w:rPr>
            </w:pPr>
          </w:p>
        </w:tc>
      </w:tr>
      <w:tr w14:paraId="09B0D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6EEE420B">
            <w:pPr>
              <w:pStyle w:val="28"/>
              <w:shd w:val="clear"/>
              <w:spacing w:line="480" w:lineRule="exact"/>
              <w:jc w:val="center"/>
              <w:rPr>
                <w:rFonts w:hAnsi="宋体"/>
                <w:color w:val="auto"/>
                <w:szCs w:val="21"/>
                <w:highlight w:val="none"/>
              </w:rPr>
            </w:pPr>
          </w:p>
        </w:tc>
        <w:tc>
          <w:tcPr>
            <w:tcW w:w="1026" w:type="dxa"/>
            <w:vAlign w:val="center"/>
          </w:tcPr>
          <w:p w14:paraId="4CA52069">
            <w:pPr>
              <w:pStyle w:val="28"/>
              <w:shd w:val="clear"/>
              <w:spacing w:line="480" w:lineRule="exact"/>
              <w:jc w:val="center"/>
              <w:rPr>
                <w:rFonts w:hAnsi="宋体"/>
                <w:color w:val="auto"/>
                <w:szCs w:val="21"/>
                <w:highlight w:val="none"/>
              </w:rPr>
            </w:pPr>
          </w:p>
        </w:tc>
        <w:tc>
          <w:tcPr>
            <w:tcW w:w="877" w:type="dxa"/>
            <w:vAlign w:val="center"/>
          </w:tcPr>
          <w:p w14:paraId="3834FBA4">
            <w:pPr>
              <w:pStyle w:val="28"/>
              <w:shd w:val="clear"/>
              <w:spacing w:line="480" w:lineRule="exact"/>
              <w:jc w:val="center"/>
              <w:rPr>
                <w:rFonts w:hAnsi="宋体"/>
                <w:color w:val="auto"/>
                <w:szCs w:val="21"/>
                <w:highlight w:val="none"/>
              </w:rPr>
            </w:pPr>
          </w:p>
        </w:tc>
        <w:tc>
          <w:tcPr>
            <w:tcW w:w="1533" w:type="dxa"/>
          </w:tcPr>
          <w:p w14:paraId="47263B43">
            <w:pPr>
              <w:pStyle w:val="28"/>
              <w:shd w:val="clear"/>
              <w:spacing w:line="480" w:lineRule="exact"/>
              <w:jc w:val="center"/>
              <w:rPr>
                <w:rFonts w:hAnsi="宋体"/>
                <w:color w:val="auto"/>
                <w:szCs w:val="21"/>
                <w:highlight w:val="none"/>
              </w:rPr>
            </w:pPr>
          </w:p>
        </w:tc>
        <w:tc>
          <w:tcPr>
            <w:tcW w:w="1357" w:type="dxa"/>
            <w:vAlign w:val="center"/>
          </w:tcPr>
          <w:p w14:paraId="45D7CA45">
            <w:pPr>
              <w:pStyle w:val="28"/>
              <w:shd w:val="clear"/>
              <w:spacing w:line="480" w:lineRule="exact"/>
              <w:jc w:val="center"/>
              <w:rPr>
                <w:rFonts w:hAnsi="宋体"/>
                <w:color w:val="auto"/>
                <w:szCs w:val="21"/>
                <w:highlight w:val="none"/>
              </w:rPr>
            </w:pPr>
          </w:p>
        </w:tc>
        <w:tc>
          <w:tcPr>
            <w:tcW w:w="1200" w:type="dxa"/>
            <w:vAlign w:val="center"/>
          </w:tcPr>
          <w:p w14:paraId="3712F103">
            <w:pPr>
              <w:pStyle w:val="28"/>
              <w:shd w:val="clear"/>
              <w:spacing w:line="480" w:lineRule="exact"/>
              <w:jc w:val="center"/>
              <w:rPr>
                <w:rFonts w:hAnsi="宋体"/>
                <w:color w:val="auto"/>
                <w:szCs w:val="21"/>
                <w:highlight w:val="none"/>
              </w:rPr>
            </w:pPr>
          </w:p>
        </w:tc>
        <w:tc>
          <w:tcPr>
            <w:tcW w:w="1403" w:type="dxa"/>
            <w:vAlign w:val="center"/>
          </w:tcPr>
          <w:p w14:paraId="3D8482A0">
            <w:pPr>
              <w:pStyle w:val="28"/>
              <w:shd w:val="clear"/>
              <w:spacing w:line="480" w:lineRule="exact"/>
              <w:jc w:val="center"/>
              <w:rPr>
                <w:rFonts w:hAnsi="宋体"/>
                <w:color w:val="auto"/>
                <w:szCs w:val="21"/>
                <w:highlight w:val="none"/>
              </w:rPr>
            </w:pPr>
          </w:p>
        </w:tc>
        <w:tc>
          <w:tcPr>
            <w:tcW w:w="1403" w:type="dxa"/>
          </w:tcPr>
          <w:p w14:paraId="55A3D0B2">
            <w:pPr>
              <w:pStyle w:val="28"/>
              <w:shd w:val="clear"/>
              <w:spacing w:line="480" w:lineRule="exact"/>
              <w:jc w:val="center"/>
              <w:rPr>
                <w:rFonts w:hAnsi="宋体"/>
                <w:color w:val="auto"/>
                <w:szCs w:val="21"/>
                <w:highlight w:val="none"/>
              </w:rPr>
            </w:pPr>
          </w:p>
        </w:tc>
      </w:tr>
      <w:tr w14:paraId="4BD6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534" w:type="dxa"/>
            <w:vAlign w:val="center"/>
          </w:tcPr>
          <w:p w14:paraId="3A1993FB">
            <w:pPr>
              <w:pStyle w:val="28"/>
              <w:shd w:val="clear"/>
              <w:spacing w:line="480" w:lineRule="exact"/>
              <w:jc w:val="center"/>
              <w:rPr>
                <w:rFonts w:hAnsi="宋体"/>
                <w:color w:val="auto"/>
                <w:szCs w:val="21"/>
                <w:highlight w:val="none"/>
              </w:rPr>
            </w:pPr>
          </w:p>
        </w:tc>
        <w:tc>
          <w:tcPr>
            <w:tcW w:w="1026" w:type="dxa"/>
            <w:vAlign w:val="center"/>
          </w:tcPr>
          <w:p w14:paraId="2CF8A268">
            <w:pPr>
              <w:pStyle w:val="28"/>
              <w:shd w:val="clear"/>
              <w:spacing w:line="480" w:lineRule="exact"/>
              <w:jc w:val="center"/>
              <w:rPr>
                <w:rFonts w:hAnsi="宋体"/>
                <w:color w:val="auto"/>
                <w:szCs w:val="21"/>
                <w:highlight w:val="none"/>
              </w:rPr>
            </w:pPr>
          </w:p>
        </w:tc>
        <w:tc>
          <w:tcPr>
            <w:tcW w:w="877" w:type="dxa"/>
            <w:vAlign w:val="center"/>
          </w:tcPr>
          <w:p w14:paraId="620F6350">
            <w:pPr>
              <w:pStyle w:val="28"/>
              <w:shd w:val="clear"/>
              <w:spacing w:line="480" w:lineRule="exact"/>
              <w:jc w:val="center"/>
              <w:rPr>
                <w:rFonts w:hAnsi="宋体"/>
                <w:color w:val="auto"/>
                <w:szCs w:val="21"/>
                <w:highlight w:val="none"/>
              </w:rPr>
            </w:pPr>
          </w:p>
        </w:tc>
        <w:tc>
          <w:tcPr>
            <w:tcW w:w="1533" w:type="dxa"/>
          </w:tcPr>
          <w:p w14:paraId="3D60FA2F">
            <w:pPr>
              <w:pStyle w:val="28"/>
              <w:shd w:val="clear"/>
              <w:spacing w:line="480" w:lineRule="exact"/>
              <w:jc w:val="center"/>
              <w:rPr>
                <w:rFonts w:hAnsi="宋体"/>
                <w:color w:val="auto"/>
                <w:szCs w:val="21"/>
                <w:highlight w:val="none"/>
              </w:rPr>
            </w:pPr>
          </w:p>
        </w:tc>
        <w:tc>
          <w:tcPr>
            <w:tcW w:w="1357" w:type="dxa"/>
            <w:vAlign w:val="center"/>
          </w:tcPr>
          <w:p w14:paraId="4DEFEFEA">
            <w:pPr>
              <w:pStyle w:val="28"/>
              <w:shd w:val="clear"/>
              <w:spacing w:line="480" w:lineRule="exact"/>
              <w:jc w:val="center"/>
              <w:rPr>
                <w:rFonts w:hAnsi="宋体"/>
                <w:color w:val="auto"/>
                <w:szCs w:val="21"/>
                <w:highlight w:val="none"/>
              </w:rPr>
            </w:pPr>
          </w:p>
        </w:tc>
        <w:tc>
          <w:tcPr>
            <w:tcW w:w="1200" w:type="dxa"/>
            <w:vAlign w:val="center"/>
          </w:tcPr>
          <w:p w14:paraId="2FF042F5">
            <w:pPr>
              <w:pStyle w:val="28"/>
              <w:shd w:val="clear"/>
              <w:spacing w:line="480" w:lineRule="exact"/>
              <w:jc w:val="center"/>
              <w:rPr>
                <w:rFonts w:hAnsi="宋体"/>
                <w:color w:val="auto"/>
                <w:szCs w:val="21"/>
                <w:highlight w:val="none"/>
              </w:rPr>
            </w:pPr>
          </w:p>
        </w:tc>
        <w:tc>
          <w:tcPr>
            <w:tcW w:w="1403" w:type="dxa"/>
            <w:vAlign w:val="center"/>
          </w:tcPr>
          <w:p w14:paraId="50DE4CDA">
            <w:pPr>
              <w:pStyle w:val="28"/>
              <w:shd w:val="clear"/>
              <w:spacing w:line="480" w:lineRule="exact"/>
              <w:jc w:val="center"/>
              <w:rPr>
                <w:rFonts w:hAnsi="宋体"/>
                <w:color w:val="auto"/>
                <w:szCs w:val="21"/>
                <w:highlight w:val="none"/>
              </w:rPr>
            </w:pPr>
          </w:p>
        </w:tc>
        <w:tc>
          <w:tcPr>
            <w:tcW w:w="1403" w:type="dxa"/>
          </w:tcPr>
          <w:p w14:paraId="7A35CCA1">
            <w:pPr>
              <w:pStyle w:val="28"/>
              <w:shd w:val="clear"/>
              <w:spacing w:line="480" w:lineRule="exact"/>
              <w:jc w:val="center"/>
              <w:rPr>
                <w:rFonts w:hAnsi="宋体"/>
                <w:color w:val="auto"/>
                <w:szCs w:val="21"/>
                <w:highlight w:val="none"/>
              </w:rPr>
            </w:pPr>
          </w:p>
        </w:tc>
      </w:tr>
      <w:tr w14:paraId="65B4D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05A21F5">
            <w:pPr>
              <w:pStyle w:val="28"/>
              <w:shd w:val="clear"/>
              <w:spacing w:line="480" w:lineRule="exact"/>
              <w:jc w:val="center"/>
              <w:rPr>
                <w:rFonts w:hAnsi="宋体"/>
                <w:color w:val="auto"/>
                <w:szCs w:val="21"/>
                <w:highlight w:val="none"/>
              </w:rPr>
            </w:pPr>
          </w:p>
        </w:tc>
        <w:tc>
          <w:tcPr>
            <w:tcW w:w="1026" w:type="dxa"/>
            <w:vAlign w:val="center"/>
          </w:tcPr>
          <w:p w14:paraId="47529BDA">
            <w:pPr>
              <w:pStyle w:val="28"/>
              <w:shd w:val="clear"/>
              <w:spacing w:line="480" w:lineRule="exact"/>
              <w:jc w:val="center"/>
              <w:rPr>
                <w:rFonts w:hAnsi="宋体"/>
                <w:color w:val="auto"/>
                <w:szCs w:val="21"/>
                <w:highlight w:val="none"/>
              </w:rPr>
            </w:pPr>
          </w:p>
        </w:tc>
        <w:tc>
          <w:tcPr>
            <w:tcW w:w="877" w:type="dxa"/>
            <w:vAlign w:val="center"/>
          </w:tcPr>
          <w:p w14:paraId="5A06BA9C">
            <w:pPr>
              <w:pStyle w:val="28"/>
              <w:shd w:val="clear"/>
              <w:spacing w:line="480" w:lineRule="exact"/>
              <w:jc w:val="center"/>
              <w:rPr>
                <w:rFonts w:hAnsi="宋体"/>
                <w:color w:val="auto"/>
                <w:szCs w:val="21"/>
                <w:highlight w:val="none"/>
              </w:rPr>
            </w:pPr>
          </w:p>
        </w:tc>
        <w:tc>
          <w:tcPr>
            <w:tcW w:w="1533" w:type="dxa"/>
          </w:tcPr>
          <w:p w14:paraId="59CACDFE">
            <w:pPr>
              <w:pStyle w:val="28"/>
              <w:shd w:val="clear"/>
              <w:spacing w:line="480" w:lineRule="exact"/>
              <w:jc w:val="center"/>
              <w:rPr>
                <w:rFonts w:hAnsi="宋体"/>
                <w:color w:val="auto"/>
                <w:szCs w:val="21"/>
                <w:highlight w:val="none"/>
              </w:rPr>
            </w:pPr>
          </w:p>
        </w:tc>
        <w:tc>
          <w:tcPr>
            <w:tcW w:w="1357" w:type="dxa"/>
            <w:vAlign w:val="center"/>
          </w:tcPr>
          <w:p w14:paraId="25FE1ABD">
            <w:pPr>
              <w:pStyle w:val="28"/>
              <w:shd w:val="clear"/>
              <w:spacing w:line="480" w:lineRule="exact"/>
              <w:jc w:val="center"/>
              <w:rPr>
                <w:rFonts w:hAnsi="宋体"/>
                <w:color w:val="auto"/>
                <w:szCs w:val="21"/>
                <w:highlight w:val="none"/>
              </w:rPr>
            </w:pPr>
          </w:p>
        </w:tc>
        <w:tc>
          <w:tcPr>
            <w:tcW w:w="1200" w:type="dxa"/>
            <w:vAlign w:val="center"/>
          </w:tcPr>
          <w:p w14:paraId="60733494">
            <w:pPr>
              <w:pStyle w:val="28"/>
              <w:shd w:val="clear"/>
              <w:spacing w:line="480" w:lineRule="exact"/>
              <w:jc w:val="center"/>
              <w:rPr>
                <w:rFonts w:hAnsi="宋体"/>
                <w:color w:val="auto"/>
                <w:szCs w:val="21"/>
                <w:highlight w:val="none"/>
              </w:rPr>
            </w:pPr>
          </w:p>
        </w:tc>
        <w:tc>
          <w:tcPr>
            <w:tcW w:w="1403" w:type="dxa"/>
            <w:vAlign w:val="center"/>
          </w:tcPr>
          <w:p w14:paraId="3D965DD6">
            <w:pPr>
              <w:pStyle w:val="28"/>
              <w:shd w:val="clear"/>
              <w:spacing w:line="480" w:lineRule="exact"/>
              <w:jc w:val="center"/>
              <w:rPr>
                <w:rFonts w:hAnsi="宋体"/>
                <w:color w:val="auto"/>
                <w:szCs w:val="21"/>
                <w:highlight w:val="none"/>
              </w:rPr>
            </w:pPr>
          </w:p>
        </w:tc>
        <w:tc>
          <w:tcPr>
            <w:tcW w:w="1403" w:type="dxa"/>
          </w:tcPr>
          <w:p w14:paraId="3629BE95">
            <w:pPr>
              <w:pStyle w:val="28"/>
              <w:shd w:val="clear"/>
              <w:spacing w:line="480" w:lineRule="exact"/>
              <w:jc w:val="center"/>
              <w:rPr>
                <w:rFonts w:hAnsi="宋体"/>
                <w:color w:val="auto"/>
                <w:szCs w:val="21"/>
                <w:highlight w:val="none"/>
              </w:rPr>
            </w:pPr>
          </w:p>
        </w:tc>
      </w:tr>
      <w:tr w14:paraId="233A4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10D3A511">
            <w:pPr>
              <w:pStyle w:val="28"/>
              <w:shd w:val="clear"/>
              <w:spacing w:line="480" w:lineRule="exact"/>
              <w:jc w:val="center"/>
              <w:rPr>
                <w:rFonts w:hAnsi="宋体"/>
                <w:color w:val="auto"/>
                <w:szCs w:val="21"/>
                <w:highlight w:val="none"/>
              </w:rPr>
            </w:pPr>
          </w:p>
        </w:tc>
        <w:tc>
          <w:tcPr>
            <w:tcW w:w="1026" w:type="dxa"/>
            <w:vAlign w:val="center"/>
          </w:tcPr>
          <w:p w14:paraId="522F2F4B">
            <w:pPr>
              <w:pStyle w:val="28"/>
              <w:shd w:val="clear"/>
              <w:spacing w:line="480" w:lineRule="exact"/>
              <w:jc w:val="center"/>
              <w:rPr>
                <w:rFonts w:hAnsi="宋体"/>
                <w:color w:val="auto"/>
                <w:szCs w:val="21"/>
                <w:highlight w:val="none"/>
              </w:rPr>
            </w:pPr>
          </w:p>
        </w:tc>
        <w:tc>
          <w:tcPr>
            <w:tcW w:w="877" w:type="dxa"/>
            <w:vAlign w:val="center"/>
          </w:tcPr>
          <w:p w14:paraId="20134B99">
            <w:pPr>
              <w:pStyle w:val="28"/>
              <w:shd w:val="clear"/>
              <w:spacing w:line="480" w:lineRule="exact"/>
              <w:jc w:val="center"/>
              <w:rPr>
                <w:rFonts w:hAnsi="宋体"/>
                <w:color w:val="auto"/>
                <w:szCs w:val="21"/>
                <w:highlight w:val="none"/>
              </w:rPr>
            </w:pPr>
          </w:p>
        </w:tc>
        <w:tc>
          <w:tcPr>
            <w:tcW w:w="1533" w:type="dxa"/>
          </w:tcPr>
          <w:p w14:paraId="696995A3">
            <w:pPr>
              <w:pStyle w:val="28"/>
              <w:shd w:val="clear"/>
              <w:spacing w:line="480" w:lineRule="exact"/>
              <w:jc w:val="center"/>
              <w:rPr>
                <w:rFonts w:hAnsi="宋体"/>
                <w:color w:val="auto"/>
                <w:szCs w:val="21"/>
                <w:highlight w:val="none"/>
              </w:rPr>
            </w:pPr>
          </w:p>
        </w:tc>
        <w:tc>
          <w:tcPr>
            <w:tcW w:w="1357" w:type="dxa"/>
            <w:vAlign w:val="center"/>
          </w:tcPr>
          <w:p w14:paraId="1940A3AF">
            <w:pPr>
              <w:pStyle w:val="28"/>
              <w:shd w:val="clear"/>
              <w:spacing w:line="480" w:lineRule="exact"/>
              <w:jc w:val="center"/>
              <w:rPr>
                <w:rFonts w:hAnsi="宋体"/>
                <w:color w:val="auto"/>
                <w:szCs w:val="21"/>
                <w:highlight w:val="none"/>
              </w:rPr>
            </w:pPr>
          </w:p>
        </w:tc>
        <w:tc>
          <w:tcPr>
            <w:tcW w:w="1200" w:type="dxa"/>
            <w:vAlign w:val="center"/>
          </w:tcPr>
          <w:p w14:paraId="018222D9">
            <w:pPr>
              <w:pStyle w:val="28"/>
              <w:shd w:val="clear"/>
              <w:spacing w:line="480" w:lineRule="exact"/>
              <w:jc w:val="center"/>
              <w:rPr>
                <w:rFonts w:hAnsi="宋体"/>
                <w:color w:val="auto"/>
                <w:szCs w:val="21"/>
                <w:highlight w:val="none"/>
              </w:rPr>
            </w:pPr>
          </w:p>
        </w:tc>
        <w:tc>
          <w:tcPr>
            <w:tcW w:w="1403" w:type="dxa"/>
            <w:vAlign w:val="center"/>
          </w:tcPr>
          <w:p w14:paraId="3C6E9C8A">
            <w:pPr>
              <w:pStyle w:val="28"/>
              <w:shd w:val="clear"/>
              <w:spacing w:line="480" w:lineRule="exact"/>
              <w:jc w:val="center"/>
              <w:rPr>
                <w:rFonts w:hAnsi="宋体"/>
                <w:color w:val="auto"/>
                <w:szCs w:val="21"/>
                <w:highlight w:val="none"/>
              </w:rPr>
            </w:pPr>
          </w:p>
        </w:tc>
        <w:tc>
          <w:tcPr>
            <w:tcW w:w="1403" w:type="dxa"/>
          </w:tcPr>
          <w:p w14:paraId="0CE00EC3">
            <w:pPr>
              <w:pStyle w:val="28"/>
              <w:shd w:val="clear"/>
              <w:spacing w:line="480" w:lineRule="exact"/>
              <w:jc w:val="center"/>
              <w:rPr>
                <w:rFonts w:hAnsi="宋体"/>
                <w:color w:val="auto"/>
                <w:szCs w:val="21"/>
                <w:highlight w:val="none"/>
              </w:rPr>
            </w:pPr>
          </w:p>
        </w:tc>
      </w:tr>
      <w:tr w14:paraId="5081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7871909">
            <w:pPr>
              <w:pStyle w:val="28"/>
              <w:shd w:val="clear"/>
              <w:spacing w:line="480" w:lineRule="exact"/>
              <w:jc w:val="center"/>
              <w:rPr>
                <w:rFonts w:hAnsi="宋体"/>
                <w:color w:val="auto"/>
                <w:szCs w:val="21"/>
                <w:highlight w:val="none"/>
              </w:rPr>
            </w:pPr>
          </w:p>
        </w:tc>
        <w:tc>
          <w:tcPr>
            <w:tcW w:w="1026" w:type="dxa"/>
            <w:vAlign w:val="center"/>
          </w:tcPr>
          <w:p w14:paraId="6C44C238">
            <w:pPr>
              <w:pStyle w:val="28"/>
              <w:shd w:val="clear"/>
              <w:spacing w:line="480" w:lineRule="exact"/>
              <w:jc w:val="center"/>
              <w:rPr>
                <w:rFonts w:hAnsi="宋体"/>
                <w:color w:val="auto"/>
                <w:szCs w:val="21"/>
                <w:highlight w:val="none"/>
              </w:rPr>
            </w:pPr>
          </w:p>
        </w:tc>
        <w:tc>
          <w:tcPr>
            <w:tcW w:w="877" w:type="dxa"/>
            <w:vAlign w:val="center"/>
          </w:tcPr>
          <w:p w14:paraId="7D7EF7B2">
            <w:pPr>
              <w:pStyle w:val="28"/>
              <w:shd w:val="clear"/>
              <w:spacing w:line="480" w:lineRule="exact"/>
              <w:jc w:val="center"/>
              <w:rPr>
                <w:rFonts w:hAnsi="宋体"/>
                <w:color w:val="auto"/>
                <w:szCs w:val="21"/>
                <w:highlight w:val="none"/>
              </w:rPr>
            </w:pPr>
          </w:p>
        </w:tc>
        <w:tc>
          <w:tcPr>
            <w:tcW w:w="1533" w:type="dxa"/>
          </w:tcPr>
          <w:p w14:paraId="3C562467">
            <w:pPr>
              <w:pStyle w:val="28"/>
              <w:shd w:val="clear"/>
              <w:spacing w:line="480" w:lineRule="exact"/>
              <w:jc w:val="center"/>
              <w:rPr>
                <w:rFonts w:hAnsi="宋体"/>
                <w:color w:val="auto"/>
                <w:szCs w:val="21"/>
                <w:highlight w:val="none"/>
              </w:rPr>
            </w:pPr>
          </w:p>
        </w:tc>
        <w:tc>
          <w:tcPr>
            <w:tcW w:w="1357" w:type="dxa"/>
            <w:vAlign w:val="center"/>
          </w:tcPr>
          <w:p w14:paraId="7DCCB0C1">
            <w:pPr>
              <w:pStyle w:val="28"/>
              <w:shd w:val="clear"/>
              <w:spacing w:line="480" w:lineRule="exact"/>
              <w:jc w:val="center"/>
              <w:rPr>
                <w:rFonts w:hAnsi="宋体"/>
                <w:color w:val="auto"/>
                <w:szCs w:val="21"/>
                <w:highlight w:val="none"/>
              </w:rPr>
            </w:pPr>
          </w:p>
        </w:tc>
        <w:tc>
          <w:tcPr>
            <w:tcW w:w="1200" w:type="dxa"/>
            <w:vAlign w:val="center"/>
          </w:tcPr>
          <w:p w14:paraId="0C6417F0">
            <w:pPr>
              <w:pStyle w:val="28"/>
              <w:shd w:val="clear"/>
              <w:spacing w:line="480" w:lineRule="exact"/>
              <w:jc w:val="center"/>
              <w:rPr>
                <w:rFonts w:hAnsi="宋体"/>
                <w:color w:val="auto"/>
                <w:szCs w:val="21"/>
                <w:highlight w:val="none"/>
              </w:rPr>
            </w:pPr>
          </w:p>
        </w:tc>
        <w:tc>
          <w:tcPr>
            <w:tcW w:w="1403" w:type="dxa"/>
            <w:vAlign w:val="center"/>
          </w:tcPr>
          <w:p w14:paraId="1ED1B254">
            <w:pPr>
              <w:pStyle w:val="28"/>
              <w:shd w:val="clear"/>
              <w:spacing w:line="480" w:lineRule="exact"/>
              <w:jc w:val="center"/>
              <w:rPr>
                <w:rFonts w:hAnsi="宋体"/>
                <w:color w:val="auto"/>
                <w:szCs w:val="21"/>
                <w:highlight w:val="none"/>
              </w:rPr>
            </w:pPr>
          </w:p>
        </w:tc>
        <w:tc>
          <w:tcPr>
            <w:tcW w:w="1403" w:type="dxa"/>
          </w:tcPr>
          <w:p w14:paraId="50F98C9B">
            <w:pPr>
              <w:pStyle w:val="28"/>
              <w:shd w:val="clear"/>
              <w:spacing w:line="480" w:lineRule="exact"/>
              <w:jc w:val="center"/>
              <w:rPr>
                <w:rFonts w:hAnsi="宋体"/>
                <w:color w:val="auto"/>
                <w:szCs w:val="21"/>
                <w:highlight w:val="none"/>
              </w:rPr>
            </w:pPr>
          </w:p>
        </w:tc>
      </w:tr>
    </w:tbl>
    <w:p w14:paraId="1A5567B2">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 w:val="22"/>
          <w:szCs w:val="22"/>
          <w:highlight w:val="none"/>
        </w:rPr>
      </w:pPr>
    </w:p>
    <w:p w14:paraId="09B8BF35">
      <w:pPr>
        <w:shd w:val="clear"/>
        <w:tabs>
          <w:tab w:val="left" w:pos="654"/>
          <w:tab w:val="left" w:pos="1734"/>
          <w:tab w:val="left" w:pos="2814"/>
          <w:tab w:val="left" w:pos="3894"/>
          <w:tab w:val="left" w:pos="5334"/>
          <w:tab w:val="left" w:pos="6414"/>
          <w:tab w:val="left" w:pos="7254"/>
          <w:tab w:val="left" w:pos="8574"/>
          <w:tab w:val="left" w:pos="9654"/>
        </w:tabs>
        <w:spacing w:line="480" w:lineRule="exact"/>
        <w:rPr>
          <w:rFonts w:hAnsi="宋体"/>
          <w:color w:val="auto"/>
          <w:sz w:val="21"/>
          <w:szCs w:val="21"/>
          <w:highlight w:val="none"/>
        </w:rPr>
      </w:pPr>
      <w:r>
        <w:rPr>
          <w:rFonts w:hint="eastAsia" w:hAnsi="宋体"/>
          <w:color w:val="auto"/>
          <w:sz w:val="21"/>
          <w:szCs w:val="21"/>
          <w:highlight w:val="none"/>
        </w:rPr>
        <w:t>要求：</w:t>
      </w:r>
    </w:p>
    <w:p w14:paraId="45AC6F1B">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1.供应商可以根据本表格内容和实际情况制作本表格。</w:t>
      </w:r>
    </w:p>
    <w:p w14:paraId="41C9051B">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2.供应商应当在响应文件中提供评分标准中要求提供的资料。（上述文件均加盖供应商公章）</w:t>
      </w:r>
    </w:p>
    <w:p w14:paraId="25E0FDB5">
      <w:pPr>
        <w:pStyle w:val="20"/>
        <w:shd w:val="clear"/>
        <w:rPr>
          <w:rFonts w:hAnsi="宋体"/>
          <w:color w:val="auto"/>
          <w:sz w:val="21"/>
          <w:szCs w:val="21"/>
          <w:highlight w:val="none"/>
        </w:rPr>
      </w:pPr>
    </w:p>
    <w:p w14:paraId="696A9045">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40EFD831">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7179EA08">
      <w:pPr>
        <w:shd w:val="clear"/>
        <w:overflowPunct w:val="0"/>
        <w:spacing w:line="460" w:lineRule="exact"/>
        <w:rPr>
          <w:rFonts w:hAnsi="宋体"/>
          <w:color w:val="auto"/>
          <w:sz w:val="22"/>
          <w:szCs w:val="22"/>
          <w:highlight w:val="none"/>
        </w:rPr>
      </w:pPr>
      <w:r>
        <w:rPr>
          <w:rFonts w:hint="eastAsia" w:hAnsi="宋体"/>
          <w:color w:val="auto"/>
          <w:sz w:val="21"/>
          <w:szCs w:val="21"/>
          <w:highlight w:val="none"/>
        </w:rPr>
        <w:t>日期：年月日</w:t>
      </w:r>
    </w:p>
    <w:p w14:paraId="53A323D0">
      <w:pPr>
        <w:shd w:val="clear"/>
        <w:spacing w:line="480" w:lineRule="exact"/>
        <w:rPr>
          <w:rFonts w:hAnsi="宋体"/>
          <w:b/>
          <w:bCs/>
          <w:color w:val="auto"/>
          <w:szCs w:val="21"/>
          <w:highlight w:val="none"/>
          <w:u w:val="single"/>
        </w:rPr>
      </w:pPr>
    </w:p>
    <w:p w14:paraId="63EB4B56">
      <w:pPr>
        <w:pStyle w:val="3"/>
        <w:numPr>
          <w:ilvl w:val="0"/>
          <w:numId w:val="19"/>
        </w:numPr>
        <w:shd w:val="clear"/>
        <w:jc w:val="center"/>
        <w:rPr>
          <w:bCs/>
          <w:color w:val="auto"/>
          <w:sz w:val="28"/>
          <w:szCs w:val="28"/>
          <w:highlight w:val="none"/>
        </w:rPr>
      </w:pPr>
      <w:r>
        <w:rPr>
          <w:bCs/>
          <w:color w:val="auto"/>
          <w:szCs w:val="21"/>
          <w:highlight w:val="none"/>
        </w:rPr>
        <w:br w:type="page"/>
      </w:r>
      <w:bookmarkEnd w:id="254"/>
      <w:bookmarkEnd w:id="255"/>
      <w:bookmarkEnd w:id="256"/>
      <w:bookmarkEnd w:id="257"/>
      <w:bookmarkEnd w:id="258"/>
      <w:bookmarkEnd w:id="259"/>
      <w:bookmarkEnd w:id="260"/>
      <w:bookmarkEnd w:id="261"/>
      <w:bookmarkEnd w:id="262"/>
      <w:bookmarkEnd w:id="263"/>
      <w:bookmarkEnd w:id="264"/>
      <w:bookmarkEnd w:id="265"/>
      <w:bookmarkStart w:id="270" w:name="_Toc13441"/>
      <w:bookmarkStart w:id="271" w:name="_Toc16598"/>
      <w:r>
        <w:rPr>
          <w:rFonts w:hint="eastAsia"/>
          <w:bCs/>
          <w:color w:val="auto"/>
          <w:sz w:val="28"/>
          <w:szCs w:val="28"/>
          <w:highlight w:val="none"/>
        </w:rPr>
        <w:t>磋商保证金汇入情况说明（适用于转账、电汇方式）</w:t>
      </w:r>
      <w:bookmarkEnd w:id="270"/>
      <w:bookmarkEnd w:id="271"/>
    </w:p>
    <w:p w14:paraId="174AACE7">
      <w:pPr>
        <w:shd w:val="clear"/>
        <w:spacing w:line="460" w:lineRule="exact"/>
        <w:rPr>
          <w:rFonts w:hAnsi="宋体"/>
          <w:b/>
          <w:bCs/>
          <w:color w:val="auto"/>
          <w:sz w:val="22"/>
          <w:szCs w:val="22"/>
          <w:highlight w:val="none"/>
        </w:rPr>
      </w:pPr>
    </w:p>
    <w:p w14:paraId="03C4186E">
      <w:pPr>
        <w:shd w:val="clear"/>
        <w:spacing w:line="460" w:lineRule="exact"/>
        <w:rPr>
          <w:rFonts w:hAnsi="宋体"/>
          <w:color w:val="auto"/>
          <w:sz w:val="21"/>
          <w:szCs w:val="21"/>
          <w:highlight w:val="none"/>
        </w:rPr>
      </w:pPr>
      <w:r>
        <w:rPr>
          <w:rFonts w:hint="eastAsia" w:hAnsi="宋体"/>
          <w:color w:val="auto"/>
          <w:sz w:val="21"/>
          <w:szCs w:val="21"/>
          <w:highlight w:val="none"/>
          <w:lang w:eastAsia="zh-CN"/>
        </w:rPr>
        <w:t>广东志正招标有限公司东莞分公司</w:t>
      </w:r>
      <w:r>
        <w:rPr>
          <w:rFonts w:hint="eastAsia" w:hAnsi="宋体"/>
          <w:color w:val="auto"/>
          <w:sz w:val="21"/>
          <w:szCs w:val="21"/>
          <w:highlight w:val="none"/>
        </w:rPr>
        <w:t xml:space="preserve">： </w:t>
      </w:r>
    </w:p>
    <w:p w14:paraId="63215611">
      <w:pPr>
        <w:shd w:val="clear"/>
        <w:spacing w:line="460" w:lineRule="exact"/>
        <w:ind w:firstLine="420" w:firstLineChars="200"/>
        <w:rPr>
          <w:rFonts w:hAnsi="宋体"/>
          <w:color w:val="auto"/>
          <w:sz w:val="21"/>
          <w:szCs w:val="21"/>
          <w:highlight w:val="none"/>
        </w:rPr>
      </w:pPr>
      <w:r>
        <w:rPr>
          <w:rFonts w:hint="eastAsia" w:hAnsi="宋体"/>
          <w:color w:val="auto"/>
          <w:sz w:val="21"/>
          <w:szCs w:val="21"/>
          <w:highlight w:val="none"/>
        </w:rPr>
        <w:t>本单位已按</w:t>
      </w:r>
      <w:r>
        <w:rPr>
          <w:rFonts w:hint="eastAsia" w:hAnsi="宋体"/>
          <w:color w:val="auto"/>
          <w:sz w:val="21"/>
          <w:szCs w:val="21"/>
          <w:highlight w:val="none"/>
          <w:u w:val="single"/>
        </w:rPr>
        <w:t xml:space="preserve">  （项目名称）   （</w:t>
      </w:r>
      <w:r>
        <w:rPr>
          <w:rFonts w:hint="eastAsia" w:hAnsi="宋体"/>
          <w:color w:val="auto"/>
          <w:sz w:val="21"/>
          <w:szCs w:val="21"/>
          <w:highlight w:val="none"/>
        </w:rPr>
        <w:t>采购编号：</w:t>
      </w:r>
      <w:r>
        <w:rPr>
          <w:rFonts w:hint="eastAsia" w:hAnsi="宋体"/>
          <w:color w:val="auto"/>
          <w:sz w:val="21"/>
          <w:szCs w:val="21"/>
          <w:highlight w:val="none"/>
          <w:u w:val="single"/>
        </w:rPr>
        <w:t xml:space="preserve">     ）</w:t>
      </w:r>
      <w:r>
        <w:rPr>
          <w:rFonts w:hint="eastAsia" w:hAnsi="宋体"/>
          <w:color w:val="auto"/>
          <w:sz w:val="21"/>
          <w:szCs w:val="21"/>
          <w:highlight w:val="none"/>
        </w:rPr>
        <w:t>的磋商文件要求，于年月日前以（付款形式）方式汇入指定帐户（帐户名称：，帐号：,开户银行：）。</w:t>
      </w:r>
    </w:p>
    <w:p w14:paraId="41A65E42">
      <w:pPr>
        <w:shd w:val="clear"/>
        <w:spacing w:line="460" w:lineRule="exact"/>
        <w:ind w:firstLine="420" w:firstLineChars="200"/>
        <w:rPr>
          <w:rFonts w:hAnsi="宋体"/>
          <w:color w:val="auto"/>
          <w:sz w:val="21"/>
          <w:szCs w:val="21"/>
          <w:highlight w:val="none"/>
        </w:rPr>
      </w:pPr>
      <w:r>
        <w:rPr>
          <w:rFonts w:hint="eastAsia" w:hAnsi="宋体"/>
          <w:color w:val="auto"/>
          <w:sz w:val="21"/>
          <w:szCs w:val="21"/>
          <w:highlight w:val="none"/>
        </w:rPr>
        <w:t>供应商磋商保证金的汇款情况：（详见附件－磋商保证金进帐单）汇出时间：年月日；</w:t>
      </w:r>
    </w:p>
    <w:p w14:paraId="2DA72D54">
      <w:pPr>
        <w:shd w:val="clear"/>
        <w:spacing w:line="460" w:lineRule="exact"/>
        <w:ind w:firstLine="420" w:firstLineChars="200"/>
        <w:rPr>
          <w:rFonts w:hAnsi="宋体"/>
          <w:color w:val="auto"/>
          <w:sz w:val="21"/>
          <w:szCs w:val="21"/>
          <w:highlight w:val="none"/>
          <w:u w:val="single"/>
        </w:rPr>
      </w:pPr>
      <w:r>
        <w:rPr>
          <w:rFonts w:hint="eastAsia" w:hAnsi="宋体"/>
          <w:color w:val="auto"/>
          <w:sz w:val="21"/>
          <w:szCs w:val="21"/>
          <w:highlight w:val="none"/>
        </w:rPr>
        <w:t>汇款金额：（大写）人民币</w:t>
      </w:r>
      <w:r>
        <w:rPr>
          <w:rFonts w:hint="eastAsia" w:hAnsi="宋体"/>
          <w:color w:val="auto"/>
          <w:sz w:val="21"/>
          <w:szCs w:val="21"/>
          <w:highlight w:val="none"/>
          <w:u w:val="single"/>
        </w:rPr>
        <w:t xml:space="preserve">               元整</w:t>
      </w:r>
    </w:p>
    <w:p w14:paraId="4134425A">
      <w:pPr>
        <w:shd w:val="clear"/>
        <w:spacing w:line="460" w:lineRule="exact"/>
        <w:ind w:firstLine="1365" w:firstLineChars="650"/>
        <w:rPr>
          <w:rFonts w:hAnsi="宋体"/>
          <w:color w:val="auto"/>
          <w:sz w:val="21"/>
          <w:szCs w:val="21"/>
          <w:highlight w:val="none"/>
          <w:u w:val="single"/>
        </w:rPr>
      </w:pPr>
      <w:r>
        <w:rPr>
          <w:rFonts w:hint="eastAsia" w:hAnsi="宋体"/>
          <w:color w:val="auto"/>
          <w:sz w:val="21"/>
          <w:szCs w:val="21"/>
          <w:highlight w:val="none"/>
        </w:rPr>
        <w:t>（小写）￥元。</w:t>
      </w:r>
    </w:p>
    <w:p w14:paraId="0E99904E">
      <w:pPr>
        <w:shd w:val="clear"/>
        <w:spacing w:line="460" w:lineRule="exact"/>
        <w:ind w:firstLine="420" w:firstLineChars="200"/>
        <w:rPr>
          <w:rFonts w:hAnsi="宋体"/>
          <w:color w:val="auto"/>
          <w:sz w:val="21"/>
          <w:szCs w:val="21"/>
          <w:highlight w:val="none"/>
          <w:u w:val="single"/>
        </w:rPr>
      </w:pPr>
      <w:r>
        <w:rPr>
          <w:rFonts w:hint="eastAsia" w:hAnsi="宋体"/>
          <w:color w:val="auto"/>
          <w:sz w:val="21"/>
          <w:szCs w:val="21"/>
          <w:highlight w:val="none"/>
        </w:rPr>
        <w:t>汇款帐户名称：</w:t>
      </w:r>
      <w:r>
        <w:rPr>
          <w:rFonts w:hint="eastAsia" w:hAnsi="宋体"/>
          <w:color w:val="auto"/>
          <w:sz w:val="21"/>
          <w:szCs w:val="21"/>
          <w:highlight w:val="none"/>
          <w:u w:val="single"/>
        </w:rPr>
        <w:t xml:space="preserve">  （必须是磋商时使用的单位名称）   </w:t>
      </w:r>
    </w:p>
    <w:p w14:paraId="2C555BA1">
      <w:pPr>
        <w:shd w:val="clear"/>
        <w:spacing w:line="460" w:lineRule="exact"/>
        <w:ind w:firstLine="420" w:firstLineChars="200"/>
        <w:rPr>
          <w:rFonts w:hAnsi="宋体"/>
          <w:color w:val="auto"/>
          <w:sz w:val="21"/>
          <w:szCs w:val="21"/>
          <w:highlight w:val="none"/>
        </w:rPr>
      </w:pPr>
      <w:r>
        <w:rPr>
          <w:rFonts w:hint="eastAsia" w:hAnsi="宋体"/>
          <w:color w:val="auto"/>
          <w:sz w:val="21"/>
          <w:szCs w:val="21"/>
          <w:highlight w:val="none"/>
        </w:rPr>
        <w:t>帐    号：</w:t>
      </w:r>
      <w:r>
        <w:rPr>
          <w:rFonts w:hint="eastAsia" w:hAnsi="宋体"/>
          <w:color w:val="auto"/>
          <w:sz w:val="21"/>
          <w:szCs w:val="21"/>
          <w:highlight w:val="none"/>
          <w:u w:val="single"/>
        </w:rPr>
        <w:t xml:space="preserve">  （必须是磋商时使用的帐号）     </w:t>
      </w:r>
    </w:p>
    <w:p w14:paraId="02D7FE61">
      <w:pPr>
        <w:shd w:val="clear"/>
        <w:spacing w:line="460" w:lineRule="exact"/>
        <w:ind w:firstLine="420" w:firstLineChars="200"/>
        <w:rPr>
          <w:rFonts w:hAnsi="宋体"/>
          <w:color w:val="auto"/>
          <w:sz w:val="21"/>
          <w:szCs w:val="21"/>
          <w:highlight w:val="none"/>
          <w:u w:val="single"/>
        </w:rPr>
      </w:pPr>
      <w:r>
        <w:rPr>
          <w:rFonts w:hint="eastAsia" w:hAnsi="宋体"/>
          <w:color w:val="auto"/>
          <w:sz w:val="21"/>
          <w:szCs w:val="21"/>
          <w:highlight w:val="none"/>
        </w:rPr>
        <w:t>开户银行：</w:t>
      </w:r>
      <w:r>
        <w:rPr>
          <w:rFonts w:hint="eastAsia" w:hAnsi="宋体"/>
          <w:color w:val="auto"/>
          <w:sz w:val="21"/>
          <w:szCs w:val="21"/>
          <w:highlight w:val="none"/>
          <w:u w:val="single"/>
        </w:rPr>
        <w:t xml:space="preserve">    银行   省    市          (分行/支行)    </w:t>
      </w:r>
    </w:p>
    <w:p w14:paraId="3A60228D">
      <w:pPr>
        <w:shd w:val="clear"/>
        <w:spacing w:line="460" w:lineRule="exact"/>
        <w:ind w:firstLine="420" w:firstLineChars="200"/>
        <w:rPr>
          <w:rFonts w:hAnsi="宋体"/>
          <w:color w:val="auto"/>
          <w:sz w:val="21"/>
          <w:szCs w:val="21"/>
          <w:highlight w:val="none"/>
        </w:rPr>
      </w:pPr>
      <w:r>
        <w:rPr>
          <w:rFonts w:hint="eastAsia" w:hAnsi="宋体"/>
          <w:color w:val="auto"/>
          <w:sz w:val="21"/>
          <w:szCs w:val="21"/>
          <w:highlight w:val="none"/>
        </w:rPr>
        <w:t>本单位谨承诺上述资料是正确、真实的，如因上述证明与事实不符导致的一切损失，本单位保证承担赔偿等一切法律责任。</w:t>
      </w:r>
    </w:p>
    <w:p w14:paraId="7B8BD7D2">
      <w:pPr>
        <w:shd w:val="clear"/>
        <w:spacing w:line="460" w:lineRule="exact"/>
        <w:ind w:firstLine="420" w:firstLineChars="200"/>
        <w:rPr>
          <w:rFonts w:hAnsi="宋体"/>
          <w:color w:val="auto"/>
          <w:sz w:val="21"/>
          <w:szCs w:val="21"/>
          <w:highlight w:val="none"/>
        </w:rPr>
      </w:pPr>
      <w:r>
        <w:rPr>
          <w:rFonts w:hint="eastAsia" w:hAnsi="宋体"/>
          <w:color w:val="auto"/>
          <w:sz w:val="21"/>
          <w:szCs w:val="21"/>
          <w:highlight w:val="none"/>
        </w:rPr>
        <w:t>磋商保证金退回时，请按上述资料退回。</w:t>
      </w:r>
    </w:p>
    <w:p w14:paraId="09487F7B">
      <w:pPr>
        <w:shd w:val="clear"/>
        <w:spacing w:line="460" w:lineRule="exact"/>
        <w:rPr>
          <w:rFonts w:hAnsi="宋体"/>
          <w:b/>
          <w:bCs/>
          <w:color w:val="auto"/>
          <w:sz w:val="21"/>
          <w:szCs w:val="21"/>
          <w:highlight w:val="none"/>
        </w:rPr>
      </w:pPr>
    </w:p>
    <w:p w14:paraId="3E347F7D">
      <w:pPr>
        <w:shd w:val="clear"/>
        <w:spacing w:line="460" w:lineRule="exact"/>
        <w:rPr>
          <w:rFonts w:hAnsi="宋体"/>
          <w:b/>
          <w:bCs/>
          <w:color w:val="auto"/>
          <w:sz w:val="21"/>
          <w:szCs w:val="21"/>
          <w:highlight w:val="none"/>
        </w:rPr>
      </w:pPr>
      <w:r>
        <w:rPr>
          <w:rFonts w:hint="eastAsia" w:hAnsi="宋体"/>
          <w:b/>
          <w:bCs/>
          <w:color w:val="auto"/>
          <w:sz w:val="21"/>
          <w:szCs w:val="21"/>
          <w:highlight w:val="none"/>
        </w:rPr>
        <w:t>附件：磋商保证金进帐单复印件（加盖公章）</w:t>
      </w:r>
    </w:p>
    <w:p w14:paraId="3887E3CF">
      <w:pPr>
        <w:shd w:val="clear"/>
        <w:spacing w:line="460" w:lineRule="exact"/>
        <w:ind w:right="965" w:rightChars="402"/>
        <w:jc w:val="right"/>
        <w:rPr>
          <w:rFonts w:hAnsi="宋体"/>
          <w:color w:val="auto"/>
          <w:sz w:val="21"/>
          <w:szCs w:val="21"/>
          <w:highlight w:val="none"/>
        </w:rPr>
      </w:pPr>
      <w:r>
        <w:rPr>
          <w:rFonts w:hint="eastAsia" w:hAnsi="宋体"/>
          <w:color w:val="auto"/>
          <w:sz w:val="21"/>
          <w:szCs w:val="21"/>
          <w:highlight w:val="none"/>
        </w:rPr>
        <w:t>（公章）</w:t>
      </w:r>
    </w:p>
    <w:p w14:paraId="2C0CDE70">
      <w:pPr>
        <w:shd w:val="clear"/>
        <w:spacing w:line="460" w:lineRule="exact"/>
        <w:ind w:right="718" w:rightChars="299"/>
        <w:jc w:val="right"/>
        <w:rPr>
          <w:rFonts w:hAnsi="宋体"/>
          <w:color w:val="auto"/>
          <w:sz w:val="21"/>
          <w:szCs w:val="21"/>
          <w:highlight w:val="none"/>
        </w:rPr>
      </w:pPr>
      <w:r>
        <w:rPr>
          <w:rFonts w:hint="eastAsia" w:hAnsi="宋体"/>
          <w:color w:val="auto"/>
          <w:sz w:val="21"/>
          <w:szCs w:val="21"/>
          <w:highlight w:val="none"/>
        </w:rPr>
        <w:t>年   月   日</w:t>
      </w:r>
    </w:p>
    <w:p w14:paraId="79FA9EC5">
      <w:pPr>
        <w:shd w:val="clear"/>
        <w:spacing w:line="460" w:lineRule="exact"/>
        <w:rPr>
          <w:rFonts w:hAnsi="宋体"/>
          <w:color w:val="auto"/>
          <w:sz w:val="21"/>
          <w:szCs w:val="21"/>
          <w:highlight w:val="none"/>
        </w:rPr>
      </w:pPr>
      <w:r>
        <w:rPr>
          <w:rFonts w:hint="eastAsia" w:hAnsi="宋体"/>
          <w:color w:val="auto"/>
          <w:sz w:val="21"/>
          <w:szCs w:val="21"/>
          <w:highlight w:val="none"/>
        </w:rPr>
        <w:t xml:space="preserve">单位名称：           </w:t>
      </w:r>
    </w:p>
    <w:p w14:paraId="31C5AF73">
      <w:pPr>
        <w:shd w:val="clear"/>
        <w:spacing w:line="460" w:lineRule="exact"/>
        <w:rPr>
          <w:rFonts w:hAnsi="宋体"/>
          <w:color w:val="auto"/>
          <w:sz w:val="21"/>
          <w:szCs w:val="21"/>
          <w:highlight w:val="none"/>
        </w:rPr>
      </w:pPr>
      <w:r>
        <w:rPr>
          <w:rFonts w:hint="eastAsia" w:hAnsi="宋体"/>
          <w:color w:val="auto"/>
          <w:sz w:val="21"/>
          <w:szCs w:val="21"/>
          <w:highlight w:val="none"/>
        </w:rPr>
        <w:t xml:space="preserve">单位地址：           </w:t>
      </w:r>
    </w:p>
    <w:p w14:paraId="64562AD5">
      <w:pPr>
        <w:shd w:val="clear"/>
        <w:spacing w:line="460" w:lineRule="exact"/>
        <w:rPr>
          <w:rFonts w:hAnsi="宋体"/>
          <w:color w:val="auto"/>
          <w:sz w:val="21"/>
          <w:szCs w:val="21"/>
          <w:highlight w:val="none"/>
        </w:rPr>
      </w:pPr>
      <w:r>
        <w:rPr>
          <w:rFonts w:hint="eastAsia" w:hAnsi="宋体"/>
          <w:color w:val="auto"/>
          <w:sz w:val="21"/>
          <w:szCs w:val="21"/>
          <w:highlight w:val="none"/>
        </w:rPr>
        <w:t xml:space="preserve">联系人：                   </w:t>
      </w:r>
    </w:p>
    <w:p w14:paraId="26DFF93F">
      <w:pPr>
        <w:shd w:val="clear"/>
        <w:spacing w:line="460" w:lineRule="exact"/>
        <w:rPr>
          <w:rFonts w:hAnsi="宋体"/>
          <w:color w:val="auto"/>
          <w:sz w:val="21"/>
          <w:szCs w:val="21"/>
          <w:highlight w:val="none"/>
        </w:rPr>
      </w:pPr>
      <w:r>
        <w:rPr>
          <w:rFonts w:hint="eastAsia" w:hAnsi="宋体"/>
          <w:color w:val="auto"/>
          <w:sz w:val="21"/>
          <w:szCs w:val="21"/>
          <w:highlight w:val="none"/>
        </w:rPr>
        <w:t xml:space="preserve">单位电话：                 联系人手机：              </w:t>
      </w:r>
    </w:p>
    <w:p w14:paraId="23189B1B">
      <w:pPr>
        <w:shd w:val="clear"/>
        <w:spacing w:line="360" w:lineRule="auto"/>
        <w:rPr>
          <w:rFonts w:hAnsi="宋体"/>
          <w:b/>
          <w:color w:val="auto"/>
          <w:sz w:val="21"/>
          <w:szCs w:val="21"/>
          <w:highlight w:val="none"/>
        </w:rPr>
      </w:pPr>
    </w:p>
    <w:p w14:paraId="7EA5E6CD">
      <w:pPr>
        <w:shd w:val="clear"/>
        <w:jc w:val="center"/>
        <w:rPr>
          <w:rFonts w:hint="eastAsia"/>
          <w:color w:val="auto"/>
          <w:sz w:val="21"/>
          <w:szCs w:val="21"/>
          <w:highlight w:val="none"/>
        </w:rPr>
      </w:pPr>
      <w:r>
        <w:rPr>
          <w:rFonts w:hint="eastAsia"/>
          <w:color w:val="auto"/>
          <w:sz w:val="21"/>
          <w:szCs w:val="21"/>
          <w:highlight w:val="none"/>
        </w:rPr>
        <w:t>注：1、本说明的所有内容（包括所填写内容）均需打印；2、本说明及磋商保证金进帐单复印件（加盖公章）在磋商时放入唱标信封内。</w:t>
      </w:r>
      <w:bookmarkStart w:id="272" w:name="_Toc25023"/>
      <w:bookmarkStart w:id="273" w:name="_Toc24921"/>
      <w:bookmarkStart w:id="274" w:name="_Toc32258"/>
      <w:bookmarkStart w:id="275" w:name="_Toc28312"/>
      <w:bookmarkStart w:id="276" w:name="_Toc3469"/>
      <w:bookmarkStart w:id="277" w:name="_Toc23871"/>
      <w:bookmarkStart w:id="278" w:name="_Toc9804"/>
      <w:bookmarkStart w:id="279" w:name="_Toc5810"/>
      <w:bookmarkStart w:id="280" w:name="_Toc10038"/>
      <w:bookmarkStart w:id="281" w:name="_Toc3023"/>
      <w:bookmarkStart w:id="282" w:name="_Toc1711"/>
    </w:p>
    <w:p w14:paraId="62BE126C">
      <w:pPr>
        <w:rPr>
          <w:rFonts w:hint="eastAsia"/>
          <w:b/>
          <w:bCs/>
          <w:color w:val="auto"/>
          <w:highlight w:val="none"/>
          <w:lang w:eastAsia="zh-CN"/>
        </w:rPr>
      </w:pPr>
      <w:r>
        <w:rPr>
          <w:rFonts w:hint="eastAsia"/>
          <w:b/>
          <w:bCs/>
          <w:color w:val="auto"/>
          <w:highlight w:val="none"/>
          <w:lang w:eastAsia="zh-CN"/>
        </w:rPr>
        <w:br w:type="page"/>
      </w:r>
    </w:p>
    <w:bookmarkEnd w:id="272"/>
    <w:bookmarkEnd w:id="273"/>
    <w:bookmarkEnd w:id="274"/>
    <w:bookmarkEnd w:id="275"/>
    <w:bookmarkEnd w:id="276"/>
    <w:bookmarkEnd w:id="277"/>
    <w:bookmarkEnd w:id="278"/>
    <w:bookmarkEnd w:id="279"/>
    <w:bookmarkEnd w:id="280"/>
    <w:bookmarkEnd w:id="281"/>
    <w:bookmarkEnd w:id="282"/>
    <w:p w14:paraId="2A37CD42">
      <w:pPr>
        <w:pStyle w:val="3"/>
        <w:pageBreakBefore/>
        <w:shd w:val="clear"/>
        <w:spacing w:line="360" w:lineRule="auto"/>
        <w:jc w:val="center"/>
        <w:rPr>
          <w:bCs/>
          <w:color w:val="auto"/>
          <w:sz w:val="28"/>
          <w:szCs w:val="28"/>
          <w:highlight w:val="none"/>
        </w:rPr>
      </w:pPr>
      <w:bookmarkStart w:id="283" w:name="_Toc20966"/>
      <w:bookmarkStart w:id="284" w:name="_Toc19888"/>
      <w:r>
        <w:rPr>
          <w:rFonts w:hint="eastAsia"/>
          <w:bCs/>
          <w:color w:val="auto"/>
          <w:sz w:val="28"/>
          <w:szCs w:val="28"/>
          <w:highlight w:val="none"/>
        </w:rPr>
        <w:t>第三部分 技术文件</w:t>
      </w:r>
      <w:bookmarkEnd w:id="283"/>
      <w:bookmarkEnd w:id="284"/>
      <w:r>
        <w:rPr>
          <w:rFonts w:hint="eastAsia"/>
          <w:color w:val="auto"/>
          <w:sz w:val="28"/>
          <w:szCs w:val="28"/>
          <w:highlight w:val="none"/>
        </w:rPr>
        <w:t>（单独编制装订成册）</w:t>
      </w:r>
    </w:p>
    <w:p w14:paraId="3EC3B092">
      <w:pPr>
        <w:shd w:val="clear"/>
        <w:jc w:val="center"/>
        <w:rPr>
          <w:color w:val="auto"/>
          <w:highlight w:val="none"/>
        </w:rPr>
      </w:pPr>
    </w:p>
    <w:p w14:paraId="3F7086E3">
      <w:pPr>
        <w:pStyle w:val="3"/>
        <w:numPr>
          <w:ilvl w:val="0"/>
          <w:numId w:val="20"/>
        </w:numPr>
        <w:shd w:val="clear"/>
        <w:jc w:val="center"/>
        <w:rPr>
          <w:color w:val="auto"/>
          <w:highlight w:val="none"/>
        </w:rPr>
      </w:pPr>
      <w:bookmarkStart w:id="285" w:name="_Toc9540"/>
      <w:bookmarkStart w:id="286" w:name="_Toc31683"/>
      <w:bookmarkStart w:id="287" w:name="_Toc15167"/>
      <w:bookmarkStart w:id="288" w:name="_Toc7161"/>
      <w:bookmarkStart w:id="289" w:name="_Toc9579"/>
      <w:bookmarkStart w:id="290" w:name="_Toc25949"/>
      <w:bookmarkStart w:id="291" w:name="_Toc24064"/>
      <w:bookmarkStart w:id="292" w:name="_Toc1852"/>
      <w:bookmarkStart w:id="293" w:name="_Toc28884"/>
      <w:r>
        <w:rPr>
          <w:rFonts w:hint="eastAsia"/>
          <w:color w:val="auto"/>
          <w:highlight w:val="none"/>
        </w:rPr>
        <w:t>技术方案</w:t>
      </w:r>
      <w:bookmarkEnd w:id="285"/>
      <w:bookmarkEnd w:id="286"/>
      <w:bookmarkEnd w:id="287"/>
      <w:bookmarkEnd w:id="288"/>
      <w:bookmarkEnd w:id="289"/>
      <w:bookmarkEnd w:id="290"/>
      <w:bookmarkEnd w:id="291"/>
      <w:bookmarkEnd w:id="292"/>
      <w:bookmarkEnd w:id="293"/>
    </w:p>
    <w:p w14:paraId="3F8FEC7F">
      <w:pPr>
        <w:shd w:val="clear"/>
        <w:snapToGrid w:val="0"/>
        <w:spacing w:line="360" w:lineRule="auto"/>
        <w:rPr>
          <w:rFonts w:hAnsi="宋体"/>
          <w:color w:val="auto"/>
          <w:sz w:val="21"/>
          <w:szCs w:val="21"/>
          <w:highlight w:val="none"/>
        </w:rPr>
      </w:pPr>
    </w:p>
    <w:p w14:paraId="24F8F150">
      <w:pPr>
        <w:shd w:val="clear"/>
        <w:snapToGri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根据用户需求书编写。</w:t>
      </w:r>
    </w:p>
    <w:p w14:paraId="71F68441">
      <w:pPr>
        <w:shd w:val="clear"/>
        <w:snapToGrid w:val="0"/>
        <w:spacing w:line="360" w:lineRule="auto"/>
        <w:rPr>
          <w:rFonts w:hAnsi="宋体"/>
          <w:color w:val="auto"/>
          <w:sz w:val="21"/>
          <w:szCs w:val="21"/>
          <w:highlight w:val="none"/>
        </w:rPr>
      </w:pPr>
    </w:p>
    <w:p w14:paraId="675126CC">
      <w:pPr>
        <w:pStyle w:val="12"/>
        <w:shd w:val="clear"/>
        <w:rPr>
          <w:rFonts w:hAnsi="宋体"/>
          <w:color w:val="auto"/>
          <w:sz w:val="21"/>
          <w:szCs w:val="21"/>
          <w:highlight w:val="none"/>
        </w:rPr>
      </w:pPr>
    </w:p>
    <w:p w14:paraId="3D94CDD6">
      <w:pPr>
        <w:pStyle w:val="12"/>
        <w:shd w:val="clear"/>
        <w:rPr>
          <w:rFonts w:hAnsi="宋体"/>
          <w:color w:val="auto"/>
          <w:sz w:val="21"/>
          <w:szCs w:val="21"/>
          <w:highlight w:val="none"/>
        </w:rPr>
      </w:pPr>
    </w:p>
    <w:p w14:paraId="0ACFC6EF">
      <w:pPr>
        <w:pStyle w:val="12"/>
        <w:shd w:val="clear"/>
        <w:rPr>
          <w:rFonts w:hAnsi="宋体"/>
          <w:color w:val="auto"/>
          <w:sz w:val="21"/>
          <w:szCs w:val="21"/>
          <w:highlight w:val="none"/>
        </w:rPr>
      </w:pPr>
    </w:p>
    <w:p w14:paraId="35B8668A">
      <w:pPr>
        <w:pStyle w:val="12"/>
        <w:shd w:val="clear"/>
        <w:rPr>
          <w:rFonts w:hAnsi="宋体"/>
          <w:color w:val="auto"/>
          <w:sz w:val="21"/>
          <w:szCs w:val="21"/>
          <w:highlight w:val="none"/>
        </w:rPr>
      </w:pPr>
    </w:p>
    <w:p w14:paraId="580F1736">
      <w:pPr>
        <w:pStyle w:val="12"/>
        <w:shd w:val="clear"/>
        <w:rPr>
          <w:rFonts w:hAnsi="宋体"/>
          <w:color w:val="auto"/>
          <w:sz w:val="21"/>
          <w:szCs w:val="21"/>
          <w:highlight w:val="none"/>
        </w:rPr>
      </w:pPr>
    </w:p>
    <w:p w14:paraId="56D27246">
      <w:pPr>
        <w:pStyle w:val="12"/>
        <w:shd w:val="clear"/>
        <w:rPr>
          <w:rFonts w:hAnsi="宋体"/>
          <w:color w:val="auto"/>
          <w:sz w:val="21"/>
          <w:szCs w:val="21"/>
          <w:highlight w:val="none"/>
        </w:rPr>
      </w:pPr>
    </w:p>
    <w:p w14:paraId="0FFD8E03">
      <w:pPr>
        <w:pStyle w:val="12"/>
        <w:shd w:val="clear"/>
        <w:rPr>
          <w:rFonts w:hAnsi="宋体"/>
          <w:color w:val="auto"/>
          <w:sz w:val="21"/>
          <w:szCs w:val="21"/>
          <w:highlight w:val="none"/>
        </w:rPr>
      </w:pPr>
    </w:p>
    <w:p w14:paraId="386EFA04">
      <w:pPr>
        <w:pStyle w:val="12"/>
        <w:shd w:val="clear"/>
        <w:rPr>
          <w:rFonts w:hAnsi="宋体"/>
          <w:color w:val="auto"/>
          <w:sz w:val="21"/>
          <w:szCs w:val="21"/>
          <w:highlight w:val="none"/>
        </w:rPr>
      </w:pPr>
    </w:p>
    <w:p w14:paraId="3240BF9F">
      <w:pPr>
        <w:pStyle w:val="12"/>
        <w:shd w:val="clear"/>
        <w:rPr>
          <w:rFonts w:hAnsi="宋体"/>
          <w:color w:val="auto"/>
          <w:sz w:val="21"/>
          <w:szCs w:val="21"/>
          <w:highlight w:val="none"/>
        </w:rPr>
      </w:pPr>
    </w:p>
    <w:p w14:paraId="0B8FF573">
      <w:pPr>
        <w:pStyle w:val="12"/>
        <w:shd w:val="clear"/>
        <w:rPr>
          <w:rFonts w:hAnsi="宋体"/>
          <w:color w:val="auto"/>
          <w:sz w:val="21"/>
          <w:szCs w:val="21"/>
          <w:highlight w:val="none"/>
        </w:rPr>
      </w:pPr>
    </w:p>
    <w:p w14:paraId="07053B9E">
      <w:pPr>
        <w:pStyle w:val="12"/>
        <w:shd w:val="clear"/>
        <w:rPr>
          <w:rFonts w:hAnsi="宋体"/>
          <w:color w:val="auto"/>
          <w:sz w:val="21"/>
          <w:szCs w:val="21"/>
          <w:highlight w:val="none"/>
        </w:rPr>
      </w:pPr>
    </w:p>
    <w:p w14:paraId="3318398B">
      <w:pPr>
        <w:pStyle w:val="12"/>
        <w:shd w:val="clear"/>
        <w:rPr>
          <w:rFonts w:hAnsi="宋体"/>
          <w:color w:val="auto"/>
          <w:sz w:val="21"/>
          <w:szCs w:val="21"/>
          <w:highlight w:val="none"/>
        </w:rPr>
      </w:pPr>
    </w:p>
    <w:p w14:paraId="40EC788C">
      <w:pPr>
        <w:pStyle w:val="12"/>
        <w:shd w:val="clear"/>
        <w:rPr>
          <w:rFonts w:hAnsi="宋体"/>
          <w:color w:val="auto"/>
          <w:sz w:val="21"/>
          <w:szCs w:val="21"/>
          <w:highlight w:val="none"/>
        </w:rPr>
      </w:pPr>
    </w:p>
    <w:p w14:paraId="11A0078D">
      <w:pPr>
        <w:pStyle w:val="12"/>
        <w:shd w:val="clear"/>
        <w:rPr>
          <w:rFonts w:hAnsi="宋体"/>
          <w:color w:val="auto"/>
          <w:sz w:val="21"/>
          <w:szCs w:val="21"/>
          <w:highlight w:val="none"/>
        </w:rPr>
      </w:pPr>
    </w:p>
    <w:p w14:paraId="34422CA2">
      <w:pPr>
        <w:pStyle w:val="12"/>
        <w:shd w:val="clear"/>
        <w:rPr>
          <w:rFonts w:hAnsi="宋体"/>
          <w:color w:val="auto"/>
          <w:sz w:val="21"/>
          <w:szCs w:val="21"/>
          <w:highlight w:val="none"/>
        </w:rPr>
      </w:pPr>
    </w:p>
    <w:p w14:paraId="45FD1AFF">
      <w:pPr>
        <w:pStyle w:val="12"/>
        <w:shd w:val="clear"/>
        <w:rPr>
          <w:rFonts w:hAnsi="宋体"/>
          <w:color w:val="auto"/>
          <w:sz w:val="21"/>
          <w:szCs w:val="21"/>
          <w:highlight w:val="none"/>
        </w:rPr>
      </w:pPr>
    </w:p>
    <w:p w14:paraId="0A6E7387">
      <w:pPr>
        <w:pStyle w:val="12"/>
        <w:shd w:val="clear"/>
        <w:rPr>
          <w:rFonts w:hAnsi="宋体"/>
          <w:color w:val="auto"/>
          <w:sz w:val="21"/>
          <w:szCs w:val="21"/>
          <w:highlight w:val="none"/>
        </w:rPr>
      </w:pPr>
    </w:p>
    <w:p w14:paraId="5E00A642">
      <w:pPr>
        <w:pStyle w:val="12"/>
        <w:shd w:val="clear"/>
        <w:rPr>
          <w:rFonts w:hAnsi="宋体"/>
          <w:color w:val="auto"/>
          <w:sz w:val="21"/>
          <w:szCs w:val="21"/>
          <w:highlight w:val="none"/>
        </w:rPr>
      </w:pPr>
    </w:p>
    <w:p w14:paraId="21EC3791">
      <w:pPr>
        <w:pStyle w:val="12"/>
        <w:shd w:val="clear"/>
        <w:rPr>
          <w:rFonts w:hAnsi="宋体"/>
          <w:color w:val="auto"/>
          <w:sz w:val="21"/>
          <w:szCs w:val="21"/>
          <w:highlight w:val="none"/>
        </w:rPr>
      </w:pPr>
    </w:p>
    <w:p w14:paraId="019A0342">
      <w:pPr>
        <w:pStyle w:val="12"/>
        <w:shd w:val="clear"/>
        <w:rPr>
          <w:rFonts w:hAnsi="宋体"/>
          <w:color w:val="auto"/>
          <w:sz w:val="21"/>
          <w:szCs w:val="21"/>
          <w:highlight w:val="none"/>
        </w:rPr>
      </w:pPr>
    </w:p>
    <w:p w14:paraId="7CDC60BB">
      <w:pPr>
        <w:pStyle w:val="12"/>
        <w:shd w:val="clear"/>
        <w:rPr>
          <w:rFonts w:hAnsi="宋体"/>
          <w:color w:val="auto"/>
          <w:sz w:val="21"/>
          <w:szCs w:val="21"/>
          <w:highlight w:val="none"/>
        </w:rPr>
      </w:pPr>
    </w:p>
    <w:p w14:paraId="31470050">
      <w:pPr>
        <w:pStyle w:val="12"/>
        <w:shd w:val="clear"/>
        <w:rPr>
          <w:rFonts w:hAnsi="宋体"/>
          <w:color w:val="auto"/>
          <w:sz w:val="21"/>
          <w:szCs w:val="21"/>
          <w:highlight w:val="none"/>
        </w:rPr>
      </w:pPr>
    </w:p>
    <w:p w14:paraId="5E46EAAF">
      <w:pPr>
        <w:pStyle w:val="12"/>
        <w:shd w:val="clear"/>
        <w:rPr>
          <w:rFonts w:hAnsi="宋体"/>
          <w:color w:val="auto"/>
          <w:sz w:val="21"/>
          <w:szCs w:val="21"/>
          <w:highlight w:val="none"/>
        </w:rPr>
      </w:pPr>
    </w:p>
    <w:p w14:paraId="60E62494">
      <w:pPr>
        <w:pStyle w:val="12"/>
        <w:shd w:val="clear"/>
        <w:rPr>
          <w:rFonts w:hAnsi="宋体"/>
          <w:color w:val="auto"/>
          <w:sz w:val="21"/>
          <w:szCs w:val="21"/>
          <w:highlight w:val="none"/>
        </w:rPr>
      </w:pPr>
    </w:p>
    <w:p w14:paraId="624D7C6F">
      <w:pPr>
        <w:pStyle w:val="12"/>
        <w:shd w:val="clear"/>
        <w:rPr>
          <w:rFonts w:hAnsi="宋体"/>
          <w:color w:val="auto"/>
          <w:sz w:val="21"/>
          <w:szCs w:val="21"/>
          <w:highlight w:val="none"/>
        </w:rPr>
      </w:pPr>
    </w:p>
    <w:p w14:paraId="250D45E6">
      <w:pPr>
        <w:pStyle w:val="12"/>
        <w:shd w:val="clear"/>
        <w:rPr>
          <w:rFonts w:hAnsi="宋体"/>
          <w:color w:val="auto"/>
          <w:sz w:val="21"/>
          <w:szCs w:val="21"/>
          <w:highlight w:val="none"/>
        </w:rPr>
      </w:pPr>
    </w:p>
    <w:p w14:paraId="60B5D1E2">
      <w:pPr>
        <w:pStyle w:val="12"/>
        <w:shd w:val="clear"/>
        <w:rPr>
          <w:rFonts w:hAnsi="宋体"/>
          <w:color w:val="auto"/>
          <w:sz w:val="21"/>
          <w:szCs w:val="21"/>
          <w:highlight w:val="none"/>
        </w:rPr>
      </w:pPr>
    </w:p>
    <w:p w14:paraId="7B352DDA">
      <w:pPr>
        <w:pStyle w:val="12"/>
        <w:shd w:val="clear"/>
        <w:rPr>
          <w:rFonts w:hAnsi="宋体"/>
          <w:color w:val="auto"/>
          <w:sz w:val="21"/>
          <w:szCs w:val="21"/>
          <w:highlight w:val="none"/>
        </w:rPr>
      </w:pPr>
    </w:p>
    <w:p w14:paraId="6FFC6783">
      <w:pPr>
        <w:pStyle w:val="12"/>
        <w:shd w:val="clear"/>
        <w:rPr>
          <w:rFonts w:hAnsi="宋体"/>
          <w:color w:val="auto"/>
          <w:sz w:val="21"/>
          <w:szCs w:val="21"/>
          <w:highlight w:val="none"/>
        </w:rPr>
      </w:pPr>
    </w:p>
    <w:p w14:paraId="784527F7">
      <w:pPr>
        <w:pStyle w:val="12"/>
        <w:shd w:val="clear"/>
        <w:rPr>
          <w:rFonts w:hAnsi="宋体"/>
          <w:color w:val="auto"/>
          <w:sz w:val="21"/>
          <w:szCs w:val="21"/>
          <w:highlight w:val="none"/>
        </w:rPr>
      </w:pPr>
    </w:p>
    <w:p w14:paraId="5F567C26">
      <w:pPr>
        <w:pStyle w:val="12"/>
        <w:shd w:val="clear"/>
        <w:rPr>
          <w:rFonts w:hAnsi="宋体"/>
          <w:color w:val="auto"/>
          <w:sz w:val="21"/>
          <w:szCs w:val="21"/>
          <w:highlight w:val="none"/>
        </w:rPr>
      </w:pPr>
    </w:p>
    <w:p w14:paraId="773394B3">
      <w:pPr>
        <w:pStyle w:val="12"/>
        <w:shd w:val="clear"/>
        <w:rPr>
          <w:rFonts w:hAnsi="宋体"/>
          <w:color w:val="auto"/>
          <w:sz w:val="21"/>
          <w:szCs w:val="21"/>
          <w:highlight w:val="none"/>
        </w:rPr>
      </w:pPr>
    </w:p>
    <w:p w14:paraId="2A7CCC7A">
      <w:pPr>
        <w:pStyle w:val="12"/>
        <w:shd w:val="clear"/>
        <w:rPr>
          <w:rFonts w:hAnsi="宋体"/>
          <w:color w:val="auto"/>
          <w:sz w:val="21"/>
          <w:szCs w:val="21"/>
          <w:highlight w:val="none"/>
        </w:rPr>
      </w:pPr>
    </w:p>
    <w:p w14:paraId="5572A06E">
      <w:pPr>
        <w:pStyle w:val="12"/>
        <w:shd w:val="clear"/>
        <w:rPr>
          <w:rFonts w:hAnsi="宋体"/>
          <w:color w:val="auto"/>
          <w:sz w:val="21"/>
          <w:szCs w:val="21"/>
          <w:highlight w:val="none"/>
        </w:rPr>
      </w:pPr>
    </w:p>
    <w:p w14:paraId="6F6C390C">
      <w:pPr>
        <w:pStyle w:val="12"/>
        <w:shd w:val="clear"/>
        <w:rPr>
          <w:rFonts w:hAnsi="宋体"/>
          <w:color w:val="auto"/>
          <w:sz w:val="21"/>
          <w:szCs w:val="21"/>
          <w:highlight w:val="none"/>
        </w:rPr>
      </w:pPr>
    </w:p>
    <w:p w14:paraId="636A429C">
      <w:pPr>
        <w:pStyle w:val="3"/>
        <w:numPr>
          <w:ilvl w:val="0"/>
          <w:numId w:val="20"/>
        </w:numPr>
        <w:shd w:val="clear"/>
        <w:jc w:val="center"/>
        <w:rPr>
          <w:color w:val="auto"/>
          <w:highlight w:val="none"/>
        </w:rPr>
      </w:pPr>
      <w:bookmarkStart w:id="294" w:name="_Toc30049"/>
      <w:bookmarkStart w:id="295" w:name="_Toc12278"/>
      <w:bookmarkStart w:id="296" w:name="_Toc23849"/>
      <w:bookmarkStart w:id="297" w:name="_Toc9619"/>
      <w:bookmarkStart w:id="298" w:name="_Toc11036"/>
      <w:bookmarkStart w:id="299" w:name="_Toc9982"/>
      <w:bookmarkStart w:id="300" w:name="_Toc24947"/>
      <w:bookmarkStart w:id="301" w:name="_Toc15530"/>
      <w:bookmarkStart w:id="302" w:name="_Toc28953"/>
      <w:r>
        <w:rPr>
          <w:rFonts w:hint="eastAsia"/>
          <w:color w:val="auto"/>
          <w:highlight w:val="none"/>
        </w:rPr>
        <w:t>其他资料</w:t>
      </w:r>
      <w:bookmarkEnd w:id="294"/>
      <w:bookmarkEnd w:id="295"/>
      <w:bookmarkEnd w:id="296"/>
      <w:bookmarkEnd w:id="297"/>
      <w:bookmarkEnd w:id="298"/>
      <w:bookmarkEnd w:id="299"/>
      <w:bookmarkEnd w:id="300"/>
      <w:bookmarkEnd w:id="301"/>
      <w:bookmarkEnd w:id="302"/>
    </w:p>
    <w:p w14:paraId="37841E47">
      <w:pPr>
        <w:pStyle w:val="28"/>
        <w:shd w:val="clear"/>
        <w:spacing w:line="360" w:lineRule="auto"/>
        <w:ind w:firstLine="420"/>
        <w:rPr>
          <w:rFonts w:hAnsi="宋体"/>
          <w:color w:val="auto"/>
          <w:highlight w:val="none"/>
        </w:rPr>
      </w:pPr>
    </w:p>
    <w:p w14:paraId="6D0F0355">
      <w:pPr>
        <w:shd w:val="clear"/>
        <w:spacing w:line="360" w:lineRule="auto"/>
        <w:rPr>
          <w:rFonts w:hAnsi="宋体"/>
          <w:color w:val="auto"/>
          <w:sz w:val="21"/>
          <w:szCs w:val="21"/>
          <w:highlight w:val="none"/>
        </w:rPr>
      </w:pPr>
      <w:r>
        <w:rPr>
          <w:rFonts w:hint="eastAsia" w:hAnsi="宋体"/>
          <w:color w:val="auto"/>
          <w:sz w:val="21"/>
          <w:szCs w:val="21"/>
          <w:highlight w:val="none"/>
        </w:rPr>
        <w:t>1、磋商文件要求提供的其他资料（如有）</w:t>
      </w:r>
    </w:p>
    <w:p w14:paraId="2027564E">
      <w:pPr>
        <w:shd w:val="clear"/>
        <w:spacing w:line="360" w:lineRule="auto"/>
        <w:rPr>
          <w:rFonts w:hAnsi="宋体"/>
          <w:color w:val="auto"/>
          <w:sz w:val="21"/>
          <w:szCs w:val="21"/>
          <w:highlight w:val="none"/>
        </w:rPr>
      </w:pPr>
      <w:r>
        <w:rPr>
          <w:rFonts w:hint="eastAsia" w:hAnsi="宋体"/>
          <w:color w:val="auto"/>
          <w:sz w:val="21"/>
          <w:szCs w:val="21"/>
          <w:highlight w:val="none"/>
        </w:rPr>
        <w:t>2、供应商认为需要提供的其他资料（如有）</w:t>
      </w:r>
    </w:p>
    <w:p w14:paraId="38D90C8B">
      <w:pPr>
        <w:pStyle w:val="12"/>
        <w:shd w:val="clear"/>
        <w:rPr>
          <w:rFonts w:hAnsi="宋体"/>
          <w:color w:val="auto"/>
          <w:sz w:val="21"/>
          <w:szCs w:val="21"/>
          <w:highlight w:val="none"/>
        </w:rPr>
      </w:pPr>
    </w:p>
    <w:p w14:paraId="04F332D7">
      <w:pPr>
        <w:pStyle w:val="12"/>
        <w:shd w:val="clear"/>
        <w:rPr>
          <w:rFonts w:hAnsi="宋体"/>
          <w:color w:val="auto"/>
          <w:sz w:val="21"/>
          <w:szCs w:val="21"/>
          <w:highlight w:val="none"/>
        </w:rPr>
      </w:pPr>
    </w:p>
    <w:p w14:paraId="401617F3">
      <w:pPr>
        <w:pStyle w:val="12"/>
        <w:shd w:val="clear"/>
        <w:rPr>
          <w:rFonts w:hAnsi="宋体"/>
          <w:color w:val="auto"/>
          <w:sz w:val="21"/>
          <w:szCs w:val="21"/>
          <w:highlight w:val="none"/>
        </w:rPr>
      </w:pPr>
    </w:p>
    <w:p w14:paraId="04968253">
      <w:pPr>
        <w:pStyle w:val="12"/>
        <w:shd w:val="clear"/>
        <w:rPr>
          <w:rFonts w:hAnsi="宋体"/>
          <w:color w:val="auto"/>
          <w:sz w:val="21"/>
          <w:szCs w:val="21"/>
          <w:highlight w:val="none"/>
        </w:rPr>
      </w:pPr>
    </w:p>
    <w:p w14:paraId="1DBAFE9F">
      <w:pPr>
        <w:pStyle w:val="12"/>
        <w:shd w:val="clear"/>
        <w:rPr>
          <w:rFonts w:hAnsi="宋体"/>
          <w:color w:val="auto"/>
          <w:sz w:val="21"/>
          <w:szCs w:val="21"/>
          <w:highlight w:val="none"/>
        </w:rPr>
      </w:pPr>
    </w:p>
    <w:p w14:paraId="29D69AE9">
      <w:pPr>
        <w:pStyle w:val="12"/>
        <w:shd w:val="clear"/>
        <w:rPr>
          <w:rFonts w:hAnsi="宋体"/>
          <w:color w:val="auto"/>
          <w:sz w:val="21"/>
          <w:szCs w:val="21"/>
          <w:highlight w:val="none"/>
        </w:rPr>
      </w:pPr>
    </w:p>
    <w:p w14:paraId="24D63423">
      <w:pPr>
        <w:pStyle w:val="12"/>
        <w:shd w:val="clear"/>
        <w:rPr>
          <w:rFonts w:hAnsi="宋体"/>
          <w:color w:val="auto"/>
          <w:sz w:val="21"/>
          <w:szCs w:val="21"/>
          <w:highlight w:val="none"/>
        </w:rPr>
      </w:pPr>
    </w:p>
    <w:p w14:paraId="49CAB0E2">
      <w:pPr>
        <w:pStyle w:val="12"/>
        <w:shd w:val="clear"/>
        <w:rPr>
          <w:rFonts w:hAnsi="宋体"/>
          <w:color w:val="auto"/>
          <w:sz w:val="21"/>
          <w:szCs w:val="21"/>
          <w:highlight w:val="none"/>
        </w:rPr>
      </w:pPr>
    </w:p>
    <w:p w14:paraId="4CF6A0DB">
      <w:pPr>
        <w:pStyle w:val="12"/>
        <w:shd w:val="clear"/>
        <w:rPr>
          <w:rFonts w:hAnsi="宋体"/>
          <w:color w:val="auto"/>
          <w:sz w:val="21"/>
          <w:szCs w:val="21"/>
          <w:highlight w:val="none"/>
        </w:rPr>
      </w:pPr>
    </w:p>
    <w:p w14:paraId="01592680">
      <w:pPr>
        <w:pStyle w:val="12"/>
        <w:shd w:val="clear"/>
        <w:rPr>
          <w:rFonts w:hAnsi="宋体"/>
          <w:color w:val="auto"/>
          <w:sz w:val="21"/>
          <w:szCs w:val="21"/>
          <w:highlight w:val="none"/>
        </w:rPr>
      </w:pPr>
    </w:p>
    <w:p w14:paraId="1407559E">
      <w:pPr>
        <w:pStyle w:val="12"/>
        <w:shd w:val="clear"/>
        <w:rPr>
          <w:rFonts w:hAnsi="宋体"/>
          <w:color w:val="auto"/>
          <w:sz w:val="21"/>
          <w:szCs w:val="21"/>
          <w:highlight w:val="none"/>
        </w:rPr>
      </w:pPr>
    </w:p>
    <w:p w14:paraId="6195AC71">
      <w:pPr>
        <w:pStyle w:val="12"/>
        <w:shd w:val="clear"/>
        <w:rPr>
          <w:rFonts w:hAnsi="宋体"/>
          <w:color w:val="auto"/>
          <w:sz w:val="21"/>
          <w:szCs w:val="21"/>
          <w:highlight w:val="none"/>
        </w:rPr>
      </w:pPr>
    </w:p>
    <w:p w14:paraId="3FB6BC8F">
      <w:pPr>
        <w:pStyle w:val="12"/>
        <w:shd w:val="clear"/>
        <w:rPr>
          <w:rFonts w:hAnsi="宋体"/>
          <w:color w:val="auto"/>
          <w:sz w:val="21"/>
          <w:szCs w:val="21"/>
          <w:highlight w:val="none"/>
        </w:rPr>
      </w:pPr>
    </w:p>
    <w:p w14:paraId="37762594">
      <w:pPr>
        <w:pStyle w:val="12"/>
        <w:shd w:val="clear"/>
        <w:rPr>
          <w:rFonts w:hAnsi="宋体"/>
          <w:color w:val="auto"/>
          <w:sz w:val="21"/>
          <w:szCs w:val="21"/>
          <w:highlight w:val="none"/>
        </w:rPr>
      </w:pPr>
    </w:p>
    <w:p w14:paraId="59B3EDAD">
      <w:pPr>
        <w:pStyle w:val="12"/>
        <w:shd w:val="clear"/>
        <w:rPr>
          <w:rFonts w:hAnsi="宋体"/>
          <w:color w:val="auto"/>
          <w:sz w:val="21"/>
          <w:szCs w:val="21"/>
          <w:highlight w:val="none"/>
        </w:rPr>
      </w:pPr>
    </w:p>
    <w:p w14:paraId="2121BF71">
      <w:pPr>
        <w:pStyle w:val="12"/>
        <w:shd w:val="clear"/>
        <w:rPr>
          <w:rFonts w:hAnsi="宋体"/>
          <w:color w:val="auto"/>
          <w:sz w:val="21"/>
          <w:szCs w:val="21"/>
          <w:highlight w:val="none"/>
        </w:rPr>
      </w:pPr>
    </w:p>
    <w:p w14:paraId="574982EB">
      <w:pPr>
        <w:pStyle w:val="12"/>
        <w:shd w:val="clear"/>
        <w:rPr>
          <w:rFonts w:hAnsi="宋体"/>
          <w:color w:val="auto"/>
          <w:sz w:val="21"/>
          <w:szCs w:val="21"/>
          <w:highlight w:val="none"/>
        </w:rPr>
      </w:pPr>
    </w:p>
    <w:p w14:paraId="31CA8EFA">
      <w:pPr>
        <w:pStyle w:val="12"/>
        <w:shd w:val="clear"/>
        <w:rPr>
          <w:rFonts w:hAnsi="宋体"/>
          <w:color w:val="auto"/>
          <w:sz w:val="21"/>
          <w:szCs w:val="21"/>
          <w:highlight w:val="none"/>
        </w:rPr>
      </w:pPr>
    </w:p>
    <w:p w14:paraId="43AF614A">
      <w:pPr>
        <w:pStyle w:val="12"/>
        <w:shd w:val="clear"/>
        <w:rPr>
          <w:rFonts w:hAnsi="宋体"/>
          <w:color w:val="auto"/>
          <w:sz w:val="21"/>
          <w:szCs w:val="21"/>
          <w:highlight w:val="none"/>
        </w:rPr>
      </w:pPr>
    </w:p>
    <w:p w14:paraId="3CDB0D5F">
      <w:pPr>
        <w:pStyle w:val="12"/>
        <w:shd w:val="clear"/>
        <w:rPr>
          <w:rFonts w:hAnsi="宋体"/>
          <w:color w:val="auto"/>
          <w:sz w:val="21"/>
          <w:szCs w:val="21"/>
          <w:highlight w:val="none"/>
        </w:rPr>
      </w:pPr>
    </w:p>
    <w:p w14:paraId="5E485C92">
      <w:pPr>
        <w:pStyle w:val="12"/>
        <w:shd w:val="clear"/>
        <w:rPr>
          <w:rFonts w:hAnsi="宋体"/>
          <w:color w:val="auto"/>
          <w:sz w:val="21"/>
          <w:szCs w:val="21"/>
          <w:highlight w:val="none"/>
        </w:rPr>
      </w:pPr>
    </w:p>
    <w:p w14:paraId="71D08DCF">
      <w:pPr>
        <w:pStyle w:val="12"/>
        <w:shd w:val="clear"/>
        <w:rPr>
          <w:rFonts w:hAnsi="宋体"/>
          <w:color w:val="auto"/>
          <w:sz w:val="21"/>
          <w:szCs w:val="21"/>
          <w:highlight w:val="none"/>
        </w:rPr>
      </w:pPr>
    </w:p>
    <w:p w14:paraId="500DF8DE">
      <w:pPr>
        <w:pStyle w:val="12"/>
        <w:shd w:val="clear"/>
        <w:rPr>
          <w:rFonts w:hAnsi="宋体"/>
          <w:color w:val="auto"/>
          <w:sz w:val="21"/>
          <w:szCs w:val="21"/>
          <w:highlight w:val="none"/>
        </w:rPr>
      </w:pPr>
    </w:p>
    <w:p w14:paraId="1C6D9388">
      <w:pPr>
        <w:pStyle w:val="12"/>
        <w:shd w:val="clear"/>
        <w:rPr>
          <w:rFonts w:hAnsi="宋体"/>
          <w:color w:val="auto"/>
          <w:sz w:val="21"/>
          <w:szCs w:val="21"/>
          <w:highlight w:val="none"/>
        </w:rPr>
      </w:pPr>
    </w:p>
    <w:p w14:paraId="5AC0539A">
      <w:pPr>
        <w:pStyle w:val="12"/>
        <w:shd w:val="clear"/>
        <w:rPr>
          <w:rFonts w:hAnsi="宋体"/>
          <w:color w:val="auto"/>
          <w:sz w:val="21"/>
          <w:szCs w:val="21"/>
          <w:highlight w:val="none"/>
        </w:rPr>
      </w:pPr>
    </w:p>
    <w:p w14:paraId="6CC90E51">
      <w:pPr>
        <w:pStyle w:val="12"/>
        <w:shd w:val="clear"/>
        <w:rPr>
          <w:rFonts w:hAnsi="宋体"/>
          <w:color w:val="auto"/>
          <w:sz w:val="21"/>
          <w:szCs w:val="21"/>
          <w:highlight w:val="none"/>
        </w:rPr>
      </w:pPr>
    </w:p>
    <w:p w14:paraId="73F612B8">
      <w:pPr>
        <w:pStyle w:val="12"/>
        <w:shd w:val="clear"/>
        <w:rPr>
          <w:rFonts w:hAnsi="宋体"/>
          <w:color w:val="auto"/>
          <w:sz w:val="21"/>
          <w:szCs w:val="21"/>
          <w:highlight w:val="none"/>
        </w:rPr>
      </w:pPr>
    </w:p>
    <w:p w14:paraId="25ADB081">
      <w:pPr>
        <w:pStyle w:val="12"/>
        <w:shd w:val="clear"/>
        <w:rPr>
          <w:rFonts w:hAnsi="宋体"/>
          <w:color w:val="auto"/>
          <w:sz w:val="21"/>
          <w:szCs w:val="21"/>
          <w:highlight w:val="none"/>
        </w:rPr>
      </w:pPr>
    </w:p>
    <w:p w14:paraId="6BBD12ED">
      <w:pPr>
        <w:pStyle w:val="12"/>
        <w:shd w:val="clear"/>
        <w:rPr>
          <w:rFonts w:hAnsi="宋体"/>
          <w:color w:val="auto"/>
          <w:sz w:val="21"/>
          <w:szCs w:val="21"/>
          <w:highlight w:val="none"/>
        </w:rPr>
      </w:pPr>
    </w:p>
    <w:p w14:paraId="22FF4BE9">
      <w:pPr>
        <w:pStyle w:val="12"/>
        <w:shd w:val="clear"/>
        <w:rPr>
          <w:rFonts w:hAnsi="宋体"/>
          <w:color w:val="auto"/>
          <w:sz w:val="21"/>
          <w:szCs w:val="21"/>
          <w:highlight w:val="none"/>
        </w:rPr>
      </w:pPr>
    </w:p>
    <w:p w14:paraId="6EE48604">
      <w:pPr>
        <w:pStyle w:val="12"/>
        <w:shd w:val="clear"/>
        <w:rPr>
          <w:rFonts w:hAnsi="宋体"/>
          <w:color w:val="auto"/>
          <w:sz w:val="21"/>
          <w:szCs w:val="21"/>
          <w:highlight w:val="none"/>
        </w:rPr>
      </w:pPr>
    </w:p>
    <w:p w14:paraId="41EDE298">
      <w:pPr>
        <w:pStyle w:val="12"/>
        <w:shd w:val="clear"/>
        <w:rPr>
          <w:rFonts w:hAnsi="宋体"/>
          <w:color w:val="auto"/>
          <w:sz w:val="21"/>
          <w:szCs w:val="21"/>
          <w:highlight w:val="none"/>
        </w:rPr>
      </w:pPr>
    </w:p>
    <w:p w14:paraId="4EA2249A">
      <w:pPr>
        <w:pStyle w:val="12"/>
        <w:shd w:val="clear"/>
        <w:rPr>
          <w:rFonts w:hAnsi="宋体"/>
          <w:color w:val="auto"/>
          <w:sz w:val="21"/>
          <w:szCs w:val="21"/>
          <w:highlight w:val="none"/>
        </w:rPr>
      </w:pPr>
    </w:p>
    <w:p w14:paraId="0632A508">
      <w:pPr>
        <w:pStyle w:val="12"/>
        <w:shd w:val="clear"/>
        <w:rPr>
          <w:rFonts w:hAnsi="宋体"/>
          <w:color w:val="auto"/>
          <w:sz w:val="21"/>
          <w:szCs w:val="21"/>
          <w:highlight w:val="none"/>
        </w:rPr>
      </w:pPr>
    </w:p>
    <w:p w14:paraId="0DBC907B">
      <w:pPr>
        <w:pStyle w:val="12"/>
        <w:shd w:val="clear"/>
        <w:rPr>
          <w:rFonts w:hAnsi="宋体"/>
          <w:color w:val="auto"/>
          <w:sz w:val="21"/>
          <w:szCs w:val="21"/>
          <w:highlight w:val="none"/>
        </w:rPr>
      </w:pPr>
    </w:p>
    <w:p w14:paraId="266C8A3B">
      <w:pPr>
        <w:pStyle w:val="12"/>
        <w:shd w:val="clear"/>
        <w:rPr>
          <w:rFonts w:hAnsi="宋体"/>
          <w:color w:val="auto"/>
          <w:sz w:val="21"/>
          <w:szCs w:val="21"/>
          <w:highlight w:val="none"/>
        </w:rPr>
      </w:pPr>
    </w:p>
    <w:p w14:paraId="613774AB">
      <w:pPr>
        <w:pStyle w:val="12"/>
        <w:shd w:val="clear"/>
        <w:rPr>
          <w:rFonts w:hAnsi="宋体"/>
          <w:color w:val="auto"/>
          <w:sz w:val="21"/>
          <w:szCs w:val="21"/>
          <w:highlight w:val="none"/>
        </w:rPr>
      </w:pPr>
    </w:p>
    <w:p w14:paraId="573D1BB1">
      <w:pPr>
        <w:pStyle w:val="3"/>
        <w:shd w:val="clear"/>
        <w:jc w:val="center"/>
        <w:rPr>
          <w:color w:val="auto"/>
          <w:sz w:val="28"/>
          <w:szCs w:val="28"/>
          <w:highlight w:val="none"/>
        </w:rPr>
      </w:pPr>
      <w:bookmarkStart w:id="303" w:name="_Toc17492"/>
      <w:r>
        <w:rPr>
          <w:rFonts w:hint="eastAsia"/>
          <w:color w:val="auto"/>
          <w:sz w:val="28"/>
          <w:szCs w:val="28"/>
          <w:highlight w:val="none"/>
        </w:rPr>
        <w:t>第四部分 唱标信封</w:t>
      </w:r>
      <w:r>
        <w:rPr>
          <w:rFonts w:hint="eastAsia"/>
          <w:bCs/>
          <w:color w:val="auto"/>
          <w:sz w:val="28"/>
          <w:szCs w:val="28"/>
          <w:highlight w:val="none"/>
        </w:rPr>
        <w:t>（单独编制装订成册，单独封装）</w:t>
      </w:r>
      <w:bookmarkEnd w:id="303"/>
    </w:p>
    <w:p w14:paraId="2DA14ABD">
      <w:pPr>
        <w:pStyle w:val="77"/>
        <w:shd w:val="clear"/>
        <w:spacing w:line="460" w:lineRule="exact"/>
        <w:ind w:firstLine="0" w:firstLineChars="0"/>
        <w:rPr>
          <w:rFonts w:ascii="宋体" w:eastAsia="宋体"/>
          <w:color w:val="auto"/>
          <w:sz w:val="21"/>
          <w:szCs w:val="21"/>
          <w:highlight w:val="none"/>
        </w:rPr>
      </w:pPr>
      <w:r>
        <w:rPr>
          <w:rFonts w:hint="eastAsia" w:ascii="宋体" w:eastAsia="宋体"/>
          <w:color w:val="auto"/>
          <w:sz w:val="21"/>
          <w:szCs w:val="21"/>
          <w:highlight w:val="none"/>
        </w:rPr>
        <w:t>唱标信封内装：</w:t>
      </w:r>
    </w:p>
    <w:p w14:paraId="15C32B02">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（1）磋商保证金汇入情况说明及银行汇款凭证复印件加盖公章；</w:t>
      </w:r>
    </w:p>
    <w:p w14:paraId="124011B4">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（2）法定代表人证明书原件或正本复印件加盖公章；</w:t>
      </w:r>
    </w:p>
    <w:p w14:paraId="23256596">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（3）法定代表人授权委托书原件或正本复印件加盖公章（法定代表人磋商的除外）；</w:t>
      </w:r>
    </w:p>
    <w:p w14:paraId="2AAFEF32">
      <w:pPr>
        <w:pStyle w:val="77"/>
        <w:shd w:val="clear"/>
        <w:spacing w:line="460" w:lineRule="exact"/>
        <w:ind w:firstLine="433"/>
        <w:rPr>
          <w:rFonts w:ascii="宋体" w:eastAsia="宋体"/>
          <w:color w:val="auto"/>
          <w:sz w:val="22"/>
          <w:szCs w:val="22"/>
          <w:highlight w:val="none"/>
        </w:rPr>
      </w:pPr>
      <w:r>
        <w:rPr>
          <w:rFonts w:hint="eastAsia" w:ascii="宋体" w:eastAsia="宋体"/>
          <w:color w:val="auto"/>
          <w:sz w:val="21"/>
          <w:szCs w:val="21"/>
          <w:highlight w:val="none"/>
        </w:rPr>
        <w:t>（4）磋商文件电子文件（须含盖章版PDF磋商响应文件和WORD版磋商响应文件各一版，文字采用WORD文档，计算表格采用 EXCEL文档, 可采用光盘介质或U盘装载）；</w:t>
      </w:r>
    </w:p>
    <w:p w14:paraId="6550DF95">
      <w:pPr>
        <w:pStyle w:val="77"/>
        <w:shd w:val="clear"/>
        <w:spacing w:line="460" w:lineRule="exact"/>
        <w:ind w:firstLine="453"/>
        <w:rPr>
          <w:rFonts w:ascii="宋体" w:eastAsia="宋体"/>
          <w:color w:val="auto"/>
          <w:sz w:val="22"/>
          <w:szCs w:val="22"/>
          <w:highlight w:val="none"/>
        </w:rPr>
        <w:sectPr>
          <w:headerReference r:id="rId11" w:type="default"/>
          <w:footerReference r:id="rId12" w:type="default"/>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pPr>
    </w:p>
    <w:p w14:paraId="39F257FC">
      <w:pPr>
        <w:pStyle w:val="3"/>
        <w:numPr>
          <w:ilvl w:val="0"/>
          <w:numId w:val="21"/>
        </w:numPr>
        <w:jc w:val="center"/>
        <w:rPr>
          <w:rFonts w:hint="eastAsia"/>
          <w:color w:val="auto"/>
          <w:sz w:val="28"/>
          <w:szCs w:val="28"/>
          <w:highlight w:val="none"/>
          <w:lang w:eastAsia="zh-CN"/>
        </w:rPr>
      </w:pPr>
      <w:r>
        <w:rPr>
          <w:rFonts w:hint="eastAsia"/>
          <w:color w:val="auto"/>
          <w:sz w:val="28"/>
          <w:szCs w:val="28"/>
          <w:highlight w:val="none"/>
          <w:lang w:eastAsia="zh-CN"/>
        </w:rPr>
        <w:t>其他格式</w:t>
      </w:r>
    </w:p>
    <w:p w14:paraId="0E1182F2">
      <w:pPr>
        <w:spacing w:line="440" w:lineRule="exact"/>
        <w:ind w:firstLine="3080" w:firstLineChars="1100"/>
        <w:jc w:val="both"/>
        <w:textAlignment w:val="baseline"/>
        <w:outlineLvl w:val="1"/>
        <w:rPr>
          <w:rFonts w:hint="eastAsia" w:eastAsia="黑体"/>
          <w:color w:val="auto"/>
          <w:sz w:val="28"/>
          <w:szCs w:val="28"/>
          <w:highlight w:val="none"/>
        </w:rPr>
      </w:pPr>
      <w:bookmarkStart w:id="304" w:name="_Toc13567"/>
      <w:bookmarkStart w:id="305" w:name="_Toc15851"/>
      <w:bookmarkStart w:id="306" w:name="_Toc32416"/>
      <w:bookmarkStart w:id="307" w:name="_Toc29181"/>
      <w:bookmarkStart w:id="308" w:name="_Toc5218"/>
      <w:r>
        <w:rPr>
          <w:rFonts w:hint="eastAsia" w:eastAsia="黑体"/>
          <w:color w:val="auto"/>
          <w:sz w:val="28"/>
          <w:szCs w:val="28"/>
          <w:highlight w:val="none"/>
        </w:rPr>
        <w:t>不可撤销</w:t>
      </w:r>
      <w:r>
        <w:rPr>
          <w:rFonts w:eastAsia="黑体"/>
          <w:color w:val="auto"/>
          <w:sz w:val="28"/>
          <w:szCs w:val="28"/>
          <w:highlight w:val="none"/>
        </w:rPr>
        <w:t>履约保</w:t>
      </w:r>
      <w:r>
        <w:rPr>
          <w:rFonts w:hint="eastAsia" w:eastAsia="黑体"/>
          <w:color w:val="auto"/>
          <w:sz w:val="28"/>
          <w:szCs w:val="28"/>
          <w:highlight w:val="none"/>
        </w:rPr>
        <w:t>函</w:t>
      </w:r>
      <w:bookmarkEnd w:id="304"/>
      <w:bookmarkEnd w:id="305"/>
      <w:bookmarkEnd w:id="306"/>
      <w:bookmarkEnd w:id="307"/>
      <w:bookmarkEnd w:id="308"/>
      <w:r>
        <w:rPr>
          <w:rFonts w:hint="eastAsia" w:eastAsia="黑体"/>
          <w:color w:val="auto"/>
          <w:sz w:val="28"/>
          <w:szCs w:val="28"/>
          <w:highlight w:val="none"/>
        </w:rPr>
        <w:t>（如有）</w:t>
      </w:r>
    </w:p>
    <w:p w14:paraId="0B9EC371">
      <w:pPr>
        <w:spacing w:line="360" w:lineRule="auto"/>
        <w:ind w:firstLine="6300"/>
        <w:textAlignment w:val="baseline"/>
        <w:rPr>
          <w:rFonts w:ascii="宋体" w:hAnsi="宋体"/>
          <w:color w:val="auto"/>
          <w:sz w:val="20"/>
          <w:highlight w:val="none"/>
          <w:u w:val="single"/>
        </w:rPr>
      </w:pPr>
      <w:r>
        <w:rPr>
          <w:rFonts w:hint="eastAsia" w:ascii="宋体" w:hAnsi="宋体"/>
          <w:color w:val="auto"/>
          <w:highlight w:val="none"/>
        </w:rPr>
        <w:t>保函编号：</w:t>
      </w:r>
      <w:r>
        <w:rPr>
          <w:rFonts w:hint="eastAsia" w:ascii="宋体" w:hAnsi="宋体"/>
          <w:color w:val="auto"/>
          <w:highlight w:val="none"/>
          <w:u w:val="single" w:color="000000"/>
        </w:rPr>
        <w:t xml:space="preserve">             </w:t>
      </w:r>
    </w:p>
    <w:p w14:paraId="72D88455">
      <w:pPr>
        <w:spacing w:before="100" w:beforeAutospacing="1" w:after="100" w:afterAutospacing="1" w:line="360" w:lineRule="auto"/>
        <w:textAlignment w:val="baseline"/>
        <w:rPr>
          <w:rFonts w:ascii="宋体" w:hAnsi="宋体"/>
          <w:color w:val="auto"/>
          <w:sz w:val="20"/>
          <w:highlight w:val="none"/>
        </w:rPr>
      </w:pPr>
      <w:r>
        <w:rPr>
          <w:rFonts w:hint="eastAsia" w:ascii="宋体" w:hAnsi="宋体"/>
          <w:color w:val="auto"/>
          <w:highlight w:val="none"/>
        </w:rPr>
        <w:t>致：</w:t>
      </w:r>
      <w:r>
        <w:rPr>
          <w:rFonts w:hint="eastAsia" w:ascii="宋体" w:hAnsi="宋体"/>
          <w:color w:val="auto"/>
          <w:highlight w:val="none"/>
          <w:u w:val="single" w:color="000000"/>
        </w:rPr>
        <w:t xml:space="preserve"> （</w:t>
      </w:r>
      <w:r>
        <w:rPr>
          <w:rFonts w:hint="eastAsia" w:hAnsi="宋体"/>
          <w:color w:val="auto"/>
          <w:highlight w:val="none"/>
          <w:lang w:val="en-US" w:eastAsia="zh-CN"/>
        </w:rPr>
        <w:t>建设单位</w:t>
      </w:r>
      <w:r>
        <w:rPr>
          <w:rFonts w:hint="eastAsia" w:ascii="宋体" w:hAnsi="宋体"/>
          <w:color w:val="auto"/>
          <w:highlight w:val="none"/>
          <w:u w:val="single" w:color="000000"/>
        </w:rPr>
        <w:t xml:space="preserve">的名称）  </w:t>
      </w:r>
      <w:r>
        <w:rPr>
          <w:rFonts w:hint="eastAsia" w:ascii="宋体" w:hAnsi="宋体"/>
          <w:color w:val="auto"/>
          <w:highlight w:val="none"/>
        </w:rPr>
        <w:t>（下称“</w:t>
      </w:r>
      <w:r>
        <w:rPr>
          <w:rFonts w:hint="eastAsia" w:hAnsi="宋体"/>
          <w:color w:val="auto"/>
          <w:highlight w:val="none"/>
          <w:lang w:val="en-US" w:eastAsia="zh-CN"/>
        </w:rPr>
        <w:t>建设单位</w:t>
      </w:r>
      <w:r>
        <w:rPr>
          <w:rFonts w:hint="eastAsia" w:ascii="宋体" w:hAnsi="宋体"/>
          <w:color w:val="auto"/>
          <w:highlight w:val="none"/>
        </w:rPr>
        <w:t>”）</w:t>
      </w:r>
    </w:p>
    <w:p w14:paraId="22AF0B5C">
      <w:pPr>
        <w:spacing w:before="100" w:beforeAutospacing="1" w:after="100" w:afterAutospacing="1" w:line="360" w:lineRule="auto"/>
        <w:ind w:firstLine="437"/>
        <w:textAlignment w:val="baseline"/>
        <w:rPr>
          <w:rFonts w:hint="eastAsia" w:ascii="宋体" w:hAnsi="宋体"/>
          <w:color w:val="auto"/>
          <w:sz w:val="20"/>
          <w:highlight w:val="none"/>
        </w:rPr>
      </w:pPr>
      <w:r>
        <w:rPr>
          <w:rFonts w:hint="eastAsia" w:ascii="宋体" w:hAnsi="宋体"/>
          <w:color w:val="auto"/>
          <w:highlight w:val="none"/>
        </w:rPr>
        <w:t>鉴于</w:t>
      </w:r>
      <w:r>
        <w:rPr>
          <w:rFonts w:hint="eastAsia" w:ascii="宋体" w:hAnsi="宋体"/>
          <w:color w:val="auto"/>
          <w:highlight w:val="none"/>
          <w:u w:val="single" w:color="000000"/>
        </w:rPr>
        <w:t xml:space="preserve">  （承包人的名称与地址）  </w:t>
      </w:r>
      <w:r>
        <w:rPr>
          <w:rFonts w:hint="eastAsia" w:ascii="宋体" w:hAnsi="宋体"/>
          <w:color w:val="auto"/>
          <w:highlight w:val="none"/>
        </w:rPr>
        <w:t>（下称“承包人”），已保证按</w:t>
      </w:r>
      <w:r>
        <w:rPr>
          <w:rFonts w:hint="eastAsia" w:ascii="宋体" w:hAnsi="宋体"/>
          <w:color w:val="auto"/>
          <w:highlight w:val="none"/>
          <w:u w:val="single" w:color="000000"/>
        </w:rPr>
        <w:t xml:space="preserve">  （</w:t>
      </w:r>
      <w:r>
        <w:rPr>
          <w:rFonts w:hint="eastAsia" w:ascii="宋体" w:hAnsi="宋体"/>
          <w:color w:val="auto"/>
          <w:highlight w:val="none"/>
          <w:u w:val="single" w:color="000000"/>
          <w:lang w:eastAsia="zh-CN"/>
        </w:rPr>
        <w:t>采购</w:t>
      </w:r>
      <w:r>
        <w:rPr>
          <w:rFonts w:hint="eastAsia" w:ascii="宋体" w:hAnsi="宋体"/>
          <w:color w:val="auto"/>
          <w:highlight w:val="none"/>
          <w:u w:val="single" w:color="000000"/>
        </w:rPr>
        <w:t xml:space="preserve">项目名称）  </w:t>
      </w:r>
      <w:r>
        <w:rPr>
          <w:rFonts w:hint="eastAsia" w:ascii="宋体" w:hAnsi="宋体"/>
          <w:color w:val="auto"/>
          <w:highlight w:val="none"/>
          <w:lang w:eastAsia="zh-CN"/>
        </w:rPr>
        <w:t>采购</w:t>
      </w:r>
      <w:r>
        <w:rPr>
          <w:rFonts w:hint="eastAsia" w:ascii="宋体" w:hAnsi="宋体"/>
          <w:color w:val="auto"/>
          <w:highlight w:val="none"/>
        </w:rPr>
        <w:t>文件</w:t>
      </w:r>
      <w:r>
        <w:rPr>
          <w:rFonts w:hint="eastAsia" w:ascii="宋体" w:hAnsi="宋体"/>
          <w:color w:val="auto"/>
          <w:highlight w:val="none"/>
          <w:u w:val="single" w:color="000000"/>
        </w:rPr>
        <w:t>（</w:t>
      </w:r>
      <w:r>
        <w:rPr>
          <w:rFonts w:hint="eastAsia" w:ascii="宋体" w:hAnsi="宋体"/>
          <w:color w:val="auto"/>
          <w:highlight w:val="none"/>
          <w:u w:val="single" w:color="000000"/>
          <w:lang w:eastAsia="zh-CN"/>
        </w:rPr>
        <w:t>采购</w:t>
      </w:r>
      <w:r>
        <w:rPr>
          <w:rFonts w:hint="eastAsia" w:ascii="宋体" w:hAnsi="宋体"/>
          <w:color w:val="auto"/>
          <w:highlight w:val="none"/>
          <w:u w:val="single" w:color="000000"/>
        </w:rPr>
        <w:t xml:space="preserve">编号：   ） </w:t>
      </w:r>
      <w:r>
        <w:rPr>
          <w:rFonts w:hint="eastAsia" w:ascii="宋体" w:hAnsi="宋体"/>
          <w:color w:val="auto"/>
          <w:highlight w:val="none"/>
        </w:rPr>
        <w:t>及</w:t>
      </w:r>
      <w:r>
        <w:rPr>
          <w:rFonts w:hint="eastAsia" w:ascii="宋体" w:hAnsi="宋体"/>
          <w:color w:val="auto"/>
          <w:highlight w:val="none"/>
          <w:u w:val="single" w:color="000000"/>
        </w:rPr>
        <w:t xml:space="preserve">（合同名称） </w:t>
      </w:r>
      <w:r>
        <w:rPr>
          <w:rFonts w:hint="eastAsia" w:ascii="宋体" w:hAnsi="宋体"/>
          <w:color w:val="auto"/>
          <w:highlight w:val="none"/>
        </w:rPr>
        <w:t>建设工程施工合同</w:t>
      </w:r>
      <w:r>
        <w:rPr>
          <w:rFonts w:hint="eastAsia" w:ascii="宋体" w:hAnsi="宋体"/>
          <w:color w:val="auto"/>
          <w:highlight w:val="none"/>
          <w:u w:val="single" w:color="000000"/>
        </w:rPr>
        <w:t>（合同编号：   ）</w:t>
      </w:r>
      <w:r>
        <w:rPr>
          <w:rFonts w:hint="eastAsia" w:ascii="宋体" w:hAnsi="宋体"/>
          <w:color w:val="auto"/>
          <w:highlight w:val="none"/>
        </w:rPr>
        <w:t>中规定的义务履行合同。</w:t>
      </w:r>
    </w:p>
    <w:p w14:paraId="6DF931C7">
      <w:pPr>
        <w:spacing w:before="100" w:beforeAutospacing="1" w:after="100" w:afterAutospacing="1" w:line="360" w:lineRule="auto"/>
        <w:ind w:firstLine="437"/>
        <w:textAlignment w:val="baseline"/>
        <w:rPr>
          <w:rFonts w:hint="eastAsia" w:ascii="宋体" w:hAnsi="宋体"/>
          <w:color w:val="auto"/>
          <w:sz w:val="20"/>
          <w:highlight w:val="none"/>
        </w:rPr>
      </w:pPr>
      <w:r>
        <w:rPr>
          <w:rFonts w:hint="eastAsia" w:ascii="宋体" w:hAnsi="宋体"/>
          <w:color w:val="auto"/>
          <w:highlight w:val="none"/>
        </w:rPr>
        <w:t>根据上述</w:t>
      </w:r>
      <w:r>
        <w:rPr>
          <w:rFonts w:hint="eastAsia" w:ascii="宋体" w:hAnsi="宋体"/>
          <w:color w:val="auto"/>
          <w:highlight w:val="none"/>
          <w:lang w:eastAsia="zh-CN"/>
        </w:rPr>
        <w:t>采购</w:t>
      </w:r>
      <w:r>
        <w:rPr>
          <w:rFonts w:hint="eastAsia" w:ascii="宋体" w:hAnsi="宋体"/>
          <w:color w:val="auto"/>
          <w:highlight w:val="none"/>
        </w:rPr>
        <w:t>文件及合同规定，承包人应向</w:t>
      </w:r>
      <w:r>
        <w:rPr>
          <w:rFonts w:hint="eastAsia" w:hAnsi="宋体"/>
          <w:color w:val="auto"/>
          <w:highlight w:val="none"/>
          <w:lang w:val="en-US" w:eastAsia="zh-CN"/>
        </w:rPr>
        <w:t>建设单位</w:t>
      </w:r>
      <w:r>
        <w:rPr>
          <w:rFonts w:hint="eastAsia" w:ascii="宋体" w:hAnsi="宋体"/>
          <w:color w:val="auto"/>
          <w:highlight w:val="none"/>
        </w:rPr>
        <w:t>提供一份金额为人民币（大写）</w:t>
      </w:r>
      <w:r>
        <w:rPr>
          <w:rFonts w:hint="eastAsia" w:ascii="宋体" w:hAnsi="宋体"/>
          <w:color w:val="auto"/>
          <w:highlight w:val="none"/>
          <w:u w:val="single" w:color="000000"/>
        </w:rPr>
        <w:t xml:space="preserve">   （</w:t>
      </w:r>
      <w:r>
        <w:rPr>
          <w:rFonts w:hint="eastAsia" w:ascii="宋体" w:hAnsi="宋体"/>
          <w:color w:val="auto"/>
          <w:szCs w:val="21"/>
          <w:highlight w:val="none"/>
          <w:u w:val="single" w:color="000000"/>
        </w:rPr>
        <w:t>￥     元</w:t>
      </w:r>
      <w:r>
        <w:rPr>
          <w:rFonts w:hint="eastAsia" w:ascii="宋体" w:hAnsi="宋体"/>
          <w:color w:val="auto"/>
          <w:highlight w:val="none"/>
          <w:u w:val="single" w:color="000000"/>
        </w:rPr>
        <w:t>）</w:t>
      </w:r>
      <w:r>
        <w:rPr>
          <w:rFonts w:hint="eastAsia" w:ascii="宋体" w:hAnsi="宋体"/>
          <w:color w:val="auto"/>
          <w:highlight w:val="none"/>
        </w:rPr>
        <w:t xml:space="preserve">的不可撤销银行履约保函，作为承包人履行上述合同的担保。 </w:t>
      </w:r>
    </w:p>
    <w:p w14:paraId="0E3A9300">
      <w:pPr>
        <w:spacing w:before="100" w:beforeAutospacing="1" w:after="100" w:afterAutospacing="1" w:line="360" w:lineRule="auto"/>
        <w:ind w:firstLine="437"/>
        <w:textAlignment w:val="baseline"/>
        <w:rPr>
          <w:rFonts w:ascii="宋体" w:hAnsi="宋体"/>
          <w:color w:val="auto"/>
          <w:sz w:val="20"/>
          <w:highlight w:val="none"/>
        </w:rPr>
      </w:pPr>
      <w:r>
        <w:rPr>
          <w:rFonts w:hint="eastAsia" w:ascii="宋体" w:hAnsi="宋体"/>
          <w:color w:val="auto"/>
          <w:highlight w:val="none"/>
        </w:rPr>
        <w:t>我方</w:t>
      </w:r>
      <w:r>
        <w:rPr>
          <w:rFonts w:hint="eastAsia" w:ascii="宋体" w:hAnsi="宋体"/>
          <w:color w:val="auto"/>
          <w:highlight w:val="none"/>
          <w:u w:val="single" w:color="000000"/>
        </w:rPr>
        <w:t xml:space="preserve">  （银行名称）  </w:t>
      </w:r>
      <w:r>
        <w:rPr>
          <w:rFonts w:hint="eastAsia" w:ascii="宋体" w:hAnsi="宋体"/>
          <w:color w:val="auto"/>
          <w:highlight w:val="none"/>
        </w:rPr>
        <w:t>，受承包人的委托，作为连带责任保证人，无条件和不可撤销地同意在</w:t>
      </w:r>
      <w:r>
        <w:rPr>
          <w:rFonts w:hint="eastAsia" w:hAnsi="宋体"/>
          <w:color w:val="auto"/>
          <w:highlight w:val="none"/>
          <w:lang w:val="en-US" w:eastAsia="zh-CN"/>
        </w:rPr>
        <w:t>建设单位</w:t>
      </w:r>
      <w:r>
        <w:rPr>
          <w:rFonts w:hint="eastAsia" w:ascii="宋体" w:hAnsi="宋体"/>
          <w:color w:val="auto"/>
          <w:highlight w:val="none"/>
        </w:rPr>
        <w:t>提出因承包人没有履行上述</w:t>
      </w:r>
      <w:r>
        <w:rPr>
          <w:rFonts w:hint="eastAsia" w:ascii="宋体" w:hAnsi="宋体"/>
          <w:color w:val="auto"/>
          <w:highlight w:val="none"/>
          <w:lang w:eastAsia="zh-CN"/>
        </w:rPr>
        <w:t>采购</w:t>
      </w:r>
      <w:r>
        <w:rPr>
          <w:rFonts w:hint="eastAsia" w:ascii="宋体" w:hAnsi="宋体"/>
          <w:color w:val="auto"/>
          <w:highlight w:val="none"/>
        </w:rPr>
        <w:t>文件及合同规定，而要求扣划保证金的书面要求后，我方将在</w:t>
      </w:r>
      <w:r>
        <w:rPr>
          <w:rFonts w:hint="eastAsia" w:ascii="宋体" w:hAnsi="宋体"/>
          <w:color w:val="auto"/>
          <w:highlight w:val="none"/>
          <w:u w:val="single" w:color="000000"/>
        </w:rPr>
        <w:t xml:space="preserve">    </w:t>
      </w:r>
      <w:r>
        <w:rPr>
          <w:rFonts w:hint="eastAsia" w:ascii="宋体" w:hAnsi="宋体"/>
          <w:color w:val="auto"/>
          <w:highlight w:val="none"/>
        </w:rPr>
        <w:t>个工作日内为发包人扣划金额不超过人民币（大写）</w:t>
      </w:r>
      <w:r>
        <w:rPr>
          <w:rFonts w:hint="eastAsia" w:ascii="宋体" w:hAnsi="宋体"/>
          <w:color w:val="auto"/>
          <w:highlight w:val="none"/>
          <w:u w:val="single" w:color="000000"/>
        </w:rPr>
        <w:t xml:space="preserve">     </w:t>
      </w:r>
      <w:r>
        <w:rPr>
          <w:rFonts w:hint="eastAsia" w:ascii="宋体" w:hAnsi="宋体"/>
          <w:color w:val="auto"/>
          <w:szCs w:val="21"/>
          <w:highlight w:val="none"/>
          <w:u w:val="single" w:color="000000"/>
        </w:rPr>
        <w:t>（￥    元）</w:t>
      </w:r>
      <w:r>
        <w:rPr>
          <w:rFonts w:hint="eastAsia" w:ascii="宋体" w:hAnsi="宋体"/>
          <w:color w:val="auto"/>
          <w:highlight w:val="none"/>
        </w:rPr>
        <w:t>的保证金。</w:t>
      </w:r>
    </w:p>
    <w:p w14:paraId="32BF9F20">
      <w:pPr>
        <w:spacing w:before="100" w:beforeAutospacing="1" w:after="100" w:afterAutospacing="1" w:line="360" w:lineRule="auto"/>
        <w:ind w:firstLine="437"/>
        <w:textAlignment w:val="baseline"/>
        <w:rPr>
          <w:rFonts w:ascii="宋体" w:hAnsi="宋体"/>
          <w:color w:val="auto"/>
          <w:sz w:val="20"/>
          <w:highlight w:val="none"/>
        </w:rPr>
      </w:pPr>
      <w:r>
        <w:rPr>
          <w:rFonts w:hint="eastAsia" w:ascii="宋体" w:hAnsi="宋体"/>
          <w:color w:val="auto"/>
          <w:highlight w:val="none"/>
        </w:rPr>
        <w:t>我方还同意，任何</w:t>
      </w:r>
      <w:r>
        <w:rPr>
          <w:rFonts w:hint="eastAsia" w:hAnsi="宋体"/>
          <w:color w:val="auto"/>
          <w:highlight w:val="none"/>
          <w:lang w:val="en-US" w:eastAsia="zh-CN"/>
        </w:rPr>
        <w:t>建设单位</w:t>
      </w:r>
      <w:r>
        <w:rPr>
          <w:rFonts w:hint="eastAsia" w:ascii="宋体" w:hAnsi="宋体"/>
          <w:color w:val="auto"/>
          <w:highlight w:val="none"/>
        </w:rPr>
        <w:t>与承包人之间可能对合同条款的修改、规范或其他合同文件的变动补充，都不能免除我方按本保函所承担的责任。因此，有关上述变动、补充和修改无须通知我方。</w:t>
      </w:r>
    </w:p>
    <w:p w14:paraId="73B63DCA">
      <w:pPr>
        <w:spacing w:line="360" w:lineRule="auto"/>
        <w:ind w:firstLine="480"/>
        <w:textAlignment w:val="baseline"/>
        <w:rPr>
          <w:rFonts w:ascii="宋体" w:hAnsi="宋体"/>
          <w:color w:val="auto"/>
          <w:sz w:val="20"/>
          <w:highlight w:val="none"/>
        </w:rPr>
      </w:pPr>
      <w:r>
        <w:rPr>
          <w:rFonts w:hint="eastAsia" w:ascii="宋体" w:hAnsi="宋体"/>
          <w:color w:val="auto"/>
          <w:highlight w:val="none"/>
        </w:rPr>
        <w:t>本保函从上述合同签订之日起至工程竣工验收合格并结算经双方签字确定后30日内保持有效。</w:t>
      </w:r>
    </w:p>
    <w:p w14:paraId="24D3B0B9">
      <w:pPr>
        <w:ind w:firstLine="482"/>
        <w:textAlignment w:val="baseline"/>
        <w:rPr>
          <w:rFonts w:ascii="宋体" w:hAnsi="宋体"/>
          <w:color w:val="auto"/>
          <w:sz w:val="20"/>
          <w:szCs w:val="21"/>
          <w:highlight w:val="none"/>
        </w:rPr>
      </w:pPr>
      <w:r>
        <w:rPr>
          <w:rFonts w:hint="eastAsia" w:ascii="宋体" w:hAnsi="宋体"/>
          <w:color w:val="auto"/>
          <w:szCs w:val="21"/>
          <w:highlight w:val="none"/>
        </w:rPr>
        <w:t xml:space="preserve">                                 </w:t>
      </w:r>
    </w:p>
    <w:p w14:paraId="103DA918">
      <w:pPr>
        <w:spacing w:line="360" w:lineRule="auto"/>
        <w:ind w:firstLine="3600"/>
        <w:textAlignment w:val="baseline"/>
        <w:rPr>
          <w:rFonts w:ascii="宋体" w:hAnsi="宋体"/>
          <w:color w:val="auto"/>
          <w:sz w:val="20"/>
          <w:highlight w:val="none"/>
        </w:rPr>
      </w:pPr>
      <w:r>
        <w:rPr>
          <w:rFonts w:hint="eastAsia" w:ascii="宋体" w:hAnsi="宋体"/>
          <w:color w:val="auto"/>
          <w:highlight w:val="none"/>
        </w:rPr>
        <w:t>保证人：（公章）</w:t>
      </w:r>
      <w:r>
        <w:rPr>
          <w:rFonts w:hint="eastAsia" w:ascii="宋体" w:hAnsi="宋体"/>
          <w:color w:val="auto"/>
          <w:highlight w:val="none"/>
          <w:u w:val="single" w:color="000000"/>
        </w:rPr>
        <w:t xml:space="preserve">                              </w:t>
      </w:r>
    </w:p>
    <w:p w14:paraId="020AA061">
      <w:pPr>
        <w:spacing w:line="360" w:lineRule="auto"/>
        <w:ind w:firstLine="3600"/>
        <w:textAlignment w:val="baseline"/>
        <w:rPr>
          <w:rFonts w:ascii="宋体" w:hAnsi="宋体"/>
          <w:color w:val="auto"/>
          <w:sz w:val="20"/>
          <w:highlight w:val="none"/>
          <w:u w:val="single"/>
        </w:rPr>
      </w:pPr>
      <w:r>
        <w:rPr>
          <w:color w:val="auto"/>
          <w:szCs w:val="21"/>
          <w:highlight w:val="none"/>
        </w:rPr>
        <w:t>法定代表人或其委托代理人：（签字）</w:t>
      </w:r>
      <w:r>
        <w:rPr>
          <w:rFonts w:hint="eastAsia" w:ascii="宋体" w:hAnsi="宋体"/>
          <w:color w:val="auto"/>
          <w:highlight w:val="none"/>
          <w:u w:val="single" w:color="000000"/>
        </w:rPr>
        <w:t xml:space="preserve">            </w:t>
      </w:r>
    </w:p>
    <w:p w14:paraId="061F99F0">
      <w:pPr>
        <w:spacing w:line="360" w:lineRule="auto"/>
        <w:ind w:firstLine="3600"/>
        <w:textAlignment w:val="baseline"/>
        <w:rPr>
          <w:rFonts w:ascii="宋体" w:hAnsi="宋体"/>
          <w:color w:val="auto"/>
          <w:sz w:val="20"/>
          <w:highlight w:val="none"/>
          <w:u w:val="single"/>
        </w:rPr>
      </w:pPr>
      <w:r>
        <w:rPr>
          <w:rFonts w:hint="eastAsia" w:ascii="宋体" w:hAnsi="宋体"/>
          <w:color w:val="auto"/>
          <w:highlight w:val="none"/>
        </w:rPr>
        <w:t>联系电话：</w:t>
      </w:r>
      <w:r>
        <w:rPr>
          <w:rFonts w:hint="eastAsia" w:ascii="宋体" w:hAnsi="宋体"/>
          <w:color w:val="auto"/>
          <w:highlight w:val="none"/>
          <w:u w:val="single" w:color="000000"/>
        </w:rPr>
        <w:t xml:space="preserve">                                    </w:t>
      </w:r>
    </w:p>
    <w:p w14:paraId="701CDB87">
      <w:pPr>
        <w:spacing w:line="360" w:lineRule="auto"/>
        <w:ind w:firstLine="3600"/>
        <w:textAlignment w:val="baseline"/>
        <w:rPr>
          <w:color w:val="auto"/>
          <w:sz w:val="20"/>
          <w:szCs w:val="21"/>
          <w:highlight w:val="none"/>
        </w:rPr>
      </w:pPr>
      <w:r>
        <w:rPr>
          <w:rFonts w:hint="eastAsia"/>
          <w:color w:val="auto"/>
          <w:szCs w:val="21"/>
          <w:highlight w:val="none"/>
        </w:rPr>
        <w:t>地    址：</w:t>
      </w:r>
      <w:r>
        <w:rPr>
          <w:rFonts w:hint="eastAsia"/>
          <w:color w:val="auto"/>
          <w:szCs w:val="21"/>
          <w:highlight w:val="none"/>
          <w:u w:val="single" w:color="000000"/>
        </w:rPr>
        <w:t xml:space="preserve">                                    </w:t>
      </w:r>
    </w:p>
    <w:p w14:paraId="70222804">
      <w:pPr>
        <w:spacing w:line="360" w:lineRule="auto"/>
        <w:ind w:firstLine="3600"/>
        <w:textAlignment w:val="baseline"/>
        <w:rPr>
          <w:rFonts w:hint="eastAsia"/>
          <w:color w:val="auto"/>
          <w:szCs w:val="21"/>
          <w:highlight w:val="none"/>
          <w:u w:val="single" w:color="000000"/>
        </w:rPr>
      </w:pPr>
      <w:r>
        <w:rPr>
          <w:rFonts w:hint="eastAsia"/>
          <w:color w:val="auto"/>
          <w:szCs w:val="21"/>
          <w:highlight w:val="none"/>
        </w:rPr>
        <w:t>日    期：</w:t>
      </w:r>
      <w:r>
        <w:rPr>
          <w:rFonts w:hint="eastAsia"/>
          <w:color w:val="auto"/>
          <w:szCs w:val="21"/>
          <w:highlight w:val="none"/>
          <w:u w:val="single" w:color="000000"/>
        </w:rPr>
        <w:t xml:space="preserve">                                 </w:t>
      </w:r>
    </w:p>
    <w:p w14:paraId="555E0B5E">
      <w:pPr>
        <w:shd w:val="clear"/>
        <w:rPr>
          <w:color w:val="auto"/>
          <w:highlight w:val="none"/>
          <w:lang w:val="zh-CN"/>
        </w:rPr>
      </w:pPr>
    </w:p>
    <w:sectPr>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黑体"/>
    <w:panose1 w:val="02010609060101010101"/>
    <w:charset w:val="86"/>
    <w:family w:val="auto"/>
    <w:pitch w:val="default"/>
    <w:sig w:usb0="800002BF" w:usb1="38CF7CFA" w:usb2="00000016" w:usb3="00000000" w:csb0="00040001" w:csb1="00000000"/>
    <w:embedRegular r:id="rId1" w:fontKey="{55EC6BB9-18CC-4E2D-8F16-250E14DC73D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463DF5E-6937-490B-9645-688DF46DFDBE}"/>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3" w:fontKey="{1E89E70A-437D-48AA-AA65-939BF208D0B5}"/>
  </w:font>
  <w:font w:name="Helvetica">
    <w:altName w:val="Arial"/>
    <w:panose1 w:val="020B05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embedRegular r:id="rId4" w:fontKey="{E936960F-A18E-4348-8E61-B53977B0652A}"/>
  </w:font>
  <w:font w:name="Verdana">
    <w:panose1 w:val="020B0604030504040204"/>
    <w:charset w:val="00"/>
    <w:family w:val="swiss"/>
    <w:pitch w:val="default"/>
    <w:sig w:usb0="A0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微软雅黑"/>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embedRegular r:id="rId5" w:fontKey="{BEDA5CF1-706D-468F-AD77-FAEBBB4EA8B6}"/>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思源黑体 CN Regular">
    <w:altName w:val="黑体"/>
    <w:panose1 w:val="00000000000000000000"/>
    <w:charset w:val="00"/>
    <w:family w:val="auto"/>
    <w:pitch w:val="default"/>
    <w:sig w:usb0="00000000" w:usb1="00000000" w:usb2="00000000" w:usb3="00000000" w:csb0="00040001" w:csb1="00000000"/>
  </w:font>
  <w:font w:name="时尚中黑简体">
    <w:panose1 w:val="01010104010101010101"/>
    <w:charset w:val="86"/>
    <w:family w:val="auto"/>
    <w:pitch w:val="default"/>
    <w:sig w:usb0="800002BF" w:usb1="184F6CF8" w:usb2="00000012" w:usb3="00000000" w:csb0="00040001" w:csb1="00000000"/>
    <w:embedRegular r:id="rId6" w:fontKey="{962352A5-C7BB-40C2-B348-40F9F277CD92}"/>
  </w:font>
  <w:font w:name="WPSEMBED3">
    <w:panose1 w:val="01010104010101010101"/>
    <w:charset w:val="86"/>
    <w:family w:val="auto"/>
    <w:pitch w:val="default"/>
    <w:sig w:usb0="800002BF" w:usb1="184F6CF8" w:usb2="00000012" w:usb3="00000000" w:csb0="00040001" w:csb1="00000000"/>
  </w:font>
  <w:font w:name="WPSEMBED1">
    <w:panose1 w:val="02010609060101010101"/>
    <w:charset w:val="86"/>
    <w:family w:val="auto"/>
    <w:pitch w:val="default"/>
    <w:sig w:usb0="800002BF" w:usb1="38CF7CFA" w:usb2="00000016" w:usb3="00000000" w:csb0="00040001" w:csb1="00000000"/>
  </w:font>
  <w:font w:name="WPSEMBED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1420E">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D0A87">
    <w:pPr>
      <w:pStyle w:val="33"/>
      <w:framePr w:wrap="around" w:vAnchor="text" w:hAnchor="margin" w:xAlign="right" w:y="1"/>
      <w:rPr>
        <w:rStyle w:val="57"/>
      </w:rPr>
    </w:pPr>
    <w:r>
      <w:fldChar w:fldCharType="begin"/>
    </w:r>
    <w:r>
      <w:rPr>
        <w:rStyle w:val="57"/>
      </w:rPr>
      <w:instrText xml:space="preserve">PAGE  </w:instrText>
    </w:r>
    <w:r>
      <w:fldChar w:fldCharType="separate"/>
    </w:r>
    <w:r>
      <w:rPr>
        <w:rStyle w:val="57"/>
      </w:rPr>
      <w:t>5</w:t>
    </w:r>
    <w:r>
      <w:fldChar w:fldCharType="end"/>
    </w:r>
  </w:p>
  <w:p w14:paraId="43C74AAF">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6C918">
    <w:pPr>
      <w:pStyle w:val="33"/>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7395F9">
                          <w:pPr>
                            <w:pStyle w:val="3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A7395F9">
                    <w:pPr>
                      <w:pStyle w:val="3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31F52">
    <w:pPr>
      <w:pStyle w:val="33"/>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0A124F">
                          <w:pPr>
                            <w:pStyle w:val="3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0A124F">
                    <w:pPr>
                      <w:pStyle w:val="3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E522C">
    <w:pPr>
      <w:pStyle w:val="33"/>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a:effectLst/>
                    </wps:spPr>
                    <wps:txbx>
                      <w:txbxContent>
                        <w:p w14:paraId="13807465">
                          <w:pPr>
                            <w:pStyle w:val="33"/>
                          </w:pPr>
                          <w:r>
                            <w:fldChar w:fldCharType="begin"/>
                          </w:r>
                          <w:r>
                            <w:instrText xml:space="preserve"> PAGE  \* MERGEFORMAT </w:instrText>
                          </w:r>
                          <w:r>
                            <w:fldChar w:fldCharType="separate"/>
                          </w:r>
                          <w:r>
                            <w:t>75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59264;mso-width-relative:page;mso-height-relative:page;" filled="f" stroked="f" coordsize="21600,21600" o:gfxdata="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UTtW31AAAAAIBAAAPAAAAAAAAAAEAIAAAACIA&#10;AABkcnMvZG93bnJldi54bWxQSwECFAAUAAAACACHTuJAElaCJtQBAACiAwAADgAAAAAAAAABACAA&#10;AAAjAQAAZHJzL2Uyb0RvYy54bWxQSwUGAAAAAAYABgBZAQAAaQUAAAAA&#10;">
              <v:fill on="f" focussize="0,0"/>
              <v:stroke on="f" weight="1.25pt"/>
              <v:imagedata o:title=""/>
              <o:lock v:ext="edit" aspectratio="f"/>
              <v:textbox inset="0mm,0mm,0mm,0mm" style="mso-fit-shape-to-text:t;">
                <w:txbxContent>
                  <w:p w14:paraId="13807465">
                    <w:pPr>
                      <w:pStyle w:val="33"/>
                    </w:pPr>
                    <w:r>
                      <w:fldChar w:fldCharType="begin"/>
                    </w:r>
                    <w:r>
                      <w:instrText xml:space="preserve"> PAGE  \* MERGEFORMAT </w:instrText>
                    </w:r>
                    <w:r>
                      <w:fldChar w:fldCharType="separate"/>
                    </w:r>
                    <w:r>
                      <w:t>75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E6477">
    <w:pPr>
      <w:pStyle w:val="34"/>
      <w:pBdr>
        <w:bottom w:val="none" w:color="auto" w:sz="0" w:space="1"/>
      </w:pBdr>
      <w:tabs>
        <w:tab w:val="left" w:pos="5049"/>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F36C4">
    <w:pPr>
      <w:pStyle w:val="34"/>
      <w:pBdr>
        <w:bottom w:val="thickThinLargeGap" w:color="auto" w:sz="4" w:space="1"/>
      </w:pBdr>
      <w:wordWrap w:val="0"/>
      <w:jc w:val="right"/>
      <w:rPr>
        <w:bCs/>
        <w:sz w:val="21"/>
        <w:szCs w:val="21"/>
      </w:rPr>
    </w:pPr>
    <w:r>
      <w:rPr>
        <w:rFonts w:hint="eastAsia" w:ascii="时尚中黑简体" w:hAnsi="时尚中黑简体" w:eastAsia="时尚中黑简体" w:cs="时尚中黑简体"/>
        <w:bCs/>
        <w:sz w:val="21"/>
        <w:szCs w:val="21"/>
      </w:rPr>
      <w:drawing>
        <wp:anchor distT="0" distB="0" distL="114300" distR="114300" simplePos="0" relativeHeight="251661312" behindDoc="1" locked="0" layoutInCell="1" allowOverlap="1">
          <wp:simplePos x="0" y="0"/>
          <wp:positionH relativeFrom="column">
            <wp:posOffset>2621915</wp:posOffset>
          </wp:positionH>
          <wp:positionV relativeFrom="paragraph">
            <wp:posOffset>-259080</wp:posOffset>
          </wp:positionV>
          <wp:extent cx="434340" cy="434340"/>
          <wp:effectExtent l="0" t="0" r="3810" b="3810"/>
          <wp:wrapNone/>
          <wp:docPr id="9" name="图片 9"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公司logo"/>
                  <pic:cNvPicPr>
                    <a:picLocks noChangeAspect="1" noChangeArrowheads="1"/>
                  </pic:cNvPicPr>
                </pic:nvPicPr>
                <pic:blipFill>
                  <a:blip r:embed="rId1"/>
                  <a:srcRect/>
                  <a:stretch>
                    <a:fillRect/>
                  </a:stretch>
                </pic:blipFill>
                <pic:spPr>
                  <a:xfrm>
                    <a:off x="0" y="0"/>
                    <a:ext cx="434340" cy="434340"/>
                  </a:xfrm>
                  <a:prstGeom prst="rect">
                    <a:avLst/>
                  </a:prstGeom>
                  <a:noFill/>
                  <a:ln w="9525" cmpd="sng">
                    <a:noFill/>
                    <a:miter lim="800000"/>
                    <a:headEnd/>
                    <a:tailEnd/>
                  </a:ln>
                </pic:spPr>
              </pic:pic>
            </a:graphicData>
          </a:graphic>
        </wp:anchor>
      </w:drawing>
    </w:r>
    <w:r>
      <w:rPr>
        <w:rFonts w:hint="eastAsia" w:ascii="时尚中黑简体" w:hAnsi="时尚中黑简体" w:eastAsia="时尚中黑简体" w:cs="时尚中黑简体"/>
        <w:bCs/>
        <w:sz w:val="21"/>
        <w:szCs w:val="21"/>
        <w:lang w:eastAsia="zh-CN"/>
      </w:rPr>
      <w:t>广东志正招标有限公司东莞分公司</w:t>
    </w:r>
    <w:r>
      <w:rPr>
        <w:rFonts w:hint="eastAsia" w:ascii="时尚中黑简体" w:hAnsi="时尚中黑简体" w:eastAsia="时尚中黑简体" w:cs="时尚中黑简体"/>
        <w:bCs/>
        <w:sz w:val="21"/>
        <w:szCs w:val="21"/>
      </w:rPr>
      <w:t xml:space="preserve">  编制</w:t>
    </w:r>
  </w:p>
  <w:p w14:paraId="4E33846C">
    <w:pPr>
      <w:pStyle w:val="3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E9F3D">
    <w:pPr>
      <w:pStyle w:val="34"/>
      <w:pBdr>
        <w:bottom w:val="thickThinLargeGap" w:color="auto" w:sz="4" w:space="1"/>
      </w:pBdr>
      <w:wordWrap w:val="0"/>
      <w:jc w:val="right"/>
      <w:rPr>
        <w:bCs/>
        <w:sz w:val="21"/>
        <w:szCs w:val="21"/>
      </w:rPr>
    </w:pPr>
    <w:r>
      <w:rPr>
        <w:rFonts w:hint="eastAsia" w:ascii="时尚中黑简体" w:hAnsi="时尚中黑简体" w:eastAsia="时尚中黑简体" w:cs="时尚中黑简体"/>
        <w:bCs/>
        <w:sz w:val="21"/>
        <w:szCs w:val="21"/>
        <w:lang w:eastAsia="zh-CN"/>
      </w:rPr>
      <w:t>广东志正招标有限公司东莞分公司</w:t>
    </w:r>
    <w:r>
      <w:rPr>
        <w:rFonts w:hint="eastAsia" w:ascii="时尚中黑简体" w:hAnsi="时尚中黑简体" w:eastAsia="时尚中黑简体" w:cs="时尚中黑简体"/>
        <w:bCs/>
        <w:sz w:val="21"/>
        <w:szCs w:val="21"/>
      </w:rPr>
      <w:t xml:space="preserve">  编制</w:t>
    </w:r>
  </w:p>
  <w:p w14:paraId="58568CB0">
    <w:pPr>
      <w:pStyle w:val="34"/>
      <w:pBdr>
        <w:bottom w:val="none" w:color="auto" w:sz="0" w:space="1"/>
      </w:pBdr>
      <w:tabs>
        <w:tab w:val="left" w:pos="5049"/>
      </w:tabs>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C998C">
    <w:pPr>
      <w:pStyle w:val="34"/>
      <w:pBdr>
        <w:bottom w:val="none" w:color="auto" w:sz="0" w:space="1"/>
      </w:pBdr>
      <w:tabs>
        <w:tab w:val="left" w:pos="5049"/>
      </w:tabs>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A0175">
    <w:pPr>
      <w:pStyle w:val="34"/>
      <w:pBdr>
        <w:bottom w:val="thickThinLargeGap" w:color="auto" w:sz="4" w:space="1"/>
      </w:pBdr>
      <w:wordWrap w:val="0"/>
      <w:jc w:val="right"/>
      <w:rPr>
        <w:bCs/>
        <w:sz w:val="21"/>
        <w:szCs w:val="21"/>
      </w:rPr>
    </w:pPr>
    <w:r>
      <w:rPr>
        <w:rFonts w:hint="eastAsia" w:ascii="时尚中黑简体" w:hAnsi="时尚中黑简体" w:eastAsia="时尚中黑简体" w:cs="时尚中黑简体"/>
        <w:bCs/>
        <w:sz w:val="21"/>
        <w:szCs w:val="21"/>
        <w:lang w:eastAsia="zh-CN"/>
      </w:rPr>
      <w:t>广东志正招标有限公司东莞分公司</w:t>
    </w:r>
    <w:r>
      <w:rPr>
        <w:rFonts w:hint="eastAsia" w:ascii="时尚中黑简体" w:hAnsi="时尚中黑简体" w:eastAsia="时尚中黑简体" w:cs="时尚中黑简体"/>
        <w:bCs/>
        <w:sz w:val="21"/>
        <w:szCs w:val="21"/>
      </w:rPr>
      <w:t xml:space="preserve">  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EAC35"/>
    <w:multiLevelType w:val="singleLevel"/>
    <w:tmpl w:val="92EEAC35"/>
    <w:lvl w:ilvl="0" w:tentative="0">
      <w:start w:val="1"/>
      <w:numFmt w:val="chineseCounting"/>
      <w:suff w:val="nothing"/>
      <w:lvlText w:val="%1、"/>
      <w:lvlJc w:val="left"/>
      <w:pPr>
        <w:ind w:left="0" w:firstLine="420"/>
      </w:pPr>
      <w:rPr>
        <w:rFonts w:hint="eastAsia"/>
      </w:rPr>
    </w:lvl>
  </w:abstractNum>
  <w:abstractNum w:abstractNumId="1">
    <w:nsid w:val="EC01E890"/>
    <w:multiLevelType w:val="singleLevel"/>
    <w:tmpl w:val="EC01E890"/>
    <w:lvl w:ilvl="0" w:tentative="0">
      <w:start w:val="1"/>
      <w:numFmt w:val="chineseCounting"/>
      <w:suff w:val="nothing"/>
      <w:lvlText w:val="%1、"/>
      <w:lvlJc w:val="left"/>
      <w:pPr>
        <w:ind w:left="0" w:firstLine="420"/>
      </w:pPr>
      <w:rPr>
        <w:rFonts w:hint="eastAsia"/>
      </w:rPr>
    </w:lvl>
  </w:abstractNum>
  <w:abstractNum w:abstractNumId="2">
    <w:nsid w:val="00000010"/>
    <w:multiLevelType w:val="multilevel"/>
    <w:tmpl w:val="00000010"/>
    <w:lvl w:ilvl="0" w:tentative="0">
      <w:start w:val="1"/>
      <w:numFmt w:val="decimal"/>
      <w:lvlText w:val="%1"/>
      <w:lvlJc w:val="left"/>
      <w:pPr>
        <w:tabs>
          <w:tab w:val="left" w:pos="425"/>
        </w:tabs>
        <w:ind w:left="425" w:hanging="425"/>
      </w:pPr>
    </w:lvl>
    <w:lvl w:ilvl="1" w:tentative="0">
      <w:start w:val="1"/>
      <w:numFmt w:val="decimal"/>
      <w:pStyle w:val="104"/>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11"/>
    <w:multiLevelType w:val="multilevel"/>
    <w:tmpl w:val="00000011"/>
    <w:lvl w:ilvl="0" w:tentative="0">
      <w:start w:val="4"/>
      <w:numFmt w:val="japaneseCounting"/>
      <w:lvlText w:val="第%1篇"/>
      <w:lvlJc w:val="left"/>
      <w:pPr>
        <w:tabs>
          <w:tab w:val="left" w:pos="1080"/>
        </w:tabs>
        <w:ind w:left="1080" w:hanging="1080"/>
      </w:pPr>
      <w:rPr>
        <w:rFonts w:hint="default"/>
      </w:rPr>
    </w:lvl>
    <w:lvl w:ilvl="1" w:tentative="0">
      <w:start w:val="3"/>
      <w:numFmt w:val="japaneseCounting"/>
      <w:lvlText w:val="%2、"/>
      <w:lvlJc w:val="left"/>
      <w:pPr>
        <w:tabs>
          <w:tab w:val="left" w:pos="900"/>
        </w:tabs>
        <w:ind w:left="900" w:hanging="480"/>
      </w:pPr>
      <w:rPr>
        <w:rFonts w:hint="default"/>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2"/>
    <w:multiLevelType w:val="multilevel"/>
    <w:tmpl w:val="00000012"/>
    <w:lvl w:ilvl="0" w:tentative="0">
      <w:start w:val="1"/>
      <w:numFmt w:val="bullet"/>
      <w:pStyle w:val="9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13"/>
    <w:multiLevelType w:val="multilevel"/>
    <w:tmpl w:val="00000013"/>
    <w:lvl w:ilvl="0" w:tentative="0">
      <w:start w:val="1"/>
      <w:numFmt w:val="decimal"/>
      <w:pStyle w:val="112"/>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16"/>
    <w:multiLevelType w:val="multilevel"/>
    <w:tmpl w:val="00000016"/>
    <w:lvl w:ilvl="0" w:tentative="0">
      <w:start w:val="1"/>
      <w:numFmt w:val="decimal"/>
      <w:pStyle w:val="14"/>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0"/>
    <w:multiLevelType w:val="multilevel"/>
    <w:tmpl w:val="00000020"/>
    <w:lvl w:ilvl="0" w:tentative="0">
      <w:start w:val="1"/>
      <w:numFmt w:val="bullet"/>
      <w:pStyle w:val="93"/>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21"/>
    <w:multiLevelType w:val="multilevel"/>
    <w:tmpl w:val="00000021"/>
    <w:lvl w:ilvl="0" w:tentative="0">
      <w:start w:val="1"/>
      <w:numFmt w:val="chineseCounting"/>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28"/>
    <w:multiLevelType w:val="multilevel"/>
    <w:tmpl w:val="00000028"/>
    <w:lvl w:ilvl="0" w:tentative="0">
      <w:start w:val="1"/>
      <w:numFmt w:val="japaneseCounting"/>
      <w:lvlText w:val="第%1篇"/>
      <w:lvlJc w:val="left"/>
      <w:pPr>
        <w:ind w:left="1080" w:hanging="1080"/>
      </w:pPr>
      <w:rPr>
        <w:rFonts w:hint="default"/>
      </w:rPr>
    </w:lvl>
    <w:lvl w:ilvl="1" w:tentative="0">
      <w:start w:val="1"/>
      <w:numFmt w:val="japaneseCounting"/>
      <w:lvlText w:val="（%2）"/>
      <w:lvlJc w:val="left"/>
      <w:pPr>
        <w:ind w:left="1185" w:hanging="76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9"/>
    <w:multiLevelType w:val="multilevel"/>
    <w:tmpl w:val="00000029"/>
    <w:lvl w:ilvl="0" w:tentative="0">
      <w:start w:val="1"/>
      <w:numFmt w:val="bullet"/>
      <w:pStyle w:val="48"/>
      <w:lvlText w:val=""/>
      <w:lvlJc w:val="left"/>
      <w:pPr>
        <w:tabs>
          <w:tab w:val="left" w:pos="2121"/>
        </w:tabs>
        <w:ind w:left="2121" w:hanging="420"/>
      </w:pPr>
      <w:rPr>
        <w:rFonts w:hint="default" w:ascii="Wingdings" w:hAnsi="Wingdings"/>
      </w:rPr>
    </w:lvl>
    <w:lvl w:ilvl="1" w:tentative="0">
      <w:start w:val="1"/>
      <w:numFmt w:val="bullet"/>
      <w:lvlText w:val=""/>
      <w:lvlJc w:val="left"/>
      <w:pPr>
        <w:tabs>
          <w:tab w:val="left" w:pos="2541"/>
        </w:tabs>
        <w:ind w:left="2541" w:hanging="420"/>
      </w:pPr>
      <w:rPr>
        <w:rFonts w:hint="default" w:ascii="Wingdings" w:hAnsi="Wingdings"/>
      </w:rPr>
    </w:lvl>
    <w:lvl w:ilvl="2" w:tentative="0">
      <w:start w:val="1"/>
      <w:numFmt w:val="bullet"/>
      <w:lvlText w:val=""/>
      <w:lvlJc w:val="left"/>
      <w:pPr>
        <w:tabs>
          <w:tab w:val="left" w:pos="2961"/>
        </w:tabs>
        <w:ind w:left="2961" w:hanging="420"/>
      </w:pPr>
      <w:rPr>
        <w:rFonts w:hint="default" w:ascii="Wingdings" w:hAnsi="Wingdings"/>
      </w:rPr>
    </w:lvl>
    <w:lvl w:ilvl="3" w:tentative="0">
      <w:start w:val="1"/>
      <w:numFmt w:val="bullet"/>
      <w:lvlText w:val=""/>
      <w:lvlJc w:val="left"/>
      <w:pPr>
        <w:tabs>
          <w:tab w:val="left" w:pos="3381"/>
        </w:tabs>
        <w:ind w:left="3381" w:hanging="420"/>
      </w:pPr>
      <w:rPr>
        <w:rFonts w:hint="default" w:ascii="Wingdings" w:hAnsi="Wingdings"/>
      </w:rPr>
    </w:lvl>
    <w:lvl w:ilvl="4" w:tentative="0">
      <w:start w:val="1"/>
      <w:numFmt w:val="bullet"/>
      <w:lvlText w:val=""/>
      <w:lvlJc w:val="left"/>
      <w:pPr>
        <w:tabs>
          <w:tab w:val="left" w:pos="3801"/>
        </w:tabs>
        <w:ind w:left="3801" w:hanging="420"/>
      </w:pPr>
      <w:rPr>
        <w:rFonts w:hint="default" w:ascii="Wingdings" w:hAnsi="Wingdings"/>
      </w:rPr>
    </w:lvl>
    <w:lvl w:ilvl="5" w:tentative="0">
      <w:start w:val="1"/>
      <w:numFmt w:val="bullet"/>
      <w:lvlText w:val=""/>
      <w:lvlJc w:val="left"/>
      <w:pPr>
        <w:tabs>
          <w:tab w:val="left" w:pos="4221"/>
        </w:tabs>
        <w:ind w:left="4221" w:hanging="420"/>
      </w:pPr>
      <w:rPr>
        <w:rFonts w:hint="default" w:ascii="Wingdings" w:hAnsi="Wingdings"/>
      </w:rPr>
    </w:lvl>
    <w:lvl w:ilvl="6" w:tentative="0">
      <w:start w:val="1"/>
      <w:numFmt w:val="bullet"/>
      <w:lvlText w:val=""/>
      <w:lvlJc w:val="left"/>
      <w:pPr>
        <w:tabs>
          <w:tab w:val="left" w:pos="4641"/>
        </w:tabs>
        <w:ind w:left="4641" w:hanging="420"/>
      </w:pPr>
      <w:rPr>
        <w:rFonts w:hint="default" w:ascii="Wingdings" w:hAnsi="Wingdings"/>
      </w:rPr>
    </w:lvl>
    <w:lvl w:ilvl="7" w:tentative="0">
      <w:start w:val="1"/>
      <w:numFmt w:val="bullet"/>
      <w:lvlText w:val=""/>
      <w:lvlJc w:val="left"/>
      <w:pPr>
        <w:tabs>
          <w:tab w:val="left" w:pos="5061"/>
        </w:tabs>
        <w:ind w:left="5061" w:hanging="420"/>
      </w:pPr>
      <w:rPr>
        <w:rFonts w:hint="default" w:ascii="Wingdings" w:hAnsi="Wingdings"/>
      </w:rPr>
    </w:lvl>
    <w:lvl w:ilvl="8" w:tentative="0">
      <w:start w:val="1"/>
      <w:numFmt w:val="bullet"/>
      <w:lvlText w:val=""/>
      <w:lvlJc w:val="left"/>
      <w:pPr>
        <w:tabs>
          <w:tab w:val="left" w:pos="5481"/>
        </w:tabs>
        <w:ind w:left="5481" w:hanging="420"/>
      </w:pPr>
      <w:rPr>
        <w:rFonts w:hint="default" w:ascii="Wingdings" w:hAnsi="Wingdings"/>
      </w:rPr>
    </w:lvl>
  </w:abstractNum>
  <w:abstractNum w:abstractNumId="11">
    <w:nsid w:val="00000031"/>
    <w:multiLevelType w:val="multilevel"/>
    <w:tmpl w:val="00000031"/>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E4E10CF"/>
    <w:multiLevelType w:val="singleLevel"/>
    <w:tmpl w:val="0E4E10CF"/>
    <w:lvl w:ilvl="0" w:tentative="0">
      <w:start w:val="1"/>
      <w:numFmt w:val="chineseCounting"/>
      <w:suff w:val="nothing"/>
      <w:lvlText w:val="%1、"/>
      <w:lvlJc w:val="left"/>
      <w:pPr>
        <w:ind w:left="160" w:leftChars="0" w:firstLine="0" w:firstLineChars="0"/>
      </w:pPr>
      <w:rPr>
        <w:rFonts w:hint="eastAsia"/>
      </w:rPr>
    </w:lvl>
  </w:abstractNum>
  <w:abstractNum w:abstractNumId="13">
    <w:nsid w:val="21BBEE17"/>
    <w:multiLevelType w:val="singleLevel"/>
    <w:tmpl w:val="21BBEE17"/>
    <w:lvl w:ilvl="0" w:tentative="0">
      <w:start w:val="5"/>
      <w:numFmt w:val="chineseCounting"/>
      <w:suff w:val="space"/>
      <w:lvlText w:val="第%1部分"/>
      <w:lvlJc w:val="left"/>
      <w:rPr>
        <w:rFonts w:hint="eastAsia"/>
      </w:rPr>
    </w:lvl>
  </w:abstractNum>
  <w:abstractNum w:abstractNumId="14">
    <w:nsid w:val="2727DD9B"/>
    <w:multiLevelType w:val="multilevel"/>
    <w:tmpl w:val="2727DD9B"/>
    <w:lvl w:ilvl="0" w:tentative="0">
      <w:start w:val="1"/>
      <w:numFmt w:val="decimal"/>
      <w:pStyle w:val="15"/>
      <w:lvlText w:val="%1、"/>
      <w:lvlJc w:val="left"/>
      <w:pPr>
        <w:tabs>
          <w:tab w:val="left" w:pos="420"/>
        </w:tabs>
        <w:ind w:left="840" w:hanging="420"/>
      </w:pPr>
      <w:rPr>
        <w:rFonts w:ascii="Times New Roman" w:hAnsi="Times New Roman" w:eastAsia="Times New Roman" w:cs="Times New Roman"/>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5">
    <w:nsid w:val="28910231"/>
    <w:multiLevelType w:val="singleLevel"/>
    <w:tmpl w:val="28910231"/>
    <w:lvl w:ilvl="0" w:tentative="0">
      <w:start w:val="1"/>
      <w:numFmt w:val="decimal"/>
      <w:suff w:val="nothing"/>
      <w:lvlText w:val="%1、"/>
      <w:lvlJc w:val="left"/>
      <w:rPr>
        <w:b/>
      </w:rPr>
    </w:lvl>
  </w:abstractNum>
  <w:abstractNum w:abstractNumId="16">
    <w:nsid w:val="2B923B16"/>
    <w:multiLevelType w:val="singleLevel"/>
    <w:tmpl w:val="2B923B16"/>
    <w:lvl w:ilvl="0" w:tentative="0">
      <w:start w:val="1"/>
      <w:numFmt w:val="decimal"/>
      <w:suff w:val="nothing"/>
      <w:lvlText w:val="（%1）"/>
      <w:lvlJc w:val="left"/>
    </w:lvl>
  </w:abstractNum>
  <w:abstractNum w:abstractNumId="17">
    <w:nsid w:val="37402185"/>
    <w:multiLevelType w:val="singleLevel"/>
    <w:tmpl w:val="37402185"/>
    <w:lvl w:ilvl="0" w:tentative="0">
      <w:start w:val="1"/>
      <w:numFmt w:val="decimal"/>
      <w:pStyle w:val="23"/>
      <w:lvlText w:val="%1."/>
      <w:lvlJc w:val="left"/>
      <w:pPr>
        <w:tabs>
          <w:tab w:val="left" w:pos="1200"/>
        </w:tabs>
        <w:ind w:left="1200" w:hanging="360"/>
      </w:pPr>
    </w:lvl>
  </w:abstractNum>
  <w:abstractNum w:abstractNumId="18">
    <w:nsid w:val="52F421C6"/>
    <w:multiLevelType w:val="singleLevel"/>
    <w:tmpl w:val="52F421C6"/>
    <w:lvl w:ilvl="0" w:tentative="0">
      <w:start w:val="1"/>
      <w:numFmt w:val="chineseCounting"/>
      <w:suff w:val="nothing"/>
      <w:lvlText w:val="%1、"/>
      <w:lvlJc w:val="left"/>
      <w:pPr>
        <w:ind w:left="0" w:firstLine="420"/>
      </w:pPr>
      <w:rPr>
        <w:rFonts w:hint="eastAsia"/>
      </w:rPr>
    </w:lvl>
  </w:abstractNum>
  <w:abstractNum w:abstractNumId="19">
    <w:nsid w:val="57289543"/>
    <w:multiLevelType w:val="singleLevel"/>
    <w:tmpl w:val="57289543"/>
    <w:lvl w:ilvl="0" w:tentative="0">
      <w:start w:val="7"/>
      <w:numFmt w:val="decimal"/>
      <w:suff w:val="nothing"/>
      <w:lvlText w:val="%1)"/>
      <w:lvlJc w:val="left"/>
    </w:lvl>
  </w:abstractNum>
  <w:abstractNum w:abstractNumId="20">
    <w:nsid w:val="7809F481"/>
    <w:multiLevelType w:val="singleLevel"/>
    <w:tmpl w:val="7809F481"/>
    <w:lvl w:ilvl="0" w:tentative="0">
      <w:start w:val="1"/>
      <w:numFmt w:val="decimal"/>
      <w:lvlText w:val="(%1)"/>
      <w:lvlJc w:val="left"/>
      <w:pPr>
        <w:tabs>
          <w:tab w:val="left" w:pos="312"/>
        </w:tabs>
      </w:pPr>
    </w:lvl>
  </w:abstractNum>
  <w:num w:numId="1">
    <w:abstractNumId w:val="6"/>
  </w:num>
  <w:num w:numId="2">
    <w:abstractNumId w:val="14"/>
  </w:num>
  <w:num w:numId="3">
    <w:abstractNumId w:val="17"/>
  </w:num>
  <w:num w:numId="4">
    <w:abstractNumId w:val="10"/>
  </w:num>
  <w:num w:numId="5">
    <w:abstractNumId w:val="7"/>
  </w:num>
  <w:num w:numId="6">
    <w:abstractNumId w:val="4"/>
  </w:num>
  <w:num w:numId="7">
    <w:abstractNumId w:val="2"/>
  </w:num>
  <w:num w:numId="8">
    <w:abstractNumId w:val="5"/>
  </w:num>
  <w:num w:numId="9">
    <w:abstractNumId w:val="11"/>
  </w:num>
  <w:num w:numId="10">
    <w:abstractNumId w:val="9"/>
  </w:num>
  <w:num w:numId="11">
    <w:abstractNumId w:val="12"/>
  </w:num>
  <w:num w:numId="12">
    <w:abstractNumId w:val="3"/>
  </w:num>
  <w:num w:numId="13">
    <w:abstractNumId w:val="19"/>
  </w:num>
  <w:num w:numId="14">
    <w:abstractNumId w:val="8"/>
  </w:num>
  <w:num w:numId="15">
    <w:abstractNumId w:val="20"/>
  </w:num>
  <w:num w:numId="16">
    <w:abstractNumId w:val="16"/>
  </w:num>
  <w:num w:numId="17">
    <w:abstractNumId w:val="0"/>
  </w:num>
  <w:num w:numId="18">
    <w:abstractNumId w:val="15"/>
  </w:num>
  <w:num w:numId="19">
    <w:abstractNumId w:val="1"/>
  </w:num>
  <w:num w:numId="20">
    <w:abstractNumId w:val="18"/>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cumentProtection w:enforcement="0"/>
  <w:defaultTabStop w:val="720"/>
  <w:drawingGridHorizontalSpacing w:val="120"/>
  <w:drawingGridVerticalSpacing w:val="163"/>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4NTA2YWU1MjQyNzVkMWQ5MjQwZWJhMjQyNTlhNTEifQ=="/>
  </w:docVars>
  <w:rsids>
    <w:rsidRoot w:val="00172A27"/>
    <w:rsid w:val="00003320"/>
    <w:rsid w:val="00010435"/>
    <w:rsid w:val="0002249C"/>
    <w:rsid w:val="00027890"/>
    <w:rsid w:val="000310C4"/>
    <w:rsid w:val="00036141"/>
    <w:rsid w:val="00055CD6"/>
    <w:rsid w:val="00060BFF"/>
    <w:rsid w:val="000656BF"/>
    <w:rsid w:val="00075200"/>
    <w:rsid w:val="000823D9"/>
    <w:rsid w:val="00086422"/>
    <w:rsid w:val="000E3D5A"/>
    <w:rsid w:val="000F69BF"/>
    <w:rsid w:val="00106809"/>
    <w:rsid w:val="00113D74"/>
    <w:rsid w:val="00114009"/>
    <w:rsid w:val="0011439F"/>
    <w:rsid w:val="00114927"/>
    <w:rsid w:val="00124125"/>
    <w:rsid w:val="00135223"/>
    <w:rsid w:val="00145E79"/>
    <w:rsid w:val="00152EFD"/>
    <w:rsid w:val="001617C8"/>
    <w:rsid w:val="00172A27"/>
    <w:rsid w:val="001749FA"/>
    <w:rsid w:val="001B549E"/>
    <w:rsid w:val="001B72E4"/>
    <w:rsid w:val="001C49E6"/>
    <w:rsid w:val="001C51E0"/>
    <w:rsid w:val="001D4260"/>
    <w:rsid w:val="001E2687"/>
    <w:rsid w:val="001E68CA"/>
    <w:rsid w:val="002002A4"/>
    <w:rsid w:val="00201FF9"/>
    <w:rsid w:val="00216ABC"/>
    <w:rsid w:val="002172C9"/>
    <w:rsid w:val="00217AB8"/>
    <w:rsid w:val="002326CA"/>
    <w:rsid w:val="0025621E"/>
    <w:rsid w:val="00265319"/>
    <w:rsid w:val="00265A37"/>
    <w:rsid w:val="00267764"/>
    <w:rsid w:val="00270A95"/>
    <w:rsid w:val="002877C1"/>
    <w:rsid w:val="002908F6"/>
    <w:rsid w:val="00291FAB"/>
    <w:rsid w:val="002C0888"/>
    <w:rsid w:val="002C53F2"/>
    <w:rsid w:val="002D14E4"/>
    <w:rsid w:val="002D4AB1"/>
    <w:rsid w:val="002D687C"/>
    <w:rsid w:val="002E58AE"/>
    <w:rsid w:val="003537B6"/>
    <w:rsid w:val="00354336"/>
    <w:rsid w:val="003613BD"/>
    <w:rsid w:val="00376337"/>
    <w:rsid w:val="003824C3"/>
    <w:rsid w:val="00391ED7"/>
    <w:rsid w:val="00393E42"/>
    <w:rsid w:val="003A2560"/>
    <w:rsid w:val="003C228D"/>
    <w:rsid w:val="003C2F31"/>
    <w:rsid w:val="00414870"/>
    <w:rsid w:val="004167E4"/>
    <w:rsid w:val="004207FB"/>
    <w:rsid w:val="0044257A"/>
    <w:rsid w:val="0045071E"/>
    <w:rsid w:val="0046288B"/>
    <w:rsid w:val="00465BC3"/>
    <w:rsid w:val="00473DA1"/>
    <w:rsid w:val="004D1919"/>
    <w:rsid w:val="004D2652"/>
    <w:rsid w:val="005471BA"/>
    <w:rsid w:val="00553F3A"/>
    <w:rsid w:val="00555F92"/>
    <w:rsid w:val="00563F71"/>
    <w:rsid w:val="005663EA"/>
    <w:rsid w:val="00585BAB"/>
    <w:rsid w:val="005A06DF"/>
    <w:rsid w:val="005A5A0D"/>
    <w:rsid w:val="005B5C14"/>
    <w:rsid w:val="005C3A06"/>
    <w:rsid w:val="005C7F93"/>
    <w:rsid w:val="005E0DBE"/>
    <w:rsid w:val="005F37C4"/>
    <w:rsid w:val="006023DD"/>
    <w:rsid w:val="006071A1"/>
    <w:rsid w:val="00636A66"/>
    <w:rsid w:val="00637720"/>
    <w:rsid w:val="006421D2"/>
    <w:rsid w:val="00643C95"/>
    <w:rsid w:val="006529BE"/>
    <w:rsid w:val="00661DDF"/>
    <w:rsid w:val="00662A8A"/>
    <w:rsid w:val="00675141"/>
    <w:rsid w:val="006B678C"/>
    <w:rsid w:val="006C4ED2"/>
    <w:rsid w:val="006E2C33"/>
    <w:rsid w:val="006F7565"/>
    <w:rsid w:val="00722579"/>
    <w:rsid w:val="007266BA"/>
    <w:rsid w:val="00737573"/>
    <w:rsid w:val="0075111E"/>
    <w:rsid w:val="00766AFF"/>
    <w:rsid w:val="0079444F"/>
    <w:rsid w:val="007A6701"/>
    <w:rsid w:val="007B21FC"/>
    <w:rsid w:val="007B3581"/>
    <w:rsid w:val="007D280B"/>
    <w:rsid w:val="007F1FF8"/>
    <w:rsid w:val="007F2B89"/>
    <w:rsid w:val="00803F10"/>
    <w:rsid w:val="00813E25"/>
    <w:rsid w:val="00821042"/>
    <w:rsid w:val="00821BD7"/>
    <w:rsid w:val="00823A4E"/>
    <w:rsid w:val="00831E15"/>
    <w:rsid w:val="00835AD1"/>
    <w:rsid w:val="00847835"/>
    <w:rsid w:val="008A0878"/>
    <w:rsid w:val="008A3562"/>
    <w:rsid w:val="008B5078"/>
    <w:rsid w:val="008B52E4"/>
    <w:rsid w:val="008C4084"/>
    <w:rsid w:val="008C4968"/>
    <w:rsid w:val="008D2C58"/>
    <w:rsid w:val="008E129D"/>
    <w:rsid w:val="008E37B0"/>
    <w:rsid w:val="008E464C"/>
    <w:rsid w:val="008E4970"/>
    <w:rsid w:val="009009BC"/>
    <w:rsid w:val="00904619"/>
    <w:rsid w:val="00915614"/>
    <w:rsid w:val="00915F7F"/>
    <w:rsid w:val="00921F1A"/>
    <w:rsid w:val="009229CB"/>
    <w:rsid w:val="00926978"/>
    <w:rsid w:val="009368EA"/>
    <w:rsid w:val="009422CE"/>
    <w:rsid w:val="00944D1A"/>
    <w:rsid w:val="00951A8F"/>
    <w:rsid w:val="009628FD"/>
    <w:rsid w:val="009B27B4"/>
    <w:rsid w:val="009C6B18"/>
    <w:rsid w:val="009E2C75"/>
    <w:rsid w:val="009E6598"/>
    <w:rsid w:val="009F7268"/>
    <w:rsid w:val="00A03228"/>
    <w:rsid w:val="00A1101A"/>
    <w:rsid w:val="00A11A47"/>
    <w:rsid w:val="00A36EC6"/>
    <w:rsid w:val="00A37D41"/>
    <w:rsid w:val="00A52F6D"/>
    <w:rsid w:val="00A613B6"/>
    <w:rsid w:val="00A71C09"/>
    <w:rsid w:val="00A72DA8"/>
    <w:rsid w:val="00A752A6"/>
    <w:rsid w:val="00A82229"/>
    <w:rsid w:val="00A943C3"/>
    <w:rsid w:val="00A95831"/>
    <w:rsid w:val="00A975B4"/>
    <w:rsid w:val="00AA7D8C"/>
    <w:rsid w:val="00AB4015"/>
    <w:rsid w:val="00AC148A"/>
    <w:rsid w:val="00AF6912"/>
    <w:rsid w:val="00B04B0E"/>
    <w:rsid w:val="00B16495"/>
    <w:rsid w:val="00B225FD"/>
    <w:rsid w:val="00B248DA"/>
    <w:rsid w:val="00B50EA0"/>
    <w:rsid w:val="00B71A50"/>
    <w:rsid w:val="00B74DE3"/>
    <w:rsid w:val="00B80D89"/>
    <w:rsid w:val="00B818AE"/>
    <w:rsid w:val="00B96173"/>
    <w:rsid w:val="00BB48AD"/>
    <w:rsid w:val="00BB6F89"/>
    <w:rsid w:val="00BC02E2"/>
    <w:rsid w:val="00BE183C"/>
    <w:rsid w:val="00BE779E"/>
    <w:rsid w:val="00BF09ED"/>
    <w:rsid w:val="00BF27E1"/>
    <w:rsid w:val="00C00F5A"/>
    <w:rsid w:val="00C03F08"/>
    <w:rsid w:val="00C12379"/>
    <w:rsid w:val="00C16CB7"/>
    <w:rsid w:val="00C25C61"/>
    <w:rsid w:val="00C40AF8"/>
    <w:rsid w:val="00C41180"/>
    <w:rsid w:val="00C5753E"/>
    <w:rsid w:val="00C61390"/>
    <w:rsid w:val="00C62932"/>
    <w:rsid w:val="00C760CD"/>
    <w:rsid w:val="00C9047D"/>
    <w:rsid w:val="00C9061D"/>
    <w:rsid w:val="00C97323"/>
    <w:rsid w:val="00CB45F9"/>
    <w:rsid w:val="00CC3CDE"/>
    <w:rsid w:val="00CD0AE3"/>
    <w:rsid w:val="00CD3B80"/>
    <w:rsid w:val="00CE7558"/>
    <w:rsid w:val="00D17FB1"/>
    <w:rsid w:val="00D31F0D"/>
    <w:rsid w:val="00D34EDF"/>
    <w:rsid w:val="00D35C22"/>
    <w:rsid w:val="00D954DE"/>
    <w:rsid w:val="00DB7E8A"/>
    <w:rsid w:val="00DC735D"/>
    <w:rsid w:val="00DE49C8"/>
    <w:rsid w:val="00DF0CE0"/>
    <w:rsid w:val="00E023D0"/>
    <w:rsid w:val="00E419FA"/>
    <w:rsid w:val="00E438D2"/>
    <w:rsid w:val="00E53F8C"/>
    <w:rsid w:val="00E61200"/>
    <w:rsid w:val="00E63FBE"/>
    <w:rsid w:val="00E678C7"/>
    <w:rsid w:val="00E80F9B"/>
    <w:rsid w:val="00E82600"/>
    <w:rsid w:val="00E90F29"/>
    <w:rsid w:val="00EB1ABE"/>
    <w:rsid w:val="00EB4346"/>
    <w:rsid w:val="00ED1779"/>
    <w:rsid w:val="00EE7CA8"/>
    <w:rsid w:val="00EF189B"/>
    <w:rsid w:val="00EF6736"/>
    <w:rsid w:val="00EF6B76"/>
    <w:rsid w:val="00F014C7"/>
    <w:rsid w:val="00F02C24"/>
    <w:rsid w:val="00F04A9D"/>
    <w:rsid w:val="00F07594"/>
    <w:rsid w:val="00F31719"/>
    <w:rsid w:val="00F32C3A"/>
    <w:rsid w:val="00F53394"/>
    <w:rsid w:val="00F54AFB"/>
    <w:rsid w:val="00F67D80"/>
    <w:rsid w:val="00F718C6"/>
    <w:rsid w:val="00FC4DD8"/>
    <w:rsid w:val="00FC6B2E"/>
    <w:rsid w:val="00FD40C9"/>
    <w:rsid w:val="01016788"/>
    <w:rsid w:val="010B18A0"/>
    <w:rsid w:val="01101FD4"/>
    <w:rsid w:val="013511BC"/>
    <w:rsid w:val="01547328"/>
    <w:rsid w:val="01630778"/>
    <w:rsid w:val="01857C73"/>
    <w:rsid w:val="01964C25"/>
    <w:rsid w:val="01A12C3F"/>
    <w:rsid w:val="01CD1195"/>
    <w:rsid w:val="01D142D7"/>
    <w:rsid w:val="021F4C81"/>
    <w:rsid w:val="02414B92"/>
    <w:rsid w:val="028339A0"/>
    <w:rsid w:val="028366E4"/>
    <w:rsid w:val="02A56B80"/>
    <w:rsid w:val="02B5383F"/>
    <w:rsid w:val="02C560C8"/>
    <w:rsid w:val="02F741FF"/>
    <w:rsid w:val="03077BF2"/>
    <w:rsid w:val="03240B2D"/>
    <w:rsid w:val="03404A6C"/>
    <w:rsid w:val="035324D3"/>
    <w:rsid w:val="036719BE"/>
    <w:rsid w:val="03772BBD"/>
    <w:rsid w:val="038413BE"/>
    <w:rsid w:val="038C71B9"/>
    <w:rsid w:val="0396442E"/>
    <w:rsid w:val="03C53166"/>
    <w:rsid w:val="03E3700D"/>
    <w:rsid w:val="04082941"/>
    <w:rsid w:val="0437435F"/>
    <w:rsid w:val="043948C2"/>
    <w:rsid w:val="0441683D"/>
    <w:rsid w:val="04755FE3"/>
    <w:rsid w:val="04897AAE"/>
    <w:rsid w:val="048D3C72"/>
    <w:rsid w:val="04946A57"/>
    <w:rsid w:val="049E01CA"/>
    <w:rsid w:val="04A67F3F"/>
    <w:rsid w:val="04AA7A54"/>
    <w:rsid w:val="04DC1E95"/>
    <w:rsid w:val="05056F9C"/>
    <w:rsid w:val="053B507A"/>
    <w:rsid w:val="056B6415"/>
    <w:rsid w:val="056F7E9D"/>
    <w:rsid w:val="05A04252"/>
    <w:rsid w:val="05B531D5"/>
    <w:rsid w:val="05CF3167"/>
    <w:rsid w:val="05D17368"/>
    <w:rsid w:val="05D64E8C"/>
    <w:rsid w:val="05D70893"/>
    <w:rsid w:val="05D879EE"/>
    <w:rsid w:val="05E66954"/>
    <w:rsid w:val="05EF3BF5"/>
    <w:rsid w:val="061B4DCC"/>
    <w:rsid w:val="0631131C"/>
    <w:rsid w:val="065C4ACB"/>
    <w:rsid w:val="0684556E"/>
    <w:rsid w:val="06B72B51"/>
    <w:rsid w:val="06D773BE"/>
    <w:rsid w:val="07005EC6"/>
    <w:rsid w:val="07144968"/>
    <w:rsid w:val="071F2807"/>
    <w:rsid w:val="074D0B91"/>
    <w:rsid w:val="0754125A"/>
    <w:rsid w:val="07667537"/>
    <w:rsid w:val="076F789A"/>
    <w:rsid w:val="0784472B"/>
    <w:rsid w:val="079B0031"/>
    <w:rsid w:val="079F5559"/>
    <w:rsid w:val="07B00267"/>
    <w:rsid w:val="07B55B45"/>
    <w:rsid w:val="07E16810"/>
    <w:rsid w:val="08091249"/>
    <w:rsid w:val="08213B81"/>
    <w:rsid w:val="084C0B9D"/>
    <w:rsid w:val="0873640D"/>
    <w:rsid w:val="08783888"/>
    <w:rsid w:val="087D7A26"/>
    <w:rsid w:val="08AE00F7"/>
    <w:rsid w:val="08C30F20"/>
    <w:rsid w:val="08D1467C"/>
    <w:rsid w:val="08D23011"/>
    <w:rsid w:val="08DD3BDB"/>
    <w:rsid w:val="08ED6EB4"/>
    <w:rsid w:val="090029F5"/>
    <w:rsid w:val="093F4ABD"/>
    <w:rsid w:val="09583AE9"/>
    <w:rsid w:val="09717CB2"/>
    <w:rsid w:val="099F3397"/>
    <w:rsid w:val="09A37C42"/>
    <w:rsid w:val="09B71979"/>
    <w:rsid w:val="09CA4C87"/>
    <w:rsid w:val="09EC0032"/>
    <w:rsid w:val="0A1846AD"/>
    <w:rsid w:val="0A334DE9"/>
    <w:rsid w:val="0A3673D1"/>
    <w:rsid w:val="0A391C61"/>
    <w:rsid w:val="0A747C95"/>
    <w:rsid w:val="0A7E31A9"/>
    <w:rsid w:val="0A99628C"/>
    <w:rsid w:val="0AA12C61"/>
    <w:rsid w:val="0AA421E5"/>
    <w:rsid w:val="0AD50B07"/>
    <w:rsid w:val="0B0D3780"/>
    <w:rsid w:val="0B192E69"/>
    <w:rsid w:val="0B1E5674"/>
    <w:rsid w:val="0B3C7031"/>
    <w:rsid w:val="0B481D54"/>
    <w:rsid w:val="0B504CAD"/>
    <w:rsid w:val="0B567FBC"/>
    <w:rsid w:val="0BA32867"/>
    <w:rsid w:val="0C405D06"/>
    <w:rsid w:val="0C417DC3"/>
    <w:rsid w:val="0C5F45C4"/>
    <w:rsid w:val="0C6352C9"/>
    <w:rsid w:val="0C694A19"/>
    <w:rsid w:val="0C6E22F8"/>
    <w:rsid w:val="0C752414"/>
    <w:rsid w:val="0C781DA4"/>
    <w:rsid w:val="0CA4014A"/>
    <w:rsid w:val="0CC23CB2"/>
    <w:rsid w:val="0CD86DE7"/>
    <w:rsid w:val="0CE51F42"/>
    <w:rsid w:val="0CF9441B"/>
    <w:rsid w:val="0CFE63A4"/>
    <w:rsid w:val="0D0807FC"/>
    <w:rsid w:val="0D282054"/>
    <w:rsid w:val="0D33119A"/>
    <w:rsid w:val="0D4A2577"/>
    <w:rsid w:val="0D4D7EA2"/>
    <w:rsid w:val="0D596969"/>
    <w:rsid w:val="0D6D348A"/>
    <w:rsid w:val="0D9C0739"/>
    <w:rsid w:val="0DC77E1F"/>
    <w:rsid w:val="0DC87629"/>
    <w:rsid w:val="0DE500C7"/>
    <w:rsid w:val="0DFF5312"/>
    <w:rsid w:val="0E30061A"/>
    <w:rsid w:val="0E565A26"/>
    <w:rsid w:val="0E6759EA"/>
    <w:rsid w:val="0E693E94"/>
    <w:rsid w:val="0E88287D"/>
    <w:rsid w:val="0EAB15DF"/>
    <w:rsid w:val="0EB71B66"/>
    <w:rsid w:val="0EBD4ECC"/>
    <w:rsid w:val="0EC12B61"/>
    <w:rsid w:val="0ECB16D0"/>
    <w:rsid w:val="0F0F3E67"/>
    <w:rsid w:val="0F36681E"/>
    <w:rsid w:val="0F4B3B77"/>
    <w:rsid w:val="0F554B61"/>
    <w:rsid w:val="0F684139"/>
    <w:rsid w:val="0FA658B8"/>
    <w:rsid w:val="0FA725F9"/>
    <w:rsid w:val="0FB125A0"/>
    <w:rsid w:val="0FB82AB4"/>
    <w:rsid w:val="0FD32B55"/>
    <w:rsid w:val="0FF75B36"/>
    <w:rsid w:val="1007384E"/>
    <w:rsid w:val="107962EB"/>
    <w:rsid w:val="107D7A08"/>
    <w:rsid w:val="109E5300"/>
    <w:rsid w:val="10BF5108"/>
    <w:rsid w:val="10C4053D"/>
    <w:rsid w:val="10D064F7"/>
    <w:rsid w:val="10D24A7B"/>
    <w:rsid w:val="10D763F7"/>
    <w:rsid w:val="10DA580F"/>
    <w:rsid w:val="10DF7BBC"/>
    <w:rsid w:val="111909B9"/>
    <w:rsid w:val="111A2A3D"/>
    <w:rsid w:val="11244D2A"/>
    <w:rsid w:val="114253E0"/>
    <w:rsid w:val="11461A94"/>
    <w:rsid w:val="115D274C"/>
    <w:rsid w:val="115E3727"/>
    <w:rsid w:val="11B472DB"/>
    <w:rsid w:val="11EC1420"/>
    <w:rsid w:val="11EE2FAE"/>
    <w:rsid w:val="11FA2120"/>
    <w:rsid w:val="1207493D"/>
    <w:rsid w:val="120D27E9"/>
    <w:rsid w:val="123E0456"/>
    <w:rsid w:val="124364E9"/>
    <w:rsid w:val="12835C65"/>
    <w:rsid w:val="129E014D"/>
    <w:rsid w:val="12AC1D0D"/>
    <w:rsid w:val="12BA6A0A"/>
    <w:rsid w:val="12C2266E"/>
    <w:rsid w:val="12CB160F"/>
    <w:rsid w:val="12D77FEC"/>
    <w:rsid w:val="12DB00BA"/>
    <w:rsid w:val="12F90EE0"/>
    <w:rsid w:val="1306089F"/>
    <w:rsid w:val="13276FF6"/>
    <w:rsid w:val="134F0DA1"/>
    <w:rsid w:val="13693296"/>
    <w:rsid w:val="139726F4"/>
    <w:rsid w:val="139B4F53"/>
    <w:rsid w:val="13CE5FC4"/>
    <w:rsid w:val="13F53443"/>
    <w:rsid w:val="144C6770"/>
    <w:rsid w:val="147778EA"/>
    <w:rsid w:val="14943CCC"/>
    <w:rsid w:val="14BA4603"/>
    <w:rsid w:val="14CD7B2A"/>
    <w:rsid w:val="14F16B6F"/>
    <w:rsid w:val="14F865C3"/>
    <w:rsid w:val="14FD2DF1"/>
    <w:rsid w:val="150F189B"/>
    <w:rsid w:val="1517294D"/>
    <w:rsid w:val="153642D6"/>
    <w:rsid w:val="15457698"/>
    <w:rsid w:val="154A5906"/>
    <w:rsid w:val="155558C2"/>
    <w:rsid w:val="15753037"/>
    <w:rsid w:val="158A75E1"/>
    <w:rsid w:val="1592511B"/>
    <w:rsid w:val="159C567E"/>
    <w:rsid w:val="15A520DA"/>
    <w:rsid w:val="15BA178C"/>
    <w:rsid w:val="15C0221F"/>
    <w:rsid w:val="15D77617"/>
    <w:rsid w:val="15D85E33"/>
    <w:rsid w:val="15E6513C"/>
    <w:rsid w:val="15E819C1"/>
    <w:rsid w:val="15F81571"/>
    <w:rsid w:val="161124BB"/>
    <w:rsid w:val="16483E1A"/>
    <w:rsid w:val="16554F68"/>
    <w:rsid w:val="165B5F0F"/>
    <w:rsid w:val="166320D6"/>
    <w:rsid w:val="166C4896"/>
    <w:rsid w:val="167B7AAC"/>
    <w:rsid w:val="169140C1"/>
    <w:rsid w:val="169B4AF9"/>
    <w:rsid w:val="16CA385E"/>
    <w:rsid w:val="16DA4D80"/>
    <w:rsid w:val="16DB0595"/>
    <w:rsid w:val="16DF2F08"/>
    <w:rsid w:val="16E051E8"/>
    <w:rsid w:val="16ED26EB"/>
    <w:rsid w:val="17066EDE"/>
    <w:rsid w:val="1713214D"/>
    <w:rsid w:val="17945C52"/>
    <w:rsid w:val="17970727"/>
    <w:rsid w:val="17DD1C51"/>
    <w:rsid w:val="18092CD5"/>
    <w:rsid w:val="180D00A7"/>
    <w:rsid w:val="181A6207"/>
    <w:rsid w:val="18214341"/>
    <w:rsid w:val="18336B8F"/>
    <w:rsid w:val="1874792B"/>
    <w:rsid w:val="18C00D35"/>
    <w:rsid w:val="18D13A9A"/>
    <w:rsid w:val="18DE453C"/>
    <w:rsid w:val="18E514CE"/>
    <w:rsid w:val="18F87670"/>
    <w:rsid w:val="190848C5"/>
    <w:rsid w:val="190A3B3E"/>
    <w:rsid w:val="191306DF"/>
    <w:rsid w:val="191474B7"/>
    <w:rsid w:val="192616BB"/>
    <w:rsid w:val="192C0FEE"/>
    <w:rsid w:val="19331160"/>
    <w:rsid w:val="19415AC1"/>
    <w:rsid w:val="19496281"/>
    <w:rsid w:val="196F6FC1"/>
    <w:rsid w:val="19711A8D"/>
    <w:rsid w:val="19992BD1"/>
    <w:rsid w:val="19AB5ACC"/>
    <w:rsid w:val="19C3351E"/>
    <w:rsid w:val="19CA0483"/>
    <w:rsid w:val="1A1D464D"/>
    <w:rsid w:val="1A6E6871"/>
    <w:rsid w:val="1A8635C8"/>
    <w:rsid w:val="1AB56D4E"/>
    <w:rsid w:val="1ADA1355"/>
    <w:rsid w:val="1B006539"/>
    <w:rsid w:val="1B194961"/>
    <w:rsid w:val="1B195DEC"/>
    <w:rsid w:val="1B285C20"/>
    <w:rsid w:val="1B4A6BAE"/>
    <w:rsid w:val="1B4B370A"/>
    <w:rsid w:val="1B537FF8"/>
    <w:rsid w:val="1B767B01"/>
    <w:rsid w:val="1B860FD9"/>
    <w:rsid w:val="1BB05E26"/>
    <w:rsid w:val="1BC40E99"/>
    <w:rsid w:val="1BC8314E"/>
    <w:rsid w:val="1BCA7890"/>
    <w:rsid w:val="1BCB6A47"/>
    <w:rsid w:val="1BFB1779"/>
    <w:rsid w:val="1BFD00F2"/>
    <w:rsid w:val="1C1327C3"/>
    <w:rsid w:val="1C3670C8"/>
    <w:rsid w:val="1C43363D"/>
    <w:rsid w:val="1C4628F7"/>
    <w:rsid w:val="1C5E28E7"/>
    <w:rsid w:val="1C79295A"/>
    <w:rsid w:val="1C9466B0"/>
    <w:rsid w:val="1C974E74"/>
    <w:rsid w:val="1CA03602"/>
    <w:rsid w:val="1CC16689"/>
    <w:rsid w:val="1CCC24BC"/>
    <w:rsid w:val="1CE512E6"/>
    <w:rsid w:val="1CEF2480"/>
    <w:rsid w:val="1D061139"/>
    <w:rsid w:val="1D870AB9"/>
    <w:rsid w:val="1D8A0E3C"/>
    <w:rsid w:val="1D8F4459"/>
    <w:rsid w:val="1D9254CD"/>
    <w:rsid w:val="1DA15E50"/>
    <w:rsid w:val="1DB27B15"/>
    <w:rsid w:val="1DB87E85"/>
    <w:rsid w:val="1DC85751"/>
    <w:rsid w:val="1DC934BA"/>
    <w:rsid w:val="1DEB61F5"/>
    <w:rsid w:val="1E0A627C"/>
    <w:rsid w:val="1E16086E"/>
    <w:rsid w:val="1E3A6AB1"/>
    <w:rsid w:val="1E80319B"/>
    <w:rsid w:val="1E885A3B"/>
    <w:rsid w:val="1E927FD6"/>
    <w:rsid w:val="1E9860A5"/>
    <w:rsid w:val="1EA838E7"/>
    <w:rsid w:val="1ED20877"/>
    <w:rsid w:val="1ED94E4B"/>
    <w:rsid w:val="1EDE5D5E"/>
    <w:rsid w:val="1EF77DC5"/>
    <w:rsid w:val="1F383ACC"/>
    <w:rsid w:val="1F394458"/>
    <w:rsid w:val="1F596305"/>
    <w:rsid w:val="1F8811C7"/>
    <w:rsid w:val="1F9062F5"/>
    <w:rsid w:val="1FEB5C6A"/>
    <w:rsid w:val="1FFF5A5F"/>
    <w:rsid w:val="202209B9"/>
    <w:rsid w:val="20280066"/>
    <w:rsid w:val="202C0E96"/>
    <w:rsid w:val="20304AD2"/>
    <w:rsid w:val="203B6599"/>
    <w:rsid w:val="204F6722"/>
    <w:rsid w:val="20782C9F"/>
    <w:rsid w:val="20902778"/>
    <w:rsid w:val="20AF30C4"/>
    <w:rsid w:val="20C20F88"/>
    <w:rsid w:val="20FD5C7C"/>
    <w:rsid w:val="21096CBA"/>
    <w:rsid w:val="21142ADE"/>
    <w:rsid w:val="2115662C"/>
    <w:rsid w:val="211E06F8"/>
    <w:rsid w:val="21361A04"/>
    <w:rsid w:val="214418DF"/>
    <w:rsid w:val="21B95143"/>
    <w:rsid w:val="21C04FD1"/>
    <w:rsid w:val="21D51B3D"/>
    <w:rsid w:val="21ED2497"/>
    <w:rsid w:val="21FE0CB2"/>
    <w:rsid w:val="2201295E"/>
    <w:rsid w:val="220D6242"/>
    <w:rsid w:val="22196712"/>
    <w:rsid w:val="2272212A"/>
    <w:rsid w:val="22D6119B"/>
    <w:rsid w:val="22EC4950"/>
    <w:rsid w:val="22ED5F44"/>
    <w:rsid w:val="22FC0F78"/>
    <w:rsid w:val="23197F12"/>
    <w:rsid w:val="231A56E2"/>
    <w:rsid w:val="231F7C19"/>
    <w:rsid w:val="232B5FAF"/>
    <w:rsid w:val="233F76E0"/>
    <w:rsid w:val="23481CC9"/>
    <w:rsid w:val="235F1272"/>
    <w:rsid w:val="23AE10BA"/>
    <w:rsid w:val="23E56B32"/>
    <w:rsid w:val="24142B46"/>
    <w:rsid w:val="24183F62"/>
    <w:rsid w:val="241D037F"/>
    <w:rsid w:val="2433149D"/>
    <w:rsid w:val="246270E4"/>
    <w:rsid w:val="24703D25"/>
    <w:rsid w:val="24772C2B"/>
    <w:rsid w:val="248B2E3F"/>
    <w:rsid w:val="24DF22D5"/>
    <w:rsid w:val="25241FCD"/>
    <w:rsid w:val="25314C51"/>
    <w:rsid w:val="257008BE"/>
    <w:rsid w:val="258A0443"/>
    <w:rsid w:val="25E86FC2"/>
    <w:rsid w:val="260C3AE7"/>
    <w:rsid w:val="261B35E2"/>
    <w:rsid w:val="261D7A35"/>
    <w:rsid w:val="263A612D"/>
    <w:rsid w:val="26483965"/>
    <w:rsid w:val="26684108"/>
    <w:rsid w:val="268B0B22"/>
    <w:rsid w:val="26BB607A"/>
    <w:rsid w:val="26BB7E4E"/>
    <w:rsid w:val="26C10F08"/>
    <w:rsid w:val="26D075A8"/>
    <w:rsid w:val="26D17DBC"/>
    <w:rsid w:val="26D24757"/>
    <w:rsid w:val="274D17E4"/>
    <w:rsid w:val="27506176"/>
    <w:rsid w:val="275D4096"/>
    <w:rsid w:val="276C3DD0"/>
    <w:rsid w:val="277B4947"/>
    <w:rsid w:val="27A57C3A"/>
    <w:rsid w:val="27D20BC1"/>
    <w:rsid w:val="27EB7AF0"/>
    <w:rsid w:val="280553D3"/>
    <w:rsid w:val="280F6C60"/>
    <w:rsid w:val="281253C2"/>
    <w:rsid w:val="28163476"/>
    <w:rsid w:val="282455AC"/>
    <w:rsid w:val="28261D0F"/>
    <w:rsid w:val="2838738D"/>
    <w:rsid w:val="286F250E"/>
    <w:rsid w:val="287D2504"/>
    <w:rsid w:val="2886147E"/>
    <w:rsid w:val="28A87389"/>
    <w:rsid w:val="28AB0694"/>
    <w:rsid w:val="28AE6A69"/>
    <w:rsid w:val="28B81772"/>
    <w:rsid w:val="28E6171F"/>
    <w:rsid w:val="290A4DA8"/>
    <w:rsid w:val="291176CC"/>
    <w:rsid w:val="291C67BC"/>
    <w:rsid w:val="2944347B"/>
    <w:rsid w:val="29503AAE"/>
    <w:rsid w:val="29573123"/>
    <w:rsid w:val="297F7A53"/>
    <w:rsid w:val="2992095F"/>
    <w:rsid w:val="29AC6651"/>
    <w:rsid w:val="29C4608A"/>
    <w:rsid w:val="29E769C8"/>
    <w:rsid w:val="29F21662"/>
    <w:rsid w:val="29F51AC1"/>
    <w:rsid w:val="29F51D07"/>
    <w:rsid w:val="29FC30C2"/>
    <w:rsid w:val="2A406B43"/>
    <w:rsid w:val="2A481CFC"/>
    <w:rsid w:val="2A6D3E9B"/>
    <w:rsid w:val="2A706411"/>
    <w:rsid w:val="2A783D0E"/>
    <w:rsid w:val="2A9C0461"/>
    <w:rsid w:val="2AD0515C"/>
    <w:rsid w:val="2ADA687F"/>
    <w:rsid w:val="2AE8528D"/>
    <w:rsid w:val="2AF16E8B"/>
    <w:rsid w:val="2B0B7CEC"/>
    <w:rsid w:val="2B27452A"/>
    <w:rsid w:val="2B2D4BDC"/>
    <w:rsid w:val="2B4503EF"/>
    <w:rsid w:val="2B767712"/>
    <w:rsid w:val="2BBA7AC6"/>
    <w:rsid w:val="2BFC26B9"/>
    <w:rsid w:val="2BFF2965"/>
    <w:rsid w:val="2C3C0A88"/>
    <w:rsid w:val="2C51001B"/>
    <w:rsid w:val="2C596FFF"/>
    <w:rsid w:val="2C906216"/>
    <w:rsid w:val="2C9A17D6"/>
    <w:rsid w:val="2CA6566A"/>
    <w:rsid w:val="2CAE7599"/>
    <w:rsid w:val="2CB749B3"/>
    <w:rsid w:val="2CBB6294"/>
    <w:rsid w:val="2CBF39BD"/>
    <w:rsid w:val="2D016EDC"/>
    <w:rsid w:val="2D2E04D4"/>
    <w:rsid w:val="2D2F6517"/>
    <w:rsid w:val="2D3878C4"/>
    <w:rsid w:val="2D3A4057"/>
    <w:rsid w:val="2D5343E6"/>
    <w:rsid w:val="2D994DBE"/>
    <w:rsid w:val="2DD14453"/>
    <w:rsid w:val="2DD53F02"/>
    <w:rsid w:val="2E0A0263"/>
    <w:rsid w:val="2E73484D"/>
    <w:rsid w:val="2E734C4D"/>
    <w:rsid w:val="2E9A7164"/>
    <w:rsid w:val="2ED21188"/>
    <w:rsid w:val="2EE1137A"/>
    <w:rsid w:val="2EE6759F"/>
    <w:rsid w:val="2EEB0819"/>
    <w:rsid w:val="2EF44200"/>
    <w:rsid w:val="2F010E90"/>
    <w:rsid w:val="2F0A6300"/>
    <w:rsid w:val="2F0C69E6"/>
    <w:rsid w:val="2F0D5CED"/>
    <w:rsid w:val="2F110235"/>
    <w:rsid w:val="2F16689C"/>
    <w:rsid w:val="2F1C6FC0"/>
    <w:rsid w:val="2F236129"/>
    <w:rsid w:val="2F2C56BA"/>
    <w:rsid w:val="2F2D0218"/>
    <w:rsid w:val="2F356A16"/>
    <w:rsid w:val="2F4614DA"/>
    <w:rsid w:val="2F636A54"/>
    <w:rsid w:val="2FA00DAE"/>
    <w:rsid w:val="2FA32C08"/>
    <w:rsid w:val="30081603"/>
    <w:rsid w:val="30420830"/>
    <w:rsid w:val="309C224F"/>
    <w:rsid w:val="31190489"/>
    <w:rsid w:val="311C3987"/>
    <w:rsid w:val="31232963"/>
    <w:rsid w:val="312C101E"/>
    <w:rsid w:val="313071E7"/>
    <w:rsid w:val="314C7D21"/>
    <w:rsid w:val="31540C79"/>
    <w:rsid w:val="315857B1"/>
    <w:rsid w:val="31650177"/>
    <w:rsid w:val="31A43DC9"/>
    <w:rsid w:val="31AB6658"/>
    <w:rsid w:val="31BC3F1B"/>
    <w:rsid w:val="31C37B9C"/>
    <w:rsid w:val="31DE2AA8"/>
    <w:rsid w:val="31EA7F55"/>
    <w:rsid w:val="32137CF0"/>
    <w:rsid w:val="321E50BD"/>
    <w:rsid w:val="32224344"/>
    <w:rsid w:val="322518E6"/>
    <w:rsid w:val="322C74E5"/>
    <w:rsid w:val="32340C69"/>
    <w:rsid w:val="32363F32"/>
    <w:rsid w:val="32471F5A"/>
    <w:rsid w:val="3253078F"/>
    <w:rsid w:val="325E3A96"/>
    <w:rsid w:val="32B7356F"/>
    <w:rsid w:val="330C088A"/>
    <w:rsid w:val="330D0F43"/>
    <w:rsid w:val="332A5E08"/>
    <w:rsid w:val="33310C6F"/>
    <w:rsid w:val="333E728C"/>
    <w:rsid w:val="334F202E"/>
    <w:rsid w:val="33A03A4B"/>
    <w:rsid w:val="33A04007"/>
    <w:rsid w:val="33A60671"/>
    <w:rsid w:val="33AF4FB4"/>
    <w:rsid w:val="33CF2119"/>
    <w:rsid w:val="33DE4357"/>
    <w:rsid w:val="341D5AAB"/>
    <w:rsid w:val="342732F1"/>
    <w:rsid w:val="342B2E3E"/>
    <w:rsid w:val="3454463B"/>
    <w:rsid w:val="346B507B"/>
    <w:rsid w:val="347A0A28"/>
    <w:rsid w:val="347B293F"/>
    <w:rsid w:val="348C37FE"/>
    <w:rsid w:val="349B5AE7"/>
    <w:rsid w:val="34A50FB8"/>
    <w:rsid w:val="34AA4F73"/>
    <w:rsid w:val="34CE6938"/>
    <w:rsid w:val="34F52FDD"/>
    <w:rsid w:val="352B6C5A"/>
    <w:rsid w:val="35520294"/>
    <w:rsid w:val="357A04F1"/>
    <w:rsid w:val="357C1D84"/>
    <w:rsid w:val="35887A53"/>
    <w:rsid w:val="35AF4576"/>
    <w:rsid w:val="35B4397E"/>
    <w:rsid w:val="360300F8"/>
    <w:rsid w:val="36034EE1"/>
    <w:rsid w:val="36237D2D"/>
    <w:rsid w:val="363503EB"/>
    <w:rsid w:val="3647637B"/>
    <w:rsid w:val="367F686D"/>
    <w:rsid w:val="36A14C50"/>
    <w:rsid w:val="36B412F5"/>
    <w:rsid w:val="36B66A91"/>
    <w:rsid w:val="36CC7A6D"/>
    <w:rsid w:val="36E17616"/>
    <w:rsid w:val="37076693"/>
    <w:rsid w:val="372B30FF"/>
    <w:rsid w:val="372F768E"/>
    <w:rsid w:val="375E41FD"/>
    <w:rsid w:val="3765223E"/>
    <w:rsid w:val="376A4278"/>
    <w:rsid w:val="377870B5"/>
    <w:rsid w:val="377D54A5"/>
    <w:rsid w:val="377D5E16"/>
    <w:rsid w:val="377E65D4"/>
    <w:rsid w:val="37872B44"/>
    <w:rsid w:val="379F77DA"/>
    <w:rsid w:val="37A7041E"/>
    <w:rsid w:val="37A80A27"/>
    <w:rsid w:val="37C914D9"/>
    <w:rsid w:val="37D63EC9"/>
    <w:rsid w:val="37F02038"/>
    <w:rsid w:val="38280519"/>
    <w:rsid w:val="386D019E"/>
    <w:rsid w:val="38894B13"/>
    <w:rsid w:val="38A42A5B"/>
    <w:rsid w:val="38C10BFB"/>
    <w:rsid w:val="38DD791D"/>
    <w:rsid w:val="3920221B"/>
    <w:rsid w:val="39334BFF"/>
    <w:rsid w:val="393667C3"/>
    <w:rsid w:val="39457CAF"/>
    <w:rsid w:val="3948048E"/>
    <w:rsid w:val="39812B9C"/>
    <w:rsid w:val="399208A7"/>
    <w:rsid w:val="39B565E1"/>
    <w:rsid w:val="39D4235F"/>
    <w:rsid w:val="39FD6163"/>
    <w:rsid w:val="3A257802"/>
    <w:rsid w:val="3A606A76"/>
    <w:rsid w:val="3A8231F1"/>
    <w:rsid w:val="3A921749"/>
    <w:rsid w:val="3AA81B41"/>
    <w:rsid w:val="3ADD242D"/>
    <w:rsid w:val="3B143086"/>
    <w:rsid w:val="3B147A5B"/>
    <w:rsid w:val="3B1A2D8C"/>
    <w:rsid w:val="3B4042AB"/>
    <w:rsid w:val="3B4E6CEA"/>
    <w:rsid w:val="3B66210B"/>
    <w:rsid w:val="3B814E71"/>
    <w:rsid w:val="3B964D74"/>
    <w:rsid w:val="3B972AF7"/>
    <w:rsid w:val="3BB62FA9"/>
    <w:rsid w:val="3BB70D15"/>
    <w:rsid w:val="3BBB09FC"/>
    <w:rsid w:val="3BC91BB9"/>
    <w:rsid w:val="3C120308"/>
    <w:rsid w:val="3C42650A"/>
    <w:rsid w:val="3C762DF2"/>
    <w:rsid w:val="3C7D1D40"/>
    <w:rsid w:val="3C9B51F8"/>
    <w:rsid w:val="3CDD0DBD"/>
    <w:rsid w:val="3D101034"/>
    <w:rsid w:val="3D544EBB"/>
    <w:rsid w:val="3D882CF1"/>
    <w:rsid w:val="3D9814F2"/>
    <w:rsid w:val="3DA43F41"/>
    <w:rsid w:val="3DAF40CD"/>
    <w:rsid w:val="3DE32AFA"/>
    <w:rsid w:val="3E0456CC"/>
    <w:rsid w:val="3E115C36"/>
    <w:rsid w:val="3E136ED4"/>
    <w:rsid w:val="3E2418CD"/>
    <w:rsid w:val="3E2726B6"/>
    <w:rsid w:val="3E3A6B14"/>
    <w:rsid w:val="3E7A6125"/>
    <w:rsid w:val="3E8A1A02"/>
    <w:rsid w:val="3E8E765E"/>
    <w:rsid w:val="3EA9393D"/>
    <w:rsid w:val="3EAD0498"/>
    <w:rsid w:val="3EC219DF"/>
    <w:rsid w:val="3EC56D78"/>
    <w:rsid w:val="3EC7715A"/>
    <w:rsid w:val="3ED16A4F"/>
    <w:rsid w:val="3ED17EBE"/>
    <w:rsid w:val="3EDC543E"/>
    <w:rsid w:val="3EED5016"/>
    <w:rsid w:val="3EF52FF7"/>
    <w:rsid w:val="3EF62F89"/>
    <w:rsid w:val="3EF75B65"/>
    <w:rsid w:val="3EFB570C"/>
    <w:rsid w:val="3F204493"/>
    <w:rsid w:val="3F2B7413"/>
    <w:rsid w:val="3F5871FB"/>
    <w:rsid w:val="3F8E35DC"/>
    <w:rsid w:val="3F8F5DC2"/>
    <w:rsid w:val="3FA46F4F"/>
    <w:rsid w:val="3FA624AC"/>
    <w:rsid w:val="3FB00475"/>
    <w:rsid w:val="3FBF5991"/>
    <w:rsid w:val="3FE10717"/>
    <w:rsid w:val="40023F34"/>
    <w:rsid w:val="40090025"/>
    <w:rsid w:val="40181902"/>
    <w:rsid w:val="402F5A4D"/>
    <w:rsid w:val="40411288"/>
    <w:rsid w:val="404742BD"/>
    <w:rsid w:val="40600DD5"/>
    <w:rsid w:val="40660F91"/>
    <w:rsid w:val="407D57C8"/>
    <w:rsid w:val="40B26892"/>
    <w:rsid w:val="40E21CB8"/>
    <w:rsid w:val="410F31C3"/>
    <w:rsid w:val="4112553B"/>
    <w:rsid w:val="41344AAB"/>
    <w:rsid w:val="41550C30"/>
    <w:rsid w:val="41875FCE"/>
    <w:rsid w:val="4190424D"/>
    <w:rsid w:val="41BA6E78"/>
    <w:rsid w:val="41E43D07"/>
    <w:rsid w:val="41F6399A"/>
    <w:rsid w:val="41F94DC7"/>
    <w:rsid w:val="41FA3A29"/>
    <w:rsid w:val="42137C42"/>
    <w:rsid w:val="422E57D7"/>
    <w:rsid w:val="42555DF7"/>
    <w:rsid w:val="42A27001"/>
    <w:rsid w:val="42B841CB"/>
    <w:rsid w:val="42C507A4"/>
    <w:rsid w:val="42F07508"/>
    <w:rsid w:val="43270B23"/>
    <w:rsid w:val="43366434"/>
    <w:rsid w:val="434A0913"/>
    <w:rsid w:val="436A64E9"/>
    <w:rsid w:val="4370434B"/>
    <w:rsid w:val="43711057"/>
    <w:rsid w:val="43891ADB"/>
    <w:rsid w:val="439C4F5E"/>
    <w:rsid w:val="43E630D7"/>
    <w:rsid w:val="43EF2D9F"/>
    <w:rsid w:val="43F02783"/>
    <w:rsid w:val="44656E26"/>
    <w:rsid w:val="4468183E"/>
    <w:rsid w:val="44786783"/>
    <w:rsid w:val="449457D3"/>
    <w:rsid w:val="44A25A9F"/>
    <w:rsid w:val="44A61055"/>
    <w:rsid w:val="44BE5C95"/>
    <w:rsid w:val="44DD6EB7"/>
    <w:rsid w:val="44E01145"/>
    <w:rsid w:val="450018DF"/>
    <w:rsid w:val="450F2BC2"/>
    <w:rsid w:val="451D2C75"/>
    <w:rsid w:val="45203860"/>
    <w:rsid w:val="454746DD"/>
    <w:rsid w:val="455367B2"/>
    <w:rsid w:val="45555732"/>
    <w:rsid w:val="455F10D7"/>
    <w:rsid w:val="456355DA"/>
    <w:rsid w:val="45741675"/>
    <w:rsid w:val="459C4648"/>
    <w:rsid w:val="45A02EDD"/>
    <w:rsid w:val="45E61BCA"/>
    <w:rsid w:val="45EE32D7"/>
    <w:rsid w:val="460A6FE4"/>
    <w:rsid w:val="461A323C"/>
    <w:rsid w:val="4638018C"/>
    <w:rsid w:val="46416C3D"/>
    <w:rsid w:val="46433285"/>
    <w:rsid w:val="46526D41"/>
    <w:rsid w:val="46584865"/>
    <w:rsid w:val="46681B67"/>
    <w:rsid w:val="468200E4"/>
    <w:rsid w:val="46903F4D"/>
    <w:rsid w:val="469815BE"/>
    <w:rsid w:val="46A14FC5"/>
    <w:rsid w:val="46B27CB1"/>
    <w:rsid w:val="46D34E98"/>
    <w:rsid w:val="47001117"/>
    <w:rsid w:val="47246805"/>
    <w:rsid w:val="47492E75"/>
    <w:rsid w:val="474F7F9F"/>
    <w:rsid w:val="475F3AC1"/>
    <w:rsid w:val="47844901"/>
    <w:rsid w:val="479A2ED2"/>
    <w:rsid w:val="47B328B4"/>
    <w:rsid w:val="47C13542"/>
    <w:rsid w:val="48113D01"/>
    <w:rsid w:val="484C7B11"/>
    <w:rsid w:val="485E0A04"/>
    <w:rsid w:val="48740F1D"/>
    <w:rsid w:val="48761BE3"/>
    <w:rsid w:val="489E0EB1"/>
    <w:rsid w:val="48A4548A"/>
    <w:rsid w:val="48A57E1F"/>
    <w:rsid w:val="48B50D92"/>
    <w:rsid w:val="48D80297"/>
    <w:rsid w:val="48DE3BBF"/>
    <w:rsid w:val="48E77164"/>
    <w:rsid w:val="491D19DF"/>
    <w:rsid w:val="49304CB2"/>
    <w:rsid w:val="49620FF1"/>
    <w:rsid w:val="496F6EBE"/>
    <w:rsid w:val="49814F4C"/>
    <w:rsid w:val="49836E4C"/>
    <w:rsid w:val="49A364F7"/>
    <w:rsid w:val="49B42429"/>
    <w:rsid w:val="49C4569B"/>
    <w:rsid w:val="4A074043"/>
    <w:rsid w:val="4A090DC7"/>
    <w:rsid w:val="4A091441"/>
    <w:rsid w:val="4A14567E"/>
    <w:rsid w:val="4A1C1271"/>
    <w:rsid w:val="4A1E6180"/>
    <w:rsid w:val="4A2308FE"/>
    <w:rsid w:val="4A2412C3"/>
    <w:rsid w:val="4A287AB1"/>
    <w:rsid w:val="4A5133EE"/>
    <w:rsid w:val="4A5D4EF8"/>
    <w:rsid w:val="4A791824"/>
    <w:rsid w:val="4A915C19"/>
    <w:rsid w:val="4A955A49"/>
    <w:rsid w:val="4A9C5501"/>
    <w:rsid w:val="4AAF7BD4"/>
    <w:rsid w:val="4AD80F53"/>
    <w:rsid w:val="4B2C75A6"/>
    <w:rsid w:val="4B2F25FD"/>
    <w:rsid w:val="4BB15678"/>
    <w:rsid w:val="4BB635D2"/>
    <w:rsid w:val="4BB76960"/>
    <w:rsid w:val="4BC655C8"/>
    <w:rsid w:val="4BD03593"/>
    <w:rsid w:val="4BD63363"/>
    <w:rsid w:val="4BD87666"/>
    <w:rsid w:val="4BE63621"/>
    <w:rsid w:val="4BE6691C"/>
    <w:rsid w:val="4BF467F9"/>
    <w:rsid w:val="4BF83E44"/>
    <w:rsid w:val="4C276C17"/>
    <w:rsid w:val="4C73767A"/>
    <w:rsid w:val="4C7C0669"/>
    <w:rsid w:val="4C7D0871"/>
    <w:rsid w:val="4C850277"/>
    <w:rsid w:val="4C9904F2"/>
    <w:rsid w:val="4CC2186A"/>
    <w:rsid w:val="4CC52EB8"/>
    <w:rsid w:val="4D2572CD"/>
    <w:rsid w:val="4D354FF0"/>
    <w:rsid w:val="4D4C32B8"/>
    <w:rsid w:val="4D83782F"/>
    <w:rsid w:val="4DBB048A"/>
    <w:rsid w:val="4DCE336E"/>
    <w:rsid w:val="4DE07DE4"/>
    <w:rsid w:val="4E0D5D14"/>
    <w:rsid w:val="4E2809CC"/>
    <w:rsid w:val="4E2F45C0"/>
    <w:rsid w:val="4E363F2F"/>
    <w:rsid w:val="4E682F97"/>
    <w:rsid w:val="4EA42281"/>
    <w:rsid w:val="4EA546F0"/>
    <w:rsid w:val="4EAF3AED"/>
    <w:rsid w:val="4EB0019E"/>
    <w:rsid w:val="4ECB1385"/>
    <w:rsid w:val="4ED32851"/>
    <w:rsid w:val="4ED35762"/>
    <w:rsid w:val="4EDF1745"/>
    <w:rsid w:val="4EF5014E"/>
    <w:rsid w:val="4EFA3C4E"/>
    <w:rsid w:val="4F235A8E"/>
    <w:rsid w:val="4F26262A"/>
    <w:rsid w:val="4F33554E"/>
    <w:rsid w:val="4F612BE4"/>
    <w:rsid w:val="4F6461D6"/>
    <w:rsid w:val="4F7B292B"/>
    <w:rsid w:val="4F865749"/>
    <w:rsid w:val="4F9E59ED"/>
    <w:rsid w:val="4FDC58FD"/>
    <w:rsid w:val="4FDE1C0C"/>
    <w:rsid w:val="4FE54A2D"/>
    <w:rsid w:val="4FF958E6"/>
    <w:rsid w:val="50202BC7"/>
    <w:rsid w:val="50216FE4"/>
    <w:rsid w:val="502D2C76"/>
    <w:rsid w:val="50614DD7"/>
    <w:rsid w:val="506B628A"/>
    <w:rsid w:val="50787CFE"/>
    <w:rsid w:val="50AE1AE4"/>
    <w:rsid w:val="50FE2631"/>
    <w:rsid w:val="51151D83"/>
    <w:rsid w:val="51167E7F"/>
    <w:rsid w:val="51390032"/>
    <w:rsid w:val="515426DE"/>
    <w:rsid w:val="515C74D2"/>
    <w:rsid w:val="51652C0F"/>
    <w:rsid w:val="518D4538"/>
    <w:rsid w:val="51960DFD"/>
    <w:rsid w:val="51BB2BF3"/>
    <w:rsid w:val="51C87FCE"/>
    <w:rsid w:val="51FD0367"/>
    <w:rsid w:val="52377D55"/>
    <w:rsid w:val="525F7483"/>
    <w:rsid w:val="52862351"/>
    <w:rsid w:val="52984624"/>
    <w:rsid w:val="52F10B24"/>
    <w:rsid w:val="534A2585"/>
    <w:rsid w:val="53921453"/>
    <w:rsid w:val="539D3FE2"/>
    <w:rsid w:val="53A03056"/>
    <w:rsid w:val="53A31787"/>
    <w:rsid w:val="53D7503B"/>
    <w:rsid w:val="53E637C7"/>
    <w:rsid w:val="53E8647E"/>
    <w:rsid w:val="53F45929"/>
    <w:rsid w:val="53FC0907"/>
    <w:rsid w:val="5468198B"/>
    <w:rsid w:val="546B1F14"/>
    <w:rsid w:val="54951AB4"/>
    <w:rsid w:val="549A0B06"/>
    <w:rsid w:val="54A655A6"/>
    <w:rsid w:val="54D53B13"/>
    <w:rsid w:val="54EB74E4"/>
    <w:rsid w:val="55220C80"/>
    <w:rsid w:val="55284AD7"/>
    <w:rsid w:val="5530324E"/>
    <w:rsid w:val="55457E29"/>
    <w:rsid w:val="555B0657"/>
    <w:rsid w:val="556032BE"/>
    <w:rsid w:val="55B86023"/>
    <w:rsid w:val="55C151DC"/>
    <w:rsid w:val="55E556DC"/>
    <w:rsid w:val="55FF3036"/>
    <w:rsid w:val="56213505"/>
    <w:rsid w:val="56292705"/>
    <w:rsid w:val="5632227A"/>
    <w:rsid w:val="56482C0E"/>
    <w:rsid w:val="564E3203"/>
    <w:rsid w:val="568C03E5"/>
    <w:rsid w:val="56E60496"/>
    <w:rsid w:val="57360834"/>
    <w:rsid w:val="57374E0B"/>
    <w:rsid w:val="57444728"/>
    <w:rsid w:val="575B090B"/>
    <w:rsid w:val="577439B5"/>
    <w:rsid w:val="57926FF9"/>
    <w:rsid w:val="57A355F8"/>
    <w:rsid w:val="57E6509B"/>
    <w:rsid w:val="57E738F8"/>
    <w:rsid w:val="57EB5B27"/>
    <w:rsid w:val="57EC2D60"/>
    <w:rsid w:val="58263426"/>
    <w:rsid w:val="583C0E12"/>
    <w:rsid w:val="5856757B"/>
    <w:rsid w:val="58A14304"/>
    <w:rsid w:val="58A3772F"/>
    <w:rsid w:val="58CC5EFE"/>
    <w:rsid w:val="58E3487B"/>
    <w:rsid w:val="58FB3B6A"/>
    <w:rsid w:val="59026288"/>
    <w:rsid w:val="590668BB"/>
    <w:rsid w:val="59205FDE"/>
    <w:rsid w:val="59336ED5"/>
    <w:rsid w:val="59393A95"/>
    <w:rsid w:val="59432CA0"/>
    <w:rsid w:val="594A3241"/>
    <w:rsid w:val="594D3E46"/>
    <w:rsid w:val="595C3DA0"/>
    <w:rsid w:val="595E62F2"/>
    <w:rsid w:val="596658B9"/>
    <w:rsid w:val="59693F87"/>
    <w:rsid w:val="59851D75"/>
    <w:rsid w:val="59B42F07"/>
    <w:rsid w:val="59BB77BA"/>
    <w:rsid w:val="5A2C4220"/>
    <w:rsid w:val="5A316507"/>
    <w:rsid w:val="5A497C34"/>
    <w:rsid w:val="5A4C0E52"/>
    <w:rsid w:val="5A7B33E5"/>
    <w:rsid w:val="5A8C664D"/>
    <w:rsid w:val="5ABD43B1"/>
    <w:rsid w:val="5AC20EBF"/>
    <w:rsid w:val="5ACD5B73"/>
    <w:rsid w:val="5ADF42CD"/>
    <w:rsid w:val="5B050809"/>
    <w:rsid w:val="5B1038C0"/>
    <w:rsid w:val="5B366061"/>
    <w:rsid w:val="5B3846E5"/>
    <w:rsid w:val="5B440B6E"/>
    <w:rsid w:val="5B553BEC"/>
    <w:rsid w:val="5B5B4ABD"/>
    <w:rsid w:val="5B5C5E93"/>
    <w:rsid w:val="5B5E3394"/>
    <w:rsid w:val="5B74024A"/>
    <w:rsid w:val="5B792560"/>
    <w:rsid w:val="5B8A7735"/>
    <w:rsid w:val="5B9D0E06"/>
    <w:rsid w:val="5BA172F8"/>
    <w:rsid w:val="5BB151A5"/>
    <w:rsid w:val="5BB6027C"/>
    <w:rsid w:val="5BBB47C2"/>
    <w:rsid w:val="5BF62976"/>
    <w:rsid w:val="5C16597D"/>
    <w:rsid w:val="5C576F8B"/>
    <w:rsid w:val="5C707C6C"/>
    <w:rsid w:val="5C8E0CD7"/>
    <w:rsid w:val="5C9E2C36"/>
    <w:rsid w:val="5CB21C23"/>
    <w:rsid w:val="5CB6579C"/>
    <w:rsid w:val="5CBB2347"/>
    <w:rsid w:val="5CC6320E"/>
    <w:rsid w:val="5CC76C7C"/>
    <w:rsid w:val="5CF36024"/>
    <w:rsid w:val="5CFF01AA"/>
    <w:rsid w:val="5D1344DD"/>
    <w:rsid w:val="5D7726AE"/>
    <w:rsid w:val="5D7B6EDD"/>
    <w:rsid w:val="5D806796"/>
    <w:rsid w:val="5D827D40"/>
    <w:rsid w:val="5DA03D36"/>
    <w:rsid w:val="5DC43C07"/>
    <w:rsid w:val="5DCA3A55"/>
    <w:rsid w:val="5DCD3255"/>
    <w:rsid w:val="5DE640E1"/>
    <w:rsid w:val="5E297761"/>
    <w:rsid w:val="5E33770D"/>
    <w:rsid w:val="5E532ADD"/>
    <w:rsid w:val="5E610B28"/>
    <w:rsid w:val="5E66579C"/>
    <w:rsid w:val="5E91320F"/>
    <w:rsid w:val="5E915A7A"/>
    <w:rsid w:val="5E9345FF"/>
    <w:rsid w:val="5EA33A97"/>
    <w:rsid w:val="5ED134B6"/>
    <w:rsid w:val="5EF55DBA"/>
    <w:rsid w:val="5F6B1358"/>
    <w:rsid w:val="5F803CFA"/>
    <w:rsid w:val="5FC51458"/>
    <w:rsid w:val="5FC866E5"/>
    <w:rsid w:val="5FDC13D8"/>
    <w:rsid w:val="60090629"/>
    <w:rsid w:val="60413F7F"/>
    <w:rsid w:val="60660F52"/>
    <w:rsid w:val="606A3C6B"/>
    <w:rsid w:val="608F5084"/>
    <w:rsid w:val="609B5019"/>
    <w:rsid w:val="60B4769E"/>
    <w:rsid w:val="60B55083"/>
    <w:rsid w:val="610242F6"/>
    <w:rsid w:val="6119401A"/>
    <w:rsid w:val="611D2CA6"/>
    <w:rsid w:val="61200642"/>
    <w:rsid w:val="61652DB1"/>
    <w:rsid w:val="61970BE7"/>
    <w:rsid w:val="61A20E5D"/>
    <w:rsid w:val="61B8332B"/>
    <w:rsid w:val="61F17268"/>
    <w:rsid w:val="61FC7432"/>
    <w:rsid w:val="620A3859"/>
    <w:rsid w:val="62204E0F"/>
    <w:rsid w:val="62207D5C"/>
    <w:rsid w:val="624063A3"/>
    <w:rsid w:val="62533606"/>
    <w:rsid w:val="62845968"/>
    <w:rsid w:val="628E2B97"/>
    <w:rsid w:val="62A86B6F"/>
    <w:rsid w:val="62B35B81"/>
    <w:rsid w:val="62B75EDD"/>
    <w:rsid w:val="62BA2CE3"/>
    <w:rsid w:val="62C01D55"/>
    <w:rsid w:val="62C92F2D"/>
    <w:rsid w:val="62D93169"/>
    <w:rsid w:val="62E40282"/>
    <w:rsid w:val="631D5B18"/>
    <w:rsid w:val="631E201F"/>
    <w:rsid w:val="63320961"/>
    <w:rsid w:val="634E6C76"/>
    <w:rsid w:val="63577D60"/>
    <w:rsid w:val="636514C6"/>
    <w:rsid w:val="636F701B"/>
    <w:rsid w:val="6382662F"/>
    <w:rsid w:val="63B23C71"/>
    <w:rsid w:val="63C95202"/>
    <w:rsid w:val="63CB4107"/>
    <w:rsid w:val="63DB551D"/>
    <w:rsid w:val="63ED3A09"/>
    <w:rsid w:val="64090834"/>
    <w:rsid w:val="64116EAE"/>
    <w:rsid w:val="64272A3B"/>
    <w:rsid w:val="6467063D"/>
    <w:rsid w:val="648F4A0E"/>
    <w:rsid w:val="64937E71"/>
    <w:rsid w:val="6495646A"/>
    <w:rsid w:val="64C02EBC"/>
    <w:rsid w:val="64FA320D"/>
    <w:rsid w:val="65797FD4"/>
    <w:rsid w:val="658D5E16"/>
    <w:rsid w:val="65953363"/>
    <w:rsid w:val="65B841DE"/>
    <w:rsid w:val="65CA03C9"/>
    <w:rsid w:val="65E1661E"/>
    <w:rsid w:val="65E36C18"/>
    <w:rsid w:val="660918F9"/>
    <w:rsid w:val="663C1302"/>
    <w:rsid w:val="665F0112"/>
    <w:rsid w:val="667F18FA"/>
    <w:rsid w:val="669A5886"/>
    <w:rsid w:val="66BF54E4"/>
    <w:rsid w:val="67101119"/>
    <w:rsid w:val="67151BB5"/>
    <w:rsid w:val="671C67EA"/>
    <w:rsid w:val="67400D4D"/>
    <w:rsid w:val="677A414A"/>
    <w:rsid w:val="67C952B3"/>
    <w:rsid w:val="67CB697C"/>
    <w:rsid w:val="67DB4341"/>
    <w:rsid w:val="68720AE2"/>
    <w:rsid w:val="689554F5"/>
    <w:rsid w:val="68AA7215"/>
    <w:rsid w:val="68ED6911"/>
    <w:rsid w:val="6903642B"/>
    <w:rsid w:val="690F1870"/>
    <w:rsid w:val="692F5E27"/>
    <w:rsid w:val="69466675"/>
    <w:rsid w:val="698C2B7F"/>
    <w:rsid w:val="69AB5D7A"/>
    <w:rsid w:val="69DF7BDF"/>
    <w:rsid w:val="69F21353"/>
    <w:rsid w:val="69F575F2"/>
    <w:rsid w:val="6A1E730C"/>
    <w:rsid w:val="6A4C7335"/>
    <w:rsid w:val="6A531E39"/>
    <w:rsid w:val="6A545ADB"/>
    <w:rsid w:val="6A5D05BD"/>
    <w:rsid w:val="6A6B273C"/>
    <w:rsid w:val="6A703222"/>
    <w:rsid w:val="6AAA18E6"/>
    <w:rsid w:val="6AB66294"/>
    <w:rsid w:val="6AC60849"/>
    <w:rsid w:val="6AC938A9"/>
    <w:rsid w:val="6B2F05BC"/>
    <w:rsid w:val="6B435167"/>
    <w:rsid w:val="6BB237C9"/>
    <w:rsid w:val="6BB37104"/>
    <w:rsid w:val="6BDF1336"/>
    <w:rsid w:val="6C3161F1"/>
    <w:rsid w:val="6C3745DF"/>
    <w:rsid w:val="6C3D4127"/>
    <w:rsid w:val="6C6253EB"/>
    <w:rsid w:val="6C666B72"/>
    <w:rsid w:val="6C6D2D24"/>
    <w:rsid w:val="6C8F3EF6"/>
    <w:rsid w:val="6CAD55CC"/>
    <w:rsid w:val="6CBE1616"/>
    <w:rsid w:val="6CC15D2B"/>
    <w:rsid w:val="6CC15F94"/>
    <w:rsid w:val="6CDA118A"/>
    <w:rsid w:val="6D0C01A9"/>
    <w:rsid w:val="6D2A44DD"/>
    <w:rsid w:val="6D493A0A"/>
    <w:rsid w:val="6D551BE3"/>
    <w:rsid w:val="6D5C2995"/>
    <w:rsid w:val="6D8E2C9C"/>
    <w:rsid w:val="6DAD51A4"/>
    <w:rsid w:val="6E017D0E"/>
    <w:rsid w:val="6E053E0B"/>
    <w:rsid w:val="6E1E1DB6"/>
    <w:rsid w:val="6E3F4BAC"/>
    <w:rsid w:val="6E524DE3"/>
    <w:rsid w:val="6E735A03"/>
    <w:rsid w:val="6E7D3005"/>
    <w:rsid w:val="6EA04E08"/>
    <w:rsid w:val="6EAA18F7"/>
    <w:rsid w:val="6EBB6601"/>
    <w:rsid w:val="6ECF710B"/>
    <w:rsid w:val="6EEE5D94"/>
    <w:rsid w:val="6F050882"/>
    <w:rsid w:val="6F0B5A13"/>
    <w:rsid w:val="6F1579C7"/>
    <w:rsid w:val="6F62521C"/>
    <w:rsid w:val="6FBC6483"/>
    <w:rsid w:val="6FC130A1"/>
    <w:rsid w:val="6FC26F58"/>
    <w:rsid w:val="6FD761EC"/>
    <w:rsid w:val="6FE52312"/>
    <w:rsid w:val="6FF1085F"/>
    <w:rsid w:val="700F6510"/>
    <w:rsid w:val="70750A7A"/>
    <w:rsid w:val="70991D59"/>
    <w:rsid w:val="709A5C21"/>
    <w:rsid w:val="70C51917"/>
    <w:rsid w:val="70D02722"/>
    <w:rsid w:val="70F067F3"/>
    <w:rsid w:val="711A09D1"/>
    <w:rsid w:val="71275E70"/>
    <w:rsid w:val="712F60DB"/>
    <w:rsid w:val="714B6CD7"/>
    <w:rsid w:val="71653B96"/>
    <w:rsid w:val="71D8215F"/>
    <w:rsid w:val="71DF1D07"/>
    <w:rsid w:val="71FB7CB1"/>
    <w:rsid w:val="720D209A"/>
    <w:rsid w:val="7221044F"/>
    <w:rsid w:val="72252F84"/>
    <w:rsid w:val="722F089D"/>
    <w:rsid w:val="723126FD"/>
    <w:rsid w:val="723E2E01"/>
    <w:rsid w:val="72404D8A"/>
    <w:rsid w:val="724C22E8"/>
    <w:rsid w:val="725F0F01"/>
    <w:rsid w:val="729D5E1F"/>
    <w:rsid w:val="72E72EAA"/>
    <w:rsid w:val="72F27051"/>
    <w:rsid w:val="7331658B"/>
    <w:rsid w:val="733C6C97"/>
    <w:rsid w:val="734B4A4B"/>
    <w:rsid w:val="734C70B6"/>
    <w:rsid w:val="73560C2B"/>
    <w:rsid w:val="735E4E1D"/>
    <w:rsid w:val="7388314F"/>
    <w:rsid w:val="73C30699"/>
    <w:rsid w:val="73CB394C"/>
    <w:rsid w:val="73D51780"/>
    <w:rsid w:val="73E34188"/>
    <w:rsid w:val="73F006A6"/>
    <w:rsid w:val="73F022C4"/>
    <w:rsid w:val="73F63EFE"/>
    <w:rsid w:val="73FC0BE4"/>
    <w:rsid w:val="73FF26B3"/>
    <w:rsid w:val="74071758"/>
    <w:rsid w:val="741425AC"/>
    <w:rsid w:val="741D773B"/>
    <w:rsid w:val="74280680"/>
    <w:rsid w:val="744F658E"/>
    <w:rsid w:val="7463178E"/>
    <w:rsid w:val="746371B3"/>
    <w:rsid w:val="74686F79"/>
    <w:rsid w:val="746E5228"/>
    <w:rsid w:val="747A43C9"/>
    <w:rsid w:val="74922B66"/>
    <w:rsid w:val="74DB20FA"/>
    <w:rsid w:val="7508529D"/>
    <w:rsid w:val="752C3218"/>
    <w:rsid w:val="75397634"/>
    <w:rsid w:val="75537CD8"/>
    <w:rsid w:val="75595BE3"/>
    <w:rsid w:val="755E58D5"/>
    <w:rsid w:val="757606EF"/>
    <w:rsid w:val="75844FC1"/>
    <w:rsid w:val="75EE069B"/>
    <w:rsid w:val="75FC15CE"/>
    <w:rsid w:val="7615419A"/>
    <w:rsid w:val="76172D6A"/>
    <w:rsid w:val="761A409E"/>
    <w:rsid w:val="762F02D7"/>
    <w:rsid w:val="763D7340"/>
    <w:rsid w:val="76512EE8"/>
    <w:rsid w:val="767A6C09"/>
    <w:rsid w:val="767F5650"/>
    <w:rsid w:val="76880BA0"/>
    <w:rsid w:val="76885BC7"/>
    <w:rsid w:val="768C19C1"/>
    <w:rsid w:val="768C2564"/>
    <w:rsid w:val="76991D18"/>
    <w:rsid w:val="76BA43D5"/>
    <w:rsid w:val="76BE21DC"/>
    <w:rsid w:val="76CD5B13"/>
    <w:rsid w:val="76DF3C76"/>
    <w:rsid w:val="76EB41A9"/>
    <w:rsid w:val="76F71295"/>
    <w:rsid w:val="76FC2CE2"/>
    <w:rsid w:val="7706359E"/>
    <w:rsid w:val="771A5653"/>
    <w:rsid w:val="771B5FB2"/>
    <w:rsid w:val="772A75AD"/>
    <w:rsid w:val="7734542F"/>
    <w:rsid w:val="774073C9"/>
    <w:rsid w:val="77460079"/>
    <w:rsid w:val="77567D26"/>
    <w:rsid w:val="77574E5D"/>
    <w:rsid w:val="77592E82"/>
    <w:rsid w:val="775D2B17"/>
    <w:rsid w:val="7760235E"/>
    <w:rsid w:val="777D4FBC"/>
    <w:rsid w:val="77C64121"/>
    <w:rsid w:val="77CD3C5D"/>
    <w:rsid w:val="77FD4667"/>
    <w:rsid w:val="781200C6"/>
    <w:rsid w:val="78150104"/>
    <w:rsid w:val="786B1829"/>
    <w:rsid w:val="78AB652A"/>
    <w:rsid w:val="78C7234E"/>
    <w:rsid w:val="790706C1"/>
    <w:rsid w:val="791063B8"/>
    <w:rsid w:val="79235A1B"/>
    <w:rsid w:val="793842B6"/>
    <w:rsid w:val="793E7F2E"/>
    <w:rsid w:val="796362D3"/>
    <w:rsid w:val="79827C27"/>
    <w:rsid w:val="798834D2"/>
    <w:rsid w:val="799B7D73"/>
    <w:rsid w:val="79B07BB3"/>
    <w:rsid w:val="79B7369F"/>
    <w:rsid w:val="79C03278"/>
    <w:rsid w:val="79D510F0"/>
    <w:rsid w:val="79ED59B1"/>
    <w:rsid w:val="79F56CDC"/>
    <w:rsid w:val="7A032271"/>
    <w:rsid w:val="7A320BDB"/>
    <w:rsid w:val="7A491583"/>
    <w:rsid w:val="7A5B6EDF"/>
    <w:rsid w:val="7A5D2F7E"/>
    <w:rsid w:val="7A676444"/>
    <w:rsid w:val="7A72534A"/>
    <w:rsid w:val="7A832DB1"/>
    <w:rsid w:val="7A8F7D69"/>
    <w:rsid w:val="7A9C5FF5"/>
    <w:rsid w:val="7AA27F96"/>
    <w:rsid w:val="7AB320ED"/>
    <w:rsid w:val="7AC2422A"/>
    <w:rsid w:val="7AD44A1D"/>
    <w:rsid w:val="7B045A0E"/>
    <w:rsid w:val="7B137629"/>
    <w:rsid w:val="7B1B29C2"/>
    <w:rsid w:val="7B5D2C25"/>
    <w:rsid w:val="7B832034"/>
    <w:rsid w:val="7BA57F90"/>
    <w:rsid w:val="7BBC18FF"/>
    <w:rsid w:val="7BE47300"/>
    <w:rsid w:val="7C100290"/>
    <w:rsid w:val="7C151FE3"/>
    <w:rsid w:val="7C1D63E0"/>
    <w:rsid w:val="7C2925EF"/>
    <w:rsid w:val="7C463AF9"/>
    <w:rsid w:val="7C4673AC"/>
    <w:rsid w:val="7C691C0E"/>
    <w:rsid w:val="7C6D0FAF"/>
    <w:rsid w:val="7C7654E0"/>
    <w:rsid w:val="7C9D56FC"/>
    <w:rsid w:val="7C9E2AE3"/>
    <w:rsid w:val="7CA34E3A"/>
    <w:rsid w:val="7CC7797E"/>
    <w:rsid w:val="7CDE5607"/>
    <w:rsid w:val="7D0D23F8"/>
    <w:rsid w:val="7D1819A4"/>
    <w:rsid w:val="7D57537E"/>
    <w:rsid w:val="7D657DFF"/>
    <w:rsid w:val="7D79413D"/>
    <w:rsid w:val="7D7F5BFA"/>
    <w:rsid w:val="7D872924"/>
    <w:rsid w:val="7D8B2DD3"/>
    <w:rsid w:val="7D8F5F9C"/>
    <w:rsid w:val="7D97637C"/>
    <w:rsid w:val="7DE5359B"/>
    <w:rsid w:val="7E180A37"/>
    <w:rsid w:val="7E252BD1"/>
    <w:rsid w:val="7E2D4483"/>
    <w:rsid w:val="7E324C0E"/>
    <w:rsid w:val="7E327A3B"/>
    <w:rsid w:val="7E621BA9"/>
    <w:rsid w:val="7E665892"/>
    <w:rsid w:val="7E782BA9"/>
    <w:rsid w:val="7E8926E1"/>
    <w:rsid w:val="7E9213CC"/>
    <w:rsid w:val="7EA926FF"/>
    <w:rsid w:val="7EAA18EA"/>
    <w:rsid w:val="7EC93E9C"/>
    <w:rsid w:val="7ED12906"/>
    <w:rsid w:val="7EF33F65"/>
    <w:rsid w:val="7EFA1C61"/>
    <w:rsid w:val="7F0300DD"/>
    <w:rsid w:val="7F6C7183"/>
    <w:rsid w:val="7F826632"/>
    <w:rsid w:val="7FA31856"/>
    <w:rsid w:val="7FB2207D"/>
    <w:rsid w:val="7FFA71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styleId="2">
    <w:name w:val="heading 1"/>
    <w:basedOn w:val="1"/>
    <w:next w:val="1"/>
    <w:link w:val="72"/>
    <w:qFormat/>
    <w:uiPriority w:val="0"/>
    <w:pPr>
      <w:outlineLvl w:val="0"/>
    </w:pPr>
  </w:style>
  <w:style w:type="paragraph" w:styleId="3">
    <w:name w:val="heading 2"/>
    <w:basedOn w:val="1"/>
    <w:next w:val="1"/>
    <w:qFormat/>
    <w:uiPriority w:val="0"/>
    <w:pPr>
      <w:outlineLvl w:val="1"/>
    </w:pPr>
    <w:rPr>
      <w:rFonts w:hAnsi="宋体"/>
      <w:b/>
    </w:rPr>
  </w:style>
  <w:style w:type="paragraph" w:styleId="4">
    <w:name w:val="heading 3"/>
    <w:basedOn w:val="1"/>
    <w:next w:val="1"/>
    <w:qFormat/>
    <w:uiPriority w:val="0"/>
    <w:pPr>
      <w:outlineLvl w:val="2"/>
    </w:p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tabs>
        <w:tab w:val="left" w:pos="1008"/>
      </w:tabs>
      <w:autoSpaceDE/>
      <w:autoSpaceDN/>
      <w:adjustRightInd/>
      <w:spacing w:before="280" w:after="290" w:line="376" w:lineRule="auto"/>
      <w:ind w:left="1008" w:hanging="1008"/>
      <w:outlineLvl w:val="4"/>
    </w:pPr>
    <w:rPr>
      <w:rFonts w:ascii="Times New Roman"/>
      <w:b/>
      <w:bCs/>
      <w:sz w:val="28"/>
      <w:szCs w:val="28"/>
    </w:rPr>
  </w:style>
  <w:style w:type="paragraph" w:styleId="7">
    <w:name w:val="heading 6"/>
    <w:basedOn w:val="1"/>
    <w:next w:val="1"/>
    <w:qFormat/>
    <w:uiPriority w:val="0"/>
    <w:pPr>
      <w:keepNext/>
      <w:keepLines/>
      <w:widowControl/>
      <w:tabs>
        <w:tab w:val="left" w:pos="1152"/>
      </w:tabs>
      <w:autoSpaceDE/>
      <w:autoSpaceDN/>
      <w:adjustRightInd/>
      <w:spacing w:before="240" w:after="64" w:line="320" w:lineRule="auto"/>
      <w:ind w:left="1152" w:hanging="1152"/>
      <w:outlineLvl w:val="5"/>
    </w:pPr>
    <w:rPr>
      <w:rFonts w:ascii="Arial" w:hAnsi="Arial" w:eastAsia="黑体"/>
      <w:b/>
      <w:bCs/>
    </w:rPr>
  </w:style>
  <w:style w:type="paragraph" w:styleId="8">
    <w:name w:val="heading 7"/>
    <w:basedOn w:val="1"/>
    <w:next w:val="1"/>
    <w:qFormat/>
    <w:uiPriority w:val="0"/>
    <w:pPr>
      <w:keepNext/>
      <w:keepLines/>
      <w:widowControl/>
      <w:tabs>
        <w:tab w:val="left" w:pos="1296"/>
      </w:tabs>
      <w:autoSpaceDE/>
      <w:autoSpaceDN/>
      <w:adjustRightInd/>
      <w:spacing w:before="240" w:after="64" w:line="320" w:lineRule="auto"/>
      <w:ind w:left="1296" w:hanging="1296"/>
      <w:outlineLvl w:val="6"/>
    </w:pPr>
    <w:rPr>
      <w:rFonts w:ascii="Times New Roman"/>
      <w:b/>
      <w:bCs/>
    </w:rPr>
  </w:style>
  <w:style w:type="paragraph" w:styleId="9">
    <w:name w:val="heading 8"/>
    <w:basedOn w:val="1"/>
    <w:next w:val="1"/>
    <w:qFormat/>
    <w:uiPriority w:val="0"/>
    <w:pPr>
      <w:keepNext/>
      <w:keepLines/>
      <w:widowControl/>
      <w:tabs>
        <w:tab w:val="left" w:pos="1440"/>
      </w:tabs>
      <w:autoSpaceDE/>
      <w:autoSpaceDN/>
      <w:adjustRightInd/>
      <w:spacing w:before="240" w:after="64" w:line="320" w:lineRule="auto"/>
      <w:ind w:left="1440" w:hanging="1440"/>
      <w:outlineLvl w:val="7"/>
    </w:pPr>
    <w:rPr>
      <w:rFonts w:ascii="Arial" w:hAnsi="Arial" w:eastAsia="黑体"/>
    </w:rPr>
  </w:style>
  <w:style w:type="paragraph" w:styleId="10">
    <w:name w:val="heading 9"/>
    <w:basedOn w:val="1"/>
    <w:next w:val="1"/>
    <w:qFormat/>
    <w:uiPriority w:val="0"/>
    <w:pPr>
      <w:keepNext/>
      <w:keepLines/>
      <w:widowControl/>
      <w:tabs>
        <w:tab w:val="left" w:pos="1584"/>
      </w:tabs>
      <w:autoSpaceDE/>
      <w:autoSpaceDN/>
      <w:adjustRightInd/>
      <w:spacing w:before="240" w:after="64" w:line="320" w:lineRule="auto"/>
      <w:ind w:left="1584" w:hanging="1584"/>
      <w:outlineLvl w:val="8"/>
    </w:pPr>
    <w:rPr>
      <w:rFonts w:ascii="Arial" w:hAnsi="Arial" w:eastAsia="黑体"/>
      <w:sz w:val="21"/>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440"/>
    </w:pPr>
    <w:rPr>
      <w:rFonts w:ascii="Calibri" w:cs="Calibri"/>
      <w:sz w:val="18"/>
      <w:szCs w:val="18"/>
    </w:rPr>
  </w:style>
  <w:style w:type="paragraph" w:styleId="12">
    <w:name w:val="Normal Indent"/>
    <w:basedOn w:val="1"/>
    <w:link w:val="78"/>
    <w:qFormat/>
    <w:uiPriority w:val="0"/>
    <w:pPr>
      <w:widowControl/>
      <w:autoSpaceDE/>
      <w:autoSpaceDN/>
      <w:adjustRightInd/>
      <w:ind w:firstLine="420" w:firstLineChars="200"/>
    </w:pPr>
    <w:rPr>
      <w:rFonts w:ascii="Calibri"/>
      <w:sz w:val="20"/>
      <w:szCs w:val="20"/>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List Bullet"/>
    <w:basedOn w:val="15"/>
    <w:qFormat/>
    <w:uiPriority w:val="0"/>
    <w:pPr>
      <w:widowControl/>
      <w:numPr>
        <w:ilvl w:val="0"/>
        <w:numId w:val="1"/>
      </w:numPr>
      <w:tabs>
        <w:tab w:val="left" w:pos="420"/>
      </w:tabs>
      <w:adjustRightInd/>
      <w:snapToGrid/>
      <w:ind w:right="720"/>
    </w:pPr>
    <w:rPr>
      <w:rFonts w:ascii="Garamond" w:hAnsi="Garamond"/>
      <w:kern w:val="0"/>
      <w:sz w:val="24"/>
      <w:szCs w:val="20"/>
    </w:rPr>
  </w:style>
  <w:style w:type="paragraph" w:styleId="15">
    <w:name w:val="List"/>
    <w:basedOn w:val="1"/>
    <w:qFormat/>
    <w:uiPriority w:val="0"/>
    <w:pPr>
      <w:numPr>
        <w:ilvl w:val="0"/>
        <w:numId w:val="2"/>
      </w:numPr>
      <w:autoSpaceDE/>
      <w:autoSpaceDN/>
      <w:snapToGrid w:val="0"/>
      <w:spacing w:line="300" w:lineRule="auto"/>
      <w:jc w:val="both"/>
    </w:pPr>
    <w:rPr>
      <w:rFonts w:ascii="Times New Roman"/>
      <w:kern w:val="2"/>
      <w:sz w:val="21"/>
    </w:rPr>
  </w:style>
  <w:style w:type="paragraph" w:styleId="16">
    <w:name w:val="Document Map"/>
    <w:basedOn w:val="1"/>
    <w:qFormat/>
    <w:uiPriority w:val="0"/>
    <w:pPr>
      <w:shd w:val="clear" w:color="auto" w:fill="000080"/>
    </w:pPr>
  </w:style>
  <w:style w:type="paragraph" w:styleId="17">
    <w:name w:val="toa heading"/>
    <w:basedOn w:val="1"/>
    <w:next w:val="1"/>
    <w:qFormat/>
    <w:uiPriority w:val="0"/>
    <w:pPr>
      <w:snapToGrid w:val="0"/>
      <w:spacing w:before="120" w:line="360" w:lineRule="auto"/>
      <w:jc w:val="both"/>
    </w:pPr>
    <w:rPr>
      <w:rFonts w:ascii="Arial" w:hAnsi="Arial"/>
      <w:snapToGrid w:val="0"/>
      <w:color w:val="000000"/>
      <w:sz w:val="21"/>
      <w:szCs w:val="20"/>
    </w:rPr>
  </w:style>
  <w:style w:type="paragraph" w:styleId="18">
    <w:name w:val="annotation text"/>
    <w:basedOn w:val="1"/>
    <w:link w:val="185"/>
    <w:qFormat/>
    <w:uiPriority w:val="0"/>
    <w:pPr>
      <w:widowControl/>
      <w:autoSpaceDE/>
      <w:autoSpaceDN/>
      <w:adjustRightInd/>
    </w:pPr>
    <w:rPr>
      <w:rFonts w:ascii="Times New Roman"/>
      <w:sz w:val="21"/>
      <w:szCs w:val="20"/>
    </w:rPr>
  </w:style>
  <w:style w:type="paragraph" w:styleId="19">
    <w:name w:val="Body Text 3"/>
    <w:basedOn w:val="1"/>
    <w:qFormat/>
    <w:uiPriority w:val="0"/>
    <w:pPr>
      <w:ind w:right="-26"/>
      <w:jc w:val="center"/>
    </w:pPr>
    <w:rPr>
      <w:b/>
      <w:bCs/>
      <w:color w:val="3366FF"/>
      <w:kern w:val="2"/>
      <w:sz w:val="52"/>
      <w:szCs w:val="52"/>
      <w:lang w:val="zh-CN"/>
    </w:rPr>
  </w:style>
  <w:style w:type="paragraph" w:styleId="20">
    <w:name w:val="Body Text"/>
    <w:basedOn w:val="1"/>
    <w:link w:val="83"/>
    <w:qFormat/>
    <w:uiPriority w:val="0"/>
    <w:pPr>
      <w:ind w:right="-26"/>
      <w:jc w:val="center"/>
    </w:pPr>
    <w:rPr>
      <w:rFonts w:hAnsi="Times New Roman"/>
      <w:b/>
      <w:bCs/>
      <w:kern w:val="2"/>
      <w:sz w:val="84"/>
      <w:szCs w:val="84"/>
      <w:lang w:val="zh-CN"/>
    </w:rPr>
  </w:style>
  <w:style w:type="paragraph" w:styleId="21">
    <w:name w:val="Body Text Indent"/>
    <w:basedOn w:val="1"/>
    <w:next w:val="22"/>
    <w:qFormat/>
    <w:uiPriority w:val="0"/>
    <w:pPr>
      <w:autoSpaceDE/>
      <w:autoSpaceDN/>
      <w:adjustRightInd/>
      <w:ind w:left="567" w:leftChars="270"/>
      <w:jc w:val="both"/>
    </w:pPr>
    <w:rPr>
      <w:rFonts w:ascii="Times New Roman"/>
      <w:kern w:val="2"/>
      <w:sz w:val="21"/>
      <w:szCs w:val="20"/>
    </w:rPr>
  </w:style>
  <w:style w:type="paragraph" w:styleId="22">
    <w:name w:val="envelope return"/>
    <w:basedOn w:val="1"/>
    <w:qFormat/>
    <w:uiPriority w:val="0"/>
    <w:pPr>
      <w:widowControl w:val="0"/>
      <w:jc w:val="both"/>
    </w:pPr>
    <w:rPr>
      <w:rFonts w:ascii="Calibri" w:hAnsi="Calibri" w:cs="Times New Roman"/>
      <w:kern w:val="2"/>
      <w:szCs w:val="24"/>
    </w:rPr>
  </w:style>
  <w:style w:type="paragraph" w:styleId="23">
    <w:name w:val="List Number 3"/>
    <w:basedOn w:val="1"/>
    <w:qFormat/>
    <w:uiPriority w:val="0"/>
    <w:pPr>
      <w:numPr>
        <w:ilvl w:val="0"/>
        <w:numId w:val="3"/>
      </w:numPr>
    </w:pPr>
  </w:style>
  <w:style w:type="paragraph" w:styleId="24">
    <w:name w:val="List 2"/>
    <w:basedOn w:val="1"/>
    <w:qFormat/>
    <w:uiPriority w:val="0"/>
    <w:pPr>
      <w:widowControl/>
      <w:autoSpaceDE/>
      <w:autoSpaceDN/>
      <w:adjustRightInd/>
      <w:ind w:left="100" w:leftChars="200" w:hanging="200" w:hangingChars="200"/>
    </w:pPr>
    <w:rPr>
      <w:rFonts w:ascii="Times New Roman"/>
      <w:sz w:val="21"/>
      <w:szCs w:val="20"/>
    </w:rPr>
  </w:style>
  <w:style w:type="paragraph" w:styleId="25">
    <w:name w:val="Block Text"/>
    <w:basedOn w:val="1"/>
    <w:qFormat/>
    <w:uiPriority w:val="0"/>
    <w:pPr>
      <w:spacing w:after="120"/>
      <w:ind w:left="1440" w:leftChars="700" w:right="1440" w:rightChars="700"/>
    </w:pPr>
  </w:style>
  <w:style w:type="paragraph" w:styleId="26">
    <w:name w:val="toc 5"/>
    <w:basedOn w:val="1"/>
    <w:next w:val="1"/>
    <w:qFormat/>
    <w:uiPriority w:val="0"/>
    <w:pPr>
      <w:ind w:left="960"/>
    </w:pPr>
    <w:rPr>
      <w:rFonts w:ascii="Calibri" w:cs="Calibri"/>
      <w:sz w:val="18"/>
      <w:szCs w:val="18"/>
    </w:rPr>
  </w:style>
  <w:style w:type="paragraph" w:styleId="27">
    <w:name w:val="toc 3"/>
    <w:basedOn w:val="1"/>
    <w:next w:val="1"/>
    <w:qFormat/>
    <w:uiPriority w:val="0"/>
    <w:pPr>
      <w:ind w:left="480"/>
    </w:pPr>
    <w:rPr>
      <w:rFonts w:ascii="Calibri" w:cs="Calibri"/>
      <w:i/>
      <w:iCs/>
      <w:sz w:val="20"/>
      <w:szCs w:val="20"/>
    </w:rPr>
  </w:style>
  <w:style w:type="paragraph" w:styleId="28">
    <w:name w:val="Plain Text"/>
    <w:basedOn w:val="1"/>
    <w:next w:val="1"/>
    <w:link w:val="79"/>
    <w:qFormat/>
    <w:uiPriority w:val="0"/>
    <w:pPr>
      <w:autoSpaceDE/>
      <w:autoSpaceDN/>
      <w:adjustRightInd/>
      <w:jc w:val="both"/>
    </w:pPr>
    <w:rPr>
      <w:rFonts w:hAnsi="Courier New"/>
      <w:kern w:val="2"/>
      <w:sz w:val="21"/>
      <w:szCs w:val="20"/>
    </w:rPr>
  </w:style>
  <w:style w:type="paragraph" w:styleId="29">
    <w:name w:val="toc 8"/>
    <w:basedOn w:val="1"/>
    <w:next w:val="1"/>
    <w:qFormat/>
    <w:uiPriority w:val="0"/>
    <w:pPr>
      <w:ind w:left="1680"/>
    </w:pPr>
    <w:rPr>
      <w:rFonts w:ascii="Calibri" w:cs="Calibri"/>
      <w:sz w:val="18"/>
      <w:szCs w:val="18"/>
    </w:rPr>
  </w:style>
  <w:style w:type="paragraph" w:styleId="30">
    <w:name w:val="Date"/>
    <w:basedOn w:val="1"/>
    <w:next w:val="1"/>
    <w:qFormat/>
    <w:uiPriority w:val="0"/>
    <w:pPr>
      <w:ind w:left="100" w:leftChars="2500"/>
    </w:pPr>
    <w:rPr>
      <w:b/>
      <w:bCs/>
      <w:kern w:val="2"/>
      <w:sz w:val="21"/>
      <w:szCs w:val="21"/>
      <w:lang w:val="zh-CN"/>
    </w:rPr>
  </w:style>
  <w:style w:type="paragraph" w:styleId="31">
    <w:name w:val="Body Text Indent 2"/>
    <w:basedOn w:val="1"/>
    <w:qFormat/>
    <w:uiPriority w:val="0"/>
    <w:pPr>
      <w:tabs>
        <w:tab w:val="left" w:pos="8640"/>
      </w:tabs>
      <w:autoSpaceDE/>
      <w:autoSpaceDN/>
      <w:adjustRightInd/>
      <w:ind w:left="1260"/>
      <w:jc w:val="both"/>
    </w:pPr>
    <w:rPr>
      <w:kern w:val="2"/>
      <w:sz w:val="21"/>
      <w:szCs w:val="20"/>
    </w:rPr>
  </w:style>
  <w:style w:type="paragraph" w:styleId="32">
    <w:name w:val="Balloon Text"/>
    <w:basedOn w:val="1"/>
    <w:qFormat/>
    <w:uiPriority w:val="0"/>
    <w:pPr>
      <w:autoSpaceDE/>
      <w:autoSpaceDN/>
      <w:adjustRightInd/>
      <w:jc w:val="both"/>
    </w:pPr>
    <w:rPr>
      <w:rFonts w:ascii="Times New Roman"/>
      <w:kern w:val="2"/>
      <w:sz w:val="18"/>
      <w:szCs w:val="18"/>
    </w:rPr>
  </w:style>
  <w:style w:type="paragraph" w:styleId="33">
    <w:name w:val="footer"/>
    <w:basedOn w:val="1"/>
    <w:link w:val="92"/>
    <w:qFormat/>
    <w:uiPriority w:val="0"/>
    <w:pPr>
      <w:tabs>
        <w:tab w:val="center" w:pos="4153"/>
        <w:tab w:val="right" w:pos="8306"/>
      </w:tabs>
      <w:snapToGrid w:val="0"/>
    </w:pPr>
    <w:rPr>
      <w:rFonts w:hAnsi="Times New Roman"/>
      <w:sz w:val="18"/>
      <w:szCs w:val="18"/>
    </w:rPr>
  </w:style>
  <w:style w:type="paragraph" w:styleId="34">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0"/>
    <w:pPr>
      <w:spacing w:before="120" w:after="120"/>
    </w:pPr>
    <w:rPr>
      <w:rFonts w:ascii="Calibri" w:cs="Calibri"/>
      <w:b/>
      <w:bCs/>
      <w:caps/>
      <w:sz w:val="20"/>
      <w:szCs w:val="20"/>
    </w:rPr>
  </w:style>
  <w:style w:type="paragraph" w:styleId="36">
    <w:name w:val="toc 4"/>
    <w:basedOn w:val="1"/>
    <w:next w:val="1"/>
    <w:qFormat/>
    <w:uiPriority w:val="0"/>
    <w:pPr>
      <w:ind w:left="720"/>
    </w:pPr>
    <w:rPr>
      <w:rFonts w:ascii="Calibri" w:cs="Calibri"/>
      <w:sz w:val="18"/>
      <w:szCs w:val="18"/>
    </w:rPr>
  </w:style>
  <w:style w:type="paragraph" w:styleId="37">
    <w:name w:val="index heading"/>
    <w:basedOn w:val="1"/>
    <w:next w:val="38"/>
    <w:qFormat/>
    <w:uiPriority w:val="0"/>
    <w:pPr>
      <w:autoSpaceDE/>
      <w:autoSpaceDN/>
      <w:adjustRightInd/>
      <w:jc w:val="both"/>
    </w:pPr>
    <w:rPr>
      <w:rFonts w:ascii="Times New Roman"/>
      <w:kern w:val="2"/>
      <w:sz w:val="21"/>
      <w:szCs w:val="20"/>
    </w:rPr>
  </w:style>
  <w:style w:type="paragraph" w:styleId="38">
    <w:name w:val="index 1"/>
    <w:basedOn w:val="1"/>
    <w:next w:val="1"/>
    <w:qFormat/>
    <w:uiPriority w:val="0"/>
    <w:pPr>
      <w:autoSpaceDE/>
      <w:autoSpaceDN/>
      <w:adjustRightInd/>
      <w:ind w:left="540" w:leftChars="257"/>
      <w:jc w:val="both"/>
    </w:pPr>
    <w:rPr>
      <w:rFonts w:ascii="Arial" w:hAnsi="Arial" w:cs="Arial"/>
      <w:kern w:val="2"/>
      <w:sz w:val="21"/>
    </w:rPr>
  </w:style>
  <w:style w:type="paragraph" w:styleId="39">
    <w:name w:val="Subtitle"/>
    <w:basedOn w:val="1"/>
    <w:link w:val="91"/>
    <w:qFormat/>
    <w:uiPriority w:val="0"/>
    <w:pPr>
      <w:autoSpaceDE/>
      <w:autoSpaceDN/>
      <w:adjustRightInd/>
      <w:spacing w:before="240" w:after="60" w:line="312" w:lineRule="auto"/>
      <w:jc w:val="center"/>
      <w:outlineLvl w:val="1"/>
    </w:pPr>
    <w:rPr>
      <w:rFonts w:ascii="Arial" w:hAnsi="Arial"/>
      <w:b/>
      <w:kern w:val="28"/>
      <w:sz w:val="32"/>
      <w:szCs w:val="20"/>
    </w:rPr>
  </w:style>
  <w:style w:type="paragraph" w:styleId="40">
    <w:name w:val="toc 6"/>
    <w:basedOn w:val="1"/>
    <w:next w:val="1"/>
    <w:qFormat/>
    <w:uiPriority w:val="0"/>
    <w:pPr>
      <w:ind w:left="1200"/>
    </w:pPr>
    <w:rPr>
      <w:rFonts w:ascii="Calibri" w:cs="Calibri"/>
      <w:sz w:val="18"/>
      <w:szCs w:val="18"/>
    </w:rPr>
  </w:style>
  <w:style w:type="paragraph" w:styleId="41">
    <w:name w:val="Body Text Indent 3"/>
    <w:basedOn w:val="1"/>
    <w:qFormat/>
    <w:uiPriority w:val="0"/>
    <w:pPr>
      <w:spacing w:line="360" w:lineRule="auto"/>
      <w:ind w:firstLine="480" w:firstLineChars="200"/>
    </w:pPr>
  </w:style>
  <w:style w:type="paragraph" w:styleId="42">
    <w:name w:val="toc 2"/>
    <w:basedOn w:val="1"/>
    <w:next w:val="1"/>
    <w:qFormat/>
    <w:uiPriority w:val="0"/>
    <w:pPr>
      <w:ind w:left="240"/>
    </w:pPr>
    <w:rPr>
      <w:rFonts w:ascii="Calibri" w:cs="Calibri"/>
      <w:smallCaps/>
      <w:sz w:val="20"/>
      <w:szCs w:val="20"/>
    </w:rPr>
  </w:style>
  <w:style w:type="paragraph" w:styleId="43">
    <w:name w:val="toc 9"/>
    <w:basedOn w:val="1"/>
    <w:next w:val="1"/>
    <w:qFormat/>
    <w:uiPriority w:val="0"/>
    <w:pPr>
      <w:ind w:left="1920"/>
    </w:pPr>
    <w:rPr>
      <w:rFonts w:ascii="Calibri" w:cs="Calibri"/>
      <w:sz w:val="18"/>
      <w:szCs w:val="18"/>
    </w:rPr>
  </w:style>
  <w:style w:type="paragraph" w:styleId="44">
    <w:name w:val="Body Text 2"/>
    <w:basedOn w:val="1"/>
    <w:qFormat/>
    <w:uiPriority w:val="0"/>
    <w:pPr>
      <w:tabs>
        <w:tab w:val="left" w:pos="0"/>
      </w:tabs>
      <w:autoSpaceDE/>
      <w:autoSpaceDN/>
      <w:adjustRightInd/>
      <w:spacing w:line="400" w:lineRule="atLeast"/>
      <w:jc w:val="both"/>
    </w:pPr>
    <w:rPr>
      <w:rFonts w:ascii="Arial" w:hAnsi="Arial"/>
      <w:color w:val="000000"/>
      <w:kern w:val="2"/>
      <w:sz w:val="21"/>
    </w:rPr>
  </w:style>
  <w:style w:type="paragraph" w:styleId="45">
    <w:name w:val="List 4"/>
    <w:basedOn w:val="1"/>
    <w:qFormat/>
    <w:uiPriority w:val="0"/>
    <w:pPr>
      <w:tabs>
        <w:tab w:val="left" w:pos="750"/>
      </w:tabs>
      <w:autoSpaceDE/>
      <w:autoSpaceDN/>
      <w:adjustRightInd/>
      <w:ind w:left="750" w:hanging="750"/>
      <w:jc w:val="both"/>
    </w:pPr>
    <w:rPr>
      <w:rFonts w:ascii="Times New Roman" w:hAnsi="Times New Roman" w:cs="Times New Roman"/>
      <w:b/>
      <w:kern w:val="2"/>
      <w:sz w:val="21"/>
      <w:szCs w:val="20"/>
    </w:rPr>
  </w:style>
  <w:style w:type="paragraph" w:styleId="46">
    <w:name w:val="HTML Preformatted"/>
    <w:basedOn w:val="1"/>
    <w:link w:val="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80" w:lineRule="exact"/>
    </w:pPr>
    <w:rPr>
      <w:rFonts w:ascii="Arial" w:hAnsi="Arial" w:cs="Arial"/>
      <w:sz w:val="21"/>
      <w:szCs w:val="21"/>
    </w:rPr>
  </w:style>
  <w:style w:type="paragraph" w:styleId="47">
    <w:name w:val="Normal (Web)"/>
    <w:basedOn w:val="1"/>
    <w:qFormat/>
    <w:uiPriority w:val="0"/>
    <w:pPr>
      <w:widowControl/>
      <w:autoSpaceDE/>
      <w:autoSpaceDN/>
      <w:adjustRightInd/>
      <w:spacing w:before="100" w:beforeAutospacing="1" w:after="100" w:afterAutospacing="1"/>
    </w:pPr>
    <w:rPr>
      <w:rFonts w:hAnsi="宋体"/>
      <w:sz w:val="15"/>
      <w:szCs w:val="15"/>
    </w:rPr>
  </w:style>
  <w:style w:type="paragraph" w:styleId="48">
    <w:name w:val="Title"/>
    <w:basedOn w:val="1"/>
    <w:next w:val="1"/>
    <w:qFormat/>
    <w:uiPriority w:val="0"/>
    <w:pPr>
      <w:numPr>
        <w:ilvl w:val="0"/>
        <w:numId w:val="4"/>
      </w:numPr>
      <w:tabs>
        <w:tab w:val="clear" w:pos="2121"/>
      </w:tabs>
      <w:autoSpaceDE/>
      <w:autoSpaceDN/>
      <w:snapToGrid w:val="0"/>
      <w:spacing w:beforeLines="50" w:afterLines="50"/>
      <w:ind w:left="0" w:firstLine="0"/>
      <w:jc w:val="center"/>
      <w:outlineLvl w:val="0"/>
    </w:pPr>
    <w:rPr>
      <w:rFonts w:ascii="Arial" w:hAnsi="Arial" w:cs="Arial"/>
      <w:b/>
      <w:bCs/>
      <w:kern w:val="2"/>
      <w:sz w:val="52"/>
      <w:szCs w:val="32"/>
    </w:rPr>
  </w:style>
  <w:style w:type="paragraph" w:styleId="49">
    <w:name w:val="annotation subject"/>
    <w:basedOn w:val="18"/>
    <w:next w:val="18"/>
    <w:qFormat/>
    <w:uiPriority w:val="0"/>
    <w:rPr>
      <w:b/>
      <w:bCs/>
    </w:rPr>
  </w:style>
  <w:style w:type="paragraph" w:styleId="50">
    <w:name w:val="Body Text First Indent"/>
    <w:basedOn w:val="20"/>
    <w:next w:val="51"/>
    <w:qFormat/>
    <w:uiPriority w:val="0"/>
    <w:pPr>
      <w:widowControl/>
      <w:autoSpaceDE/>
      <w:autoSpaceDN/>
      <w:adjustRightInd/>
      <w:spacing w:after="120"/>
      <w:ind w:right="0" w:firstLine="420" w:firstLineChars="100"/>
      <w:jc w:val="left"/>
    </w:pPr>
    <w:rPr>
      <w:rFonts w:ascii="Times New Roman"/>
      <w:b w:val="0"/>
      <w:bCs w:val="0"/>
      <w:kern w:val="0"/>
      <w:sz w:val="21"/>
      <w:szCs w:val="20"/>
      <w:lang w:val="en-US"/>
    </w:rPr>
  </w:style>
  <w:style w:type="paragraph" w:customStyle="1" w:styleId="51">
    <w:name w:val="样式 正文首行缩进 + 首行缩进:  1 字符"/>
    <w:basedOn w:val="1"/>
    <w:next w:val="1"/>
    <w:qFormat/>
    <w:uiPriority w:val="0"/>
    <w:pPr>
      <w:ind w:firstLine="200" w:firstLineChars="200"/>
    </w:pPr>
    <w:rPr>
      <w:rFonts w:cs="宋体"/>
      <w:szCs w:val="20"/>
    </w:rPr>
  </w:style>
  <w:style w:type="paragraph" w:styleId="52">
    <w:name w:val="Body Text First Indent 2"/>
    <w:basedOn w:val="21"/>
    <w:semiHidden/>
    <w:unhideWhenUsed/>
    <w:qFormat/>
    <w:uiPriority w:val="99"/>
    <w:pPr>
      <w:ind w:firstLine="420" w:firstLineChars="200"/>
    </w:p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333333"/>
      <w:u w:val="none"/>
    </w:rPr>
  </w:style>
  <w:style w:type="character" w:styleId="59">
    <w:name w:val="Emphasis"/>
    <w:qFormat/>
    <w:uiPriority w:val="0"/>
    <w:rPr>
      <w:i/>
      <w:iCs/>
    </w:rPr>
  </w:style>
  <w:style w:type="character" w:styleId="60">
    <w:name w:val="Hyperlink"/>
    <w:qFormat/>
    <w:uiPriority w:val="0"/>
    <w:rPr>
      <w:color w:val="333333"/>
      <w:u w:val="none"/>
    </w:rPr>
  </w:style>
  <w:style w:type="character" w:styleId="61">
    <w:name w:val="annotation reference"/>
    <w:basedOn w:val="55"/>
    <w:qFormat/>
    <w:uiPriority w:val="0"/>
    <w:rPr>
      <w:sz w:val="21"/>
      <w:szCs w:val="21"/>
    </w:rPr>
  </w:style>
  <w:style w:type="paragraph" w:customStyle="1" w:styleId="62">
    <w:name w:val="表格文字"/>
    <w:basedOn w:val="1"/>
    <w:qFormat/>
    <w:uiPriority w:val="0"/>
    <w:pPr>
      <w:autoSpaceDE/>
      <w:autoSpaceDN/>
      <w:adjustRightInd/>
      <w:spacing w:before="25" w:after="25"/>
    </w:pPr>
    <w:rPr>
      <w:rFonts w:ascii="Times New Roman"/>
      <w:bCs/>
      <w:spacing w:val="10"/>
      <w:szCs w:val="20"/>
    </w:rPr>
  </w:style>
  <w:style w:type="paragraph" w:customStyle="1" w:styleId="63">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64">
    <w:name w:val="首行缩进"/>
    <w:basedOn w:val="1"/>
    <w:qFormat/>
    <w:uiPriority w:val="0"/>
    <w:pPr>
      <w:ind w:firstLine="480" w:firstLineChars="200"/>
    </w:pPr>
    <w:rPr>
      <w:lang w:val="zh-CN"/>
    </w:rPr>
  </w:style>
  <w:style w:type="character" w:customStyle="1" w:styleId="65">
    <w:name w:val="s1"/>
    <w:qFormat/>
    <w:uiPriority w:val="0"/>
    <w:rPr>
      <w:rFonts w:ascii="Helvetica" w:hAnsi="Helvetica" w:eastAsia="Helvetica" w:cs="Helvetica"/>
      <w:sz w:val="24"/>
      <w:szCs w:val="24"/>
    </w:rPr>
  </w:style>
  <w:style w:type="character" w:customStyle="1" w:styleId="66">
    <w:name w:val="keyfeatures1"/>
    <w:qFormat/>
    <w:uiPriority w:val="0"/>
    <w:rPr>
      <w:rFonts w:hint="default" w:ascii="Arial" w:hAnsi="Arial" w:cs="Arial"/>
      <w:color w:val="003366"/>
      <w:sz w:val="17"/>
      <w:szCs w:val="17"/>
      <w:u w:val="none"/>
    </w:rPr>
  </w:style>
  <w:style w:type="character" w:customStyle="1" w:styleId="67">
    <w:name w:val="小 Char"/>
    <w:qFormat/>
    <w:uiPriority w:val="0"/>
    <w:rPr>
      <w:rFonts w:ascii="宋体" w:hAnsi="Courier New" w:eastAsia="宋体" w:cs="Times New Roman"/>
      <w:kern w:val="2"/>
      <w:sz w:val="21"/>
      <w:lang w:val="en-US" w:eastAsia="zh-CN" w:bidi="ar-SA"/>
    </w:rPr>
  </w:style>
  <w:style w:type="character" w:customStyle="1" w:styleId="68">
    <w:name w:val="纯文本 Char Char"/>
    <w:qFormat/>
    <w:uiPriority w:val="0"/>
    <w:rPr>
      <w:rFonts w:ascii="宋体" w:hAnsi="Courier New" w:eastAsia="宋体"/>
      <w:kern w:val="2"/>
      <w:sz w:val="21"/>
      <w:lang w:val="en-US" w:eastAsia="zh-CN" w:bidi="ar-SA"/>
    </w:rPr>
  </w:style>
  <w:style w:type="character" w:customStyle="1" w:styleId="69">
    <w:name w:val="meuncn1"/>
    <w:qFormat/>
    <w:uiPriority w:val="0"/>
    <w:rPr>
      <w:rFonts w:hint="eastAsia" w:ascii="宋体" w:hAnsi="宋体" w:eastAsia="宋体"/>
      <w:color w:val="666666"/>
      <w:sz w:val="18"/>
      <w:u w:val="none"/>
    </w:rPr>
  </w:style>
  <w:style w:type="character" w:customStyle="1" w:styleId="70">
    <w:name w:val="标题 3.1 Char Char"/>
    <w:link w:val="71"/>
    <w:qFormat/>
    <w:uiPriority w:val="0"/>
    <w:rPr>
      <w:rFonts w:ascii="宋体" w:hAnsi="宋体"/>
      <w:b/>
      <w:bCs/>
      <w:kern w:val="2"/>
      <w:sz w:val="32"/>
      <w:szCs w:val="32"/>
    </w:rPr>
  </w:style>
  <w:style w:type="paragraph" w:customStyle="1" w:styleId="71">
    <w:name w:val="标题 3.1"/>
    <w:basedOn w:val="4"/>
    <w:link w:val="70"/>
    <w:qFormat/>
    <w:uiPriority w:val="0"/>
    <w:pPr>
      <w:keepNext/>
      <w:keepLines/>
      <w:tabs>
        <w:tab w:val="left" w:pos="1440"/>
        <w:tab w:val="left" w:pos="1620"/>
      </w:tabs>
      <w:autoSpaceDE/>
      <w:autoSpaceDN/>
      <w:adjustRightInd/>
      <w:spacing w:before="260" w:after="260" w:line="600" w:lineRule="exact"/>
      <w:jc w:val="both"/>
    </w:pPr>
    <w:rPr>
      <w:rFonts w:hAnsi="宋体"/>
      <w:b/>
      <w:bCs/>
      <w:kern w:val="2"/>
      <w:sz w:val="32"/>
      <w:szCs w:val="32"/>
    </w:rPr>
  </w:style>
  <w:style w:type="character" w:customStyle="1" w:styleId="72">
    <w:name w:val="标题 1 字符"/>
    <w:link w:val="2"/>
    <w:qFormat/>
    <w:uiPriority w:val="0"/>
  </w:style>
  <w:style w:type="character" w:customStyle="1" w:styleId="73">
    <w:name w:val="HTML Markup"/>
    <w:qFormat/>
    <w:uiPriority w:val="0"/>
    <w:rPr>
      <w:rFonts w:ascii="Times New Roman" w:hAnsi="Times New Roman" w:eastAsia="宋体" w:cs="Times New Roman"/>
      <w:vanish/>
      <w:color w:val="FF0000"/>
    </w:rPr>
  </w:style>
  <w:style w:type="character" w:customStyle="1" w:styleId="74">
    <w:name w:val="页脚 Char Char"/>
    <w:qFormat/>
    <w:uiPriority w:val="0"/>
    <w:rPr>
      <w:rFonts w:ascii="宋体"/>
      <w:sz w:val="18"/>
      <w:szCs w:val="18"/>
    </w:rPr>
  </w:style>
  <w:style w:type="character" w:customStyle="1" w:styleId="75">
    <w:name w:val="p105"/>
    <w:basedOn w:val="55"/>
    <w:qFormat/>
    <w:uiPriority w:val="0"/>
  </w:style>
  <w:style w:type="character" w:customStyle="1" w:styleId="76">
    <w:name w:val="正文缩进2格 Char Char"/>
    <w:link w:val="77"/>
    <w:qFormat/>
    <w:uiPriority w:val="0"/>
    <w:rPr>
      <w:rFonts w:ascii="仿宋_GB2312" w:hAnsi="宋体" w:eastAsia="仿宋_GB2312"/>
      <w:kern w:val="2"/>
      <w:sz w:val="31"/>
      <w:szCs w:val="28"/>
      <w:lang w:val="en-US" w:eastAsia="zh-CN" w:bidi="ar-SA"/>
    </w:rPr>
  </w:style>
  <w:style w:type="paragraph" w:customStyle="1" w:styleId="77">
    <w:name w:val="正文缩进2格"/>
    <w:basedOn w:val="1"/>
    <w:link w:val="76"/>
    <w:qFormat/>
    <w:uiPriority w:val="0"/>
    <w:pPr>
      <w:autoSpaceDE/>
      <w:autoSpaceDN/>
      <w:adjustRightInd/>
      <w:spacing w:line="600" w:lineRule="exact"/>
      <w:ind w:firstLine="639" w:firstLineChars="206"/>
      <w:jc w:val="both"/>
    </w:pPr>
    <w:rPr>
      <w:rFonts w:ascii="仿宋_GB2312" w:hAnsi="宋体" w:eastAsia="仿宋_GB2312"/>
      <w:kern w:val="2"/>
      <w:sz w:val="31"/>
      <w:szCs w:val="28"/>
    </w:rPr>
  </w:style>
  <w:style w:type="character" w:customStyle="1" w:styleId="78">
    <w:name w:val="正文缩进 字符"/>
    <w:link w:val="12"/>
    <w:qFormat/>
    <w:uiPriority w:val="0"/>
    <w:rPr>
      <w:rFonts w:eastAsia="宋体"/>
      <w:lang w:val="en-US" w:eastAsia="zh-CN" w:bidi="ar-SA"/>
    </w:rPr>
  </w:style>
  <w:style w:type="character" w:customStyle="1" w:styleId="79">
    <w:name w:val="纯文本 字符"/>
    <w:link w:val="28"/>
    <w:qFormat/>
    <w:uiPriority w:val="0"/>
    <w:rPr>
      <w:rFonts w:ascii="宋体" w:hAnsi="Courier New" w:eastAsia="宋体" w:cs="Times New Roman"/>
      <w:kern w:val="2"/>
      <w:sz w:val="21"/>
      <w:lang w:val="en-US" w:eastAsia="zh-CN" w:bidi="ar-SA"/>
    </w:rPr>
  </w:style>
  <w:style w:type="character" w:customStyle="1" w:styleId="80">
    <w:name w:val="font01"/>
    <w:qFormat/>
    <w:uiPriority w:val="0"/>
    <w:rPr>
      <w:rFonts w:hint="eastAsia" w:ascii="宋体" w:hAnsi="宋体" w:eastAsia="宋体" w:cs="宋体"/>
      <w:color w:val="000000"/>
      <w:sz w:val="24"/>
      <w:szCs w:val="24"/>
      <w:u w:val="none"/>
    </w:rPr>
  </w:style>
  <w:style w:type="character" w:customStyle="1" w:styleId="81">
    <w:name w:val="wctjfont1"/>
    <w:qFormat/>
    <w:uiPriority w:val="0"/>
    <w:rPr>
      <w:sz w:val="18"/>
    </w:rPr>
  </w:style>
  <w:style w:type="character" w:customStyle="1" w:styleId="82">
    <w:name w:val="bold1"/>
    <w:qFormat/>
    <w:uiPriority w:val="0"/>
    <w:rPr>
      <w:sz w:val="32"/>
    </w:rPr>
  </w:style>
  <w:style w:type="character" w:customStyle="1" w:styleId="83">
    <w:name w:val="正文文本 字符"/>
    <w:link w:val="20"/>
    <w:qFormat/>
    <w:uiPriority w:val="0"/>
    <w:rPr>
      <w:rFonts w:ascii="宋体" w:hAnsi="Times New Roman" w:eastAsia="宋体" w:cs="Times New Roman"/>
      <w:b/>
      <w:bCs/>
      <w:kern w:val="2"/>
      <w:sz w:val="84"/>
      <w:szCs w:val="84"/>
      <w:lang w:val="zh-CN" w:eastAsia="zh-CN" w:bidi="ar-SA"/>
    </w:rPr>
  </w:style>
  <w:style w:type="character" w:customStyle="1" w:styleId="84">
    <w:name w:val="DAS正文 Char Char"/>
    <w:qFormat/>
    <w:uiPriority w:val="0"/>
    <w:rPr>
      <w:rFonts w:ascii="Verdana" w:hAnsi="Verdana" w:eastAsia="宋体"/>
      <w:kern w:val="2"/>
      <w:sz w:val="21"/>
      <w:szCs w:val="21"/>
      <w:lang w:val="en-US" w:eastAsia="zh-CN" w:bidi="ar-SA"/>
    </w:rPr>
  </w:style>
  <w:style w:type="character" w:customStyle="1" w:styleId="85">
    <w:name w:val="Highlighted Variable"/>
    <w:qFormat/>
    <w:uiPriority w:val="0"/>
    <w:rPr>
      <w:color w:val="000000"/>
    </w:rPr>
  </w:style>
  <w:style w:type="character" w:customStyle="1" w:styleId="86">
    <w:name w:val="neir1"/>
    <w:qFormat/>
    <w:uiPriority w:val="0"/>
    <w:rPr>
      <w:rFonts w:hint="default" w:ascii="ˎ̥" w:hAnsi="ˎ̥" w:eastAsia="宋体" w:cs="Times New Roman"/>
      <w:color w:val="333333"/>
      <w:sz w:val="21"/>
      <w:szCs w:val="21"/>
      <w:u w:val="none"/>
    </w:rPr>
  </w:style>
  <w:style w:type="character" w:customStyle="1" w:styleId="87">
    <w:name w:val="style61"/>
    <w:qFormat/>
    <w:uiPriority w:val="0"/>
    <w:rPr>
      <w:b/>
      <w:bCs/>
    </w:rPr>
  </w:style>
  <w:style w:type="character" w:customStyle="1" w:styleId="88">
    <w:name w:val="页眉 字符"/>
    <w:link w:val="34"/>
    <w:qFormat/>
    <w:uiPriority w:val="0"/>
    <w:rPr>
      <w:rFonts w:ascii="宋体"/>
      <w:sz w:val="18"/>
      <w:szCs w:val="18"/>
    </w:rPr>
  </w:style>
  <w:style w:type="character" w:customStyle="1" w:styleId="89">
    <w:name w:val="HTML 预设格式 字符"/>
    <w:link w:val="46"/>
    <w:qFormat/>
    <w:uiPriority w:val="0"/>
    <w:rPr>
      <w:rFonts w:ascii="Arial" w:hAnsi="Arial" w:eastAsia="宋体" w:cs="Arial"/>
      <w:sz w:val="21"/>
      <w:szCs w:val="21"/>
      <w:lang w:val="en-US" w:eastAsia="zh-CN" w:bidi="ar-SA"/>
    </w:rPr>
  </w:style>
  <w:style w:type="character" w:customStyle="1" w:styleId="90">
    <w:name w:val="f141"/>
    <w:qFormat/>
    <w:uiPriority w:val="0"/>
    <w:rPr>
      <w:sz w:val="21"/>
      <w:szCs w:val="21"/>
    </w:rPr>
  </w:style>
  <w:style w:type="character" w:customStyle="1" w:styleId="91">
    <w:name w:val="副标题 字符"/>
    <w:link w:val="39"/>
    <w:qFormat/>
    <w:uiPriority w:val="0"/>
    <w:rPr>
      <w:rFonts w:ascii="Arial" w:hAnsi="Arial"/>
      <w:b/>
      <w:kern w:val="28"/>
      <w:sz w:val="32"/>
    </w:rPr>
  </w:style>
  <w:style w:type="character" w:customStyle="1" w:styleId="92">
    <w:name w:val="页脚 字符"/>
    <w:link w:val="33"/>
    <w:qFormat/>
    <w:uiPriority w:val="0"/>
    <w:rPr>
      <w:rFonts w:ascii="宋体" w:hAnsi="Times New Roman" w:eastAsia="宋体" w:cs="Times New Roman"/>
      <w:sz w:val="18"/>
      <w:szCs w:val="18"/>
      <w:lang w:val="en-US" w:eastAsia="zh-CN" w:bidi="ar-SA"/>
    </w:rPr>
  </w:style>
  <w:style w:type="paragraph" w:customStyle="1" w:styleId="93">
    <w:name w:val="技术响应2"/>
    <w:basedOn w:val="1"/>
    <w:qFormat/>
    <w:uiPriority w:val="0"/>
    <w:pPr>
      <w:numPr>
        <w:ilvl w:val="0"/>
        <w:numId w:val="5"/>
      </w:numPr>
      <w:autoSpaceDE/>
      <w:autoSpaceDN/>
      <w:adjustRightInd/>
      <w:jc w:val="both"/>
    </w:pPr>
    <w:rPr>
      <w:rFonts w:hAnsi="宋体"/>
      <w:b/>
      <w:bCs/>
      <w:kern w:val="2"/>
      <w:sz w:val="21"/>
      <w:szCs w:val="20"/>
    </w:rPr>
  </w:style>
  <w:style w:type="paragraph" w:customStyle="1" w:styleId="94">
    <w:name w:val="Bullet"/>
    <w:basedOn w:val="1"/>
    <w:qFormat/>
    <w:uiPriority w:val="0"/>
    <w:pPr>
      <w:numPr>
        <w:ilvl w:val="0"/>
        <w:numId w:val="6"/>
      </w:numPr>
      <w:autoSpaceDE/>
      <w:autoSpaceDN/>
      <w:adjustRightInd/>
      <w:spacing w:line="360" w:lineRule="exact"/>
      <w:jc w:val="both"/>
    </w:pPr>
    <w:rPr>
      <w:rFonts w:ascii="Times New Roman"/>
      <w:kern w:val="2"/>
      <w:szCs w:val="20"/>
    </w:rPr>
  </w:style>
  <w:style w:type="paragraph" w:customStyle="1" w:styleId="95">
    <w:name w:val="普通 (Web)"/>
    <w:basedOn w:val="1"/>
    <w:qFormat/>
    <w:uiPriority w:val="0"/>
    <w:pPr>
      <w:widowControl/>
      <w:autoSpaceDE/>
      <w:autoSpaceDN/>
      <w:adjustRightInd/>
      <w:spacing w:before="100" w:beforeAutospacing="1" w:after="100" w:afterAutospacing="1"/>
    </w:pPr>
    <w:rPr>
      <w:rFonts w:hAnsi="宋体"/>
    </w:rPr>
  </w:style>
  <w:style w:type="paragraph" w:customStyle="1" w:styleId="96">
    <w:name w:val="正文楷 Char"/>
    <w:basedOn w:val="1"/>
    <w:qFormat/>
    <w:uiPriority w:val="0"/>
    <w:pPr>
      <w:autoSpaceDE/>
      <w:autoSpaceDN/>
      <w:adjustRightInd/>
      <w:spacing w:line="500" w:lineRule="exact"/>
      <w:ind w:firstLine="560" w:firstLineChars="200"/>
      <w:jc w:val="both"/>
    </w:pPr>
    <w:rPr>
      <w:rFonts w:ascii="楷体_GB2312" w:hAnsi="楷体_GB2312" w:eastAsia="楷体_GB2312"/>
      <w:kern w:val="2"/>
      <w:sz w:val="28"/>
      <w:szCs w:val="20"/>
    </w:rPr>
  </w:style>
  <w:style w:type="paragraph" w:customStyle="1" w:styleId="97">
    <w:name w:val="Char Char Char Char Char Char1 Char"/>
    <w:basedOn w:val="1"/>
    <w:qFormat/>
    <w:uiPriority w:val="0"/>
    <w:pPr>
      <w:widowControl/>
      <w:autoSpaceDE/>
      <w:autoSpaceDN/>
      <w:adjustRightInd/>
      <w:spacing w:after="160" w:line="240" w:lineRule="exact"/>
    </w:pPr>
    <w:rPr>
      <w:rFonts w:ascii="Arial" w:hAnsi="Arial" w:eastAsia="楷体_GB2312" w:cs="Verdana"/>
      <w:b/>
      <w:lang w:eastAsia="en-US"/>
    </w:rPr>
  </w:style>
  <w:style w:type="paragraph" w:customStyle="1" w:styleId="98">
    <w:name w:val="样式 我的标题 + 两端对齐"/>
    <w:basedOn w:val="2"/>
    <w:qFormat/>
    <w:uiPriority w:val="0"/>
    <w:pPr>
      <w:keepNext/>
      <w:keepLines/>
      <w:autoSpaceDE/>
      <w:autoSpaceDN/>
      <w:adjustRightInd/>
      <w:spacing w:before="340" w:after="330" w:line="578" w:lineRule="auto"/>
      <w:jc w:val="center"/>
    </w:pPr>
    <w:rPr>
      <w:rFonts w:ascii="Times New Roman"/>
      <w:b/>
      <w:bCs/>
      <w:kern w:val="44"/>
      <w:sz w:val="32"/>
      <w:szCs w:val="20"/>
    </w:rPr>
  </w:style>
  <w:style w:type="paragraph" w:customStyle="1" w:styleId="99">
    <w:name w:val="默认段落字体 Para Char"/>
    <w:basedOn w:val="1"/>
    <w:qFormat/>
    <w:uiPriority w:val="0"/>
    <w:pPr>
      <w:autoSpaceDE/>
      <w:autoSpaceDN/>
      <w:spacing w:line="360" w:lineRule="auto"/>
      <w:jc w:val="both"/>
    </w:pPr>
    <w:rPr>
      <w:rFonts w:ascii="Times New Roman"/>
      <w:szCs w:val="20"/>
    </w:rPr>
  </w:style>
  <w:style w:type="paragraph" w:customStyle="1" w:styleId="100">
    <w:name w:val="Char Char Char Char"/>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01">
    <w:name w:val="TOC 标题1"/>
    <w:basedOn w:val="2"/>
    <w:next w:val="1"/>
    <w:qFormat/>
    <w:uiPriority w:val="0"/>
    <w:pPr>
      <w:keepNext/>
      <w:keepLines/>
      <w:widowControl/>
      <w:autoSpaceDE/>
      <w:autoSpaceDN/>
      <w:adjustRightInd/>
      <w:spacing w:before="480" w:line="276" w:lineRule="auto"/>
      <w:outlineLvl w:val="9"/>
    </w:pPr>
    <w:rPr>
      <w:rFonts w:ascii="Cambria" w:hAnsi="Cambria" w:cs="Times New Roman"/>
      <w:b/>
      <w:bCs/>
      <w:color w:val="365F91"/>
      <w:sz w:val="28"/>
      <w:szCs w:val="28"/>
    </w:rPr>
  </w:style>
  <w:style w:type="paragraph" w:customStyle="1" w:styleId="102">
    <w:name w:val="_Style 3"/>
    <w:basedOn w:val="1"/>
    <w:qFormat/>
    <w:uiPriority w:val="0"/>
    <w:pPr>
      <w:adjustRightInd/>
      <w:ind w:firstLine="420" w:firstLineChars="200"/>
      <w:jc w:val="both"/>
    </w:pPr>
    <w:rPr>
      <w:rFonts w:ascii="Times New Roman" w:hAnsi="Times New Roman" w:cs="Times New Roman"/>
      <w:kern w:val="2"/>
      <w:sz w:val="21"/>
    </w:rPr>
  </w:style>
  <w:style w:type="paragraph" w:customStyle="1" w:styleId="103">
    <w:name w:val="需求书2"/>
    <w:basedOn w:val="1"/>
    <w:qFormat/>
    <w:uiPriority w:val="0"/>
    <w:pPr>
      <w:autoSpaceDE/>
      <w:autoSpaceDN/>
      <w:adjustRightInd/>
      <w:jc w:val="both"/>
    </w:pPr>
    <w:rPr>
      <w:rFonts w:hAnsi="宋体"/>
      <w:spacing w:val="10"/>
      <w:kern w:val="2"/>
      <w:sz w:val="18"/>
      <w:szCs w:val="20"/>
    </w:rPr>
  </w:style>
  <w:style w:type="paragraph" w:customStyle="1" w:styleId="104">
    <w:name w:val="Char Char Char Char1"/>
    <w:basedOn w:val="3"/>
    <w:qFormat/>
    <w:uiPriority w:val="0"/>
    <w:pPr>
      <w:keepNext/>
      <w:keepLines/>
      <w:pageBreakBefore/>
      <w:widowControl/>
      <w:numPr>
        <w:ilvl w:val="1"/>
        <w:numId w:val="7"/>
      </w:numPr>
      <w:autoSpaceDE/>
      <w:autoSpaceDN/>
      <w:adjustRightInd/>
      <w:spacing w:before="180" w:after="160" w:line="240" w:lineRule="exact"/>
    </w:pPr>
    <w:rPr>
      <w:rFonts w:ascii="Verdana" w:hAnsi="Verdana" w:eastAsia="黑体"/>
      <w:bCs/>
      <w:sz w:val="32"/>
      <w:szCs w:val="32"/>
      <w:lang w:eastAsia="en-US"/>
    </w:rPr>
  </w:style>
  <w:style w:type="paragraph" w:customStyle="1" w:styleId="105">
    <w:name w:val="Char1"/>
    <w:basedOn w:val="16"/>
    <w:qFormat/>
    <w:uiPriority w:val="0"/>
    <w:pPr>
      <w:autoSpaceDE/>
      <w:autoSpaceDN/>
      <w:adjustRightInd/>
      <w:jc w:val="both"/>
    </w:pPr>
    <w:rPr>
      <w:rFonts w:ascii="Tahoma" w:hAnsi="Tahoma"/>
      <w:kern w:val="2"/>
    </w:rPr>
  </w:style>
  <w:style w:type="paragraph" w:customStyle="1" w:styleId="106">
    <w:name w:val="xl39"/>
    <w:basedOn w:val="1"/>
    <w:qFormat/>
    <w:uiPriority w:val="0"/>
    <w:pPr>
      <w:widowControl/>
      <w:autoSpaceDE/>
      <w:autoSpaceDN/>
      <w:adjustRightInd/>
      <w:spacing w:before="100" w:beforeAutospacing="1" w:after="100" w:afterAutospacing="1"/>
    </w:pPr>
    <w:rPr>
      <w:rFonts w:ascii="Arial Unicode MS" w:hAnsi="Arial Unicode MS" w:eastAsia="Arial Unicode MS"/>
      <w:sz w:val="20"/>
      <w:szCs w:val="20"/>
    </w:rPr>
  </w:style>
  <w:style w:type="paragraph" w:customStyle="1" w:styleId="107">
    <w:name w:val="Blockquote"/>
    <w:basedOn w:val="1"/>
    <w:qFormat/>
    <w:uiPriority w:val="0"/>
    <w:pPr>
      <w:spacing w:before="100" w:after="100"/>
      <w:ind w:left="360" w:right="360"/>
    </w:pPr>
    <w:rPr>
      <w:rFonts w:ascii="Times New Roman" w:hAnsi="Times New Roman" w:cs="Times New Roman"/>
      <w:szCs w:val="20"/>
    </w:rPr>
  </w:style>
  <w:style w:type="paragraph" w:customStyle="1" w:styleId="108">
    <w:name w:val="样式 标题 2 + Times New Roman 四号 非加粗 段前: 5 磅 段后: 0 磅 行距: 固定值 20..."/>
    <w:basedOn w:val="3"/>
    <w:qFormat/>
    <w:uiPriority w:val="0"/>
    <w:pPr>
      <w:spacing w:before="100" w:line="400" w:lineRule="exact"/>
    </w:pPr>
    <w:rPr>
      <w:rFonts w:ascii="Times New Roman" w:hAnsi="Times New Roman"/>
      <w:b w:val="0"/>
      <w:sz w:val="28"/>
      <w:szCs w:val="20"/>
    </w:rPr>
  </w:style>
  <w:style w:type="paragraph" w:customStyle="1" w:styleId="109">
    <w:name w:val="Char"/>
    <w:basedOn w:val="1"/>
    <w:qFormat/>
    <w:uiPriority w:val="0"/>
    <w:pPr>
      <w:widowControl/>
      <w:autoSpaceDE/>
      <w:autoSpaceDN/>
      <w:adjustRightInd/>
      <w:spacing w:line="400" w:lineRule="exact"/>
      <w:jc w:val="center"/>
    </w:pPr>
    <w:rPr>
      <w:rFonts w:ascii="Times New Roman"/>
      <w:sz w:val="21"/>
      <w:szCs w:val="20"/>
    </w:rPr>
  </w:style>
  <w:style w:type="paragraph" w:customStyle="1" w:styleId="110">
    <w:name w:val="技术响应1"/>
    <w:basedOn w:val="1"/>
    <w:qFormat/>
    <w:uiPriority w:val="0"/>
    <w:pPr>
      <w:widowControl/>
      <w:autoSpaceDE/>
      <w:autoSpaceDN/>
      <w:adjustRightInd/>
      <w:spacing w:line="360" w:lineRule="auto"/>
      <w:ind w:firstLine="588"/>
      <w:jc w:val="center"/>
    </w:pPr>
    <w:rPr>
      <w:b/>
      <w:sz w:val="28"/>
      <w:szCs w:val="20"/>
    </w:rPr>
  </w:style>
  <w:style w:type="paragraph" w:customStyle="1" w:styleId="111">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12">
    <w:name w:val="D标3"/>
    <w:basedOn w:val="4"/>
    <w:qFormat/>
    <w:uiPriority w:val="0"/>
    <w:pPr>
      <w:numPr>
        <w:ilvl w:val="0"/>
        <w:numId w:val="8"/>
      </w:numPr>
      <w:spacing w:before="120" w:line="480" w:lineRule="atLeast"/>
      <w:jc w:val="both"/>
    </w:pPr>
    <w:rPr>
      <w:rFonts w:ascii="Times New Roman" w:hAnsi="Times New Roman" w:cs="Times New Roman"/>
      <w:szCs w:val="20"/>
    </w:rPr>
  </w:style>
  <w:style w:type="paragraph" w:customStyle="1" w:styleId="113">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pPr>
    <w:rPr>
      <w:rFonts w:hAnsi="宋体"/>
    </w:rPr>
  </w:style>
  <w:style w:type="paragraph" w:customStyle="1" w:styleId="114">
    <w:name w:val="_Style 202"/>
    <w:basedOn w:val="1"/>
    <w:qFormat/>
    <w:uiPriority w:val="0"/>
    <w:pPr>
      <w:tabs>
        <w:tab w:val="left" w:pos="360"/>
      </w:tabs>
      <w:autoSpaceDE/>
      <w:autoSpaceDN/>
      <w:adjustRightInd/>
      <w:jc w:val="both"/>
    </w:pPr>
    <w:rPr>
      <w:rFonts w:ascii="Times New Roman"/>
      <w:kern w:val="2"/>
      <w:sz w:val="21"/>
    </w:rPr>
  </w:style>
  <w:style w:type="paragraph" w:customStyle="1" w:styleId="115">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16">
    <w:name w:val="shall-正文"/>
    <w:basedOn w:val="1"/>
    <w:qFormat/>
    <w:uiPriority w:val="0"/>
    <w:pPr>
      <w:snapToGrid w:val="0"/>
      <w:spacing w:beforeLines="30" w:line="288" w:lineRule="auto"/>
      <w:ind w:firstLine="200" w:firstLineChars="200"/>
    </w:pPr>
    <w:rPr>
      <w:rFonts w:eastAsia="华文细黑"/>
    </w:rPr>
  </w:style>
  <w:style w:type="paragraph" w:customStyle="1" w:styleId="117">
    <w:name w:val="xl38"/>
    <w:basedOn w:val="1"/>
    <w:qFormat/>
    <w:uiPriority w:val="0"/>
    <w:pPr>
      <w:widowControl/>
      <w:pBdr>
        <w:bottom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b/>
      <w:sz w:val="36"/>
      <w:szCs w:val="20"/>
    </w:rPr>
  </w:style>
  <w:style w:type="paragraph" w:customStyle="1" w:styleId="118">
    <w:name w:val="p2"/>
    <w:basedOn w:val="1"/>
    <w:qFormat/>
    <w:uiPriority w:val="0"/>
    <w:rPr>
      <w:rFonts w:cs="Times New Roman"/>
    </w:rPr>
  </w:style>
  <w:style w:type="paragraph" w:customStyle="1" w:styleId="119">
    <w:name w:val="Char Char Char Char Char Char"/>
    <w:basedOn w:val="1"/>
    <w:qFormat/>
    <w:uiPriority w:val="0"/>
    <w:pPr>
      <w:widowControl/>
      <w:autoSpaceDE/>
      <w:autoSpaceDN/>
      <w:adjustRightInd/>
      <w:spacing w:after="160" w:line="240" w:lineRule="exact"/>
    </w:pPr>
    <w:rPr>
      <w:rFonts w:ascii="Times New Roman"/>
      <w:kern w:val="2"/>
      <w:lang w:eastAsia="en-US"/>
    </w:rPr>
  </w:style>
  <w:style w:type="paragraph" w:customStyle="1" w:styleId="120">
    <w:name w:val="标题4"/>
    <w:basedOn w:val="77"/>
    <w:qFormat/>
    <w:uiPriority w:val="0"/>
    <w:pPr>
      <w:spacing w:line="540" w:lineRule="exact"/>
      <w:ind w:firstLine="0" w:firstLineChars="0"/>
    </w:pPr>
    <w:rPr>
      <w:rFonts w:hAnsi="Times New Roman"/>
      <w:szCs w:val="24"/>
    </w:rPr>
  </w:style>
  <w:style w:type="paragraph" w:styleId="121">
    <w:name w:val="No Spacing"/>
    <w:qFormat/>
    <w:uiPriority w:val="0"/>
    <w:pPr>
      <w:widowControl w:val="0"/>
      <w:jc w:val="both"/>
    </w:pPr>
    <w:rPr>
      <w:rFonts w:ascii="Calibri" w:hAnsi="Calibri" w:eastAsia="宋体" w:cs="宋体"/>
      <w:kern w:val="2"/>
      <w:sz w:val="21"/>
      <w:szCs w:val="24"/>
      <w:lang w:val="en-US" w:eastAsia="zh-CN" w:bidi="ar-SA"/>
    </w:rPr>
  </w:style>
  <w:style w:type="paragraph" w:customStyle="1" w:styleId="122">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23">
    <w:name w:val="列表正文"/>
    <w:basedOn w:val="1"/>
    <w:qFormat/>
    <w:uiPriority w:val="0"/>
    <w:pPr>
      <w:autoSpaceDE/>
      <w:autoSpaceDN/>
      <w:snapToGrid w:val="0"/>
      <w:spacing w:line="300" w:lineRule="auto"/>
      <w:ind w:left="200" w:leftChars="200" w:firstLine="200" w:firstLineChars="200"/>
      <w:jc w:val="both"/>
    </w:pPr>
    <w:rPr>
      <w:rFonts w:ascii="Times New Roman"/>
      <w:kern w:val="2"/>
      <w:sz w:val="21"/>
    </w:rPr>
  </w:style>
  <w:style w:type="paragraph" w:customStyle="1" w:styleId="124">
    <w:name w:val="Char Char2 Char"/>
    <w:basedOn w:val="1"/>
    <w:qFormat/>
    <w:uiPriority w:val="0"/>
    <w:pPr>
      <w:autoSpaceDE/>
      <w:autoSpaceDN/>
      <w:adjustRightInd/>
      <w:jc w:val="both"/>
    </w:pPr>
    <w:rPr>
      <w:rFonts w:hAnsi="宋体"/>
      <w:b/>
      <w:kern w:val="2"/>
      <w:sz w:val="28"/>
      <w:szCs w:val="28"/>
    </w:rPr>
  </w:style>
  <w:style w:type="paragraph" w:customStyle="1" w:styleId="125">
    <w:name w:val="版权"/>
    <w:basedOn w:val="1"/>
    <w:qFormat/>
    <w:uiPriority w:val="0"/>
    <w:pPr>
      <w:autoSpaceDE/>
      <w:autoSpaceDN/>
      <w:adjustRightInd/>
      <w:spacing w:before="312" w:after="312"/>
      <w:ind w:firstLine="480"/>
      <w:jc w:val="center"/>
      <w:outlineLvl w:val="0"/>
    </w:pPr>
    <w:rPr>
      <w:rFonts w:ascii="华文中宋" w:hAnsi="华文中宋"/>
      <w:b/>
      <w:kern w:val="2"/>
      <w:szCs w:val="20"/>
    </w:rPr>
  </w:style>
  <w:style w:type="paragraph" w:customStyle="1" w:styleId="126">
    <w:name w:val="LEGALB Cont 2"/>
    <w:basedOn w:val="1"/>
    <w:qFormat/>
    <w:uiPriority w:val="0"/>
    <w:pPr>
      <w:widowControl/>
      <w:tabs>
        <w:tab w:val="left" w:pos="720"/>
      </w:tabs>
      <w:spacing w:after="240"/>
      <w:ind w:left="720" w:leftChars="300"/>
    </w:pPr>
    <w:rPr>
      <w:rFonts w:ascii="Calibri" w:eastAsia="DFKai-SB" w:cs="Times New Roman"/>
      <w:lang w:eastAsia="en-US"/>
    </w:rPr>
  </w:style>
  <w:style w:type="paragraph" w:customStyle="1" w:styleId="127">
    <w:name w:val="表格栏头"/>
    <w:basedOn w:val="128"/>
    <w:next w:val="128"/>
    <w:qFormat/>
    <w:uiPriority w:val="0"/>
    <w:rPr>
      <w:b/>
    </w:rPr>
  </w:style>
  <w:style w:type="paragraph" w:customStyle="1" w:styleId="128">
    <w:name w:val="表格正文"/>
    <w:basedOn w:val="1"/>
    <w:qFormat/>
    <w:uiPriority w:val="0"/>
    <w:pPr>
      <w:widowControl/>
      <w:overflowPunct w:val="0"/>
      <w:spacing w:before="312" w:after="312" w:line="360" w:lineRule="auto"/>
      <w:textAlignment w:val="baseline"/>
    </w:pPr>
    <w:rPr>
      <w:rFonts w:hAnsi="Tahoma"/>
      <w:szCs w:val="20"/>
    </w:rPr>
  </w:style>
  <w:style w:type="paragraph" w:customStyle="1" w:styleId="129">
    <w:name w:val="正文列表"/>
    <w:basedOn w:val="1"/>
    <w:qFormat/>
    <w:uiPriority w:val="0"/>
    <w:pPr>
      <w:jc w:val="center"/>
      <w:textAlignment w:val="baseline"/>
    </w:pPr>
    <w:rPr>
      <w:rFonts w:hAnsi="宋体"/>
      <w:szCs w:val="20"/>
    </w:rPr>
  </w:style>
  <w:style w:type="paragraph" w:customStyle="1" w:styleId="130">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131">
    <w:name w:val="题注4"/>
    <w:basedOn w:val="1"/>
    <w:next w:val="13"/>
    <w:qFormat/>
    <w:uiPriority w:val="0"/>
    <w:pPr>
      <w:autoSpaceDE/>
      <w:autoSpaceDN/>
      <w:adjustRightInd/>
      <w:ind w:left="-132" w:leftChars="-64" w:right="-105" w:rightChars="-50" w:hanging="2"/>
      <w:jc w:val="center"/>
    </w:pPr>
    <w:rPr>
      <w:rFonts w:ascii="Times New Roman"/>
      <w:b/>
      <w:color w:val="FF0000"/>
      <w:kern w:val="2"/>
      <w:sz w:val="21"/>
      <w:szCs w:val="21"/>
      <w:lang w:val="en-GB"/>
    </w:rPr>
  </w:style>
  <w:style w:type="paragraph" w:customStyle="1" w:styleId="132">
    <w:name w:val="题目副题"/>
    <w:basedOn w:val="39"/>
    <w:qFormat/>
    <w:uiPriority w:val="0"/>
    <w:pPr>
      <w:spacing w:before="0" w:after="312"/>
      <w:ind w:left="240" w:firstLine="600"/>
      <w:jc w:val="left"/>
      <w:outlineLvl w:val="9"/>
    </w:pPr>
    <w:rPr>
      <w:rFonts w:ascii="宋体" w:hAnsi="宋体"/>
      <w:sz w:val="30"/>
    </w:rPr>
  </w:style>
  <w:style w:type="paragraph" w:customStyle="1" w:styleId="133">
    <w:name w:val="列出段落1"/>
    <w:basedOn w:val="1"/>
    <w:qFormat/>
    <w:uiPriority w:val="34"/>
    <w:pPr>
      <w:ind w:firstLine="420" w:firstLineChars="200"/>
    </w:pPr>
    <w:rPr>
      <w:rFonts w:ascii="Calibri" w:cs="黑体"/>
    </w:rPr>
  </w:style>
  <w:style w:type="paragraph" w:customStyle="1" w:styleId="134">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sz w:val="21"/>
      <w:szCs w:val="21"/>
    </w:rPr>
  </w:style>
  <w:style w:type="paragraph" w:customStyle="1" w:styleId="135">
    <w:name w:val="3 Char"/>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36">
    <w:name w:val="Char Char1 Char Char Char Char Char Char Char Char Char Char Char Char Char"/>
    <w:basedOn w:val="1"/>
    <w:qFormat/>
    <w:uiPriority w:val="0"/>
    <w:pPr>
      <w:widowControl/>
      <w:autoSpaceDE/>
      <w:autoSpaceDN/>
      <w:adjustRightInd/>
      <w:spacing w:after="160" w:line="360" w:lineRule="auto"/>
    </w:pPr>
    <w:rPr>
      <w:rFonts w:ascii="Verdana" w:hAnsi="Verdana" w:cs="Times New Roman"/>
      <w:sz w:val="21"/>
      <w:szCs w:val="20"/>
      <w:lang w:eastAsia="en-US"/>
    </w:rPr>
  </w:style>
  <w:style w:type="paragraph" w:customStyle="1" w:styleId="137">
    <w:name w:val="进度表"/>
    <w:basedOn w:val="12"/>
    <w:qFormat/>
    <w:uiPriority w:val="0"/>
    <w:pPr>
      <w:widowControl w:val="0"/>
      <w:snapToGrid w:val="0"/>
      <w:spacing w:line="440" w:lineRule="atLeast"/>
      <w:ind w:hanging="130" w:firstLineChars="0"/>
      <w:jc w:val="both"/>
    </w:pPr>
    <w:rPr>
      <w:rFonts w:ascii="宋体"/>
      <w:color w:val="000000"/>
      <w:kern w:val="2"/>
      <w:position w:val="-6"/>
      <w:sz w:val="28"/>
    </w:rPr>
  </w:style>
  <w:style w:type="paragraph" w:customStyle="1" w:styleId="138">
    <w:name w:val="大标题"/>
    <w:basedOn w:val="2"/>
    <w:qFormat/>
    <w:uiPriority w:val="0"/>
    <w:rPr>
      <w:snapToGrid w:val="0"/>
      <w:sz w:val="52"/>
      <w:szCs w:val="72"/>
    </w:rPr>
  </w:style>
  <w:style w:type="paragraph" w:customStyle="1" w:styleId="139">
    <w:name w:val="正文无缩进"/>
    <w:basedOn w:val="77"/>
    <w:qFormat/>
    <w:uiPriority w:val="0"/>
    <w:pPr>
      <w:ind w:firstLine="0" w:firstLineChars="0"/>
    </w:pPr>
  </w:style>
  <w:style w:type="paragraph" w:customStyle="1" w:styleId="140">
    <w:name w:val="标题 3.5"/>
    <w:basedOn w:val="4"/>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41">
    <w:name w:val="题注5"/>
    <w:basedOn w:val="1"/>
    <w:next w:val="13"/>
    <w:qFormat/>
    <w:uiPriority w:val="0"/>
    <w:pPr>
      <w:autoSpaceDE/>
      <w:autoSpaceDN/>
      <w:adjustRightInd/>
      <w:jc w:val="center"/>
    </w:pPr>
    <w:rPr>
      <w:rFonts w:ascii="Times New Roman"/>
      <w:b/>
      <w:color w:val="000000"/>
      <w:kern w:val="2"/>
      <w:szCs w:val="21"/>
    </w:rPr>
  </w:style>
  <w:style w:type="paragraph" w:customStyle="1" w:styleId="142">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hAnsi="宋体"/>
    </w:rPr>
  </w:style>
  <w:style w:type="paragraph" w:customStyle="1" w:styleId="143">
    <w:name w:val="Char Char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44">
    <w:name w:val="xl33"/>
    <w:basedOn w:val="1"/>
    <w:qFormat/>
    <w:uiPriority w:val="0"/>
    <w:pPr>
      <w:widowControl/>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45">
    <w:name w:val="Char Char1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styleId="146">
    <w:name w:val="List Paragraph"/>
    <w:basedOn w:val="1"/>
    <w:qFormat/>
    <w:uiPriority w:val="0"/>
    <w:pPr>
      <w:autoSpaceDE/>
      <w:autoSpaceDN/>
      <w:adjustRightInd/>
      <w:ind w:firstLine="420" w:firstLineChars="200"/>
      <w:jc w:val="both"/>
    </w:pPr>
    <w:rPr>
      <w:rFonts w:ascii="Calibri"/>
      <w:kern w:val="2"/>
      <w:sz w:val="21"/>
    </w:rPr>
  </w:style>
  <w:style w:type="paragraph" w:customStyle="1" w:styleId="147">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Times New Roman" w:eastAsia="Arial Unicode MS"/>
      <w:sz w:val="20"/>
      <w:szCs w:val="20"/>
    </w:rPr>
  </w:style>
  <w:style w:type="paragraph" w:customStyle="1" w:styleId="148">
    <w:name w:val="目录"/>
    <w:basedOn w:val="1"/>
    <w:qFormat/>
    <w:uiPriority w:val="0"/>
    <w:pPr>
      <w:widowControl/>
      <w:autoSpaceDE/>
      <w:autoSpaceDN/>
      <w:adjustRightInd/>
      <w:spacing w:line="480" w:lineRule="auto"/>
      <w:jc w:val="center"/>
    </w:pPr>
    <w:rPr>
      <w:b/>
      <w:szCs w:val="20"/>
    </w:rPr>
  </w:style>
  <w:style w:type="paragraph" w:customStyle="1" w:styleId="149">
    <w:name w:val="xl26"/>
    <w:basedOn w:val="1"/>
    <w:qFormat/>
    <w:uiPriority w:val="0"/>
    <w:pPr>
      <w:widowControl/>
      <w:autoSpaceDE/>
      <w:autoSpaceDN/>
      <w:adjustRightInd/>
      <w:spacing w:before="100" w:beforeAutospacing="1" w:after="100" w:afterAutospacing="1"/>
      <w:jc w:val="center"/>
    </w:pPr>
    <w:rPr>
      <w:rFonts w:hint="eastAsia" w:ascii="仿宋_GB2312" w:hAnsi="宋体" w:eastAsia="仿宋_GB2312"/>
    </w:rPr>
  </w:style>
  <w:style w:type="paragraph" w:customStyle="1" w:styleId="150">
    <w:name w:val="Char11"/>
    <w:basedOn w:val="16"/>
    <w:qFormat/>
    <w:uiPriority w:val="0"/>
    <w:pPr>
      <w:autoSpaceDE/>
      <w:autoSpaceDN/>
      <w:adjustRightInd/>
      <w:jc w:val="both"/>
    </w:pPr>
    <w:rPr>
      <w:rFonts w:ascii="Tahoma" w:hAnsi="Tahoma" w:cs="Times New Roman"/>
      <w:kern w:val="2"/>
    </w:rPr>
  </w:style>
  <w:style w:type="paragraph" w:customStyle="1" w:styleId="151">
    <w:name w:val="Char21"/>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paragraph" w:customStyle="1" w:styleId="152">
    <w:name w:val="普通(Web)"/>
    <w:basedOn w:val="1"/>
    <w:qFormat/>
    <w:uiPriority w:val="0"/>
    <w:pPr>
      <w:widowControl/>
      <w:autoSpaceDE/>
      <w:autoSpaceDN/>
      <w:adjustRightInd/>
      <w:spacing w:before="100" w:beforeAutospacing="1" w:after="100" w:afterAutospacing="1" w:line="240" w:lineRule="atLeast"/>
      <w:ind w:firstLine="360"/>
    </w:pPr>
    <w:rPr>
      <w:rFonts w:hAnsi="宋体"/>
      <w:sz w:val="18"/>
      <w:szCs w:val="20"/>
    </w:rPr>
  </w:style>
  <w:style w:type="paragraph" w:customStyle="1" w:styleId="153">
    <w:name w:val="信息标题2"/>
    <w:basedOn w:val="13"/>
    <w:next w:val="13"/>
    <w:qFormat/>
    <w:uiPriority w:val="0"/>
    <w:pPr>
      <w:autoSpaceDE/>
      <w:autoSpaceDN/>
      <w:adjustRightInd/>
      <w:spacing w:beforeLines="50" w:afterLines="50"/>
      <w:ind w:left="422" w:hanging="422" w:hangingChars="200"/>
    </w:pPr>
    <w:rPr>
      <w:rFonts w:ascii="Arial Black" w:hAnsi="Arial Black" w:eastAsia="宋体" w:cs="Times New Roman"/>
      <w:b/>
      <w:kern w:val="2"/>
      <w:sz w:val="30"/>
    </w:rPr>
  </w:style>
  <w:style w:type="paragraph" w:customStyle="1" w:styleId="154">
    <w:name w:val="表中文字"/>
    <w:basedOn w:val="1"/>
    <w:qFormat/>
    <w:uiPriority w:val="0"/>
    <w:pPr>
      <w:spacing w:line="400" w:lineRule="atLeast"/>
      <w:ind w:left="35" w:leftChars="14" w:hanging="1"/>
      <w:jc w:val="center"/>
      <w:textAlignment w:val="baseline"/>
    </w:pPr>
    <w:rPr>
      <w:rFonts w:ascii="Verdana" w:hAnsi="Verdana"/>
      <w:sz w:val="21"/>
      <w:szCs w:val="28"/>
    </w:rPr>
  </w:style>
  <w:style w:type="paragraph" w:customStyle="1" w:styleId="155">
    <w:name w:val="xl28"/>
    <w:basedOn w:val="1"/>
    <w:qFormat/>
    <w:uiPriority w:val="0"/>
    <w:pPr>
      <w:widowControl/>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6">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7">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58">
    <w:name w:val="xl37"/>
    <w:basedOn w:val="1"/>
    <w:qFormat/>
    <w:uiPriority w:val="0"/>
    <w:pPr>
      <w:widowControl/>
      <w:pBdr>
        <w:top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59">
    <w:name w:val="正文（缩进）"/>
    <w:basedOn w:val="1"/>
    <w:qFormat/>
    <w:uiPriority w:val="0"/>
    <w:pPr>
      <w:autoSpaceDE/>
      <w:autoSpaceDN/>
      <w:adjustRightInd/>
      <w:spacing w:beforeLines="50" w:afterLines="50" w:line="360" w:lineRule="auto"/>
      <w:ind w:firstLine="480" w:firstLineChars="200"/>
      <w:jc w:val="both"/>
    </w:pPr>
    <w:rPr>
      <w:rFonts w:ascii="Times New Roman"/>
      <w:kern w:val="2"/>
    </w:rPr>
  </w:style>
  <w:style w:type="paragraph" w:customStyle="1" w:styleId="160">
    <w:name w:val="样式 样式 样式 首行缩进:  2 字符1 + 首行缩进:  2 字符 + 首行缩进:  2 字符"/>
    <w:basedOn w:val="1"/>
    <w:semiHidden/>
    <w:qFormat/>
    <w:uiPriority w:val="0"/>
    <w:pPr>
      <w:kinsoku w:val="0"/>
      <w:overflowPunct w:val="0"/>
      <w:ind w:firstLine="200" w:firstLineChars="200"/>
    </w:pPr>
    <w:rPr>
      <w:rFonts w:ascii="仿宋_GB2312" w:hAnsi="宋体" w:eastAsia="仿宋_GB2312"/>
      <w:sz w:val="32"/>
      <w:szCs w:val="20"/>
    </w:rPr>
  </w:style>
  <w:style w:type="paragraph" w:customStyle="1" w:styleId="161">
    <w:name w:val="样式 标题 3Level 3 HeadH3Heading 3 - oldh3sect1.2.3Head33l3..."/>
    <w:basedOn w:val="4"/>
    <w:qFormat/>
    <w:uiPriority w:val="0"/>
    <w:pPr>
      <w:tabs>
        <w:tab w:val="left" w:pos="720"/>
      </w:tabs>
      <w:autoSpaceDE/>
      <w:autoSpaceDN/>
      <w:adjustRightInd/>
      <w:spacing w:line="360" w:lineRule="auto"/>
      <w:ind w:left="720" w:hanging="720"/>
      <w:jc w:val="both"/>
    </w:pPr>
    <w:rPr>
      <w:rFonts w:ascii="Times New Roman"/>
      <w:kern w:val="2"/>
      <w:sz w:val="21"/>
      <w:szCs w:val="20"/>
    </w:rPr>
  </w:style>
  <w:style w:type="paragraph" w:customStyle="1" w:styleId="162">
    <w:name w:val="p0"/>
    <w:basedOn w:val="1"/>
    <w:qFormat/>
    <w:uiPriority w:val="99"/>
    <w:pPr>
      <w:widowControl/>
    </w:pPr>
    <w:rPr>
      <w:szCs w:val="21"/>
    </w:rPr>
  </w:style>
  <w:style w:type="paragraph" w:customStyle="1" w:styleId="163">
    <w:name w:val="font5"/>
    <w:basedOn w:val="1"/>
    <w:qFormat/>
    <w:uiPriority w:val="0"/>
    <w:pPr>
      <w:widowControl/>
      <w:autoSpaceDE/>
      <w:autoSpaceDN/>
      <w:adjustRightInd/>
      <w:spacing w:before="100" w:beforeAutospacing="1" w:after="100" w:afterAutospacing="1"/>
    </w:pPr>
    <w:rPr>
      <w:rFonts w:hint="eastAsia" w:hAnsi="宋体"/>
      <w:sz w:val="18"/>
      <w:szCs w:val="20"/>
    </w:rPr>
  </w:style>
  <w:style w:type="paragraph" w:customStyle="1" w:styleId="164">
    <w:name w:val="Char1 Char Char Char Char Char Char"/>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paragraph" w:customStyle="1" w:styleId="165">
    <w:name w:val="投标文件格式"/>
    <w:basedOn w:val="28"/>
    <w:qFormat/>
    <w:uiPriority w:val="0"/>
    <w:pPr>
      <w:jc w:val="center"/>
    </w:pPr>
    <w:rPr>
      <w:rFonts w:hAnsi="Times New Roman"/>
      <w:b/>
    </w:rPr>
  </w:style>
  <w:style w:type="paragraph" w:customStyle="1" w:styleId="166">
    <w:name w:val="日期右"/>
    <w:basedOn w:val="30"/>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67">
    <w:name w:val="Char1 Char Char Char"/>
    <w:basedOn w:val="1"/>
    <w:qFormat/>
    <w:uiPriority w:val="0"/>
    <w:pPr>
      <w:autoSpaceDE/>
      <w:autoSpaceDN/>
      <w:adjustRightInd/>
      <w:jc w:val="both"/>
    </w:pPr>
    <w:rPr>
      <w:rFonts w:ascii="Tahoma" w:hAnsi="Tahoma"/>
      <w:kern w:val="2"/>
      <w:szCs w:val="20"/>
    </w:rPr>
  </w:style>
  <w:style w:type="paragraph" w:customStyle="1" w:styleId="168">
    <w:name w:val="List Paragraph1"/>
    <w:basedOn w:val="1"/>
    <w:qFormat/>
    <w:uiPriority w:val="0"/>
    <w:pPr>
      <w:autoSpaceDE/>
      <w:autoSpaceDN/>
      <w:adjustRightInd/>
      <w:ind w:firstLine="420" w:firstLineChars="200"/>
      <w:jc w:val="both"/>
    </w:pPr>
    <w:rPr>
      <w:rFonts w:ascii="Calibri" w:cs="Times New Roman"/>
      <w:kern w:val="2"/>
      <w:sz w:val="21"/>
      <w:szCs w:val="22"/>
    </w:rPr>
  </w:style>
  <w:style w:type="paragraph" w:customStyle="1" w:styleId="169">
    <w:name w:val="Char Char Char"/>
    <w:basedOn w:val="1"/>
    <w:qFormat/>
    <w:uiPriority w:val="0"/>
    <w:pPr>
      <w:autoSpaceDE/>
      <w:autoSpaceDN/>
      <w:adjustRightInd/>
      <w:jc w:val="both"/>
    </w:pPr>
    <w:rPr>
      <w:rFonts w:ascii="Tahoma" w:hAnsi="Tahoma"/>
      <w:b/>
      <w:sz w:val="28"/>
      <w:szCs w:val="20"/>
    </w:rPr>
  </w:style>
  <w:style w:type="paragraph" w:customStyle="1" w:styleId="170">
    <w:name w:val="保留正文"/>
    <w:basedOn w:val="20"/>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71">
    <w:name w:val="正文缩进6格"/>
    <w:basedOn w:val="172"/>
    <w:qFormat/>
    <w:uiPriority w:val="0"/>
    <w:pPr>
      <w:ind w:left="1758" w:leftChars="854"/>
    </w:pPr>
  </w:style>
  <w:style w:type="paragraph" w:customStyle="1" w:styleId="172">
    <w:name w:val="正文缩进4格"/>
    <w:basedOn w:val="77"/>
    <w:qFormat/>
    <w:uiPriority w:val="0"/>
    <w:pPr>
      <w:ind w:left="651" w:leftChars="310" w:firstLine="608" w:firstLineChars="196"/>
    </w:pPr>
    <w:rPr>
      <w:color w:val="000000"/>
    </w:rPr>
  </w:style>
  <w:style w:type="paragraph" w:customStyle="1" w:styleId="173">
    <w:name w:val="Char1 Char Char Char Char Char Char1"/>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74">
    <w:name w:val="表头"/>
    <w:basedOn w:val="13"/>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17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99"/>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76">
    <w:name w:val="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77">
    <w:name w:val="表正文"/>
    <w:basedOn w:val="1"/>
    <w:next w:val="25"/>
    <w:qFormat/>
    <w:uiPriority w:val="0"/>
    <w:pPr>
      <w:autoSpaceDE/>
      <w:autoSpaceDN/>
      <w:adjustRightInd/>
      <w:spacing w:line="360" w:lineRule="auto"/>
      <w:ind w:left="180" w:leftChars="85" w:right="2" w:hanging="2"/>
      <w:jc w:val="both"/>
    </w:pPr>
    <w:rPr>
      <w:rFonts w:ascii="Arial" w:hAnsi="Arial"/>
      <w:kern w:val="2"/>
      <w:sz w:val="21"/>
      <w:szCs w:val="20"/>
    </w:rPr>
  </w:style>
  <w:style w:type="paragraph" w:customStyle="1" w:styleId="178">
    <w:name w:val="Char2"/>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79">
    <w:name w:val="DAS正文"/>
    <w:basedOn w:val="1"/>
    <w:qFormat/>
    <w:uiPriority w:val="0"/>
    <w:pPr>
      <w:autoSpaceDE/>
      <w:autoSpaceDN/>
      <w:adjustRightInd/>
      <w:spacing w:line="360" w:lineRule="exact"/>
      <w:jc w:val="both"/>
    </w:pPr>
    <w:rPr>
      <w:rFonts w:ascii="Verdana" w:hAnsi="Verdana"/>
      <w:kern w:val="2"/>
      <w:sz w:val="21"/>
      <w:szCs w:val="21"/>
    </w:rPr>
  </w:style>
  <w:style w:type="paragraph" w:customStyle="1" w:styleId="180">
    <w:name w:val="Char Char Char Char Char Char Char Char Char Char Char Char Char"/>
    <w:basedOn w:val="1"/>
    <w:qFormat/>
    <w:uiPriority w:val="0"/>
    <w:pPr>
      <w:widowControl/>
      <w:autoSpaceDE/>
      <w:autoSpaceDN/>
      <w:adjustRightInd/>
      <w:spacing w:after="160" w:line="240" w:lineRule="exact"/>
    </w:pPr>
    <w:rPr>
      <w:rFonts w:ascii="Times New Roman"/>
      <w:kern w:val="2"/>
      <w:sz w:val="21"/>
    </w:rPr>
  </w:style>
  <w:style w:type="paragraph" w:customStyle="1" w:styleId="181">
    <w:name w:val="正文居中"/>
    <w:basedOn w:val="1"/>
    <w:next w:val="1"/>
    <w:qFormat/>
    <w:uiPriority w:val="0"/>
    <w:pPr>
      <w:autoSpaceDE/>
      <w:autoSpaceDN/>
      <w:snapToGrid w:val="0"/>
      <w:spacing w:line="300" w:lineRule="auto"/>
      <w:jc w:val="center"/>
    </w:pPr>
    <w:rPr>
      <w:rFonts w:ascii="Times New Roman"/>
      <w:kern w:val="2"/>
      <w:sz w:val="21"/>
    </w:rPr>
  </w:style>
  <w:style w:type="paragraph" w:customStyle="1" w:styleId="182">
    <w:name w:val="样式37"/>
    <w:basedOn w:val="1"/>
    <w:qFormat/>
    <w:uiPriority w:val="0"/>
    <w:pPr>
      <w:widowControl/>
      <w:spacing w:line="360" w:lineRule="auto"/>
    </w:pPr>
    <w:rPr>
      <w:rFonts w:hAnsi="宋体"/>
      <w:spacing w:val="-2"/>
      <w:szCs w:val="21"/>
    </w:rPr>
  </w:style>
  <w:style w:type="paragraph" w:customStyle="1" w:styleId="183">
    <w:name w:val="文档正文"/>
    <w:basedOn w:val="1"/>
    <w:qFormat/>
    <w:uiPriority w:val="0"/>
    <w:pPr>
      <w:spacing w:line="460" w:lineRule="exact"/>
      <w:ind w:firstLine="567"/>
      <w:textAlignment w:val="baseline"/>
    </w:pPr>
    <w:rPr>
      <w:rFonts w:ascii="Arial" w:hAnsi="Arial"/>
    </w:rPr>
  </w:style>
  <w:style w:type="paragraph" w:customStyle="1" w:styleId="184">
    <w:name w:val="正文列序2"/>
    <w:basedOn w:val="1"/>
    <w:qFormat/>
    <w:uiPriority w:val="0"/>
    <w:pPr>
      <w:spacing w:line="360" w:lineRule="auto"/>
      <w:ind w:firstLine="425"/>
    </w:pPr>
    <w:rPr>
      <w:rFonts w:hAnsi="宋体"/>
    </w:rPr>
  </w:style>
  <w:style w:type="character" w:customStyle="1" w:styleId="185">
    <w:name w:val="批注文字 字符"/>
    <w:basedOn w:val="55"/>
    <w:link w:val="18"/>
    <w:qFormat/>
    <w:uiPriority w:val="0"/>
    <w:rPr>
      <w:rFonts w:ascii="Times New Roman" w:hAnsi="Calibri" w:eastAsia="宋体" w:cs="宋体"/>
      <w:sz w:val="21"/>
    </w:rPr>
  </w:style>
  <w:style w:type="paragraph" w:customStyle="1" w:styleId="186">
    <w:name w:val="正文文本缩进 21"/>
    <w:basedOn w:val="1"/>
    <w:qFormat/>
    <w:uiPriority w:val="99"/>
    <w:pPr>
      <w:spacing w:line="480" w:lineRule="auto"/>
      <w:ind w:firstLine="540"/>
    </w:pPr>
    <w:rPr>
      <w:sz w:val="20"/>
      <w:szCs w:val="20"/>
    </w:rPr>
  </w:style>
  <w:style w:type="paragraph" w:customStyle="1" w:styleId="187">
    <w:name w:val="WPSOffice手动目录 1"/>
    <w:qFormat/>
    <w:uiPriority w:val="0"/>
    <w:rPr>
      <w:rFonts w:ascii="Times New Roman" w:hAnsi="Times New Roman" w:eastAsia="宋体" w:cs="Times New Roman"/>
      <w:lang w:val="en-US" w:eastAsia="zh-CN" w:bidi="ar-SA"/>
    </w:rPr>
  </w:style>
  <w:style w:type="character" w:customStyle="1" w:styleId="188">
    <w:name w:val="font121"/>
    <w:basedOn w:val="55"/>
    <w:qFormat/>
    <w:uiPriority w:val="0"/>
    <w:rPr>
      <w:rFonts w:hint="default" w:ascii="思源黑体 CN Regular" w:hAnsi="思源黑体 CN Regular" w:eastAsia="思源黑体 CN Regular" w:cs="思源黑体 CN Regular"/>
      <w:b/>
      <w:bCs/>
      <w:color w:val="545454"/>
      <w:sz w:val="24"/>
      <w:szCs w:val="24"/>
      <w:u w:val="none"/>
    </w:rPr>
  </w:style>
  <w:style w:type="character" w:customStyle="1" w:styleId="189">
    <w:name w:val="font112"/>
    <w:basedOn w:val="55"/>
    <w:qFormat/>
    <w:uiPriority w:val="0"/>
    <w:rPr>
      <w:rFonts w:hint="default" w:ascii="思源黑体 CN Regular" w:hAnsi="思源黑体 CN Regular" w:eastAsia="思源黑体 CN Regular" w:cs="思源黑体 CN Regular"/>
      <w:b/>
      <w:bCs/>
      <w:color w:val="444444"/>
      <w:sz w:val="24"/>
      <w:szCs w:val="24"/>
      <w:u w:val="none"/>
    </w:rPr>
  </w:style>
  <w:style w:type="character" w:customStyle="1" w:styleId="190">
    <w:name w:val="font131"/>
    <w:basedOn w:val="55"/>
    <w:qFormat/>
    <w:uiPriority w:val="0"/>
    <w:rPr>
      <w:rFonts w:hint="default" w:ascii="思源黑体 CN Regular" w:hAnsi="思源黑体 CN Regular" w:eastAsia="思源黑体 CN Regular" w:cs="思源黑体 CN Regular"/>
      <w:b/>
      <w:bCs/>
      <w:color w:val="646464"/>
      <w:sz w:val="24"/>
      <w:szCs w:val="24"/>
      <w:u w:val="none"/>
    </w:rPr>
  </w:style>
  <w:style w:type="character" w:customStyle="1" w:styleId="191">
    <w:name w:val="font291"/>
    <w:basedOn w:val="55"/>
    <w:qFormat/>
    <w:uiPriority w:val="0"/>
    <w:rPr>
      <w:rFonts w:hint="default" w:ascii="思源黑体 CN Regular" w:hAnsi="思源黑体 CN Regular" w:eastAsia="思源黑体 CN Regular" w:cs="思源黑体 CN Regular"/>
      <w:b/>
      <w:bCs/>
      <w:color w:val="212121"/>
      <w:sz w:val="24"/>
      <w:szCs w:val="24"/>
      <w:u w:val="none"/>
    </w:rPr>
  </w:style>
  <w:style w:type="character" w:customStyle="1" w:styleId="192">
    <w:name w:val="font301"/>
    <w:basedOn w:val="55"/>
    <w:qFormat/>
    <w:uiPriority w:val="0"/>
    <w:rPr>
      <w:rFonts w:hint="default" w:ascii="思源黑体 CN Regular" w:hAnsi="思源黑体 CN Regular" w:eastAsia="思源黑体 CN Regular" w:cs="思源黑体 CN Regular"/>
      <w:b/>
      <w:bCs/>
      <w:color w:val="444444"/>
      <w:sz w:val="24"/>
      <w:szCs w:val="24"/>
      <w:u w:val="none"/>
    </w:rPr>
  </w:style>
  <w:style w:type="paragraph" w:customStyle="1" w:styleId="193">
    <w:name w:val="修订1"/>
    <w:hidden/>
    <w:semiHidden/>
    <w:qFormat/>
    <w:uiPriority w:val="99"/>
    <w:rPr>
      <w:rFonts w:ascii="宋体" w:hAnsi="Calibri" w:eastAsia="宋体" w:cs="宋体"/>
      <w:sz w:val="24"/>
      <w:szCs w:val="24"/>
      <w:lang w:val="en-US" w:eastAsia="zh-CN" w:bidi="ar-SA"/>
    </w:rPr>
  </w:style>
  <w:style w:type="character" w:customStyle="1" w:styleId="194">
    <w:name w:val="font51"/>
    <w:basedOn w:val="55"/>
    <w:qFormat/>
    <w:uiPriority w:val="0"/>
    <w:rPr>
      <w:rFonts w:hint="eastAsia" w:ascii="宋体" w:hAnsi="宋体" w:eastAsia="宋体" w:cs="宋体"/>
      <w:color w:val="000000"/>
      <w:sz w:val="20"/>
      <w:szCs w:val="20"/>
      <w:u w:val="none"/>
    </w:rPr>
  </w:style>
  <w:style w:type="paragraph" w:customStyle="1" w:styleId="195">
    <w:name w:val="列出段落11"/>
    <w:basedOn w:val="1"/>
    <w:qFormat/>
    <w:uiPriority w:val="99"/>
    <w:pPr>
      <w:adjustRightInd/>
      <w:spacing w:line="360" w:lineRule="auto"/>
      <w:ind w:firstLine="420" w:firstLineChars="200"/>
      <w:jc w:val="both"/>
    </w:pPr>
    <w:rPr>
      <w:rFonts w:ascii="Times New Roman" w:hAnsi="Times New Roman" w:cs="Times New Roman"/>
      <w:kern w:val="2"/>
    </w:rPr>
  </w:style>
  <w:style w:type="character" w:customStyle="1" w:styleId="196">
    <w:name w:val="font31"/>
    <w:basedOn w:val="55"/>
    <w:qFormat/>
    <w:uiPriority w:val="0"/>
    <w:rPr>
      <w:rFonts w:hint="default" w:ascii="Times New Roman" w:hAnsi="Times New Roman" w:cs="Times New Roman"/>
      <w:color w:val="FF0000"/>
      <w:sz w:val="22"/>
      <w:szCs w:val="22"/>
      <w:u w:val="none"/>
    </w:rPr>
  </w:style>
  <w:style w:type="character" w:customStyle="1" w:styleId="197">
    <w:name w:val="font41"/>
    <w:basedOn w:val="55"/>
    <w:qFormat/>
    <w:uiPriority w:val="0"/>
    <w:rPr>
      <w:rFonts w:hint="eastAsia" w:ascii="宋体" w:hAnsi="宋体" w:eastAsia="宋体" w:cs="宋体"/>
      <w:color w:val="FF0000"/>
      <w:sz w:val="22"/>
      <w:szCs w:val="22"/>
      <w:u w:val="none"/>
    </w:rPr>
  </w:style>
  <w:style w:type="character" w:customStyle="1" w:styleId="198">
    <w:name w:val="font11"/>
    <w:basedOn w:val="55"/>
    <w:qFormat/>
    <w:uiPriority w:val="0"/>
    <w:rPr>
      <w:rFonts w:hint="default" w:ascii="Times New Roman" w:hAnsi="Times New Roman" w:cs="Times New Roman"/>
      <w:color w:val="FF0000"/>
      <w:sz w:val="22"/>
      <w:szCs w:val="22"/>
      <w:u w:val="none"/>
    </w:rPr>
  </w:style>
  <w:style w:type="character" w:customStyle="1" w:styleId="199">
    <w:name w:val="font21"/>
    <w:basedOn w:val="55"/>
    <w:qFormat/>
    <w:uiPriority w:val="0"/>
    <w:rPr>
      <w:rFonts w:hint="eastAsia" w:ascii="仿宋" w:hAnsi="仿宋" w:eastAsia="仿宋" w:cs="仿宋"/>
      <w:color w:val="000000"/>
      <w:sz w:val="24"/>
      <w:szCs w:val="24"/>
      <w:u w:val="none"/>
    </w:rPr>
  </w:style>
  <w:style w:type="character" w:customStyle="1" w:styleId="200">
    <w:name w:val="font151"/>
    <w:basedOn w:val="55"/>
    <w:qFormat/>
    <w:uiPriority w:val="0"/>
    <w:rPr>
      <w:rFonts w:hint="eastAsia" w:ascii="宋体" w:hAnsi="宋体" w:eastAsia="宋体" w:cs="宋体"/>
      <w:color w:val="000000"/>
      <w:sz w:val="18"/>
      <w:szCs w:val="18"/>
      <w:u w:val="none"/>
    </w:rPr>
  </w:style>
  <w:style w:type="character" w:customStyle="1" w:styleId="201">
    <w:name w:val="font141"/>
    <w:basedOn w:val="55"/>
    <w:qFormat/>
    <w:uiPriority w:val="0"/>
    <w:rPr>
      <w:rFonts w:hint="eastAsia" w:ascii="宋体" w:hAnsi="宋体" w:eastAsia="宋体" w:cs="宋体"/>
      <w:color w:val="000000"/>
      <w:sz w:val="18"/>
      <w:szCs w:val="18"/>
      <w:u w:val="none"/>
    </w:rPr>
  </w:style>
  <w:style w:type="paragraph" w:customStyle="1" w:styleId="202">
    <w:name w:val="列出段落2"/>
    <w:basedOn w:val="1"/>
    <w:qFormat/>
    <w:uiPriority w:val="0"/>
    <w:pPr>
      <w:ind w:firstLine="420" w:firstLineChars="200"/>
    </w:pPr>
    <w:rPr>
      <w:rFonts w:ascii="Calibri" w:hAnsi="Calibri" w:cs="宋体"/>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ED33D1-28E5-49B2-810A-DFCA16599E46}">
  <ds:schemaRefs/>
</ds:datastoreItem>
</file>

<file path=docProps/app.xml><?xml version="1.0" encoding="utf-8"?>
<Properties xmlns="http://schemas.openxmlformats.org/officeDocument/2006/extended-properties" xmlns:vt="http://schemas.openxmlformats.org/officeDocument/2006/docPropsVTypes">
  <Template>Normal.dotm</Template>
  <Company>zgydgb</Company>
  <Pages>62</Pages>
  <Words>13475</Words>
  <Characters>14449</Characters>
  <Lines>375</Lines>
  <Paragraphs>105</Paragraphs>
  <TotalTime>3</TotalTime>
  <ScaleCrop>false</ScaleCrop>
  <LinksUpToDate>false</LinksUpToDate>
  <CharactersWithSpaces>14624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2023-11-23T12:45:00Z</dcterms:created>
  <dc:creator>lyy</dc:creator>
  <cp:lastModifiedBy>Steven</cp:lastModifiedBy>
  <cp:lastPrinted>2020-07-10T09:47:00Z</cp:lastPrinted>
  <dcterms:modified xsi:type="dcterms:W3CDTF">2025-10-17T06:17:58Z</dcterms:modified>
  <dc:title>货物公开</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E77BD84867324EF0872ED553CDD17BCB_13</vt:lpwstr>
  </property>
  <property fmtid="{D5CDD505-2E9C-101B-9397-08002B2CF9AE}" pid="4" name="KSOTemplateDocerSaveRecord">
    <vt:lpwstr>eyJoZGlkIjoiMjM2ODFkNzM3YjFmM2ZkNTQzZjVjOWMwMzE4N2JlYTEiLCJ1c2VySWQiOiIyNDY2MzMwNzIifQ==</vt:lpwstr>
  </property>
</Properties>
</file>