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DD5605">
      <w:pPr>
        <w:adjustRightInd w:val="0"/>
        <w:snapToGrid w:val="0"/>
        <w:spacing w:before="120" w:after="120" w:line="276" w:lineRule="auto"/>
        <w:jc w:val="center"/>
        <w:rPr>
          <w:rFonts w:eastAsia="华文中宋"/>
          <w:color w:val="auto"/>
          <w:sz w:val="44"/>
          <w:szCs w:val="44"/>
          <w:highlight w:val="none"/>
        </w:rPr>
      </w:pPr>
      <w:r>
        <w:rPr>
          <w:rFonts w:hint="eastAsia" w:ascii="Times New Roman" w:hAnsi="Times New Roman" w:eastAsia="华文中宋" w:cs="华文中宋"/>
          <w:color w:val="auto"/>
          <w:sz w:val="44"/>
          <w:szCs w:val="44"/>
          <w:highlight w:val="none"/>
          <w:lang w:bidi="ar"/>
        </w:rPr>
        <w:t>采购文件</w:t>
      </w:r>
    </w:p>
    <w:p w14:paraId="29040528">
      <w:pPr>
        <w:spacing w:line="560" w:lineRule="exact"/>
        <w:ind w:firstLine="640" w:firstLineChars="20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eastAsia="zh-CN" w:bidi="ar"/>
        </w:rPr>
        <w:t>东莞市新东欣环保投资有限公司</w:t>
      </w:r>
      <w:r>
        <w:rPr>
          <w:rFonts w:hint="eastAsia" w:ascii="Times New Roman" w:hAnsi="Times New Roman" w:eastAsia="仿宋_GB2312" w:cs="仿宋_GB2312"/>
          <w:color w:val="auto"/>
          <w:sz w:val="32"/>
          <w:szCs w:val="32"/>
          <w:highlight w:val="none"/>
          <w:lang w:bidi="ar"/>
        </w:rPr>
        <w:t>现开展东莞市海心沙资源综合利用中心绿色工业服务项目（改扩建）竣工环保验收服务采购工作，现将相关情况介绍如下：</w:t>
      </w:r>
    </w:p>
    <w:p w14:paraId="4F447328">
      <w:pPr>
        <w:adjustRightInd w:val="0"/>
        <w:snapToGrid w:val="0"/>
        <w:spacing w:line="560" w:lineRule="exact"/>
        <w:ind w:firstLine="640" w:firstLineChars="200"/>
        <w:outlineLvl w:val="1"/>
        <w:rPr>
          <w:rFonts w:eastAsia="黑体"/>
          <w:color w:val="auto"/>
          <w:sz w:val="32"/>
          <w:szCs w:val="32"/>
          <w:highlight w:val="none"/>
        </w:rPr>
      </w:pPr>
      <w:r>
        <w:rPr>
          <w:rFonts w:hint="eastAsia" w:ascii="Times New Roman" w:hAnsi="Times New Roman" w:eastAsia="黑体" w:cs="黑体"/>
          <w:color w:val="auto"/>
          <w:sz w:val="32"/>
          <w:szCs w:val="32"/>
          <w:highlight w:val="none"/>
          <w:lang w:bidi="ar"/>
        </w:rPr>
        <w:t>一、项目名称及内容</w:t>
      </w:r>
    </w:p>
    <w:p w14:paraId="25B5AC02">
      <w:pPr>
        <w:adjustRightInd w:val="0"/>
        <w:snapToGrid w:val="0"/>
        <w:spacing w:line="560" w:lineRule="exact"/>
        <w:ind w:firstLine="640" w:firstLineChars="200"/>
        <w:rPr>
          <w:rFonts w:hint="eastAsia" w:ascii="仿宋_GB2312" w:hAnsi="仿宋_GB2312" w:eastAsia="仿宋_GB2312" w:cs="仿宋_GB2312"/>
          <w:color w:val="auto"/>
          <w:sz w:val="32"/>
          <w:szCs w:val="32"/>
          <w:highlight w:val="none"/>
          <w:u w:val="single"/>
          <w:lang w:eastAsia="zh-CN"/>
        </w:rPr>
      </w:pPr>
      <w:r>
        <w:rPr>
          <w:rFonts w:hint="eastAsia" w:ascii="仿宋_GB2312" w:hAnsi="仿宋_GB2312" w:eastAsia="仿宋_GB2312" w:cs="仿宋_GB2312"/>
          <w:color w:val="auto"/>
          <w:sz w:val="32"/>
          <w:szCs w:val="32"/>
          <w:highlight w:val="none"/>
          <w:lang w:bidi="ar"/>
        </w:rPr>
        <w:t>1、项目名称：</w:t>
      </w:r>
      <w:r>
        <w:rPr>
          <w:rFonts w:hint="eastAsia" w:ascii="仿宋_GB2312" w:hAnsi="仿宋_GB2312" w:eastAsia="仿宋_GB2312" w:cs="仿宋_GB2312"/>
          <w:color w:val="auto"/>
          <w:sz w:val="32"/>
          <w:szCs w:val="32"/>
          <w:highlight w:val="none"/>
          <w:u w:val="single"/>
          <w:lang w:eastAsia="zh-CN"/>
        </w:rPr>
        <w:t>东莞市海心沙资源综合利用中心绿色工业服务项目（改扩建）竣工环保验收服务（</w:t>
      </w:r>
      <w:r>
        <w:rPr>
          <w:rFonts w:hint="eastAsia" w:ascii="仿宋_GB2312" w:hAnsi="仿宋_GB2312" w:eastAsia="仿宋_GB2312" w:cs="仿宋_GB2312"/>
          <w:color w:val="auto"/>
          <w:sz w:val="32"/>
          <w:szCs w:val="32"/>
          <w:highlight w:val="none"/>
          <w:u w:val="single"/>
          <w:lang w:val="en-US" w:eastAsia="zh-CN"/>
        </w:rPr>
        <w:t>重新采购</w:t>
      </w:r>
      <w:r>
        <w:rPr>
          <w:rFonts w:hint="eastAsia" w:ascii="仿宋_GB2312" w:hAnsi="仿宋_GB2312" w:eastAsia="仿宋_GB2312" w:cs="仿宋_GB2312"/>
          <w:color w:val="auto"/>
          <w:sz w:val="32"/>
          <w:szCs w:val="32"/>
          <w:highlight w:val="none"/>
          <w:u w:val="single"/>
          <w:lang w:eastAsia="zh-CN"/>
        </w:rPr>
        <w:t>）</w:t>
      </w:r>
    </w:p>
    <w:p w14:paraId="6CB8C910">
      <w:pPr>
        <w:pStyle w:val="5"/>
        <w:ind w:firstLine="640" w:firstLineChars="200"/>
      </w:pPr>
      <w:r>
        <w:rPr>
          <w:rFonts w:hint="eastAsia" w:ascii="仿宋_GB2312" w:hAnsi="仿宋_GB2312" w:eastAsia="仿宋_GB2312" w:cs="仿宋_GB2312"/>
          <w:color w:val="auto"/>
          <w:sz w:val="32"/>
          <w:szCs w:val="32"/>
          <w:highlight w:val="none"/>
          <w:lang w:bidi="ar"/>
        </w:rPr>
        <w:t>2、项目地点：</w:t>
      </w:r>
      <w:r>
        <w:rPr>
          <w:rFonts w:hint="eastAsia" w:ascii="Times New Roman" w:hAnsi="Times New Roman" w:eastAsia="仿宋_GB2312" w:cs="仿宋_GB2312"/>
          <w:color w:val="auto"/>
          <w:sz w:val="32"/>
          <w:szCs w:val="32"/>
          <w:highlight w:val="none"/>
          <w:lang w:eastAsia="zh-CN" w:bidi="ar"/>
        </w:rPr>
        <w:t>东莞市新东欣环保投资有限公司</w:t>
      </w:r>
    </w:p>
    <w:p w14:paraId="2D6EED81">
      <w:pPr>
        <w:adjustRightInd w:val="0"/>
        <w:snapToGrid w:val="0"/>
        <w:spacing w:line="560" w:lineRule="exact"/>
        <w:ind w:firstLine="640" w:firstLineChars="200"/>
        <w:outlineLvl w:val="9"/>
        <w:rPr>
          <w:rFonts w:eastAsia="黑体"/>
          <w:color w:val="auto"/>
          <w:sz w:val="32"/>
          <w:szCs w:val="32"/>
          <w:highlight w:val="none"/>
        </w:rPr>
      </w:pPr>
      <w:r>
        <w:rPr>
          <w:rFonts w:hint="eastAsia" w:ascii="Times New Roman" w:hAnsi="Times New Roman" w:eastAsia="黑体" w:cs="黑体"/>
          <w:color w:val="auto"/>
          <w:sz w:val="32"/>
          <w:szCs w:val="32"/>
          <w:highlight w:val="none"/>
          <w:lang w:bidi="ar"/>
        </w:rPr>
        <w:t>二、项目发布</w:t>
      </w:r>
    </w:p>
    <w:p w14:paraId="2FACC036">
      <w:pPr>
        <w:adjustRightInd w:val="0"/>
        <w:snapToGrid w:val="0"/>
        <w:spacing w:line="560" w:lineRule="exact"/>
        <w:ind w:firstLine="640"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本采购项目信息在东莞实业投资控股集团有限公司网站（http://www.dgsy.com.cn/）和广东东实环境股份有限公司招采平</w:t>
      </w:r>
      <w:r>
        <w:rPr>
          <w:rFonts w:hint="eastAsia" w:ascii="仿宋_GB2312" w:hAnsi="仿宋_GB2312" w:eastAsia="仿宋_GB2312" w:cs="仿宋_GB2312"/>
          <w:sz w:val="32"/>
          <w:szCs w:val="32"/>
          <w:highlight w:val="none"/>
          <w:shd w:val="clear" w:color="auto" w:fill="FFFFFF"/>
        </w:rPr>
        <w:t>(</w:t>
      </w:r>
      <w:bookmarkStart w:id="0" w:name="OLE_LINK9"/>
      <w:r>
        <w:rPr>
          <w:rFonts w:hint="eastAsia" w:ascii="仿宋_GB2312" w:hAnsi="仿宋_GB2312" w:eastAsia="仿宋_GB2312" w:cs="仿宋_GB2312"/>
          <w:b w:val="0"/>
          <w:bCs w:val="0"/>
          <w:i w:val="0"/>
          <w:iCs w:val="0"/>
          <w:caps w:val="0"/>
          <w:spacing w:val="0"/>
          <w:sz w:val="32"/>
          <w:szCs w:val="32"/>
          <w:highlight w:val="none"/>
          <w:shd w:val="clear" w:color="auto" w:fill="FFFFFF"/>
        </w:rPr>
        <w:t>https://pur.yonyoucloud.com/core4/GDDSE</w:t>
      </w:r>
      <w:bookmarkEnd w:id="0"/>
      <w:r>
        <w:rPr>
          <w:rFonts w:hint="eastAsia" w:ascii="仿宋_GB2312" w:hAnsi="仿宋_GB2312" w:eastAsia="仿宋_GB2312" w:cs="仿宋_GB2312"/>
          <w:sz w:val="32"/>
          <w:szCs w:val="32"/>
          <w:highlight w:val="none"/>
          <w:shd w:val="clear" w:color="auto" w:fill="FFFFFF"/>
        </w:rPr>
        <w:t>)</w:t>
      </w:r>
      <w:r>
        <w:rPr>
          <w:rFonts w:hint="eastAsia" w:ascii="仿宋_GB2312" w:hAnsi="仿宋_GB2312" w:eastAsia="仿宋_GB2312" w:cs="仿宋_GB2312"/>
          <w:color w:val="auto"/>
          <w:sz w:val="32"/>
          <w:szCs w:val="32"/>
          <w:highlight w:val="none"/>
          <w:lang w:bidi="ar"/>
        </w:rPr>
        <w:t>上发布。</w:t>
      </w:r>
    </w:p>
    <w:p w14:paraId="0667F41E">
      <w:pPr>
        <w:adjustRightInd w:val="0"/>
        <w:snapToGrid w:val="0"/>
        <w:spacing w:line="560" w:lineRule="exact"/>
        <w:ind w:firstLine="640" w:firstLineChars="200"/>
        <w:outlineLvl w:val="1"/>
        <w:rPr>
          <w:rFonts w:eastAsia="黑体"/>
          <w:color w:val="auto"/>
          <w:sz w:val="32"/>
          <w:szCs w:val="32"/>
          <w:highlight w:val="none"/>
        </w:rPr>
      </w:pPr>
      <w:r>
        <w:rPr>
          <w:rFonts w:ascii="Times New Roman" w:hAnsi="Times New Roman" w:eastAsia="黑体" w:cs="Wingdings"/>
          <w:color w:val="auto"/>
          <w:sz w:val="32"/>
          <w:szCs w:val="32"/>
          <w:highlight w:val="none"/>
          <w:lang w:bidi="ar"/>
        </w:rPr>
        <w:sym w:font="Wingdings" w:char="00AB"/>
      </w:r>
      <w:r>
        <w:rPr>
          <w:rFonts w:hint="eastAsia" w:ascii="Times New Roman" w:hAnsi="Times New Roman" w:eastAsia="黑体" w:cs="黑体"/>
          <w:color w:val="auto"/>
          <w:sz w:val="32"/>
          <w:szCs w:val="32"/>
          <w:highlight w:val="none"/>
          <w:lang w:bidi="ar"/>
        </w:rPr>
        <w:t>三、响应人资格要求</w:t>
      </w:r>
    </w:p>
    <w:p w14:paraId="510FD882">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1、响应人须为在中华人民共和国境内登记注册的具有独立承担民事责任能力的法人或其他组织。【提供《营业执照》复印件（加盖公章）或《事业单位法人证书》复印件（加盖公章）或其他主体证书复印件（加盖公章）】；</w:t>
      </w:r>
    </w:p>
    <w:p w14:paraId="2090AB05">
      <w:pPr>
        <w:adjustRightInd w:val="0"/>
        <w:snapToGrid w:val="0"/>
        <w:spacing w:line="360" w:lineRule="auto"/>
        <w:ind w:firstLine="643" w:firstLineChars="200"/>
        <w:rPr>
          <w:rFonts w:hint="eastAsia" w:ascii="仿宋_GB2312" w:hAnsi="仿宋_GB2312" w:eastAsia="仿宋_GB2312" w:cs="仿宋_GB2312"/>
          <w:color w:val="auto"/>
          <w:sz w:val="32"/>
          <w:szCs w:val="32"/>
          <w:highlight w:val="none"/>
          <w:lang w:eastAsia="zh-CN" w:bidi="ar"/>
        </w:rPr>
      </w:pPr>
      <w:r>
        <w:rPr>
          <w:rFonts w:ascii="仿宋_GB2312" w:hAnsi="仿宋_GB2312" w:eastAsia="仿宋_GB2312" w:cs="仿宋_GB2312"/>
          <w:b/>
          <w:color w:val="auto"/>
          <w:sz w:val="32"/>
          <w:szCs w:val="32"/>
          <w:highlight w:val="none"/>
          <w:lang w:bidi="ar"/>
        </w:rPr>
        <w:t>2</w:t>
      </w:r>
      <w:r>
        <w:rPr>
          <w:rFonts w:hint="eastAsia" w:ascii="仿宋_GB2312" w:hAnsi="仿宋_GB2312" w:eastAsia="仿宋_GB2312" w:cs="仿宋_GB2312"/>
          <w:b/>
          <w:color w:val="auto"/>
          <w:sz w:val="32"/>
          <w:szCs w:val="32"/>
          <w:highlight w:val="none"/>
          <w:lang w:bidi="ar"/>
        </w:rPr>
        <w:t>、响应人</w:t>
      </w:r>
      <w:r>
        <w:rPr>
          <w:rFonts w:hint="eastAsia" w:ascii="仿宋_GB2312" w:hAnsi="仿宋_GB2312" w:eastAsia="仿宋_GB2312" w:cs="仿宋_GB2312"/>
          <w:b/>
          <w:color w:val="auto"/>
          <w:sz w:val="32"/>
          <w:szCs w:val="32"/>
          <w:highlight w:val="none"/>
          <w:lang w:val="en-US" w:eastAsia="zh-CN" w:bidi="ar"/>
        </w:rPr>
        <w:t>近三年须</w:t>
      </w:r>
      <w:r>
        <w:rPr>
          <w:rFonts w:hint="eastAsia" w:ascii="仿宋_GB2312" w:hAnsi="仿宋_GB2312" w:eastAsia="仿宋_GB2312" w:cs="仿宋_GB2312"/>
          <w:b/>
          <w:color w:val="auto"/>
          <w:sz w:val="32"/>
          <w:szCs w:val="32"/>
          <w:highlight w:val="none"/>
          <w:lang w:bidi="ar"/>
        </w:rPr>
        <w:t>具备</w:t>
      </w:r>
      <w:r>
        <w:rPr>
          <w:rFonts w:hint="eastAsia" w:ascii="仿宋_GB2312" w:hAnsi="仿宋_GB2312" w:eastAsia="仿宋_GB2312" w:cs="仿宋_GB2312"/>
          <w:b/>
          <w:color w:val="auto"/>
          <w:sz w:val="32"/>
          <w:szCs w:val="32"/>
          <w:highlight w:val="none"/>
          <w:lang w:val="en-US" w:eastAsia="zh-CN" w:bidi="ar"/>
        </w:rPr>
        <w:t>1</w:t>
      </w:r>
      <w:r>
        <w:rPr>
          <w:rFonts w:hint="eastAsia" w:ascii="仿宋_GB2312" w:hAnsi="仿宋_GB2312" w:eastAsia="仿宋_GB2312" w:cs="仿宋_GB2312"/>
          <w:b/>
          <w:color w:val="auto"/>
          <w:sz w:val="32"/>
          <w:szCs w:val="32"/>
          <w:highlight w:val="none"/>
          <w:lang w:bidi="ar"/>
        </w:rPr>
        <w:t>项</w:t>
      </w:r>
      <w:r>
        <w:rPr>
          <w:rFonts w:hint="eastAsia" w:ascii="仿宋_GB2312" w:hAnsi="仿宋_GB2312" w:eastAsia="仿宋_GB2312" w:cs="仿宋_GB2312"/>
          <w:b/>
          <w:color w:val="auto"/>
          <w:sz w:val="32"/>
          <w:szCs w:val="32"/>
          <w:highlight w:val="none"/>
          <w:lang w:val="en-US" w:eastAsia="zh-CN" w:bidi="ar"/>
        </w:rPr>
        <w:t>或</w:t>
      </w:r>
      <w:r>
        <w:rPr>
          <w:rFonts w:hint="eastAsia" w:ascii="仿宋_GB2312" w:hAnsi="仿宋_GB2312" w:eastAsia="仿宋_GB2312" w:cs="仿宋_GB2312"/>
          <w:b/>
          <w:color w:val="auto"/>
          <w:sz w:val="32"/>
          <w:szCs w:val="32"/>
          <w:highlight w:val="none"/>
          <w:lang w:bidi="ar"/>
        </w:rPr>
        <w:t>以上危险废物处理处置或收集项目的</w:t>
      </w:r>
      <w:r>
        <w:rPr>
          <w:rFonts w:hint="eastAsia" w:ascii="仿宋_GB2312" w:hAnsi="仿宋_GB2312" w:eastAsia="仿宋_GB2312" w:cs="仿宋_GB2312"/>
          <w:b/>
          <w:color w:val="auto"/>
          <w:sz w:val="32"/>
          <w:szCs w:val="32"/>
          <w:highlight w:val="none"/>
          <w:lang w:val="en-US" w:eastAsia="zh-CN" w:bidi="ar"/>
        </w:rPr>
        <w:t>已完成履约的</w:t>
      </w:r>
      <w:r>
        <w:rPr>
          <w:rFonts w:hint="eastAsia" w:ascii="仿宋_GB2312" w:hAnsi="仿宋_GB2312" w:eastAsia="仿宋_GB2312" w:cs="仿宋_GB2312"/>
          <w:b/>
          <w:color w:val="auto"/>
          <w:sz w:val="32"/>
          <w:szCs w:val="32"/>
          <w:highlight w:val="none"/>
          <w:lang w:bidi="ar"/>
        </w:rPr>
        <w:t>竣工环保验收办理业绩</w:t>
      </w:r>
      <w:r>
        <w:rPr>
          <w:rFonts w:hint="eastAsia" w:ascii="仿宋_GB2312" w:hAnsi="仿宋_GB2312" w:eastAsia="仿宋_GB2312" w:cs="仿宋_GB2312"/>
          <w:color w:val="auto"/>
          <w:sz w:val="32"/>
          <w:szCs w:val="32"/>
          <w:highlight w:val="none"/>
          <w:lang w:bidi="ar"/>
        </w:rPr>
        <w:t>【业绩不少于</w:t>
      </w:r>
      <w:r>
        <w:rPr>
          <w:rFonts w:hint="eastAsia" w:ascii="仿宋_GB2312" w:hAnsi="仿宋_GB2312" w:eastAsia="仿宋_GB2312" w:cs="仿宋_GB2312"/>
          <w:color w:val="auto"/>
          <w:sz w:val="32"/>
          <w:szCs w:val="32"/>
          <w:highlight w:val="none"/>
          <w:lang w:val="en-US" w:eastAsia="zh-CN" w:bidi="ar"/>
        </w:rPr>
        <w:t>1</w:t>
      </w:r>
      <w:r>
        <w:rPr>
          <w:rFonts w:hint="eastAsia" w:ascii="仿宋_GB2312" w:hAnsi="仿宋_GB2312" w:eastAsia="仿宋_GB2312" w:cs="仿宋_GB2312"/>
          <w:color w:val="auto"/>
          <w:sz w:val="32"/>
          <w:szCs w:val="32"/>
          <w:highlight w:val="none"/>
          <w:lang w:bidi="ar"/>
        </w:rPr>
        <w:t>个，提供过往</w:t>
      </w:r>
      <w:r>
        <w:rPr>
          <w:rFonts w:hint="eastAsia" w:ascii="仿宋_GB2312" w:hAnsi="仿宋_GB2312" w:eastAsia="仿宋_GB2312" w:cs="仿宋_GB2312"/>
          <w:b/>
          <w:color w:val="auto"/>
          <w:sz w:val="32"/>
          <w:szCs w:val="32"/>
          <w:highlight w:val="none"/>
          <w:lang w:val="en-US" w:eastAsia="zh-CN" w:bidi="ar"/>
        </w:rPr>
        <w:t>已完成履约的</w:t>
      </w:r>
      <w:r>
        <w:rPr>
          <w:rFonts w:hint="eastAsia" w:ascii="仿宋_GB2312" w:hAnsi="仿宋_GB2312" w:eastAsia="仿宋_GB2312" w:cs="仿宋_GB2312"/>
          <w:b/>
          <w:color w:val="auto"/>
          <w:sz w:val="32"/>
          <w:szCs w:val="32"/>
          <w:highlight w:val="none"/>
          <w:lang w:bidi="ar"/>
        </w:rPr>
        <w:t>业绩合同</w:t>
      </w:r>
      <w:r>
        <w:rPr>
          <w:rFonts w:hint="eastAsia" w:ascii="仿宋_GB2312" w:hAnsi="仿宋_GB2312" w:eastAsia="仿宋_GB2312" w:cs="仿宋_GB2312"/>
          <w:color w:val="auto"/>
          <w:sz w:val="32"/>
          <w:szCs w:val="32"/>
          <w:highlight w:val="none"/>
          <w:lang w:bidi="ar"/>
        </w:rPr>
        <w:t>主要页复印件（包含但不限于合同首页、合同金额页、合同盖章签字页等）和该项目任意一期已开具的</w:t>
      </w:r>
      <w:r>
        <w:rPr>
          <w:rFonts w:hint="eastAsia" w:ascii="仿宋_GB2312" w:hAnsi="仿宋_GB2312" w:eastAsia="仿宋_GB2312" w:cs="仿宋_GB2312"/>
          <w:b/>
          <w:color w:val="auto"/>
          <w:sz w:val="32"/>
          <w:szCs w:val="32"/>
          <w:highlight w:val="none"/>
          <w:lang w:bidi="ar"/>
        </w:rPr>
        <w:t>发票复印件</w:t>
      </w:r>
      <w:r>
        <w:rPr>
          <w:rFonts w:hint="eastAsia" w:ascii="仿宋_GB2312" w:hAnsi="仿宋_GB2312" w:eastAsia="仿宋_GB2312" w:cs="仿宋_GB2312"/>
          <w:color w:val="auto"/>
          <w:sz w:val="32"/>
          <w:szCs w:val="32"/>
          <w:highlight w:val="none"/>
          <w:lang w:bidi="ar"/>
        </w:rPr>
        <w:t>（加盖公章）】</w:t>
      </w:r>
      <w:r>
        <w:rPr>
          <w:rFonts w:hint="eastAsia" w:ascii="仿宋_GB2312" w:hAnsi="仿宋_GB2312" w:eastAsia="仿宋_GB2312" w:cs="仿宋_GB2312"/>
          <w:color w:val="auto"/>
          <w:sz w:val="32"/>
          <w:szCs w:val="32"/>
          <w:highlight w:val="none"/>
          <w:lang w:eastAsia="zh-CN" w:bidi="ar"/>
        </w:rPr>
        <w:t>；</w:t>
      </w:r>
    </w:p>
    <w:p w14:paraId="69038231">
      <w:pPr>
        <w:adjustRightInd w:val="0"/>
        <w:snapToGrid w:val="0"/>
        <w:spacing w:line="360" w:lineRule="auto"/>
        <w:ind w:firstLine="640" w:firstLineChars="200"/>
        <w:rPr>
          <w:rFonts w:hint="eastAsia" w:ascii="仿宋_GB2312" w:hAnsi="仿宋_GB2312" w:eastAsia="仿宋_GB2312" w:cs="仿宋_GB2312"/>
          <w:color w:val="auto"/>
          <w:sz w:val="32"/>
          <w:szCs w:val="32"/>
          <w:highlight w:val="none"/>
          <w:lang w:val="en-US" w:eastAsia="zh-CN" w:bidi="ar"/>
        </w:rPr>
      </w:pPr>
      <w:r>
        <w:rPr>
          <w:rFonts w:hint="eastAsia" w:ascii="仿宋_GB2312" w:hAnsi="仿宋_GB2312" w:eastAsia="仿宋_GB2312" w:cs="仿宋_GB2312"/>
          <w:color w:val="auto"/>
          <w:sz w:val="32"/>
          <w:szCs w:val="32"/>
          <w:highlight w:val="none"/>
          <w:lang w:val="en-US" w:eastAsia="zh-CN" w:bidi="ar"/>
        </w:rPr>
        <w:t>3、响应人须提供投标截止日前6个月内任意1个月依法缴纳税收及无欠税的证明材料。如依法免税的，须提供相应证明材料。（证明材料须加盖公章）。</w:t>
      </w:r>
    </w:p>
    <w:p w14:paraId="7336F605">
      <w:pPr>
        <w:adjustRightInd w:val="0"/>
        <w:snapToGrid w:val="0"/>
        <w:spacing w:line="360" w:lineRule="auto"/>
        <w:ind w:firstLine="640" w:firstLineChars="200"/>
        <w:rPr>
          <w:rFonts w:hint="eastAsia" w:ascii="仿宋_GB2312" w:hAnsi="仿宋_GB2312" w:eastAsia="仿宋_GB2312" w:cs="仿宋_GB2312"/>
          <w:color w:val="auto"/>
          <w:sz w:val="32"/>
          <w:szCs w:val="32"/>
          <w:highlight w:val="none"/>
          <w:lang w:val="en-US" w:eastAsia="zh-CN" w:bidi="ar"/>
        </w:rPr>
      </w:pPr>
      <w:r>
        <w:rPr>
          <w:rFonts w:hint="eastAsia" w:ascii="仿宋_GB2312" w:hAnsi="仿宋_GB2312" w:eastAsia="仿宋_GB2312" w:cs="仿宋_GB2312"/>
          <w:color w:val="auto"/>
          <w:sz w:val="32"/>
          <w:szCs w:val="32"/>
          <w:highlight w:val="none"/>
          <w:lang w:val="en-US" w:eastAsia="zh-CN" w:bidi="ar"/>
        </w:rPr>
        <w:t>4、未被列入东实环境及下属企业相关领域黑名单。</w:t>
      </w:r>
    </w:p>
    <w:p w14:paraId="2BA3CE0B">
      <w:pPr>
        <w:adjustRightInd w:val="0"/>
        <w:snapToGrid w:val="0"/>
        <w:spacing w:line="560" w:lineRule="exact"/>
        <w:ind w:firstLine="640" w:firstLineChars="200"/>
        <w:outlineLvl w:val="1"/>
        <w:rPr>
          <w:rFonts w:eastAsia="黑体"/>
          <w:color w:val="auto"/>
          <w:sz w:val="32"/>
          <w:szCs w:val="32"/>
          <w:highlight w:val="none"/>
        </w:rPr>
      </w:pPr>
      <w:r>
        <w:rPr>
          <w:rFonts w:hint="eastAsia" w:ascii="Times New Roman" w:hAnsi="Times New Roman" w:eastAsia="黑体" w:cs="黑体"/>
          <w:color w:val="auto"/>
          <w:sz w:val="32"/>
          <w:szCs w:val="32"/>
          <w:highlight w:val="none"/>
          <w:lang w:bidi="ar"/>
        </w:rPr>
        <w:t>四、采购内容及要求</w:t>
      </w:r>
    </w:p>
    <w:p w14:paraId="52C7E2B5">
      <w:pPr>
        <w:adjustRightInd w:val="0"/>
        <w:snapToGrid w:val="0"/>
        <w:spacing w:line="360" w:lineRule="auto"/>
        <w:ind w:firstLine="640" w:firstLineChars="200"/>
        <w:outlineLvl w:val="9"/>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val="en-US" w:eastAsia="zh-CN" w:bidi="ar"/>
        </w:rPr>
        <w:t>1.</w:t>
      </w:r>
      <w:r>
        <w:rPr>
          <w:rFonts w:hint="eastAsia" w:ascii="仿宋_GB2312" w:hAnsi="仿宋_GB2312" w:eastAsia="仿宋_GB2312" w:cs="仿宋_GB2312"/>
          <w:color w:val="auto"/>
          <w:sz w:val="32"/>
          <w:szCs w:val="32"/>
          <w:highlight w:val="none"/>
          <w:lang w:bidi="ar"/>
        </w:rPr>
        <w:t>编制验收监测方案</w:t>
      </w:r>
    </w:p>
    <w:p w14:paraId="1F017577">
      <w:pPr>
        <w:adjustRightInd w:val="0"/>
        <w:snapToGrid w:val="0"/>
        <w:spacing w:line="360" w:lineRule="auto"/>
        <w:ind w:firstLine="640" w:firstLineChars="200"/>
        <w:rPr>
          <w:rFonts w:hint="eastAsia" w:ascii="仿宋_GB2312" w:hAnsi="仿宋_GB2312" w:eastAsia="仿宋_GB2312" w:cs="仿宋_GB2312"/>
          <w:bCs w:val="0"/>
          <w:color w:val="auto"/>
          <w:spacing w:val="0"/>
          <w:sz w:val="32"/>
          <w:szCs w:val="32"/>
          <w:highlight w:val="none"/>
          <w:lang w:bidi="ar"/>
        </w:rPr>
      </w:pPr>
      <w:r>
        <w:rPr>
          <w:rFonts w:hint="eastAsia" w:ascii="仿宋_GB2312" w:hAnsi="仿宋_GB2312" w:eastAsia="仿宋_GB2312" w:cs="仿宋_GB2312"/>
          <w:bCs w:val="0"/>
          <w:color w:val="auto"/>
          <w:spacing w:val="0"/>
          <w:sz w:val="32"/>
          <w:szCs w:val="32"/>
          <w:highlight w:val="none"/>
          <w:lang w:eastAsia="zh-CN" w:bidi="ar"/>
        </w:rPr>
        <w:t>（</w:t>
      </w:r>
      <w:r>
        <w:rPr>
          <w:rFonts w:hint="eastAsia" w:ascii="仿宋_GB2312" w:hAnsi="仿宋_GB2312" w:eastAsia="仿宋_GB2312" w:cs="仿宋_GB2312"/>
          <w:bCs w:val="0"/>
          <w:color w:val="auto"/>
          <w:spacing w:val="0"/>
          <w:sz w:val="32"/>
          <w:szCs w:val="32"/>
          <w:highlight w:val="none"/>
          <w:lang w:val="en-US" w:eastAsia="zh-CN" w:bidi="ar"/>
        </w:rPr>
        <w:t>1</w:t>
      </w:r>
      <w:r>
        <w:rPr>
          <w:rFonts w:hint="eastAsia" w:ascii="仿宋_GB2312" w:hAnsi="仿宋_GB2312" w:eastAsia="仿宋_GB2312" w:cs="仿宋_GB2312"/>
          <w:bCs w:val="0"/>
          <w:color w:val="auto"/>
          <w:spacing w:val="0"/>
          <w:sz w:val="32"/>
          <w:szCs w:val="32"/>
          <w:highlight w:val="none"/>
          <w:lang w:eastAsia="zh-CN" w:bidi="ar"/>
        </w:rPr>
        <w:t>）</w:t>
      </w:r>
      <w:r>
        <w:rPr>
          <w:rFonts w:hint="eastAsia" w:ascii="仿宋_GB2312" w:hAnsi="仿宋_GB2312" w:eastAsia="仿宋_GB2312" w:cs="仿宋_GB2312"/>
          <w:bCs w:val="0"/>
          <w:color w:val="auto"/>
          <w:spacing w:val="0"/>
          <w:sz w:val="32"/>
          <w:szCs w:val="32"/>
          <w:highlight w:val="none"/>
          <w:lang w:bidi="ar"/>
        </w:rPr>
        <w:t>编制验收监测方案</w:t>
      </w:r>
    </w:p>
    <w:p w14:paraId="44FF9339">
      <w:pPr>
        <w:adjustRightInd w:val="0"/>
        <w:snapToGrid w:val="0"/>
        <w:spacing w:line="360" w:lineRule="auto"/>
        <w:ind w:firstLine="640" w:firstLineChars="200"/>
        <w:rPr>
          <w:rFonts w:hint="eastAsia" w:ascii="仿宋_GB2312" w:hAnsi="仿宋_GB2312" w:eastAsia="仿宋_GB2312" w:cs="仿宋_GB2312"/>
          <w:bCs w:val="0"/>
          <w:color w:val="auto"/>
          <w:spacing w:val="0"/>
          <w:sz w:val="32"/>
          <w:szCs w:val="32"/>
          <w:highlight w:val="none"/>
          <w:lang w:bidi="ar"/>
        </w:rPr>
      </w:pPr>
      <w:r>
        <w:rPr>
          <w:rFonts w:hint="eastAsia" w:ascii="仿宋_GB2312" w:hAnsi="仿宋_GB2312" w:eastAsia="仿宋_GB2312" w:cs="仿宋_GB2312"/>
          <w:bCs w:val="0"/>
          <w:color w:val="auto"/>
          <w:spacing w:val="0"/>
          <w:sz w:val="32"/>
          <w:szCs w:val="32"/>
          <w:highlight w:val="none"/>
          <w:lang w:bidi="ar"/>
        </w:rPr>
        <w:t>根据《中华人民共和国环境保护法》、《建设项目竣工环境保护验收暂行办法》、《建设项目环境保护管理条例》以及《建设项目竣工环境保护验收技术指南 污染影响类》等法律法规要求编制验收监测方案，满足项目竣工环境保护验收报告评审的要求。</w:t>
      </w:r>
    </w:p>
    <w:p w14:paraId="3D5F34E9">
      <w:pPr>
        <w:adjustRightInd w:val="0"/>
        <w:snapToGrid w:val="0"/>
        <w:spacing w:line="360" w:lineRule="auto"/>
        <w:ind w:firstLine="640" w:firstLineChars="200"/>
        <w:rPr>
          <w:rFonts w:hint="eastAsia" w:ascii="仿宋_GB2312" w:hAnsi="仿宋_GB2312" w:eastAsia="仿宋_GB2312" w:cs="仿宋_GB2312"/>
          <w:bCs w:val="0"/>
          <w:color w:val="auto"/>
          <w:spacing w:val="0"/>
          <w:sz w:val="32"/>
          <w:szCs w:val="32"/>
          <w:highlight w:val="none"/>
          <w:lang w:bidi="ar"/>
        </w:rPr>
      </w:pPr>
      <w:bookmarkStart w:id="1" w:name="_Toc486519043"/>
      <w:bookmarkStart w:id="2" w:name="_Toc19282"/>
      <w:bookmarkStart w:id="3" w:name="_Toc1528"/>
      <w:bookmarkStart w:id="4" w:name="_Toc17806"/>
      <w:bookmarkStart w:id="5" w:name="_Toc10939"/>
      <w:bookmarkStart w:id="6" w:name="_Toc17712"/>
      <w:bookmarkStart w:id="7" w:name="_Toc4661"/>
      <w:r>
        <w:rPr>
          <w:rFonts w:hint="eastAsia" w:ascii="仿宋_GB2312" w:hAnsi="仿宋_GB2312" w:eastAsia="仿宋_GB2312" w:cs="仿宋_GB2312"/>
          <w:bCs w:val="0"/>
          <w:color w:val="auto"/>
          <w:spacing w:val="0"/>
          <w:sz w:val="32"/>
          <w:szCs w:val="32"/>
          <w:highlight w:val="none"/>
          <w:lang w:eastAsia="zh-CN" w:bidi="ar"/>
        </w:rPr>
        <w:t>（</w:t>
      </w:r>
      <w:r>
        <w:rPr>
          <w:rFonts w:hint="eastAsia" w:ascii="仿宋_GB2312" w:hAnsi="仿宋_GB2312" w:eastAsia="仿宋_GB2312" w:cs="仿宋_GB2312"/>
          <w:bCs w:val="0"/>
          <w:color w:val="auto"/>
          <w:spacing w:val="0"/>
          <w:sz w:val="32"/>
          <w:szCs w:val="32"/>
          <w:highlight w:val="none"/>
          <w:lang w:val="en-US" w:eastAsia="zh-CN" w:bidi="ar"/>
        </w:rPr>
        <w:t>2</w:t>
      </w:r>
      <w:r>
        <w:rPr>
          <w:rFonts w:hint="eastAsia" w:ascii="仿宋_GB2312" w:hAnsi="仿宋_GB2312" w:eastAsia="仿宋_GB2312" w:cs="仿宋_GB2312"/>
          <w:bCs w:val="0"/>
          <w:color w:val="auto"/>
          <w:spacing w:val="0"/>
          <w:sz w:val="32"/>
          <w:szCs w:val="32"/>
          <w:highlight w:val="none"/>
          <w:lang w:eastAsia="zh-CN" w:bidi="ar"/>
        </w:rPr>
        <w:t>）</w:t>
      </w:r>
      <w:r>
        <w:rPr>
          <w:rFonts w:hint="eastAsia" w:ascii="仿宋_GB2312" w:hAnsi="仿宋_GB2312" w:eastAsia="仿宋_GB2312" w:cs="仿宋_GB2312"/>
          <w:bCs w:val="0"/>
          <w:color w:val="auto"/>
          <w:spacing w:val="0"/>
          <w:sz w:val="32"/>
          <w:szCs w:val="32"/>
          <w:highlight w:val="none"/>
          <w:lang w:bidi="ar"/>
        </w:rPr>
        <w:t>收集本技术服务需要的各项基础资料；</w:t>
      </w:r>
    </w:p>
    <w:p w14:paraId="44B747E3">
      <w:pPr>
        <w:adjustRightInd w:val="0"/>
        <w:snapToGrid w:val="0"/>
        <w:spacing w:line="360" w:lineRule="auto"/>
        <w:ind w:firstLine="640" w:firstLineChars="200"/>
        <w:rPr>
          <w:rFonts w:hint="eastAsia" w:ascii="仿宋_GB2312" w:hAnsi="仿宋_GB2312" w:eastAsia="仿宋_GB2312" w:cs="仿宋_GB2312"/>
          <w:bCs w:val="0"/>
          <w:color w:val="auto"/>
          <w:spacing w:val="0"/>
          <w:sz w:val="32"/>
          <w:szCs w:val="32"/>
          <w:highlight w:val="none"/>
          <w:lang w:bidi="ar"/>
        </w:rPr>
      </w:pPr>
      <w:r>
        <w:rPr>
          <w:rFonts w:hint="eastAsia" w:ascii="仿宋_GB2312" w:hAnsi="仿宋_GB2312" w:eastAsia="仿宋_GB2312" w:cs="仿宋_GB2312"/>
          <w:bCs w:val="0"/>
          <w:color w:val="auto"/>
          <w:spacing w:val="0"/>
          <w:sz w:val="32"/>
          <w:szCs w:val="32"/>
          <w:highlight w:val="none"/>
          <w:lang w:eastAsia="zh-CN" w:bidi="ar"/>
        </w:rPr>
        <w:t>（</w:t>
      </w:r>
      <w:r>
        <w:rPr>
          <w:rFonts w:hint="eastAsia" w:ascii="仿宋_GB2312" w:hAnsi="仿宋_GB2312" w:eastAsia="仿宋_GB2312" w:cs="仿宋_GB2312"/>
          <w:bCs w:val="0"/>
          <w:color w:val="auto"/>
          <w:spacing w:val="0"/>
          <w:sz w:val="32"/>
          <w:szCs w:val="32"/>
          <w:highlight w:val="none"/>
          <w:lang w:val="en-US" w:eastAsia="zh-CN" w:bidi="ar"/>
        </w:rPr>
        <w:t>3</w:t>
      </w:r>
      <w:r>
        <w:rPr>
          <w:rFonts w:hint="eastAsia" w:ascii="仿宋_GB2312" w:hAnsi="仿宋_GB2312" w:eastAsia="仿宋_GB2312" w:cs="仿宋_GB2312"/>
          <w:bCs w:val="0"/>
          <w:color w:val="auto"/>
          <w:spacing w:val="0"/>
          <w:sz w:val="32"/>
          <w:szCs w:val="32"/>
          <w:highlight w:val="none"/>
          <w:lang w:eastAsia="zh-CN" w:bidi="ar"/>
        </w:rPr>
        <w:t>）</w:t>
      </w:r>
      <w:r>
        <w:rPr>
          <w:rFonts w:hint="eastAsia" w:ascii="仿宋_GB2312" w:hAnsi="仿宋_GB2312" w:eastAsia="仿宋_GB2312" w:cs="仿宋_GB2312"/>
          <w:bCs w:val="0"/>
          <w:color w:val="auto"/>
          <w:spacing w:val="0"/>
          <w:sz w:val="32"/>
          <w:szCs w:val="32"/>
          <w:highlight w:val="none"/>
          <w:lang w:bidi="ar"/>
        </w:rPr>
        <w:t>实施验收监测</w:t>
      </w:r>
      <w:bookmarkEnd w:id="1"/>
      <w:bookmarkEnd w:id="2"/>
      <w:bookmarkEnd w:id="3"/>
      <w:bookmarkEnd w:id="4"/>
      <w:bookmarkEnd w:id="5"/>
      <w:bookmarkEnd w:id="6"/>
      <w:bookmarkEnd w:id="7"/>
    </w:p>
    <w:p w14:paraId="2F27DDF7">
      <w:pPr>
        <w:adjustRightInd w:val="0"/>
        <w:snapToGrid w:val="0"/>
        <w:spacing w:line="360" w:lineRule="auto"/>
        <w:ind w:firstLine="640" w:firstLineChars="200"/>
        <w:rPr>
          <w:rFonts w:hint="eastAsia" w:ascii="仿宋_GB2312" w:hAnsi="仿宋_GB2312" w:eastAsia="仿宋_GB2312" w:cs="仿宋_GB2312"/>
          <w:bCs w:val="0"/>
          <w:color w:val="auto"/>
          <w:spacing w:val="0"/>
          <w:sz w:val="32"/>
          <w:szCs w:val="32"/>
          <w:highlight w:val="none"/>
          <w:lang w:bidi="ar"/>
        </w:rPr>
      </w:pPr>
      <w:bookmarkStart w:id="8" w:name="_Toc21694"/>
      <w:bookmarkStart w:id="9" w:name="_Toc31640"/>
      <w:bookmarkStart w:id="10" w:name="_Toc13057"/>
      <w:bookmarkStart w:id="11" w:name="_Toc8251"/>
      <w:bookmarkStart w:id="12" w:name="_Toc25104"/>
      <w:bookmarkStart w:id="13" w:name="_Toc25954"/>
      <w:r>
        <w:rPr>
          <w:rFonts w:hint="eastAsia" w:ascii="仿宋_GB2312" w:hAnsi="仿宋_GB2312" w:eastAsia="仿宋_GB2312" w:cs="仿宋_GB2312"/>
          <w:bCs w:val="0"/>
          <w:color w:val="auto"/>
          <w:spacing w:val="0"/>
          <w:sz w:val="32"/>
          <w:szCs w:val="32"/>
          <w:highlight w:val="none"/>
          <w:lang w:bidi="ar"/>
        </w:rPr>
        <w:t>监测工作包括：有组织废气污染物排放监测</w:t>
      </w:r>
      <w:bookmarkEnd w:id="8"/>
      <w:bookmarkEnd w:id="9"/>
      <w:bookmarkEnd w:id="10"/>
      <w:bookmarkEnd w:id="11"/>
      <w:bookmarkEnd w:id="12"/>
      <w:bookmarkEnd w:id="13"/>
      <w:r>
        <w:rPr>
          <w:rFonts w:hint="eastAsia" w:ascii="仿宋_GB2312" w:hAnsi="仿宋_GB2312" w:eastAsia="仿宋_GB2312" w:cs="仿宋_GB2312"/>
          <w:bCs w:val="0"/>
          <w:color w:val="auto"/>
          <w:spacing w:val="0"/>
          <w:sz w:val="32"/>
          <w:szCs w:val="32"/>
          <w:highlight w:val="none"/>
          <w:lang w:bidi="ar"/>
        </w:rPr>
        <w:t>、无组织废气污染物排放监测、废水污染物排放监测、</w:t>
      </w:r>
      <w:bookmarkStart w:id="14" w:name="_Toc10304"/>
      <w:bookmarkStart w:id="15" w:name="_Toc2900"/>
      <w:bookmarkStart w:id="16" w:name="_Toc6220"/>
      <w:bookmarkStart w:id="17" w:name="_Toc18419"/>
      <w:bookmarkStart w:id="18" w:name="_Toc22221"/>
      <w:bookmarkStart w:id="19" w:name="_Toc27594"/>
      <w:r>
        <w:rPr>
          <w:rFonts w:hint="eastAsia" w:ascii="仿宋_GB2312" w:hAnsi="仿宋_GB2312" w:eastAsia="仿宋_GB2312" w:cs="仿宋_GB2312"/>
          <w:bCs w:val="0"/>
          <w:color w:val="auto"/>
          <w:spacing w:val="0"/>
          <w:sz w:val="32"/>
          <w:szCs w:val="32"/>
          <w:highlight w:val="none"/>
          <w:lang w:bidi="ar"/>
        </w:rPr>
        <w:t>噪声污染物排放监测</w:t>
      </w:r>
      <w:bookmarkEnd w:id="14"/>
      <w:bookmarkEnd w:id="15"/>
      <w:bookmarkEnd w:id="16"/>
      <w:bookmarkEnd w:id="17"/>
      <w:bookmarkEnd w:id="18"/>
      <w:bookmarkEnd w:id="19"/>
      <w:bookmarkStart w:id="20" w:name="_Toc5384"/>
      <w:bookmarkStart w:id="21" w:name="_Toc509775642"/>
      <w:bookmarkStart w:id="22" w:name="_Toc16498"/>
      <w:bookmarkStart w:id="23" w:name="_Toc486519044"/>
      <w:bookmarkStart w:id="24" w:name="_Toc17702"/>
      <w:bookmarkStart w:id="25" w:name="_Toc3449"/>
      <w:r>
        <w:rPr>
          <w:rFonts w:hint="eastAsia" w:ascii="仿宋_GB2312" w:hAnsi="仿宋_GB2312" w:eastAsia="仿宋_GB2312" w:cs="仿宋_GB2312"/>
          <w:bCs w:val="0"/>
          <w:color w:val="auto"/>
          <w:spacing w:val="0"/>
          <w:sz w:val="32"/>
          <w:szCs w:val="32"/>
          <w:highlight w:val="none"/>
          <w:lang w:bidi="ar"/>
        </w:rPr>
        <w:t>、地下水环境质量监测</w:t>
      </w:r>
      <w:bookmarkEnd w:id="20"/>
      <w:bookmarkEnd w:id="21"/>
      <w:bookmarkStart w:id="26" w:name="_Toc12218"/>
      <w:r>
        <w:rPr>
          <w:rFonts w:hint="eastAsia" w:ascii="仿宋_GB2312" w:hAnsi="仿宋_GB2312" w:eastAsia="仿宋_GB2312" w:cs="仿宋_GB2312"/>
          <w:bCs w:val="0"/>
          <w:color w:val="auto"/>
          <w:spacing w:val="0"/>
          <w:sz w:val="32"/>
          <w:szCs w:val="32"/>
          <w:highlight w:val="none"/>
          <w:lang w:bidi="ar"/>
        </w:rPr>
        <w:t>、土壤环境质量监测、环境空气质量监测</w:t>
      </w:r>
      <w:bookmarkEnd w:id="26"/>
      <w:r>
        <w:rPr>
          <w:rFonts w:hint="eastAsia" w:ascii="仿宋_GB2312" w:hAnsi="仿宋_GB2312" w:eastAsia="仿宋_GB2312" w:cs="仿宋_GB2312"/>
          <w:bCs w:val="0"/>
          <w:color w:val="auto"/>
          <w:spacing w:val="0"/>
          <w:sz w:val="32"/>
          <w:szCs w:val="32"/>
          <w:highlight w:val="none"/>
          <w:lang w:bidi="ar"/>
        </w:rPr>
        <w:t>等。</w:t>
      </w:r>
    </w:p>
    <w:p w14:paraId="7C6EC710">
      <w:pPr>
        <w:adjustRightInd w:val="0"/>
        <w:snapToGrid w:val="0"/>
        <w:spacing w:line="360" w:lineRule="auto"/>
        <w:ind w:firstLine="640" w:firstLineChars="200"/>
        <w:rPr>
          <w:rFonts w:hint="eastAsia" w:ascii="仿宋_GB2312" w:hAnsi="仿宋_GB2312" w:eastAsia="仿宋_GB2312" w:cs="仿宋_GB2312"/>
          <w:bCs w:val="0"/>
          <w:color w:val="auto"/>
          <w:spacing w:val="0"/>
          <w:sz w:val="32"/>
          <w:szCs w:val="32"/>
          <w:highlight w:val="none"/>
          <w:lang w:bidi="ar"/>
        </w:rPr>
      </w:pPr>
      <w:r>
        <w:rPr>
          <w:rFonts w:hint="eastAsia" w:ascii="仿宋_GB2312" w:hAnsi="仿宋_GB2312" w:eastAsia="仿宋_GB2312" w:cs="仿宋_GB2312"/>
          <w:bCs w:val="0"/>
          <w:color w:val="auto"/>
          <w:spacing w:val="0"/>
          <w:sz w:val="32"/>
          <w:szCs w:val="32"/>
          <w:highlight w:val="none"/>
          <w:lang w:eastAsia="zh-CN" w:bidi="ar"/>
        </w:rPr>
        <w:t>（</w:t>
      </w:r>
      <w:r>
        <w:rPr>
          <w:rFonts w:hint="eastAsia" w:ascii="仿宋_GB2312" w:hAnsi="仿宋_GB2312" w:eastAsia="仿宋_GB2312" w:cs="仿宋_GB2312"/>
          <w:bCs w:val="0"/>
          <w:color w:val="auto"/>
          <w:spacing w:val="0"/>
          <w:sz w:val="32"/>
          <w:szCs w:val="32"/>
          <w:highlight w:val="none"/>
          <w:lang w:val="en-US" w:eastAsia="zh-CN" w:bidi="ar"/>
        </w:rPr>
        <w:t>4</w:t>
      </w:r>
      <w:r>
        <w:rPr>
          <w:rFonts w:hint="eastAsia" w:ascii="仿宋_GB2312" w:hAnsi="仿宋_GB2312" w:eastAsia="仿宋_GB2312" w:cs="仿宋_GB2312"/>
          <w:bCs w:val="0"/>
          <w:color w:val="auto"/>
          <w:spacing w:val="0"/>
          <w:sz w:val="32"/>
          <w:szCs w:val="32"/>
          <w:highlight w:val="none"/>
          <w:lang w:eastAsia="zh-CN" w:bidi="ar"/>
        </w:rPr>
        <w:t>）</w:t>
      </w:r>
      <w:r>
        <w:rPr>
          <w:rFonts w:hint="eastAsia" w:ascii="仿宋_GB2312" w:hAnsi="仿宋_GB2312" w:eastAsia="仿宋_GB2312" w:cs="仿宋_GB2312"/>
          <w:bCs w:val="0"/>
          <w:color w:val="auto"/>
          <w:spacing w:val="0"/>
          <w:sz w:val="32"/>
          <w:szCs w:val="32"/>
          <w:highlight w:val="none"/>
          <w:lang w:bidi="ar"/>
        </w:rPr>
        <w:t>总结检测报告</w:t>
      </w:r>
    </w:p>
    <w:p w14:paraId="46D4ADAE">
      <w:pPr>
        <w:adjustRightInd w:val="0"/>
        <w:snapToGrid w:val="0"/>
        <w:spacing w:line="360" w:lineRule="auto"/>
        <w:ind w:firstLine="640" w:firstLineChars="200"/>
        <w:rPr>
          <w:rFonts w:hint="eastAsia" w:ascii="仿宋_GB2312" w:hAnsi="仿宋_GB2312" w:eastAsia="仿宋_GB2312" w:cs="仿宋_GB2312"/>
          <w:bCs w:val="0"/>
          <w:color w:val="auto"/>
          <w:spacing w:val="0"/>
          <w:sz w:val="32"/>
          <w:szCs w:val="32"/>
          <w:highlight w:val="none"/>
          <w:lang w:bidi="ar"/>
        </w:rPr>
      </w:pPr>
      <w:r>
        <w:rPr>
          <w:rFonts w:hint="eastAsia" w:ascii="仿宋_GB2312" w:hAnsi="仿宋_GB2312" w:eastAsia="仿宋_GB2312" w:cs="仿宋_GB2312"/>
          <w:bCs w:val="0"/>
          <w:color w:val="auto"/>
          <w:spacing w:val="0"/>
          <w:sz w:val="32"/>
          <w:szCs w:val="32"/>
          <w:highlight w:val="none"/>
          <w:lang w:bidi="ar"/>
        </w:rPr>
        <w:t>汇总监测数据、检查和调查的结果，得出结论，监测结果须具有有效、完整、质量合格且盖有CMA认证章的监测报告，为建设项目竣工环境保护验收的技术依据。</w:t>
      </w:r>
      <w:bookmarkEnd w:id="22"/>
      <w:bookmarkEnd w:id="23"/>
      <w:bookmarkEnd w:id="24"/>
      <w:bookmarkEnd w:id="25"/>
    </w:p>
    <w:p w14:paraId="15503E1C">
      <w:pPr>
        <w:adjustRightInd w:val="0"/>
        <w:snapToGrid w:val="0"/>
        <w:spacing w:line="360" w:lineRule="auto"/>
        <w:ind w:firstLine="640" w:firstLineChars="200"/>
        <w:outlineLvl w:val="9"/>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val="en-US" w:eastAsia="zh-CN" w:bidi="ar"/>
        </w:rPr>
        <w:t>2.</w:t>
      </w:r>
      <w:r>
        <w:rPr>
          <w:rFonts w:hint="eastAsia" w:ascii="仿宋_GB2312" w:hAnsi="仿宋_GB2312" w:eastAsia="仿宋_GB2312" w:cs="仿宋_GB2312"/>
          <w:color w:val="auto"/>
          <w:sz w:val="32"/>
          <w:szCs w:val="32"/>
          <w:highlight w:val="none"/>
          <w:lang w:bidi="ar"/>
        </w:rPr>
        <w:t>编制竣工环境保护验收文件</w:t>
      </w:r>
    </w:p>
    <w:p w14:paraId="362B19CC">
      <w:pPr>
        <w:adjustRightInd w:val="0"/>
        <w:snapToGrid w:val="0"/>
        <w:spacing w:line="360" w:lineRule="auto"/>
        <w:ind w:firstLine="640" w:firstLineChars="200"/>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eastAsia="zh-CN" w:bidi="ar"/>
        </w:rPr>
        <w:t>成交人</w:t>
      </w:r>
      <w:r>
        <w:rPr>
          <w:rFonts w:hint="eastAsia" w:ascii="仿宋_GB2312" w:hAnsi="仿宋_GB2312" w:eastAsia="仿宋_GB2312" w:cs="仿宋_GB2312"/>
          <w:color w:val="auto"/>
          <w:sz w:val="32"/>
          <w:szCs w:val="32"/>
          <w:highlight w:val="none"/>
          <w:lang w:bidi="ar"/>
        </w:rPr>
        <w:t>需按照国家和地方环境保护法律、法规、标准和规定的要求，编制竣工环境保护验收调查报告。</w:t>
      </w:r>
    </w:p>
    <w:p w14:paraId="2A4EF997">
      <w:pPr>
        <w:adjustRightInd w:val="0"/>
        <w:snapToGrid w:val="0"/>
        <w:spacing w:line="360" w:lineRule="auto"/>
        <w:ind w:firstLine="1280" w:firstLineChars="400"/>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主要编制监测报告内容包括但不限于：验收项目概况、验收依据、工程建设情况、环境保护设施、环评结论与建议及审批部门审批决定、验收执行标准、验收监测内容、质量保证和质量控制、验收监测结果、验收监测结论、建设项目环境保护“三同时”竣工验收登记表等。</w:t>
      </w:r>
    </w:p>
    <w:p w14:paraId="0935A1E6">
      <w:pPr>
        <w:spacing w:line="360" w:lineRule="auto"/>
        <w:ind w:firstLine="482" w:firstLineChars="200"/>
        <w:jc w:val="center"/>
        <w:rPr>
          <w:b/>
          <w:sz w:val="24"/>
          <w:szCs w:val="22"/>
        </w:rPr>
      </w:pPr>
      <w:r>
        <w:rPr>
          <w:b/>
          <w:sz w:val="24"/>
          <w:szCs w:val="22"/>
        </w:rPr>
        <w:t>表1 验收技术方案主要内容</w:t>
      </w:r>
    </w:p>
    <w:tbl>
      <w:tblPr>
        <w:tblStyle w:val="1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701"/>
        <w:gridCol w:w="5891"/>
      </w:tblGrid>
      <w:tr w14:paraId="3FE03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4" w:type="dxa"/>
            <w:shd w:val="clear" w:color="auto" w:fill="auto"/>
            <w:noWrap w:val="0"/>
            <w:vAlign w:val="center"/>
          </w:tcPr>
          <w:p w14:paraId="42165604">
            <w:pPr>
              <w:spacing w:line="276" w:lineRule="auto"/>
              <w:jc w:val="center"/>
              <w:rPr>
                <w:b/>
                <w:szCs w:val="21"/>
              </w:rPr>
            </w:pPr>
            <w:r>
              <w:rPr>
                <w:b/>
                <w:szCs w:val="21"/>
              </w:rPr>
              <w:t>序号</w:t>
            </w:r>
          </w:p>
        </w:tc>
        <w:tc>
          <w:tcPr>
            <w:tcW w:w="1701" w:type="dxa"/>
            <w:shd w:val="clear" w:color="auto" w:fill="auto"/>
            <w:noWrap w:val="0"/>
            <w:vAlign w:val="center"/>
          </w:tcPr>
          <w:p w14:paraId="607BAF7A">
            <w:pPr>
              <w:spacing w:line="276" w:lineRule="auto"/>
              <w:jc w:val="center"/>
              <w:rPr>
                <w:b/>
                <w:szCs w:val="21"/>
              </w:rPr>
            </w:pPr>
            <w:r>
              <w:rPr>
                <w:b/>
                <w:szCs w:val="21"/>
              </w:rPr>
              <w:t>类别</w:t>
            </w:r>
          </w:p>
        </w:tc>
        <w:tc>
          <w:tcPr>
            <w:tcW w:w="5891" w:type="dxa"/>
            <w:shd w:val="clear" w:color="auto" w:fill="auto"/>
            <w:noWrap w:val="0"/>
            <w:vAlign w:val="center"/>
          </w:tcPr>
          <w:p w14:paraId="5F58277C">
            <w:pPr>
              <w:spacing w:line="276" w:lineRule="auto"/>
              <w:jc w:val="center"/>
              <w:rPr>
                <w:b/>
                <w:szCs w:val="21"/>
              </w:rPr>
            </w:pPr>
            <w:r>
              <w:rPr>
                <w:b/>
                <w:szCs w:val="21"/>
              </w:rPr>
              <w:t>主要内容</w:t>
            </w:r>
          </w:p>
        </w:tc>
      </w:tr>
      <w:tr w14:paraId="6A87B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auto"/>
            <w:noWrap w:val="0"/>
            <w:vAlign w:val="center"/>
          </w:tcPr>
          <w:p w14:paraId="03B5128E">
            <w:pPr>
              <w:spacing w:line="276" w:lineRule="auto"/>
              <w:jc w:val="center"/>
              <w:rPr>
                <w:szCs w:val="21"/>
              </w:rPr>
            </w:pPr>
            <w:r>
              <w:rPr>
                <w:szCs w:val="21"/>
              </w:rPr>
              <w:t>1</w:t>
            </w:r>
          </w:p>
        </w:tc>
        <w:tc>
          <w:tcPr>
            <w:tcW w:w="1701" w:type="dxa"/>
            <w:shd w:val="clear" w:color="auto" w:fill="auto"/>
            <w:noWrap w:val="0"/>
            <w:vAlign w:val="center"/>
          </w:tcPr>
          <w:p w14:paraId="0D8E6028">
            <w:pPr>
              <w:spacing w:line="276" w:lineRule="auto"/>
              <w:jc w:val="center"/>
              <w:rPr>
                <w:szCs w:val="21"/>
              </w:rPr>
            </w:pPr>
            <w:r>
              <w:rPr>
                <w:szCs w:val="21"/>
              </w:rPr>
              <w:t>总论</w:t>
            </w:r>
          </w:p>
        </w:tc>
        <w:tc>
          <w:tcPr>
            <w:tcW w:w="5891" w:type="dxa"/>
            <w:shd w:val="clear" w:color="auto" w:fill="auto"/>
            <w:noWrap w:val="0"/>
            <w:vAlign w:val="center"/>
          </w:tcPr>
          <w:p w14:paraId="0657D7CB">
            <w:pPr>
              <w:spacing w:line="276" w:lineRule="auto"/>
              <w:rPr>
                <w:szCs w:val="21"/>
              </w:rPr>
            </w:pPr>
            <w:r>
              <w:rPr>
                <w:szCs w:val="21"/>
              </w:rPr>
              <w:t>简述项目立项、环境影响评价、初步设计、环境影响报告书批复、试生产等审批过程，以及工程开工、建成并投入试运行时间等建设情况；叙述验收技术工作承担单位及现场勘查时间；阐明验收目的等</w:t>
            </w:r>
          </w:p>
        </w:tc>
      </w:tr>
      <w:tr w14:paraId="1EFC4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auto"/>
            <w:noWrap w:val="0"/>
            <w:vAlign w:val="center"/>
          </w:tcPr>
          <w:p w14:paraId="17F194CE">
            <w:pPr>
              <w:spacing w:line="276" w:lineRule="auto"/>
              <w:jc w:val="center"/>
              <w:rPr>
                <w:szCs w:val="21"/>
              </w:rPr>
            </w:pPr>
            <w:r>
              <w:rPr>
                <w:szCs w:val="21"/>
              </w:rPr>
              <w:t>2</w:t>
            </w:r>
          </w:p>
        </w:tc>
        <w:tc>
          <w:tcPr>
            <w:tcW w:w="1701" w:type="dxa"/>
            <w:shd w:val="clear" w:color="auto" w:fill="auto"/>
            <w:noWrap w:val="0"/>
            <w:vAlign w:val="center"/>
          </w:tcPr>
          <w:p w14:paraId="00E35E32">
            <w:pPr>
              <w:spacing w:line="276" w:lineRule="auto"/>
              <w:jc w:val="center"/>
              <w:rPr>
                <w:szCs w:val="21"/>
              </w:rPr>
            </w:pPr>
            <w:r>
              <w:rPr>
                <w:szCs w:val="21"/>
              </w:rPr>
              <w:t>验收依据</w:t>
            </w:r>
          </w:p>
        </w:tc>
        <w:tc>
          <w:tcPr>
            <w:tcW w:w="5891" w:type="dxa"/>
            <w:shd w:val="clear" w:color="auto" w:fill="auto"/>
            <w:noWrap w:val="0"/>
            <w:vAlign w:val="center"/>
          </w:tcPr>
          <w:p w14:paraId="72FE07D8">
            <w:pPr>
              <w:spacing w:line="276" w:lineRule="auto"/>
              <w:rPr>
                <w:szCs w:val="21"/>
              </w:rPr>
            </w:pPr>
            <w:r>
              <w:rPr>
                <w:szCs w:val="21"/>
              </w:rPr>
              <w:t>从法律法规、环评技术文件及其批复、技术规范等方面简述验收依据，如项目建设过程中发生变更，应把行政主管单位针对的变更的批复列入验收依据</w:t>
            </w:r>
          </w:p>
        </w:tc>
      </w:tr>
      <w:tr w14:paraId="5C4D0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auto"/>
            <w:noWrap w:val="0"/>
            <w:vAlign w:val="center"/>
          </w:tcPr>
          <w:p w14:paraId="5A7729BE">
            <w:pPr>
              <w:spacing w:line="276" w:lineRule="auto"/>
              <w:jc w:val="center"/>
              <w:rPr>
                <w:szCs w:val="21"/>
              </w:rPr>
            </w:pPr>
            <w:r>
              <w:rPr>
                <w:szCs w:val="21"/>
              </w:rPr>
              <w:t>3</w:t>
            </w:r>
          </w:p>
        </w:tc>
        <w:tc>
          <w:tcPr>
            <w:tcW w:w="1701" w:type="dxa"/>
            <w:shd w:val="clear" w:color="auto" w:fill="auto"/>
            <w:noWrap w:val="0"/>
            <w:vAlign w:val="center"/>
          </w:tcPr>
          <w:p w14:paraId="15326AA5">
            <w:pPr>
              <w:spacing w:line="276" w:lineRule="auto"/>
              <w:jc w:val="center"/>
              <w:rPr>
                <w:szCs w:val="21"/>
              </w:rPr>
            </w:pPr>
            <w:r>
              <w:rPr>
                <w:szCs w:val="21"/>
              </w:rPr>
              <w:t>建设项目工程概况</w:t>
            </w:r>
          </w:p>
        </w:tc>
        <w:tc>
          <w:tcPr>
            <w:tcW w:w="5891" w:type="dxa"/>
            <w:shd w:val="clear" w:color="auto" w:fill="auto"/>
            <w:noWrap w:val="0"/>
            <w:vAlign w:val="center"/>
          </w:tcPr>
          <w:p w14:paraId="65F67E58">
            <w:pPr>
              <w:spacing w:line="276" w:lineRule="auto"/>
              <w:rPr>
                <w:szCs w:val="21"/>
              </w:rPr>
            </w:pPr>
            <w:r>
              <w:rPr>
                <w:szCs w:val="21"/>
              </w:rPr>
              <w:t>简述工程性质、建设规模、建设地点、占地面积、总投资及环保投资、主要建设内容等基本情况，说明验收范围和内容</w:t>
            </w:r>
          </w:p>
        </w:tc>
      </w:tr>
      <w:tr w14:paraId="636E7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auto"/>
            <w:noWrap w:val="0"/>
            <w:vAlign w:val="center"/>
          </w:tcPr>
          <w:p w14:paraId="3E153BB0">
            <w:pPr>
              <w:spacing w:line="276" w:lineRule="auto"/>
              <w:jc w:val="center"/>
              <w:rPr>
                <w:szCs w:val="21"/>
              </w:rPr>
            </w:pPr>
            <w:r>
              <w:rPr>
                <w:szCs w:val="21"/>
              </w:rPr>
              <w:t>4</w:t>
            </w:r>
          </w:p>
        </w:tc>
        <w:tc>
          <w:tcPr>
            <w:tcW w:w="1701" w:type="dxa"/>
            <w:shd w:val="clear" w:color="auto" w:fill="auto"/>
            <w:noWrap w:val="0"/>
            <w:vAlign w:val="center"/>
          </w:tcPr>
          <w:p w14:paraId="7871A9D5">
            <w:pPr>
              <w:spacing w:line="276" w:lineRule="auto"/>
              <w:jc w:val="center"/>
              <w:rPr>
                <w:szCs w:val="21"/>
              </w:rPr>
            </w:pPr>
            <w:r>
              <w:rPr>
                <w:szCs w:val="21"/>
              </w:rPr>
              <w:t>环境影响评价结论及其批复要求</w:t>
            </w:r>
          </w:p>
        </w:tc>
        <w:tc>
          <w:tcPr>
            <w:tcW w:w="5891" w:type="dxa"/>
            <w:shd w:val="clear" w:color="auto" w:fill="auto"/>
            <w:noWrap w:val="0"/>
            <w:vAlign w:val="center"/>
          </w:tcPr>
          <w:p w14:paraId="5E33FE45">
            <w:pPr>
              <w:spacing w:line="276" w:lineRule="auto"/>
              <w:rPr>
                <w:szCs w:val="21"/>
              </w:rPr>
            </w:pPr>
            <w:r>
              <w:rPr>
                <w:szCs w:val="21"/>
              </w:rPr>
              <w:t>摘录建设项目环境影响评价文件中的结论性文字，将各级环境保护行政主管部门的预审/审批意见等作为验收技术方案的附件</w:t>
            </w:r>
          </w:p>
        </w:tc>
      </w:tr>
      <w:tr w14:paraId="49C1C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auto"/>
            <w:noWrap w:val="0"/>
            <w:vAlign w:val="center"/>
          </w:tcPr>
          <w:p w14:paraId="6A82C5EC">
            <w:pPr>
              <w:spacing w:line="276" w:lineRule="auto"/>
              <w:jc w:val="center"/>
              <w:rPr>
                <w:szCs w:val="21"/>
              </w:rPr>
            </w:pPr>
            <w:r>
              <w:rPr>
                <w:szCs w:val="21"/>
              </w:rPr>
              <w:t>5</w:t>
            </w:r>
          </w:p>
        </w:tc>
        <w:tc>
          <w:tcPr>
            <w:tcW w:w="1701" w:type="dxa"/>
            <w:shd w:val="clear" w:color="auto" w:fill="auto"/>
            <w:noWrap w:val="0"/>
            <w:vAlign w:val="center"/>
          </w:tcPr>
          <w:p w14:paraId="5188DFEE">
            <w:pPr>
              <w:spacing w:line="276" w:lineRule="auto"/>
              <w:jc w:val="center"/>
              <w:rPr>
                <w:szCs w:val="21"/>
              </w:rPr>
            </w:pPr>
            <w:r>
              <w:rPr>
                <w:szCs w:val="21"/>
              </w:rPr>
              <w:t>污染物的排放与防治措施</w:t>
            </w:r>
          </w:p>
        </w:tc>
        <w:tc>
          <w:tcPr>
            <w:tcW w:w="5891" w:type="dxa"/>
            <w:shd w:val="clear" w:color="auto" w:fill="auto"/>
            <w:noWrap w:val="0"/>
            <w:vAlign w:val="center"/>
          </w:tcPr>
          <w:p w14:paraId="04572B88">
            <w:pPr>
              <w:spacing w:line="276" w:lineRule="auto"/>
              <w:rPr>
                <w:szCs w:val="21"/>
              </w:rPr>
            </w:pPr>
            <w:r>
              <w:rPr>
                <w:szCs w:val="21"/>
              </w:rPr>
              <w:t>按照废气、废水、噪声、固体废物四个方面详细分析各污染源产生、治理、排放情况；初步调查“三同时”落实情况、建设项目大气环境防护距离内环境保护敏感区分布情况等</w:t>
            </w:r>
          </w:p>
        </w:tc>
      </w:tr>
      <w:tr w14:paraId="5E245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auto"/>
            <w:noWrap w:val="0"/>
            <w:vAlign w:val="center"/>
          </w:tcPr>
          <w:p w14:paraId="17B508A2">
            <w:pPr>
              <w:spacing w:line="276" w:lineRule="auto"/>
              <w:jc w:val="center"/>
              <w:rPr>
                <w:szCs w:val="21"/>
              </w:rPr>
            </w:pPr>
            <w:r>
              <w:rPr>
                <w:szCs w:val="21"/>
              </w:rPr>
              <w:t>6</w:t>
            </w:r>
          </w:p>
        </w:tc>
        <w:tc>
          <w:tcPr>
            <w:tcW w:w="1701" w:type="dxa"/>
            <w:shd w:val="clear" w:color="auto" w:fill="auto"/>
            <w:noWrap w:val="0"/>
            <w:vAlign w:val="center"/>
          </w:tcPr>
          <w:p w14:paraId="7A67CAD1">
            <w:pPr>
              <w:spacing w:line="276" w:lineRule="auto"/>
              <w:jc w:val="center"/>
              <w:rPr>
                <w:szCs w:val="21"/>
              </w:rPr>
            </w:pPr>
            <w:r>
              <w:rPr>
                <w:szCs w:val="21"/>
              </w:rPr>
              <w:t>验收评价标准</w:t>
            </w:r>
          </w:p>
        </w:tc>
        <w:tc>
          <w:tcPr>
            <w:tcW w:w="5891" w:type="dxa"/>
            <w:shd w:val="clear" w:color="auto" w:fill="auto"/>
            <w:noWrap w:val="0"/>
            <w:vAlign w:val="center"/>
          </w:tcPr>
          <w:p w14:paraId="10BDD04D">
            <w:pPr>
              <w:spacing w:line="276" w:lineRule="auto"/>
              <w:rPr>
                <w:szCs w:val="21"/>
              </w:rPr>
            </w:pPr>
            <w:r>
              <w:rPr>
                <w:szCs w:val="21"/>
              </w:rPr>
              <w:t>按新的国家环境质量标准、污染排放标准，对应经批准的环境影响报告的相应时段作为执行标准。</w:t>
            </w:r>
          </w:p>
        </w:tc>
      </w:tr>
      <w:tr w14:paraId="0C6AD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auto"/>
            <w:noWrap w:val="0"/>
            <w:vAlign w:val="center"/>
          </w:tcPr>
          <w:p w14:paraId="75986C80">
            <w:pPr>
              <w:spacing w:line="276" w:lineRule="auto"/>
              <w:jc w:val="center"/>
              <w:rPr>
                <w:szCs w:val="21"/>
              </w:rPr>
            </w:pPr>
            <w:r>
              <w:rPr>
                <w:szCs w:val="21"/>
              </w:rPr>
              <w:t>7</w:t>
            </w:r>
          </w:p>
        </w:tc>
        <w:tc>
          <w:tcPr>
            <w:tcW w:w="1701" w:type="dxa"/>
            <w:shd w:val="clear" w:color="auto" w:fill="auto"/>
            <w:noWrap w:val="0"/>
            <w:vAlign w:val="center"/>
          </w:tcPr>
          <w:p w14:paraId="14F1550F">
            <w:pPr>
              <w:spacing w:line="276" w:lineRule="auto"/>
              <w:jc w:val="center"/>
              <w:rPr>
                <w:szCs w:val="21"/>
              </w:rPr>
            </w:pPr>
            <w:r>
              <w:rPr>
                <w:szCs w:val="21"/>
              </w:rPr>
              <w:t>验收监测内容</w:t>
            </w:r>
          </w:p>
        </w:tc>
        <w:tc>
          <w:tcPr>
            <w:tcW w:w="5891" w:type="dxa"/>
            <w:shd w:val="clear" w:color="auto" w:fill="auto"/>
            <w:noWrap w:val="0"/>
            <w:vAlign w:val="center"/>
          </w:tcPr>
          <w:p w14:paraId="237E00A8">
            <w:pPr>
              <w:spacing w:line="276" w:lineRule="auto"/>
              <w:rPr>
                <w:szCs w:val="21"/>
              </w:rPr>
            </w:pPr>
            <w:r>
              <w:rPr>
                <w:szCs w:val="21"/>
              </w:rPr>
              <w:t>包括污染物的达标排放情况监测、污染治理设施设计指标的监测、环境敏感目标的环境质量监测（环评批复如有此类要求）、环境影响评价文件批复中需监测数据评价的项目和内容及总量控制指标、建设项目环境保护“三同时”竣工验收登记表中需要填写的污染控制指标；新建部分产生量、新建部分处理削减量、处理前浓度、实际排放浓度等。验收监测内容同时明确了相应的监测点位、监测因子、监测频次。监测点位根据现场勘察情况及 HJ/T 397、GB/T 16157、HJ/T 55、HJ/T 91、HJ/T 92、HJ/T 164、HJ/T 365 等相关的技术规范确定。</w:t>
            </w:r>
          </w:p>
        </w:tc>
      </w:tr>
      <w:tr w14:paraId="17CDA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auto"/>
            <w:noWrap w:val="0"/>
            <w:vAlign w:val="center"/>
          </w:tcPr>
          <w:p w14:paraId="3579762A">
            <w:pPr>
              <w:spacing w:line="276" w:lineRule="auto"/>
              <w:jc w:val="center"/>
              <w:rPr>
                <w:szCs w:val="21"/>
              </w:rPr>
            </w:pPr>
            <w:r>
              <w:rPr>
                <w:szCs w:val="21"/>
              </w:rPr>
              <w:t>8</w:t>
            </w:r>
          </w:p>
        </w:tc>
        <w:tc>
          <w:tcPr>
            <w:tcW w:w="1701" w:type="dxa"/>
            <w:shd w:val="clear" w:color="auto" w:fill="auto"/>
            <w:noWrap w:val="0"/>
            <w:vAlign w:val="center"/>
          </w:tcPr>
          <w:p w14:paraId="4933D0D2">
            <w:pPr>
              <w:spacing w:line="276" w:lineRule="auto"/>
              <w:jc w:val="center"/>
              <w:rPr>
                <w:szCs w:val="21"/>
              </w:rPr>
            </w:pPr>
            <w:r>
              <w:rPr>
                <w:szCs w:val="21"/>
              </w:rPr>
              <w:t>监测分析方法及质量保证</w:t>
            </w:r>
          </w:p>
        </w:tc>
        <w:tc>
          <w:tcPr>
            <w:tcW w:w="5891" w:type="dxa"/>
            <w:shd w:val="clear" w:color="auto" w:fill="auto"/>
            <w:noWrap w:val="0"/>
            <w:vAlign w:val="center"/>
          </w:tcPr>
          <w:p w14:paraId="0D49203A">
            <w:pPr>
              <w:spacing w:line="276" w:lineRule="auto"/>
              <w:rPr>
                <w:szCs w:val="21"/>
              </w:rPr>
            </w:pPr>
            <w:r>
              <w:rPr>
                <w:szCs w:val="21"/>
              </w:rPr>
              <w:t>监测分析方法、监测期间工况要求、人员、仪器及水、气、声、固废的全面质量控制</w:t>
            </w:r>
          </w:p>
        </w:tc>
      </w:tr>
      <w:tr w14:paraId="17212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auto"/>
            <w:noWrap w:val="0"/>
            <w:vAlign w:val="center"/>
          </w:tcPr>
          <w:p w14:paraId="69191B9A">
            <w:pPr>
              <w:spacing w:line="276" w:lineRule="auto"/>
              <w:jc w:val="center"/>
              <w:rPr>
                <w:szCs w:val="21"/>
              </w:rPr>
            </w:pPr>
            <w:r>
              <w:rPr>
                <w:szCs w:val="21"/>
              </w:rPr>
              <w:t>9</w:t>
            </w:r>
          </w:p>
        </w:tc>
        <w:tc>
          <w:tcPr>
            <w:tcW w:w="1701" w:type="dxa"/>
            <w:shd w:val="clear" w:color="auto" w:fill="auto"/>
            <w:noWrap w:val="0"/>
            <w:vAlign w:val="center"/>
          </w:tcPr>
          <w:p w14:paraId="5377DE08">
            <w:pPr>
              <w:spacing w:line="276" w:lineRule="auto"/>
              <w:jc w:val="center"/>
              <w:rPr>
                <w:szCs w:val="21"/>
              </w:rPr>
            </w:pPr>
            <w:r>
              <w:rPr>
                <w:szCs w:val="21"/>
              </w:rPr>
              <w:t>环境管理检查</w:t>
            </w:r>
          </w:p>
        </w:tc>
        <w:tc>
          <w:tcPr>
            <w:tcW w:w="5891" w:type="dxa"/>
            <w:shd w:val="clear" w:color="auto" w:fill="auto"/>
            <w:noWrap w:val="0"/>
            <w:vAlign w:val="center"/>
          </w:tcPr>
          <w:p w14:paraId="039B10C4">
            <w:pPr>
              <w:spacing w:line="276" w:lineRule="auto"/>
              <w:rPr>
                <w:szCs w:val="21"/>
              </w:rPr>
            </w:pPr>
            <w:r>
              <w:rPr>
                <w:szCs w:val="21"/>
              </w:rPr>
              <w:t>环境管理检查篇章应重点叙述和检查环评结论与建议中提到的各项环保设施建成和措施落实情况，尤其应逐项检查和归纳叙述行政主管部门环评批复中提到的建设项目在工程设计、建设中应重点注意问题的落实情况。</w:t>
            </w:r>
          </w:p>
        </w:tc>
      </w:tr>
    </w:tbl>
    <w:p w14:paraId="2BF9025E">
      <w:pPr>
        <w:pStyle w:val="24"/>
        <w:widowControl/>
        <w:spacing w:line="560" w:lineRule="exact"/>
        <w:ind w:firstLine="0" w:firstLineChars="0"/>
        <w:jc w:val="both"/>
        <w:rPr>
          <w:rFonts w:hint="eastAsia" w:ascii="仿宋_GB2312" w:hAnsi="仿宋_GB2312" w:eastAsia="仿宋_GB2312" w:cs="仿宋_GB2312"/>
          <w:b/>
          <w:color w:val="auto"/>
          <w:kern w:val="2"/>
          <w:sz w:val="32"/>
          <w:szCs w:val="32"/>
          <w:highlight w:val="none"/>
          <w:lang w:val="en-US" w:eastAsia="zh-CN"/>
        </w:rPr>
      </w:pPr>
    </w:p>
    <w:p w14:paraId="16769AD7">
      <w:pPr>
        <w:pStyle w:val="24"/>
        <w:widowControl/>
        <w:spacing w:line="560" w:lineRule="exact"/>
        <w:ind w:firstLine="643" w:firstLineChars="200"/>
        <w:jc w:val="both"/>
        <w:rPr>
          <w:rFonts w:hint="eastAsia" w:ascii="仿宋_GB2312" w:hAnsi="仿宋_GB2312" w:eastAsia="仿宋_GB2312" w:cs="仿宋_GB2312"/>
          <w:b/>
          <w:color w:val="auto"/>
          <w:kern w:val="2"/>
          <w:sz w:val="32"/>
          <w:szCs w:val="32"/>
          <w:highlight w:val="none"/>
          <w:lang w:val="en-US" w:eastAsia="zh-CN"/>
        </w:rPr>
      </w:pPr>
      <w:r>
        <w:rPr>
          <w:rFonts w:hint="eastAsia" w:ascii="仿宋_GB2312" w:hAnsi="仿宋_GB2312" w:eastAsia="仿宋_GB2312" w:cs="仿宋_GB2312"/>
          <w:b/>
          <w:color w:val="auto"/>
          <w:kern w:val="2"/>
          <w:sz w:val="32"/>
          <w:szCs w:val="32"/>
          <w:highlight w:val="none"/>
          <w:lang w:val="en-US" w:eastAsia="zh-CN"/>
        </w:rPr>
        <w:t>详见《</w:t>
      </w:r>
      <w:r>
        <w:rPr>
          <w:rFonts w:hint="eastAsia" w:ascii="仿宋_GB2312" w:hAnsi="仿宋_GB2312" w:eastAsia="仿宋_GB2312" w:cs="仿宋_GB2312"/>
          <w:b/>
          <w:color w:val="auto"/>
          <w:kern w:val="2"/>
          <w:sz w:val="32"/>
          <w:szCs w:val="32"/>
          <w:highlight w:val="none"/>
        </w:rPr>
        <w:t>东莞市海心沙资源综合利用中心绿色工业服务项目（改扩建）竣工环保验收服务</w:t>
      </w:r>
      <w:r>
        <w:rPr>
          <w:rFonts w:hint="eastAsia" w:ascii="仿宋_GB2312" w:hAnsi="仿宋_GB2312" w:eastAsia="仿宋_GB2312" w:cs="仿宋_GB2312"/>
          <w:b/>
          <w:color w:val="auto"/>
          <w:kern w:val="2"/>
          <w:sz w:val="32"/>
          <w:szCs w:val="32"/>
          <w:highlight w:val="none"/>
          <w:lang w:val="en-US" w:eastAsia="zh-CN"/>
        </w:rPr>
        <w:t>需求书》</w:t>
      </w:r>
    </w:p>
    <w:p w14:paraId="39AE9E58">
      <w:pPr>
        <w:pStyle w:val="26"/>
        <w:numPr>
          <w:ilvl w:val="-1"/>
          <w:numId w:val="0"/>
        </w:numPr>
        <w:ind w:firstLine="643" w:firstLineChars="200"/>
        <w:rPr>
          <w:rFonts w:hint="eastAsia" w:ascii="仿宋_GB2312" w:hAnsi="仿宋_GB2312" w:eastAsia="仿宋_GB2312" w:cs="仿宋_GB2312"/>
          <w:b/>
          <w:color w:val="auto"/>
          <w:kern w:val="2"/>
          <w:sz w:val="32"/>
          <w:szCs w:val="32"/>
          <w:highlight w:val="none"/>
          <w:lang w:val="en-US" w:eastAsia="zh-CN"/>
        </w:rPr>
      </w:pPr>
      <w:r>
        <w:rPr>
          <w:rFonts w:hint="eastAsia" w:ascii="仿宋_GB2312" w:hAnsi="仿宋_GB2312" w:eastAsia="仿宋_GB2312" w:cs="仿宋_GB2312"/>
          <w:b/>
          <w:color w:val="auto"/>
          <w:kern w:val="2"/>
          <w:sz w:val="32"/>
          <w:szCs w:val="32"/>
          <w:highlight w:val="none"/>
          <w:lang w:val="en-US" w:eastAsia="zh-CN"/>
        </w:rPr>
        <w:t>3.服务要求：</w:t>
      </w:r>
    </w:p>
    <w:p w14:paraId="1B55BF98">
      <w:pPr>
        <w:pStyle w:val="24"/>
        <w:spacing w:line="560" w:lineRule="exact"/>
        <w:ind w:firstLine="640" w:firstLineChars="200"/>
        <w:rPr>
          <w:rFonts w:hint="eastAsia" w:ascii="仿宋_GB2312" w:hAnsi="仿宋_GB2312" w:eastAsia="仿宋_GB2312" w:cs="仿宋_GB2312"/>
          <w:color w:val="auto"/>
          <w:kern w:val="2"/>
          <w:sz w:val="32"/>
          <w:szCs w:val="32"/>
          <w:highlight w:val="none"/>
        </w:rPr>
      </w:pPr>
      <w:r>
        <w:rPr>
          <w:rFonts w:hint="eastAsia" w:ascii="仿宋_GB2312" w:hAnsi="仿宋_GB2312" w:eastAsia="仿宋_GB2312" w:cs="仿宋_GB2312"/>
          <w:color w:val="auto"/>
          <w:kern w:val="2"/>
          <w:sz w:val="32"/>
          <w:szCs w:val="32"/>
          <w:highlight w:val="none"/>
          <w:lang w:eastAsia="zh-CN"/>
        </w:rPr>
        <w:t>（</w:t>
      </w:r>
      <w:r>
        <w:rPr>
          <w:rFonts w:hint="eastAsia" w:ascii="仿宋_GB2312" w:hAnsi="仿宋_GB2312" w:eastAsia="仿宋_GB2312" w:cs="仿宋_GB2312"/>
          <w:color w:val="auto"/>
          <w:kern w:val="2"/>
          <w:sz w:val="32"/>
          <w:szCs w:val="32"/>
          <w:highlight w:val="none"/>
          <w:lang w:val="en-US" w:eastAsia="zh-CN"/>
        </w:rPr>
        <w:t>1</w:t>
      </w:r>
      <w:r>
        <w:rPr>
          <w:rFonts w:hint="eastAsia" w:ascii="仿宋_GB2312" w:hAnsi="仿宋_GB2312" w:eastAsia="仿宋_GB2312" w:cs="仿宋_GB2312"/>
          <w:color w:val="auto"/>
          <w:kern w:val="2"/>
          <w:sz w:val="32"/>
          <w:szCs w:val="32"/>
          <w:highlight w:val="none"/>
          <w:lang w:eastAsia="zh-CN"/>
        </w:rPr>
        <w:t>）</w:t>
      </w:r>
      <w:r>
        <w:rPr>
          <w:rFonts w:hint="eastAsia" w:ascii="仿宋_GB2312" w:hAnsi="仿宋_GB2312" w:eastAsia="仿宋_GB2312" w:cs="仿宋_GB2312"/>
          <w:color w:val="auto"/>
          <w:kern w:val="2"/>
          <w:sz w:val="32"/>
          <w:szCs w:val="32"/>
          <w:highlight w:val="none"/>
        </w:rPr>
        <w:t>提交咨询工作成果的形式：编制《东莞市海心沙资源综合利用中心绿色工业服务项目（改扩建）竣工环保验收监测报告》并通过专家评审；根据专家意见完善《东莞市海心沙资源综合利用中心绿色工业服务项目（改扩建）竣工环保验收报告》。</w:t>
      </w:r>
    </w:p>
    <w:p w14:paraId="7C21AAB4">
      <w:pPr>
        <w:pStyle w:val="24"/>
        <w:widowControl/>
        <w:spacing w:line="560" w:lineRule="exact"/>
        <w:ind w:firstLine="640" w:firstLineChars="0"/>
        <w:jc w:val="left"/>
        <w:rPr>
          <w:rFonts w:hint="eastAsia" w:ascii="仿宋_GB2312" w:hAnsi="仿宋_GB2312" w:eastAsia="仿宋_GB2312" w:cs="仿宋_GB2312"/>
          <w:color w:val="auto"/>
          <w:kern w:val="2"/>
          <w:sz w:val="32"/>
          <w:szCs w:val="32"/>
          <w:highlight w:val="none"/>
        </w:rPr>
      </w:pPr>
      <w:r>
        <w:rPr>
          <w:rFonts w:hint="eastAsia" w:ascii="仿宋_GB2312" w:hAnsi="仿宋_GB2312" w:eastAsia="仿宋_GB2312" w:cs="仿宋_GB2312"/>
          <w:color w:val="auto"/>
          <w:kern w:val="2"/>
          <w:sz w:val="32"/>
          <w:szCs w:val="32"/>
          <w:highlight w:val="none"/>
          <w:lang w:eastAsia="zh-CN"/>
        </w:rPr>
        <w:t>（</w:t>
      </w:r>
      <w:r>
        <w:rPr>
          <w:rFonts w:hint="eastAsia" w:ascii="仿宋_GB2312" w:hAnsi="仿宋_GB2312" w:eastAsia="仿宋_GB2312" w:cs="仿宋_GB2312"/>
          <w:color w:val="auto"/>
          <w:kern w:val="2"/>
          <w:sz w:val="32"/>
          <w:szCs w:val="32"/>
          <w:highlight w:val="none"/>
          <w:lang w:val="en-US" w:eastAsia="zh-CN"/>
        </w:rPr>
        <w:t>2</w:t>
      </w:r>
      <w:r>
        <w:rPr>
          <w:rFonts w:hint="eastAsia" w:ascii="仿宋_GB2312" w:hAnsi="仿宋_GB2312" w:eastAsia="仿宋_GB2312" w:cs="仿宋_GB2312"/>
          <w:color w:val="auto"/>
          <w:kern w:val="2"/>
          <w:sz w:val="32"/>
          <w:szCs w:val="32"/>
          <w:highlight w:val="none"/>
          <w:lang w:eastAsia="zh-CN"/>
        </w:rPr>
        <w:t>）</w:t>
      </w:r>
      <w:r>
        <w:rPr>
          <w:rFonts w:hint="eastAsia" w:ascii="仿宋_GB2312" w:hAnsi="仿宋_GB2312" w:eastAsia="仿宋_GB2312" w:cs="仿宋_GB2312"/>
          <w:color w:val="auto"/>
          <w:kern w:val="2"/>
          <w:sz w:val="32"/>
          <w:szCs w:val="32"/>
          <w:highlight w:val="none"/>
        </w:rPr>
        <w:t>项目竣工环保验收工作成果的标准：</w:t>
      </w:r>
      <w:r>
        <w:rPr>
          <w:rFonts w:hint="eastAsia" w:ascii="仿宋_GB2312" w:hAnsi="仿宋_GB2312" w:eastAsia="仿宋_GB2312" w:cs="仿宋_GB2312"/>
          <w:color w:val="auto"/>
          <w:kern w:val="2"/>
          <w:sz w:val="32"/>
          <w:szCs w:val="32"/>
          <w:highlight w:val="none"/>
          <w:lang w:eastAsia="zh-CN"/>
        </w:rPr>
        <w:t>成交人</w:t>
      </w:r>
      <w:r>
        <w:rPr>
          <w:rFonts w:hint="eastAsia" w:ascii="仿宋_GB2312" w:hAnsi="仿宋_GB2312" w:eastAsia="仿宋_GB2312" w:cs="仿宋_GB2312"/>
          <w:color w:val="auto"/>
          <w:kern w:val="2"/>
          <w:sz w:val="32"/>
          <w:szCs w:val="32"/>
          <w:highlight w:val="none"/>
        </w:rPr>
        <w:t>需保证提交的《东莞市海心沙资源综合利用中心绿色工业服务项目（改扩建）竣工环保验收报告》符合国家及地方有关法律、法规、标准与规范、企业实际。</w:t>
      </w:r>
    </w:p>
    <w:p w14:paraId="6106C5E0">
      <w:pPr>
        <w:pStyle w:val="24"/>
        <w:widowControl/>
        <w:spacing w:line="560" w:lineRule="exact"/>
        <w:ind w:firstLine="640" w:firstLineChars="0"/>
        <w:jc w:val="left"/>
        <w:rPr>
          <w:rFonts w:hint="eastAsia" w:ascii="仿宋_GB2312" w:hAnsi="仿宋_GB2312" w:eastAsia="仿宋_GB2312" w:cs="仿宋_GB2312"/>
          <w:b w:val="0"/>
          <w:color w:val="auto"/>
          <w:kern w:val="2"/>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rPr>
        <w:t>(3)</w:t>
      </w:r>
      <w:r>
        <w:rPr>
          <w:rFonts w:hint="eastAsia" w:ascii="仿宋_GB2312" w:hAnsi="仿宋_GB2312" w:eastAsia="仿宋_GB2312" w:cs="仿宋_GB2312"/>
          <w:color w:val="auto"/>
          <w:kern w:val="2"/>
          <w:sz w:val="32"/>
          <w:szCs w:val="32"/>
          <w:highlight w:val="none"/>
        </w:rPr>
        <w:t>验收报告纸质文件提供给采购人一式五份及原文件电子资料一套。</w:t>
      </w:r>
    </w:p>
    <w:p w14:paraId="5C3036D9">
      <w:pPr>
        <w:pStyle w:val="24"/>
        <w:widowControl/>
        <w:spacing w:line="560" w:lineRule="exact"/>
        <w:ind w:firstLine="643" w:firstLineChars="200"/>
        <w:jc w:val="both"/>
        <w:rPr>
          <w:rFonts w:hint="eastAsia" w:ascii="仿宋_GB2312" w:hAnsi="仿宋_GB2312" w:eastAsia="仿宋_GB2312" w:cs="仿宋_GB2312"/>
          <w:b/>
          <w:color w:val="auto"/>
          <w:kern w:val="2"/>
          <w:sz w:val="32"/>
          <w:szCs w:val="32"/>
          <w:highlight w:val="none"/>
          <w:lang w:val="en-US" w:eastAsia="zh-CN"/>
        </w:rPr>
      </w:pPr>
      <w:r>
        <w:rPr>
          <w:rFonts w:hint="eastAsia" w:ascii="仿宋_GB2312" w:hAnsi="仿宋_GB2312" w:eastAsia="仿宋_GB2312" w:cs="仿宋_GB2312"/>
          <w:b/>
          <w:color w:val="auto"/>
          <w:kern w:val="2"/>
          <w:sz w:val="32"/>
          <w:szCs w:val="32"/>
          <w:highlight w:val="none"/>
          <w:lang w:val="en-US" w:eastAsia="zh-CN"/>
        </w:rPr>
        <w:t>4.成交人</w:t>
      </w:r>
      <w:r>
        <w:rPr>
          <w:rFonts w:hint="eastAsia" w:ascii="仿宋_GB2312" w:hAnsi="仿宋_GB2312" w:eastAsia="仿宋_GB2312" w:cs="仿宋_GB2312"/>
          <w:b/>
          <w:bCs w:val="0"/>
          <w:color w:val="auto"/>
          <w:spacing w:val="0"/>
          <w:kern w:val="2"/>
          <w:sz w:val="32"/>
          <w:szCs w:val="32"/>
          <w:highlight w:val="none"/>
        </w:rPr>
        <w:t>须根据服务内容制订监测方案，并根据监测方案要求进行采样和监测分析，并提交有效、完整、质量合格且盖有CMA的监测报告。</w:t>
      </w:r>
    </w:p>
    <w:p w14:paraId="69072E50">
      <w:pPr>
        <w:pStyle w:val="24"/>
        <w:widowControl/>
        <w:spacing w:line="560" w:lineRule="exact"/>
        <w:ind w:firstLine="640" w:firstLineChars="200"/>
        <w:jc w:val="both"/>
        <w:rPr>
          <w:rFonts w:ascii="仿宋_GB2312" w:hAnsi="仿宋_GB2312" w:eastAsia="仿宋_GB2312" w:cs="仿宋_GB2312"/>
          <w:color w:val="auto"/>
          <w:kern w:val="2"/>
          <w:sz w:val="32"/>
          <w:szCs w:val="32"/>
          <w:highlight w:val="none"/>
        </w:rPr>
      </w:pPr>
      <w:r>
        <w:rPr>
          <w:rFonts w:hint="eastAsia" w:ascii="仿宋_GB2312" w:hAnsi="仿宋_GB2312" w:eastAsia="仿宋_GB2312" w:cs="仿宋_GB2312"/>
          <w:color w:val="auto"/>
          <w:kern w:val="2"/>
          <w:sz w:val="32"/>
          <w:szCs w:val="32"/>
          <w:highlight w:val="none"/>
          <w:lang w:val="en-US" w:eastAsia="zh-CN"/>
        </w:rPr>
        <w:t>5、</w:t>
      </w:r>
      <w:r>
        <w:rPr>
          <w:rFonts w:hint="eastAsia" w:ascii="仿宋_GB2312" w:hAnsi="仿宋_GB2312" w:eastAsia="仿宋_GB2312" w:cs="仿宋_GB2312"/>
          <w:color w:val="auto"/>
          <w:kern w:val="2"/>
          <w:sz w:val="32"/>
          <w:szCs w:val="32"/>
          <w:highlight w:val="none"/>
        </w:rPr>
        <w:t>如对本项目要求有疑问或踏勘现场，可咨询</w:t>
      </w:r>
      <w:r>
        <w:rPr>
          <w:rFonts w:hint="eastAsia" w:ascii="仿宋_GB2312" w:hAnsi="仿宋_GB2312" w:eastAsia="仿宋_GB2312" w:cs="仿宋_GB2312"/>
          <w:color w:val="auto"/>
          <w:kern w:val="2"/>
          <w:sz w:val="32"/>
          <w:szCs w:val="32"/>
          <w:highlight w:val="none"/>
          <w:lang w:val="en-US" w:eastAsia="zh-CN"/>
        </w:rPr>
        <w:t>刘工</w:t>
      </w:r>
      <w:r>
        <w:rPr>
          <w:rFonts w:hint="eastAsia" w:ascii="仿宋_GB2312" w:hAnsi="仿宋_GB2312" w:eastAsia="仿宋_GB2312" w:cs="仿宋_GB2312"/>
          <w:color w:val="auto"/>
          <w:kern w:val="2"/>
          <w:sz w:val="32"/>
          <w:szCs w:val="32"/>
          <w:highlight w:val="none"/>
          <w:u w:val="single"/>
          <w:lang w:val="en-US" w:eastAsia="zh-CN"/>
        </w:rPr>
        <w:t>13631781147</w:t>
      </w:r>
      <w:r>
        <w:rPr>
          <w:rFonts w:hint="eastAsia" w:ascii="仿宋_GB2312" w:hAnsi="仿宋_GB2312" w:eastAsia="仿宋_GB2312" w:cs="仿宋_GB2312"/>
          <w:color w:val="auto"/>
          <w:kern w:val="2"/>
          <w:sz w:val="32"/>
          <w:szCs w:val="32"/>
          <w:highlight w:val="none"/>
          <w:u w:val="single"/>
        </w:rPr>
        <w:t>。</w:t>
      </w:r>
    </w:p>
    <w:p w14:paraId="251A20CC">
      <w:pPr>
        <w:adjustRightInd w:val="0"/>
        <w:snapToGrid w:val="0"/>
        <w:spacing w:line="560" w:lineRule="exact"/>
        <w:ind w:firstLine="640" w:firstLineChars="200"/>
        <w:outlineLvl w:val="1"/>
        <w:rPr>
          <w:rFonts w:eastAsia="黑体"/>
          <w:color w:val="auto"/>
          <w:sz w:val="32"/>
          <w:szCs w:val="32"/>
          <w:highlight w:val="none"/>
        </w:rPr>
      </w:pPr>
      <w:r>
        <w:rPr>
          <w:rFonts w:hint="eastAsia" w:ascii="Times New Roman" w:hAnsi="Times New Roman" w:eastAsia="黑体" w:cs="黑体"/>
          <w:color w:val="auto"/>
          <w:sz w:val="32"/>
          <w:szCs w:val="32"/>
          <w:highlight w:val="none"/>
          <w:lang w:bidi="ar"/>
        </w:rPr>
        <w:t>五、完成时间</w:t>
      </w:r>
    </w:p>
    <w:p w14:paraId="52ABE6FA">
      <w:pPr>
        <w:adjustRightInd w:val="0"/>
        <w:snapToGrid w:val="0"/>
        <w:spacing w:line="560" w:lineRule="exact"/>
        <w:ind w:firstLine="640" w:firstLineChars="200"/>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1、合同生效后5个工作日内完成项目工作方案（包含资料清单及项目工期计划）；</w:t>
      </w:r>
    </w:p>
    <w:p w14:paraId="113BFFE0">
      <w:pPr>
        <w:adjustRightInd w:val="0"/>
        <w:snapToGrid w:val="0"/>
        <w:spacing w:line="560" w:lineRule="exact"/>
        <w:ind w:firstLine="640" w:firstLineChars="200"/>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2、在建设单位通知进场进行监测采样之日起，在验收监测工作能满足自主验收专家评审的前提下，</w:t>
      </w:r>
      <w:r>
        <w:rPr>
          <w:rFonts w:hint="eastAsia" w:ascii="仿宋_GB2312" w:hAnsi="仿宋_GB2312" w:eastAsia="仿宋_GB2312" w:cs="仿宋_GB2312"/>
          <w:color w:val="auto"/>
          <w:sz w:val="32"/>
          <w:szCs w:val="32"/>
          <w:highlight w:val="none"/>
          <w:lang w:val="en-US" w:eastAsia="zh-CN" w:bidi="ar"/>
        </w:rPr>
        <w:t>60个日历日</w:t>
      </w:r>
      <w:r>
        <w:rPr>
          <w:rFonts w:hint="eastAsia" w:ascii="仿宋_GB2312" w:hAnsi="仿宋_GB2312" w:eastAsia="仿宋_GB2312" w:cs="仿宋_GB2312"/>
          <w:color w:val="auto"/>
          <w:sz w:val="32"/>
          <w:szCs w:val="32"/>
          <w:highlight w:val="none"/>
          <w:lang w:bidi="ar"/>
        </w:rPr>
        <w:t>内通过专家评审，通过专家评审会后</w:t>
      </w:r>
      <w:r>
        <w:rPr>
          <w:rFonts w:hint="eastAsia" w:ascii="仿宋_GB2312" w:hAnsi="仿宋_GB2312" w:eastAsia="仿宋_GB2312" w:cs="仿宋_GB2312"/>
          <w:color w:val="auto"/>
          <w:sz w:val="32"/>
          <w:szCs w:val="32"/>
          <w:highlight w:val="none"/>
          <w:lang w:val="en-US" w:eastAsia="zh-CN" w:bidi="ar"/>
        </w:rPr>
        <w:t>30个日历日</w:t>
      </w:r>
      <w:r>
        <w:rPr>
          <w:rFonts w:hint="eastAsia" w:ascii="仿宋_GB2312" w:hAnsi="仿宋_GB2312" w:eastAsia="仿宋_GB2312" w:cs="仿宋_GB2312"/>
          <w:color w:val="auto"/>
          <w:sz w:val="32"/>
          <w:szCs w:val="32"/>
          <w:highlight w:val="none"/>
          <w:lang w:bidi="ar"/>
        </w:rPr>
        <w:t>内完成验收公示。</w:t>
      </w:r>
    </w:p>
    <w:p w14:paraId="0C271088">
      <w:pPr>
        <w:adjustRightInd w:val="0"/>
        <w:snapToGrid w:val="0"/>
        <w:spacing w:line="560" w:lineRule="exact"/>
        <w:ind w:firstLine="640" w:firstLineChars="200"/>
        <w:outlineLvl w:val="1"/>
        <w:rPr>
          <w:rFonts w:eastAsia="黑体"/>
          <w:color w:val="auto"/>
          <w:sz w:val="32"/>
          <w:szCs w:val="32"/>
          <w:highlight w:val="none"/>
        </w:rPr>
      </w:pPr>
      <w:r>
        <w:rPr>
          <w:rFonts w:hint="eastAsia" w:ascii="Times New Roman" w:hAnsi="Times New Roman" w:eastAsia="黑体" w:cs="黑体"/>
          <w:color w:val="auto"/>
          <w:sz w:val="32"/>
          <w:szCs w:val="32"/>
          <w:highlight w:val="none"/>
          <w:lang w:bidi="ar"/>
        </w:rPr>
        <w:t>六、支付方式</w:t>
      </w:r>
    </w:p>
    <w:p w14:paraId="5CEF3679">
      <w:pPr>
        <w:adjustRightInd w:val="0"/>
        <w:snapToGrid w:val="0"/>
        <w:spacing w:line="560" w:lineRule="exact"/>
        <w:ind w:firstLine="640" w:firstLineChars="200"/>
        <w:outlineLvl w:val="1"/>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（一）合同签订十五个工作日内，成交人向采购人提交请款资料及等额</w:t>
      </w:r>
      <w:r>
        <w:rPr>
          <w:rFonts w:hint="eastAsia" w:ascii="仿宋_GB2312" w:hAnsi="仿宋_GB2312" w:eastAsia="仿宋_GB2312" w:cs="仿宋_GB2312"/>
          <w:color w:val="auto"/>
          <w:sz w:val="32"/>
          <w:szCs w:val="32"/>
          <w:highlight w:val="none"/>
          <w:lang w:val="en-US" w:eastAsia="zh-CN" w:bidi="ar"/>
        </w:rPr>
        <w:t>增值税专用</w:t>
      </w:r>
      <w:r>
        <w:rPr>
          <w:rFonts w:hint="eastAsia" w:ascii="仿宋_GB2312" w:hAnsi="仿宋_GB2312" w:eastAsia="仿宋_GB2312" w:cs="仿宋_GB2312"/>
          <w:color w:val="auto"/>
          <w:sz w:val="32"/>
          <w:szCs w:val="32"/>
          <w:highlight w:val="none"/>
          <w:lang w:bidi="ar"/>
        </w:rPr>
        <w:t>发票，采购人收到前述材料之日起30个日历日内向成交人支付至合同总价的</w:t>
      </w:r>
      <w:r>
        <w:rPr>
          <w:rFonts w:hint="eastAsia" w:ascii="仿宋_GB2312" w:hAnsi="仿宋_GB2312" w:eastAsia="仿宋_GB2312" w:cs="仿宋_GB2312"/>
          <w:color w:val="auto"/>
          <w:sz w:val="32"/>
          <w:szCs w:val="32"/>
          <w:highlight w:val="none"/>
          <w:lang w:val="en-US" w:eastAsia="zh-CN" w:bidi="ar"/>
        </w:rPr>
        <w:t>2</w:t>
      </w:r>
      <w:r>
        <w:rPr>
          <w:rFonts w:ascii="仿宋_GB2312" w:hAnsi="仿宋_GB2312" w:eastAsia="仿宋_GB2312" w:cs="仿宋_GB2312"/>
          <w:color w:val="auto"/>
          <w:sz w:val="32"/>
          <w:szCs w:val="32"/>
          <w:highlight w:val="none"/>
          <w:lang w:bidi="ar"/>
        </w:rPr>
        <w:t>0%</w:t>
      </w:r>
      <w:r>
        <w:rPr>
          <w:rFonts w:hint="eastAsia" w:ascii="仿宋_GB2312" w:hAnsi="仿宋_GB2312" w:eastAsia="仿宋_GB2312" w:cs="仿宋_GB2312"/>
          <w:color w:val="auto"/>
          <w:sz w:val="32"/>
          <w:szCs w:val="32"/>
          <w:highlight w:val="none"/>
          <w:lang w:bidi="ar"/>
        </w:rPr>
        <w:t>；</w:t>
      </w:r>
    </w:p>
    <w:p w14:paraId="70699B07">
      <w:pPr>
        <w:adjustRightInd w:val="0"/>
        <w:snapToGrid w:val="0"/>
        <w:spacing w:line="560" w:lineRule="exact"/>
        <w:ind w:firstLine="640" w:firstLineChars="200"/>
        <w:outlineLvl w:val="1"/>
        <w:rPr>
          <w:rFonts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（二）</w:t>
      </w:r>
      <w:r>
        <w:rPr>
          <w:rFonts w:hint="eastAsia" w:ascii="仿宋_GB2312" w:hAnsi="仿宋_GB2312" w:eastAsia="仿宋_GB2312" w:cs="仿宋_GB2312"/>
          <w:color w:val="auto"/>
          <w:sz w:val="32"/>
          <w:szCs w:val="32"/>
          <w:highlight w:val="none"/>
          <w:lang w:val="en-US" w:eastAsia="zh-CN" w:bidi="ar"/>
        </w:rPr>
        <w:t>成交人完成竣工环保验收监测工作，通过专家评审会，成交人根据专家意见完善验收报告，且协助采购人完成项目环保竣工验收公开、登记相关信息并建立档案工作后，成交人提供增值税专用发票，</w:t>
      </w:r>
      <w:r>
        <w:rPr>
          <w:rFonts w:hint="eastAsia" w:ascii="仿宋_GB2312" w:hAnsi="仿宋_GB2312" w:eastAsia="仿宋_GB2312" w:cs="仿宋_GB2312"/>
          <w:color w:val="auto"/>
          <w:sz w:val="32"/>
          <w:szCs w:val="32"/>
          <w:highlight w:val="none"/>
          <w:lang w:bidi="ar"/>
        </w:rPr>
        <w:t>采购人</w:t>
      </w:r>
      <w:r>
        <w:rPr>
          <w:rFonts w:hint="eastAsia" w:ascii="仿宋_GB2312" w:hAnsi="仿宋_GB2312" w:eastAsia="仿宋_GB2312" w:cs="仿宋_GB2312"/>
          <w:color w:val="auto"/>
          <w:sz w:val="32"/>
          <w:szCs w:val="32"/>
          <w:highlight w:val="none"/>
          <w:lang w:val="en-US" w:eastAsia="zh-CN" w:bidi="ar"/>
        </w:rPr>
        <w:t>在收到上述有效资料的30个日历日内</w:t>
      </w:r>
      <w:r>
        <w:rPr>
          <w:rFonts w:hint="eastAsia" w:ascii="仿宋_GB2312" w:hAnsi="仿宋_GB2312" w:eastAsia="仿宋_GB2312" w:cs="仿宋_GB2312"/>
          <w:color w:val="auto"/>
          <w:sz w:val="32"/>
          <w:szCs w:val="32"/>
          <w:highlight w:val="none"/>
          <w:lang w:bidi="ar"/>
        </w:rPr>
        <w:t>向成交人支付至合同总额的</w:t>
      </w:r>
      <w:r>
        <w:rPr>
          <w:rFonts w:ascii="仿宋_GB2312" w:hAnsi="仿宋_GB2312" w:eastAsia="仿宋_GB2312" w:cs="仿宋_GB2312"/>
          <w:color w:val="auto"/>
          <w:sz w:val="32"/>
          <w:szCs w:val="32"/>
          <w:highlight w:val="none"/>
          <w:lang w:bidi="ar"/>
        </w:rPr>
        <w:t>100%</w:t>
      </w:r>
      <w:r>
        <w:rPr>
          <w:rFonts w:hint="eastAsia" w:ascii="仿宋_GB2312" w:hAnsi="仿宋_GB2312" w:eastAsia="仿宋_GB2312" w:cs="仿宋_GB2312"/>
          <w:color w:val="auto"/>
          <w:sz w:val="32"/>
          <w:szCs w:val="32"/>
          <w:highlight w:val="none"/>
          <w:lang w:bidi="ar"/>
        </w:rPr>
        <w:t>。</w:t>
      </w:r>
    </w:p>
    <w:p w14:paraId="5AB92FA7">
      <w:pPr>
        <w:adjustRightInd w:val="0"/>
        <w:snapToGrid w:val="0"/>
        <w:spacing w:line="560" w:lineRule="exact"/>
        <w:ind w:firstLine="640" w:firstLineChars="200"/>
        <w:outlineLvl w:val="1"/>
        <w:rPr>
          <w:rFonts w:eastAsia="黑体"/>
          <w:color w:val="auto"/>
          <w:sz w:val="32"/>
          <w:szCs w:val="32"/>
          <w:highlight w:val="none"/>
        </w:rPr>
      </w:pPr>
      <w:r>
        <w:rPr>
          <w:rFonts w:hint="eastAsia" w:ascii="Times New Roman" w:hAnsi="Times New Roman" w:eastAsia="黑体" w:cs="黑体"/>
          <w:color w:val="auto"/>
          <w:sz w:val="32"/>
          <w:szCs w:val="32"/>
          <w:highlight w:val="none"/>
          <w:lang w:bidi="ar"/>
        </w:rPr>
        <w:t>七、报价</w:t>
      </w:r>
    </w:p>
    <w:p w14:paraId="05C09B4B">
      <w:pPr>
        <w:adjustRightInd w:val="0"/>
        <w:snapToGrid w:val="0"/>
        <w:spacing w:line="560" w:lineRule="exact"/>
        <w:ind w:firstLine="643" w:firstLineChars="200"/>
        <w:outlineLvl w:val="1"/>
        <w:rPr>
          <w:rFonts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lang w:bidi="ar"/>
        </w:rPr>
        <w:t>限价：</w:t>
      </w:r>
      <w:r>
        <w:rPr>
          <w:rFonts w:hint="eastAsia" w:ascii="仿宋_GB2312" w:hAnsi="仿宋_GB2312" w:eastAsia="仿宋_GB2312" w:cs="仿宋_GB2312"/>
          <w:b/>
          <w:color w:val="auto"/>
          <w:sz w:val="32"/>
          <w:szCs w:val="32"/>
          <w:highlight w:val="none"/>
          <w:lang w:val="en-US" w:eastAsia="zh-CN" w:bidi="ar"/>
        </w:rPr>
        <w:t>215</w:t>
      </w:r>
      <w:r>
        <w:rPr>
          <w:rFonts w:hint="eastAsia" w:ascii="仿宋_GB2312" w:hAnsi="仿宋_GB2312" w:eastAsia="仿宋_GB2312" w:cs="仿宋_GB2312"/>
          <w:b/>
          <w:color w:val="auto"/>
          <w:sz w:val="32"/>
          <w:szCs w:val="32"/>
          <w:highlight w:val="none"/>
          <w:lang w:bidi="ar"/>
        </w:rPr>
        <w:t>,</w:t>
      </w:r>
      <w:r>
        <w:rPr>
          <w:rFonts w:hint="eastAsia" w:ascii="仿宋_GB2312" w:hAnsi="仿宋_GB2312" w:eastAsia="仿宋_GB2312" w:cs="仿宋_GB2312"/>
          <w:b/>
          <w:color w:val="auto"/>
          <w:sz w:val="32"/>
          <w:szCs w:val="32"/>
          <w:highlight w:val="none"/>
          <w:lang w:val="en-US" w:eastAsia="zh-CN" w:bidi="ar"/>
        </w:rPr>
        <w:t>000</w:t>
      </w:r>
      <w:r>
        <w:rPr>
          <w:rFonts w:hint="eastAsia" w:ascii="仿宋_GB2312" w:hAnsi="仿宋_GB2312" w:eastAsia="仿宋_GB2312" w:cs="仿宋_GB2312"/>
          <w:b/>
          <w:color w:val="auto"/>
          <w:sz w:val="32"/>
          <w:szCs w:val="32"/>
          <w:highlight w:val="none"/>
          <w:lang w:bidi="ar"/>
        </w:rPr>
        <w:t>.</w:t>
      </w:r>
      <w:r>
        <w:rPr>
          <w:rFonts w:hint="eastAsia" w:ascii="仿宋_GB2312" w:hAnsi="仿宋_GB2312" w:eastAsia="仿宋_GB2312" w:cs="仿宋_GB2312"/>
          <w:b/>
          <w:color w:val="auto"/>
          <w:sz w:val="32"/>
          <w:szCs w:val="32"/>
          <w:highlight w:val="none"/>
          <w:lang w:val="en-US" w:eastAsia="zh-CN" w:bidi="ar"/>
        </w:rPr>
        <w:t>00</w:t>
      </w:r>
      <w:r>
        <w:rPr>
          <w:rFonts w:hint="eastAsia" w:ascii="仿宋_GB2312" w:hAnsi="仿宋_GB2312" w:eastAsia="仿宋_GB2312" w:cs="仿宋_GB2312"/>
          <w:b/>
          <w:color w:val="auto"/>
          <w:sz w:val="32"/>
          <w:szCs w:val="32"/>
          <w:highlight w:val="none"/>
          <w:lang w:bidi="ar"/>
        </w:rPr>
        <w:t>元（含税总价）</w:t>
      </w:r>
    </w:p>
    <w:p w14:paraId="41055BC1">
      <w:pPr>
        <w:adjustRightInd w:val="0"/>
        <w:snapToGrid w:val="0"/>
        <w:spacing w:line="560" w:lineRule="exact"/>
        <w:ind w:firstLine="640" w:firstLineChars="200"/>
        <w:outlineLvl w:val="1"/>
        <w:rPr>
          <w:rFonts w:hint="eastAsia" w:ascii="Times New Roman" w:hAnsi="Times New Roman" w:eastAsia="仿宋_GB2312" w:cs="仿宋_GB2312"/>
          <w:color w:val="auto"/>
          <w:sz w:val="32"/>
          <w:szCs w:val="32"/>
          <w:highlight w:val="none"/>
          <w:lang w:bidi="ar"/>
        </w:rPr>
      </w:pPr>
      <w:r>
        <w:rPr>
          <w:rFonts w:hint="eastAsia" w:ascii="Times New Roman" w:hAnsi="Times New Roman" w:eastAsia="仿宋_GB2312" w:cs="仿宋_GB2312"/>
          <w:color w:val="auto"/>
          <w:sz w:val="32"/>
          <w:szCs w:val="32"/>
          <w:highlight w:val="none"/>
          <w:lang w:bidi="ar"/>
        </w:rPr>
        <w:t>本项目为</w:t>
      </w:r>
      <w:r>
        <w:rPr>
          <w:rFonts w:hint="eastAsia" w:ascii="Times New Roman" w:hAnsi="Times New Roman" w:eastAsia="仿宋_GB2312" w:cs="仿宋_GB2312"/>
          <w:color w:val="auto"/>
          <w:sz w:val="32"/>
          <w:szCs w:val="32"/>
          <w:highlight w:val="none"/>
          <w:u w:val="single"/>
          <w:lang w:bidi="ar"/>
        </w:rPr>
        <w:t>固定总价包干</w:t>
      </w:r>
      <w:r>
        <w:rPr>
          <w:rFonts w:hint="eastAsia" w:ascii="Times New Roman" w:hAnsi="Times New Roman" w:eastAsia="仿宋_GB2312" w:cs="仿宋_GB2312"/>
          <w:color w:val="auto"/>
          <w:sz w:val="32"/>
          <w:szCs w:val="32"/>
          <w:highlight w:val="none"/>
          <w:lang w:bidi="ar"/>
        </w:rPr>
        <w:t>，包干总价报价包含但不限于现场调查、资料收集与分析费用；监测报告、验收报告等相关材料编制费用；专家评审费用（包括内审费用和外审费用）；自主办公费（办公耗材、照明、水、通讯）、印刷费、交通费、税费等一切为满足项目实施可能产生的费用，结算时不做调整。</w:t>
      </w:r>
    </w:p>
    <w:p w14:paraId="6A8E9474">
      <w:pPr>
        <w:snapToGrid w:val="0"/>
        <w:spacing w:line="560" w:lineRule="exact"/>
        <w:ind w:firstLine="640" w:firstLineChars="200"/>
        <w:outlineLvl w:val="1"/>
        <w:rPr>
          <w:rFonts w:hint="eastAsia" w:ascii="Times New Roman" w:hAnsi="Times New Roman" w:eastAsia="仿宋_GB2312" w:cs="仿宋_GB2312"/>
          <w:color w:val="auto"/>
          <w:sz w:val="32"/>
          <w:szCs w:val="32"/>
          <w:highlight w:val="none"/>
          <w:lang w:bidi="ar"/>
        </w:rPr>
      </w:pPr>
      <w:r>
        <w:rPr>
          <w:rFonts w:hint="eastAsia" w:ascii="Times New Roman" w:hAnsi="Times New Roman" w:eastAsia="仿宋_GB2312" w:cs="仿宋_GB2312"/>
          <w:color w:val="auto"/>
          <w:sz w:val="32"/>
          <w:szCs w:val="32"/>
          <w:highlight w:val="none"/>
          <w:lang w:bidi="ar"/>
        </w:rPr>
        <w:t>除</w:t>
      </w:r>
      <w:r>
        <w:rPr>
          <w:rFonts w:hint="eastAsia" w:ascii="Times New Roman" w:hAnsi="Times New Roman" w:eastAsia="仿宋_GB2312" w:cs="仿宋_GB2312"/>
          <w:color w:val="auto"/>
          <w:sz w:val="32"/>
          <w:szCs w:val="32"/>
          <w:highlight w:val="none"/>
          <w:lang w:val="en-US" w:eastAsia="zh-CN" w:bidi="ar"/>
        </w:rPr>
        <w:t>采购人</w:t>
      </w:r>
      <w:r>
        <w:rPr>
          <w:rFonts w:hint="eastAsia" w:ascii="Times New Roman" w:hAnsi="Times New Roman" w:eastAsia="仿宋_GB2312" w:cs="仿宋_GB2312"/>
          <w:color w:val="auto"/>
          <w:sz w:val="32"/>
          <w:szCs w:val="32"/>
          <w:highlight w:val="none"/>
          <w:lang w:bidi="ar"/>
        </w:rPr>
        <w:t>变更论证范围、主要工程方案、采用新的评价标准或因为</w:t>
      </w:r>
      <w:r>
        <w:rPr>
          <w:rFonts w:hint="eastAsia" w:ascii="Times New Roman" w:hAnsi="Times New Roman" w:eastAsia="仿宋_GB2312" w:cs="仿宋_GB2312"/>
          <w:color w:val="auto"/>
          <w:sz w:val="32"/>
          <w:szCs w:val="32"/>
          <w:highlight w:val="none"/>
          <w:lang w:val="en-US" w:eastAsia="zh-CN" w:bidi="ar"/>
        </w:rPr>
        <w:t>采购人</w:t>
      </w:r>
      <w:r>
        <w:rPr>
          <w:rFonts w:hint="eastAsia" w:ascii="Times New Roman" w:hAnsi="Times New Roman" w:eastAsia="仿宋_GB2312" w:cs="仿宋_GB2312"/>
          <w:color w:val="auto"/>
          <w:sz w:val="32"/>
          <w:szCs w:val="32"/>
          <w:highlight w:val="none"/>
          <w:lang w:bidi="ar"/>
        </w:rPr>
        <w:t>原因导致需复测，可协商调整监测价款；由于</w:t>
      </w:r>
      <w:r>
        <w:rPr>
          <w:rFonts w:hint="eastAsia" w:ascii="Times New Roman" w:hAnsi="Times New Roman" w:eastAsia="仿宋_GB2312" w:cs="仿宋_GB2312"/>
          <w:color w:val="auto"/>
          <w:sz w:val="32"/>
          <w:szCs w:val="32"/>
          <w:highlight w:val="none"/>
          <w:lang w:val="en-US" w:eastAsia="zh-CN" w:bidi="ar"/>
        </w:rPr>
        <w:t>成交人</w:t>
      </w:r>
      <w:r>
        <w:rPr>
          <w:rFonts w:hint="eastAsia" w:ascii="Times New Roman" w:hAnsi="Times New Roman" w:eastAsia="仿宋_GB2312" w:cs="仿宋_GB2312"/>
          <w:color w:val="auto"/>
          <w:sz w:val="32"/>
          <w:szCs w:val="32"/>
          <w:highlight w:val="none"/>
          <w:lang w:bidi="ar"/>
        </w:rPr>
        <w:t>的监测报告不能达到专家评审会的要求，需部分返工，</w:t>
      </w:r>
      <w:r>
        <w:rPr>
          <w:rFonts w:hint="eastAsia" w:ascii="Times New Roman" w:hAnsi="Times New Roman" w:eastAsia="仿宋_GB2312" w:cs="仿宋_GB2312"/>
          <w:color w:val="auto"/>
          <w:sz w:val="32"/>
          <w:szCs w:val="32"/>
          <w:highlight w:val="none"/>
          <w:lang w:val="en-US" w:eastAsia="zh-CN" w:bidi="ar"/>
        </w:rPr>
        <w:t>成交人</w:t>
      </w:r>
      <w:r>
        <w:rPr>
          <w:rFonts w:hint="eastAsia" w:ascii="Times New Roman" w:hAnsi="Times New Roman" w:eastAsia="仿宋_GB2312" w:cs="仿宋_GB2312"/>
          <w:color w:val="auto"/>
          <w:sz w:val="32"/>
          <w:szCs w:val="32"/>
          <w:highlight w:val="none"/>
          <w:lang w:bidi="ar"/>
        </w:rPr>
        <w:t>不另行追加价款。</w:t>
      </w:r>
    </w:p>
    <w:p w14:paraId="0CF64F5A">
      <w:pPr>
        <w:adjustRightInd w:val="0"/>
        <w:snapToGrid w:val="0"/>
        <w:spacing w:line="560" w:lineRule="exact"/>
        <w:ind w:firstLine="640" w:firstLineChars="200"/>
        <w:outlineLvl w:val="1"/>
        <w:rPr>
          <w:rFonts w:eastAsia="黑体"/>
          <w:color w:val="auto"/>
          <w:sz w:val="32"/>
          <w:szCs w:val="32"/>
          <w:highlight w:val="none"/>
        </w:rPr>
      </w:pPr>
      <w:r>
        <w:rPr>
          <w:rFonts w:hint="eastAsia" w:ascii="Times New Roman" w:hAnsi="Times New Roman" w:eastAsia="黑体" w:cs="黑体"/>
          <w:color w:val="auto"/>
          <w:sz w:val="32"/>
          <w:szCs w:val="32"/>
          <w:highlight w:val="none"/>
          <w:lang w:bidi="ar"/>
        </w:rPr>
        <w:t>八、定标</w:t>
      </w:r>
    </w:p>
    <w:p w14:paraId="78E8AD61">
      <w:pPr>
        <w:spacing w:line="560" w:lineRule="exact"/>
        <w:ind w:firstLine="640" w:firstLineChars="20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本次项目采用询价方式进行采购，原则上以含税总价的最低报价的报价人为成交人。</w:t>
      </w:r>
    </w:p>
    <w:p w14:paraId="33382AD3">
      <w:pPr>
        <w:spacing w:line="560" w:lineRule="exact"/>
        <w:ind w:firstLine="640" w:firstLineChars="20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开标结束后由</w:t>
      </w:r>
      <w:r>
        <w:rPr>
          <w:rFonts w:hint="eastAsia" w:ascii="仿宋_GB2312" w:hAnsi="仿宋_GB2312" w:eastAsia="仿宋_GB2312" w:cs="仿宋_GB2312"/>
          <w:color w:val="auto"/>
          <w:sz w:val="32"/>
          <w:szCs w:val="32"/>
          <w:highlight w:val="none"/>
          <w:lang w:bidi="ar"/>
        </w:rPr>
        <w:t>采购人</w:t>
      </w:r>
      <w:r>
        <w:rPr>
          <w:rFonts w:hint="eastAsia" w:ascii="Times New Roman" w:hAnsi="Times New Roman" w:eastAsia="仿宋_GB2312" w:cs="仿宋_GB2312"/>
          <w:color w:val="auto"/>
          <w:sz w:val="32"/>
          <w:szCs w:val="32"/>
          <w:highlight w:val="none"/>
          <w:lang w:bidi="ar"/>
        </w:rPr>
        <w:t>将相关采购情况报</w:t>
      </w:r>
      <w:r>
        <w:rPr>
          <w:rFonts w:hint="eastAsia" w:ascii="仿宋_GB2312" w:hAnsi="仿宋_GB2312" w:eastAsia="仿宋_GB2312" w:cs="仿宋_GB2312"/>
          <w:color w:val="auto"/>
          <w:sz w:val="32"/>
          <w:szCs w:val="32"/>
          <w:highlight w:val="none"/>
          <w:lang w:bidi="ar"/>
        </w:rPr>
        <w:t>采购人</w:t>
      </w:r>
      <w:r>
        <w:rPr>
          <w:rFonts w:hint="eastAsia" w:ascii="Times New Roman" w:hAnsi="Times New Roman" w:eastAsia="仿宋_GB2312" w:cs="仿宋_GB2312"/>
          <w:color w:val="auto"/>
          <w:sz w:val="32"/>
          <w:szCs w:val="32"/>
          <w:highlight w:val="none"/>
          <w:lang w:bidi="ar"/>
        </w:rPr>
        <w:t>招标采购工作小组审定，由</w:t>
      </w:r>
      <w:r>
        <w:rPr>
          <w:rFonts w:hint="eastAsia" w:ascii="仿宋_GB2312" w:hAnsi="仿宋_GB2312" w:eastAsia="仿宋_GB2312" w:cs="仿宋_GB2312"/>
          <w:color w:val="auto"/>
          <w:sz w:val="32"/>
          <w:szCs w:val="32"/>
          <w:highlight w:val="none"/>
          <w:lang w:bidi="ar"/>
        </w:rPr>
        <w:t>采购人</w:t>
      </w:r>
      <w:r>
        <w:rPr>
          <w:rFonts w:hint="eastAsia" w:ascii="Times New Roman" w:hAnsi="Times New Roman" w:eastAsia="仿宋_GB2312" w:cs="仿宋_GB2312"/>
          <w:color w:val="auto"/>
          <w:sz w:val="32"/>
          <w:szCs w:val="32"/>
          <w:highlight w:val="none"/>
          <w:lang w:bidi="ar"/>
        </w:rPr>
        <w:t>招标采购工作小组定标。</w:t>
      </w:r>
    </w:p>
    <w:p w14:paraId="11B27403">
      <w:pPr>
        <w:spacing w:line="560" w:lineRule="exact"/>
        <w:ind w:firstLine="640" w:firstLineChars="20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合同签订的依据为采购文件、报价文件及补充说明等。确定成交人后，成交人在</w:t>
      </w:r>
      <w:r>
        <w:rPr>
          <w:rFonts w:ascii="Times New Roman" w:hAnsi="Times New Roman" w:eastAsia="仿宋_GB2312" w:cs="Times New Roman"/>
          <w:color w:val="auto"/>
          <w:sz w:val="32"/>
          <w:szCs w:val="32"/>
          <w:highlight w:val="none"/>
          <w:lang w:bidi="ar"/>
        </w:rPr>
        <w:t>10</w:t>
      </w:r>
      <w:r>
        <w:rPr>
          <w:rFonts w:hint="eastAsia" w:ascii="Times New Roman" w:hAnsi="Times New Roman" w:eastAsia="仿宋_GB2312" w:cs="仿宋_GB2312"/>
          <w:color w:val="auto"/>
          <w:sz w:val="32"/>
          <w:szCs w:val="32"/>
          <w:highlight w:val="none"/>
          <w:lang w:bidi="ar"/>
        </w:rPr>
        <w:t>天内与采购人签订合同（详见附件合同模板）。</w:t>
      </w:r>
    </w:p>
    <w:p w14:paraId="3442748F">
      <w:pPr>
        <w:spacing w:line="560" w:lineRule="exact"/>
        <w:ind w:firstLine="640" w:firstLineChars="20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报价人收款前需向采购人提供请款材料和开具合法有效等额的增值税专用发票，否则采购人有权拒绝付款。</w:t>
      </w:r>
    </w:p>
    <w:p w14:paraId="02DA6226">
      <w:pPr>
        <w:adjustRightInd w:val="0"/>
        <w:snapToGrid w:val="0"/>
        <w:spacing w:line="560" w:lineRule="exact"/>
        <w:ind w:firstLine="640" w:firstLineChars="200"/>
        <w:outlineLvl w:val="1"/>
        <w:rPr>
          <w:rFonts w:eastAsia="黑体"/>
          <w:color w:val="auto"/>
          <w:sz w:val="32"/>
          <w:szCs w:val="32"/>
          <w:highlight w:val="none"/>
        </w:rPr>
      </w:pPr>
      <w:r>
        <w:rPr>
          <w:rFonts w:hint="eastAsia" w:ascii="Times New Roman" w:hAnsi="Times New Roman" w:eastAsia="黑体" w:cs="黑体"/>
          <w:color w:val="auto"/>
          <w:sz w:val="32"/>
          <w:szCs w:val="32"/>
          <w:highlight w:val="none"/>
          <w:lang w:bidi="ar"/>
        </w:rPr>
        <w:t>九、采取的合同文本</w:t>
      </w:r>
    </w:p>
    <w:p w14:paraId="0DDC36B5">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合同签订的依据为询价函、响应文件及补充说明等。确定成交单位后，成交单位在</w:t>
      </w:r>
      <w:r>
        <w:rPr>
          <w:rFonts w:hint="eastAsia" w:ascii="仿宋_GB2312" w:hAnsi="仿宋_GB2312" w:eastAsia="仿宋_GB2312" w:cs="仿宋_GB2312"/>
          <w:color w:val="auto"/>
          <w:sz w:val="32"/>
          <w:szCs w:val="32"/>
          <w:highlight w:val="none"/>
          <w:u w:val="single"/>
          <w:lang w:bidi="ar"/>
        </w:rPr>
        <w:t>10</w:t>
      </w:r>
      <w:r>
        <w:rPr>
          <w:rFonts w:hint="eastAsia" w:ascii="仿宋_GB2312" w:hAnsi="仿宋_GB2312" w:eastAsia="仿宋_GB2312" w:cs="仿宋_GB2312"/>
          <w:color w:val="auto"/>
          <w:sz w:val="32"/>
          <w:szCs w:val="32"/>
          <w:highlight w:val="none"/>
          <w:lang w:bidi="ar"/>
        </w:rPr>
        <w:t>天内与采购人签订合同。</w:t>
      </w:r>
    </w:p>
    <w:p w14:paraId="55C55AAD">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响应人收款前需向采购人提供请款材料和开具合法有效等额的增值税专用发票，否则采购人有权拒绝付款。</w:t>
      </w:r>
    </w:p>
    <w:p w14:paraId="53F6F5F0">
      <w:pPr>
        <w:adjustRightInd w:val="0"/>
        <w:snapToGrid w:val="0"/>
        <w:spacing w:line="560" w:lineRule="exact"/>
        <w:ind w:firstLine="640" w:firstLineChars="200"/>
        <w:outlineLvl w:val="1"/>
        <w:rPr>
          <w:rFonts w:eastAsia="黑体"/>
          <w:color w:val="auto"/>
          <w:sz w:val="32"/>
          <w:szCs w:val="32"/>
          <w:highlight w:val="none"/>
        </w:rPr>
      </w:pPr>
      <w:r>
        <w:rPr>
          <w:rFonts w:ascii="Times New Roman" w:hAnsi="Times New Roman" w:eastAsia="黑体" w:cs="Wingdings"/>
          <w:color w:val="auto"/>
          <w:sz w:val="32"/>
          <w:szCs w:val="32"/>
          <w:highlight w:val="none"/>
          <w:lang w:bidi="ar"/>
        </w:rPr>
        <w:sym w:font="Wingdings" w:char="00AB"/>
      </w:r>
      <w:r>
        <w:rPr>
          <w:rFonts w:hint="eastAsia" w:ascii="Times New Roman" w:hAnsi="Times New Roman" w:eastAsia="黑体" w:cs="黑体"/>
          <w:color w:val="auto"/>
          <w:sz w:val="32"/>
          <w:szCs w:val="32"/>
          <w:highlight w:val="none"/>
          <w:lang w:bidi="ar"/>
        </w:rPr>
        <w:t>十、响应文件的组成部分（响应文件本项资料如有不全，则作无效报价处理）</w:t>
      </w:r>
    </w:p>
    <w:p w14:paraId="23870F09">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1、报价函（模板，详见附件）及报价清单（自拟）（加盖公章）；</w:t>
      </w:r>
    </w:p>
    <w:p w14:paraId="38091492">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2、法人证明（模板，详见附件）以及法人身份证复印件（加盖公章）；</w:t>
      </w:r>
    </w:p>
    <w:p w14:paraId="6003A7F9">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3、法人授权书（模板，详见附件）及被委托人身份证复印件（加盖公章）（法人本人参加报价活动不需提供）；</w:t>
      </w:r>
    </w:p>
    <w:p w14:paraId="31E461A0">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4、报价人营业执照复印件（加盖公章）；</w:t>
      </w:r>
    </w:p>
    <w:p w14:paraId="5AFE010F">
      <w:pPr>
        <w:spacing w:line="560" w:lineRule="exact"/>
        <w:ind w:firstLine="640" w:firstLineChars="200"/>
        <w:rPr>
          <w:rFonts w:hint="eastAsia" w:ascii="仿宋_GB2312" w:hAnsi="仿宋_GB2312" w:eastAsia="仿宋_GB2312" w:cs="仿宋_GB2312"/>
          <w:color w:val="auto"/>
          <w:sz w:val="32"/>
          <w:szCs w:val="32"/>
          <w:highlight w:val="none"/>
          <w:lang w:bidi="ar"/>
        </w:rPr>
      </w:pPr>
      <w:r>
        <w:rPr>
          <w:rFonts w:ascii="仿宋_GB2312" w:hAnsi="仿宋_GB2312" w:eastAsia="仿宋_GB2312" w:cs="仿宋_GB2312"/>
          <w:color w:val="auto"/>
          <w:sz w:val="32"/>
          <w:szCs w:val="32"/>
          <w:highlight w:val="none"/>
          <w:lang w:bidi="ar"/>
        </w:rPr>
        <w:t>5</w:t>
      </w:r>
      <w:r>
        <w:rPr>
          <w:rFonts w:hint="eastAsia" w:ascii="仿宋_GB2312" w:hAnsi="仿宋_GB2312" w:eastAsia="仿宋_GB2312" w:cs="仿宋_GB2312"/>
          <w:color w:val="auto"/>
          <w:sz w:val="32"/>
          <w:szCs w:val="32"/>
          <w:highlight w:val="none"/>
          <w:lang w:bidi="ar"/>
        </w:rPr>
        <w:t>、</w:t>
      </w:r>
      <w:r>
        <w:rPr>
          <w:rFonts w:hint="eastAsia" w:ascii="仿宋_GB2312" w:hAnsi="仿宋_GB2312" w:eastAsia="仿宋_GB2312" w:cs="仿宋_GB2312"/>
          <w:b/>
          <w:color w:val="auto"/>
          <w:sz w:val="32"/>
          <w:szCs w:val="32"/>
          <w:highlight w:val="none"/>
          <w:lang w:bidi="ar"/>
        </w:rPr>
        <w:t>响应人</w:t>
      </w:r>
      <w:r>
        <w:rPr>
          <w:rFonts w:hint="eastAsia" w:ascii="仿宋_GB2312" w:hAnsi="仿宋_GB2312" w:eastAsia="仿宋_GB2312" w:cs="仿宋_GB2312"/>
          <w:b/>
          <w:color w:val="auto"/>
          <w:sz w:val="32"/>
          <w:szCs w:val="32"/>
          <w:highlight w:val="none"/>
          <w:lang w:val="en-US" w:eastAsia="zh-CN" w:bidi="ar"/>
        </w:rPr>
        <w:t>近三年须</w:t>
      </w:r>
      <w:r>
        <w:rPr>
          <w:rFonts w:hint="eastAsia" w:ascii="仿宋_GB2312" w:hAnsi="仿宋_GB2312" w:eastAsia="仿宋_GB2312" w:cs="仿宋_GB2312"/>
          <w:b/>
          <w:color w:val="auto"/>
          <w:sz w:val="32"/>
          <w:szCs w:val="32"/>
          <w:highlight w:val="none"/>
          <w:lang w:bidi="ar"/>
        </w:rPr>
        <w:t>具备</w:t>
      </w:r>
      <w:r>
        <w:rPr>
          <w:rFonts w:hint="eastAsia" w:ascii="仿宋_GB2312" w:hAnsi="仿宋_GB2312" w:eastAsia="仿宋_GB2312" w:cs="仿宋_GB2312"/>
          <w:b/>
          <w:color w:val="auto"/>
          <w:sz w:val="32"/>
          <w:szCs w:val="32"/>
          <w:highlight w:val="none"/>
          <w:lang w:val="en-US" w:eastAsia="zh-CN" w:bidi="ar"/>
        </w:rPr>
        <w:t>1</w:t>
      </w:r>
      <w:r>
        <w:rPr>
          <w:rFonts w:hint="eastAsia" w:ascii="仿宋_GB2312" w:hAnsi="仿宋_GB2312" w:eastAsia="仿宋_GB2312" w:cs="仿宋_GB2312"/>
          <w:b/>
          <w:color w:val="auto"/>
          <w:sz w:val="32"/>
          <w:szCs w:val="32"/>
          <w:highlight w:val="none"/>
          <w:lang w:bidi="ar"/>
        </w:rPr>
        <w:t>项</w:t>
      </w:r>
      <w:r>
        <w:rPr>
          <w:rFonts w:hint="eastAsia" w:ascii="仿宋_GB2312" w:hAnsi="仿宋_GB2312" w:eastAsia="仿宋_GB2312" w:cs="仿宋_GB2312"/>
          <w:b/>
          <w:color w:val="auto"/>
          <w:sz w:val="32"/>
          <w:szCs w:val="32"/>
          <w:highlight w:val="none"/>
          <w:lang w:val="en-US" w:eastAsia="zh-CN" w:bidi="ar"/>
        </w:rPr>
        <w:t>或</w:t>
      </w:r>
      <w:r>
        <w:rPr>
          <w:rFonts w:hint="eastAsia" w:ascii="仿宋_GB2312" w:hAnsi="仿宋_GB2312" w:eastAsia="仿宋_GB2312" w:cs="仿宋_GB2312"/>
          <w:b/>
          <w:color w:val="auto"/>
          <w:sz w:val="32"/>
          <w:szCs w:val="32"/>
          <w:highlight w:val="none"/>
          <w:lang w:bidi="ar"/>
        </w:rPr>
        <w:t>以上危险废物处理处置或收集项目的</w:t>
      </w:r>
      <w:r>
        <w:rPr>
          <w:rFonts w:hint="eastAsia" w:ascii="仿宋_GB2312" w:hAnsi="仿宋_GB2312" w:eastAsia="仿宋_GB2312" w:cs="仿宋_GB2312"/>
          <w:b/>
          <w:color w:val="auto"/>
          <w:sz w:val="32"/>
          <w:szCs w:val="32"/>
          <w:highlight w:val="none"/>
          <w:lang w:val="en-US" w:eastAsia="zh-CN" w:bidi="ar"/>
        </w:rPr>
        <w:t>已完成履约的</w:t>
      </w:r>
      <w:r>
        <w:rPr>
          <w:rFonts w:hint="eastAsia" w:ascii="仿宋_GB2312" w:hAnsi="仿宋_GB2312" w:eastAsia="仿宋_GB2312" w:cs="仿宋_GB2312"/>
          <w:b/>
          <w:color w:val="auto"/>
          <w:sz w:val="32"/>
          <w:szCs w:val="32"/>
          <w:highlight w:val="none"/>
          <w:lang w:bidi="ar"/>
        </w:rPr>
        <w:t>竣工环保验收办理业绩</w:t>
      </w:r>
      <w:r>
        <w:rPr>
          <w:rFonts w:hint="eastAsia" w:ascii="仿宋_GB2312" w:hAnsi="仿宋_GB2312" w:eastAsia="仿宋_GB2312" w:cs="仿宋_GB2312"/>
          <w:color w:val="auto"/>
          <w:sz w:val="32"/>
          <w:szCs w:val="32"/>
          <w:highlight w:val="none"/>
          <w:lang w:bidi="ar"/>
        </w:rPr>
        <w:t>【业绩不少于</w:t>
      </w:r>
      <w:r>
        <w:rPr>
          <w:rFonts w:hint="eastAsia" w:ascii="仿宋_GB2312" w:hAnsi="仿宋_GB2312" w:eastAsia="仿宋_GB2312" w:cs="仿宋_GB2312"/>
          <w:color w:val="auto"/>
          <w:sz w:val="32"/>
          <w:szCs w:val="32"/>
          <w:highlight w:val="none"/>
          <w:lang w:val="en-US" w:eastAsia="zh-CN" w:bidi="ar"/>
        </w:rPr>
        <w:t>1</w:t>
      </w:r>
      <w:r>
        <w:rPr>
          <w:rFonts w:hint="eastAsia" w:ascii="仿宋_GB2312" w:hAnsi="仿宋_GB2312" w:eastAsia="仿宋_GB2312" w:cs="仿宋_GB2312"/>
          <w:color w:val="auto"/>
          <w:sz w:val="32"/>
          <w:szCs w:val="32"/>
          <w:highlight w:val="none"/>
          <w:lang w:bidi="ar"/>
        </w:rPr>
        <w:t>个，提供过往</w:t>
      </w:r>
      <w:r>
        <w:rPr>
          <w:rFonts w:hint="eastAsia" w:ascii="仿宋_GB2312" w:hAnsi="仿宋_GB2312" w:eastAsia="仿宋_GB2312" w:cs="仿宋_GB2312"/>
          <w:b/>
          <w:color w:val="auto"/>
          <w:sz w:val="32"/>
          <w:szCs w:val="32"/>
          <w:highlight w:val="none"/>
          <w:lang w:val="en-US" w:eastAsia="zh-CN" w:bidi="ar"/>
        </w:rPr>
        <w:t>已完成履约的</w:t>
      </w:r>
      <w:r>
        <w:rPr>
          <w:rFonts w:hint="eastAsia" w:ascii="仿宋_GB2312" w:hAnsi="仿宋_GB2312" w:eastAsia="仿宋_GB2312" w:cs="仿宋_GB2312"/>
          <w:b/>
          <w:color w:val="auto"/>
          <w:sz w:val="32"/>
          <w:szCs w:val="32"/>
          <w:highlight w:val="none"/>
          <w:lang w:bidi="ar"/>
        </w:rPr>
        <w:t>业绩合同</w:t>
      </w:r>
      <w:r>
        <w:rPr>
          <w:rFonts w:hint="eastAsia" w:ascii="仿宋_GB2312" w:hAnsi="仿宋_GB2312" w:eastAsia="仿宋_GB2312" w:cs="仿宋_GB2312"/>
          <w:color w:val="auto"/>
          <w:sz w:val="32"/>
          <w:szCs w:val="32"/>
          <w:highlight w:val="none"/>
          <w:lang w:bidi="ar"/>
        </w:rPr>
        <w:t>主要页复印件（包含但不限于合同首页、合同金额页、合同盖章签字页等）和该项目任意一期已开具的</w:t>
      </w:r>
      <w:r>
        <w:rPr>
          <w:rFonts w:hint="eastAsia" w:ascii="仿宋_GB2312" w:hAnsi="仿宋_GB2312" w:eastAsia="仿宋_GB2312" w:cs="仿宋_GB2312"/>
          <w:b/>
          <w:color w:val="auto"/>
          <w:sz w:val="32"/>
          <w:szCs w:val="32"/>
          <w:highlight w:val="none"/>
          <w:lang w:bidi="ar"/>
        </w:rPr>
        <w:t>发票复印件</w:t>
      </w:r>
      <w:r>
        <w:rPr>
          <w:rFonts w:hint="eastAsia" w:ascii="仿宋_GB2312" w:hAnsi="仿宋_GB2312" w:eastAsia="仿宋_GB2312" w:cs="仿宋_GB2312"/>
          <w:color w:val="auto"/>
          <w:sz w:val="32"/>
          <w:szCs w:val="32"/>
          <w:highlight w:val="none"/>
          <w:lang w:bidi="ar"/>
        </w:rPr>
        <w:t>（加盖公章）】；</w:t>
      </w:r>
    </w:p>
    <w:p w14:paraId="1D12E6C2">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bidi="ar"/>
        </w:rPr>
        <w:t>6、响应人须提供投标截止日前6个月内任意1个月依法缴纳税收及无欠税的证明材料。如依法免税的，须提供相应证明材料。（证明材料须加盖公章）。</w:t>
      </w:r>
    </w:p>
    <w:p w14:paraId="36F5478C">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bidi="ar"/>
        </w:rPr>
        <w:t>7</w:t>
      </w:r>
      <w:r>
        <w:rPr>
          <w:rFonts w:hint="eastAsia" w:ascii="仿宋_GB2312" w:hAnsi="仿宋_GB2312" w:eastAsia="仿宋_GB2312" w:cs="仿宋_GB2312"/>
          <w:color w:val="auto"/>
          <w:sz w:val="32"/>
          <w:szCs w:val="32"/>
          <w:highlight w:val="none"/>
          <w:lang w:bidi="ar"/>
        </w:rPr>
        <w:t>、本项目采购文件要求或报价人认为应补充的其他资料（如有）。</w:t>
      </w:r>
    </w:p>
    <w:p w14:paraId="24E74620">
      <w:pPr>
        <w:adjustRightInd w:val="0"/>
        <w:snapToGrid w:val="0"/>
        <w:spacing w:line="560" w:lineRule="exact"/>
        <w:ind w:firstLine="640" w:firstLineChars="200"/>
        <w:rPr>
          <w:rFonts w:eastAsia="黑体"/>
          <w:color w:val="auto"/>
          <w:sz w:val="32"/>
          <w:szCs w:val="32"/>
          <w:highlight w:val="none"/>
        </w:rPr>
      </w:pPr>
      <w:r>
        <w:rPr>
          <w:rFonts w:hint="eastAsia" w:ascii="仿宋" w:hAnsi="仿宋" w:eastAsia="仿宋" w:cs="仿宋"/>
          <w:color w:val="auto"/>
          <w:sz w:val="32"/>
          <w:szCs w:val="32"/>
          <w:highlight w:val="none"/>
          <w:lang w:bidi="ar"/>
        </w:rPr>
        <w:t>★</w:t>
      </w:r>
      <w:r>
        <w:rPr>
          <w:rFonts w:hint="eastAsia" w:ascii="Times New Roman" w:hAnsi="Times New Roman" w:eastAsia="黑体" w:cs="黑体"/>
          <w:color w:val="auto"/>
          <w:sz w:val="32"/>
          <w:szCs w:val="32"/>
          <w:highlight w:val="none"/>
          <w:lang w:bidi="ar"/>
        </w:rPr>
        <w:t>十一、响应文件要求</w:t>
      </w:r>
    </w:p>
    <w:p w14:paraId="0941D276">
      <w:pPr>
        <w:pStyle w:val="6"/>
        <w:widowControl/>
        <w:spacing w:after="0"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本项目实行线上投标方式，报价人需严格按照要求进行报价。</w:t>
      </w:r>
    </w:p>
    <w:p w14:paraId="5A0F2D57">
      <w:pPr>
        <w:pStyle w:val="6"/>
        <w:widowControl/>
        <w:spacing w:after="0" w:line="560" w:lineRule="exact"/>
        <w:ind w:firstLine="643" w:firstLineChars="200"/>
        <w:rPr>
          <w:rFonts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（一）线上投标</w:t>
      </w:r>
    </w:p>
    <w:p w14:paraId="31425E4F">
      <w:pPr>
        <w:pStyle w:val="6"/>
        <w:widowControl/>
        <w:spacing w:after="0" w:line="560" w:lineRule="exact"/>
        <w:ind w:firstLine="640" w:firstLineChars="200"/>
        <w:rPr>
          <w:rFonts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sz w:val="32"/>
          <w:szCs w:val="32"/>
          <w:highlight w:val="none"/>
        </w:rPr>
        <w:t>1、平台登录：广东东实环境股份有限公司官网（http://dshuanbao.com.cn/）→招标采购→招采平台→供应商注册→填写（点击下一步，完善供应商信息）→注册成功→返回招采平台主界面登录→投标。</w:t>
      </w:r>
      <w:r>
        <w:rPr>
          <w:rFonts w:hint="eastAsia" w:ascii="仿宋_GB2312" w:hAnsi="仿宋_GB2312" w:eastAsia="仿宋_GB2312" w:cs="仿宋_GB2312"/>
          <w:b/>
          <w:color w:val="auto"/>
          <w:sz w:val="32"/>
          <w:szCs w:val="32"/>
          <w:highlight w:val="none"/>
        </w:rPr>
        <w:t>（详见附件供应商操作指引）</w:t>
      </w:r>
    </w:p>
    <w:p w14:paraId="08CD95A4">
      <w:pPr>
        <w:pStyle w:val="6"/>
        <w:widowControl/>
        <w:spacing w:after="0"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2、报价人须严格按照系统提示要求提供资料并进行报价。</w:t>
      </w:r>
    </w:p>
    <w:p w14:paraId="43B5C7BA">
      <w:pPr>
        <w:pStyle w:val="6"/>
        <w:widowControl/>
        <w:spacing w:after="0" w:line="560" w:lineRule="exact"/>
        <w:ind w:firstLine="643" w:firstLineChars="200"/>
        <w:rPr>
          <w:rFonts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（二）报价文件编制要求：</w:t>
      </w:r>
    </w:p>
    <w:p w14:paraId="22833582">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1、报价人须严格按照招标平台采购人提供的表单格式及要求报价，</w:t>
      </w:r>
      <w:r>
        <w:rPr>
          <w:rFonts w:hint="eastAsia" w:ascii="仿宋_GB2312" w:hAnsi="仿宋_GB2312" w:eastAsia="仿宋_GB2312" w:cs="仿宋_GB2312"/>
          <w:b/>
          <w:color w:val="auto"/>
          <w:sz w:val="32"/>
          <w:szCs w:val="32"/>
          <w:highlight w:val="none"/>
          <w:lang w:bidi="ar"/>
        </w:rPr>
        <w:t>响应文件必须每页加盖公章</w:t>
      </w:r>
      <w:r>
        <w:rPr>
          <w:rFonts w:hint="eastAsia" w:ascii="仿宋_GB2312" w:hAnsi="仿宋_GB2312" w:eastAsia="仿宋_GB2312" w:cs="仿宋_GB2312"/>
          <w:color w:val="auto"/>
          <w:sz w:val="32"/>
          <w:szCs w:val="32"/>
          <w:highlight w:val="none"/>
          <w:lang w:bidi="ar"/>
        </w:rPr>
        <w:t>，</w:t>
      </w:r>
      <w:r>
        <w:rPr>
          <w:rFonts w:hint="eastAsia" w:ascii="仿宋_GB2312" w:hAnsi="仿宋_GB2312" w:eastAsia="仿宋_GB2312" w:cs="仿宋_GB2312"/>
          <w:b/>
          <w:color w:val="auto"/>
          <w:sz w:val="32"/>
          <w:szCs w:val="32"/>
          <w:highlight w:val="none"/>
          <w:lang w:bidi="ar"/>
        </w:rPr>
        <w:t>以PDF形式上传到线上招采平台。</w:t>
      </w:r>
    </w:p>
    <w:p w14:paraId="4E0D66AB">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2、报价文件必须按要求加密。</w:t>
      </w:r>
    </w:p>
    <w:p w14:paraId="377592E0">
      <w:pPr>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3、不符合本项要求的报价文件为</w:t>
      </w:r>
      <w:r>
        <w:rPr>
          <w:rFonts w:hint="eastAsia" w:ascii="仿宋_GB2312" w:hAnsi="仿宋_GB2312" w:eastAsia="仿宋_GB2312" w:cs="仿宋_GB2312"/>
          <w:b/>
          <w:color w:val="auto"/>
          <w:sz w:val="32"/>
          <w:szCs w:val="32"/>
          <w:highlight w:val="none"/>
          <w:lang w:bidi="ar"/>
        </w:rPr>
        <w:t>无效报价</w:t>
      </w:r>
      <w:r>
        <w:rPr>
          <w:rFonts w:hint="eastAsia" w:ascii="仿宋_GB2312" w:hAnsi="仿宋_GB2312" w:eastAsia="仿宋_GB2312" w:cs="仿宋_GB2312"/>
          <w:color w:val="auto"/>
          <w:sz w:val="32"/>
          <w:szCs w:val="32"/>
          <w:highlight w:val="none"/>
          <w:lang w:bidi="ar"/>
        </w:rPr>
        <w:t>。</w:t>
      </w:r>
    </w:p>
    <w:p w14:paraId="2700AFC6">
      <w:pPr>
        <w:adjustRightInd w:val="0"/>
        <w:snapToGrid w:val="0"/>
        <w:spacing w:line="560" w:lineRule="exact"/>
        <w:ind w:firstLine="640" w:firstLineChars="200"/>
        <w:rPr>
          <w:rFonts w:eastAsia="仿宋_GB2312"/>
          <w:b/>
          <w:color w:val="auto"/>
          <w:sz w:val="32"/>
          <w:szCs w:val="32"/>
          <w:highlight w:val="none"/>
        </w:rPr>
      </w:pPr>
      <w:r>
        <w:rPr>
          <w:rFonts w:hint="eastAsia" w:ascii="黑体" w:hAnsi="宋体" w:eastAsia="黑体" w:cs="黑体"/>
          <w:color w:val="auto"/>
          <w:sz w:val="32"/>
          <w:szCs w:val="32"/>
          <w:highlight w:val="none"/>
          <w:lang w:bidi="ar"/>
        </w:rPr>
        <w:t>十二、保证金金额及缴纳方式</w:t>
      </w:r>
    </w:p>
    <w:p w14:paraId="1B3258C6">
      <w:pPr>
        <w:spacing w:line="560" w:lineRule="exact"/>
        <w:ind w:firstLine="640" w:firstLineChars="200"/>
        <w:outlineLvl w:val="9"/>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val="en-US" w:eastAsia="zh-CN" w:bidi="ar"/>
        </w:rPr>
        <w:t>投标保证金：</w:t>
      </w:r>
      <w:r>
        <w:rPr>
          <w:rFonts w:hint="eastAsia" w:ascii="仿宋_GB2312" w:hAnsi="仿宋_GB2312" w:eastAsia="仿宋_GB2312" w:cs="仿宋_GB2312"/>
          <w:color w:val="auto"/>
          <w:sz w:val="32"/>
          <w:szCs w:val="32"/>
          <w:highlight w:val="none"/>
          <w:lang w:bidi="ar"/>
        </w:rPr>
        <w:t>¥</w:t>
      </w:r>
      <w:r>
        <w:rPr>
          <w:rFonts w:hint="eastAsia" w:ascii="仿宋_GB2312" w:hAnsi="仿宋_GB2312" w:eastAsia="仿宋_GB2312" w:cs="仿宋_GB2312"/>
          <w:color w:val="auto"/>
          <w:sz w:val="32"/>
          <w:szCs w:val="32"/>
          <w:highlight w:val="none"/>
          <w:lang w:val="en-US" w:eastAsia="zh-CN" w:bidi="ar"/>
        </w:rPr>
        <w:t>4</w:t>
      </w:r>
      <w:r>
        <w:rPr>
          <w:rFonts w:hint="eastAsia" w:ascii="仿宋_GB2312" w:hAnsi="仿宋_GB2312" w:eastAsia="仿宋_GB2312" w:cs="仿宋_GB2312"/>
          <w:color w:val="auto"/>
          <w:sz w:val="32"/>
          <w:szCs w:val="32"/>
          <w:highlight w:val="none"/>
          <w:lang w:bidi="ar"/>
        </w:rPr>
        <w:t>,</w:t>
      </w:r>
      <w:r>
        <w:rPr>
          <w:rFonts w:hint="eastAsia" w:ascii="仿宋_GB2312" w:hAnsi="仿宋_GB2312" w:eastAsia="仿宋_GB2312" w:cs="仿宋_GB2312"/>
          <w:color w:val="auto"/>
          <w:sz w:val="32"/>
          <w:szCs w:val="32"/>
          <w:highlight w:val="none"/>
          <w:lang w:val="en-US" w:eastAsia="zh-CN" w:bidi="ar"/>
        </w:rPr>
        <w:t>3</w:t>
      </w:r>
      <w:r>
        <w:rPr>
          <w:rFonts w:hint="eastAsia" w:ascii="仿宋_GB2312" w:hAnsi="仿宋_GB2312" w:eastAsia="仿宋_GB2312" w:cs="仿宋_GB2312"/>
          <w:color w:val="auto"/>
          <w:sz w:val="32"/>
          <w:szCs w:val="32"/>
          <w:highlight w:val="none"/>
          <w:lang w:bidi="ar"/>
        </w:rPr>
        <w:t>00.00元</w:t>
      </w:r>
    </w:p>
    <w:p w14:paraId="12ABB3A6">
      <w:pPr>
        <w:spacing w:line="560" w:lineRule="exact"/>
        <w:ind w:firstLine="640" w:firstLineChars="200"/>
        <w:outlineLvl w:val="9"/>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val="en-US" w:eastAsia="zh-CN" w:bidi="ar"/>
        </w:rPr>
        <w:t>1、</w:t>
      </w:r>
      <w:r>
        <w:rPr>
          <w:rFonts w:hint="eastAsia" w:ascii="仿宋_GB2312" w:hAnsi="仿宋_GB2312" w:eastAsia="仿宋_GB2312" w:cs="仿宋_GB2312"/>
          <w:color w:val="auto"/>
          <w:sz w:val="32"/>
          <w:szCs w:val="32"/>
          <w:highlight w:val="none"/>
          <w:lang w:bidi="ar"/>
        </w:rPr>
        <w:t>响应人须</w:t>
      </w:r>
      <w:r>
        <w:rPr>
          <w:rFonts w:hint="eastAsia" w:ascii="仿宋_GB2312" w:hAnsi="仿宋_GB2312" w:eastAsia="仿宋_GB2312" w:cs="仿宋_GB2312"/>
          <w:color w:val="auto"/>
          <w:sz w:val="32"/>
          <w:szCs w:val="32"/>
          <w:highlight w:val="none"/>
          <w:lang w:val="en-US" w:eastAsia="zh-CN" w:bidi="ar"/>
        </w:rPr>
        <w:t>在开标前按以上标包</w:t>
      </w:r>
      <w:r>
        <w:rPr>
          <w:rFonts w:hint="eastAsia" w:ascii="仿宋_GB2312" w:hAnsi="仿宋_GB2312" w:eastAsia="仿宋_GB2312" w:cs="仿宋_GB2312"/>
          <w:color w:val="auto"/>
          <w:sz w:val="32"/>
          <w:szCs w:val="32"/>
          <w:highlight w:val="none"/>
          <w:lang w:bidi="ar"/>
        </w:rPr>
        <w:t>缴纳</w:t>
      </w:r>
      <w:r>
        <w:rPr>
          <w:rFonts w:hint="eastAsia" w:ascii="仿宋_GB2312" w:hAnsi="仿宋_GB2312" w:eastAsia="仿宋_GB2312" w:cs="仿宋_GB2312"/>
          <w:color w:val="auto"/>
          <w:sz w:val="32"/>
          <w:szCs w:val="32"/>
          <w:highlight w:val="none"/>
          <w:lang w:val="en-US" w:eastAsia="zh-CN" w:bidi="ar"/>
        </w:rPr>
        <w:t>对应金额</w:t>
      </w:r>
      <w:r>
        <w:rPr>
          <w:rFonts w:hint="eastAsia" w:ascii="仿宋_GB2312" w:hAnsi="仿宋_GB2312" w:eastAsia="仿宋_GB2312" w:cs="仿宋_GB2312"/>
          <w:color w:val="auto"/>
          <w:sz w:val="32"/>
          <w:szCs w:val="32"/>
          <w:highlight w:val="none"/>
          <w:lang w:bidi="ar"/>
        </w:rPr>
        <w:t>作为报价保证金，报价保证金作为响应文件的组成部分。响应人与交款人名称必须一致，非响应人缴纳的报价保证金无效。未成交人的报价保证金在定标结束后无息退还，成交人报价保证金不退还，在双方签订合同后转为履约保证金，作为成交人在履约过程中违约金或罚款的扣罚来源之一。履约保证金申请返还时间为完成所有供货、安装及验收合格后，采购人一次性无息退回。</w:t>
      </w:r>
    </w:p>
    <w:p w14:paraId="593C338A">
      <w:pPr>
        <w:spacing w:line="560" w:lineRule="exact"/>
        <w:ind w:firstLine="640" w:firstLineChars="200"/>
        <w:outlineLvl w:val="9"/>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2、报价保证金收款账户信息：</w:t>
      </w:r>
    </w:p>
    <w:p w14:paraId="2AB6B14F">
      <w:pPr>
        <w:spacing w:line="560" w:lineRule="exact"/>
        <w:ind w:firstLine="640" w:firstLineChars="200"/>
        <w:outlineLvl w:val="9"/>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账户名称：东莞市新东欣环保投资有限公司</w:t>
      </w:r>
    </w:p>
    <w:p w14:paraId="17623EB2">
      <w:pPr>
        <w:spacing w:line="560" w:lineRule="exact"/>
        <w:ind w:firstLine="640" w:firstLineChars="200"/>
        <w:outlineLvl w:val="9"/>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开户银行：中信银行股份有限公司东莞麻涌支行</w:t>
      </w:r>
    </w:p>
    <w:p w14:paraId="0ECF3F43">
      <w:pPr>
        <w:spacing w:line="560" w:lineRule="exact"/>
        <w:ind w:firstLine="640" w:firstLineChars="200"/>
        <w:outlineLvl w:val="9"/>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银行账号：8114801014200219007</w:t>
      </w:r>
    </w:p>
    <w:p w14:paraId="02D96AE2">
      <w:pPr>
        <w:spacing w:line="600" w:lineRule="exact"/>
        <w:ind w:firstLine="640" w:firstLineChars="200"/>
        <w:rPr>
          <w:rFonts w:hint="eastAsia" w:ascii="仿宋_GB2312" w:hAnsi="仿宋_GB2312" w:eastAsia="仿宋_GB2312" w:cs="仿宋_GB2312"/>
          <w:bCs/>
          <w:color w:val="auto"/>
          <w:sz w:val="32"/>
          <w:szCs w:val="32"/>
          <w:highlight w:val="none"/>
          <w:lang w:bidi="ar"/>
        </w:rPr>
      </w:pPr>
    </w:p>
    <w:p w14:paraId="432499FB">
      <w:pPr>
        <w:adjustRightInd w:val="0"/>
        <w:snapToGrid w:val="0"/>
        <w:spacing w:line="560" w:lineRule="exact"/>
        <w:ind w:firstLine="640" w:firstLineChars="200"/>
        <w:rPr>
          <w:rFonts w:eastAsia="黑体"/>
          <w:color w:val="auto"/>
          <w:sz w:val="32"/>
          <w:szCs w:val="32"/>
          <w:highlight w:val="none"/>
        </w:rPr>
      </w:pPr>
      <w:r>
        <w:rPr>
          <w:rFonts w:hint="eastAsia" w:ascii="Times New Roman" w:hAnsi="Times New Roman" w:eastAsia="黑体" w:cs="黑体"/>
          <w:color w:val="auto"/>
          <w:sz w:val="32"/>
          <w:szCs w:val="32"/>
          <w:highlight w:val="none"/>
          <w:lang w:bidi="ar"/>
        </w:rPr>
        <w:t>十三、开标时间及地址</w:t>
      </w:r>
    </w:p>
    <w:p w14:paraId="12817019">
      <w:pPr>
        <w:adjustRightInd w:val="0"/>
        <w:snapToGrid w:val="0"/>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bidi="ar"/>
        </w:rPr>
        <w:t>开标时间：202</w:t>
      </w:r>
      <w:r>
        <w:rPr>
          <w:rFonts w:hint="eastAsia" w:ascii="仿宋_GB2312" w:hAnsi="仿宋_GB2312" w:eastAsia="仿宋_GB2312" w:cs="仿宋_GB2312"/>
          <w:bCs/>
          <w:color w:val="auto"/>
          <w:sz w:val="32"/>
          <w:szCs w:val="32"/>
          <w:highlight w:val="none"/>
          <w:lang w:val="en-US" w:eastAsia="zh-CN" w:bidi="ar"/>
        </w:rPr>
        <w:t>5</w:t>
      </w:r>
      <w:r>
        <w:rPr>
          <w:rFonts w:hint="eastAsia" w:ascii="仿宋_GB2312" w:hAnsi="仿宋_GB2312" w:eastAsia="仿宋_GB2312" w:cs="仿宋_GB2312"/>
          <w:bCs/>
          <w:color w:val="auto"/>
          <w:sz w:val="32"/>
          <w:szCs w:val="32"/>
          <w:highlight w:val="none"/>
          <w:lang w:bidi="ar"/>
        </w:rPr>
        <w:t>年</w:t>
      </w:r>
      <w:r>
        <w:rPr>
          <w:rFonts w:hint="eastAsia" w:ascii="仿宋_GB2312" w:hAnsi="仿宋_GB2312" w:eastAsia="仿宋_GB2312" w:cs="仿宋_GB2312"/>
          <w:bCs/>
          <w:color w:val="auto"/>
          <w:sz w:val="32"/>
          <w:szCs w:val="32"/>
          <w:highlight w:val="none"/>
          <w:lang w:val="en-US" w:eastAsia="zh-CN" w:bidi="ar"/>
        </w:rPr>
        <w:t>10</w:t>
      </w:r>
      <w:r>
        <w:rPr>
          <w:rFonts w:hint="eastAsia" w:ascii="仿宋_GB2312" w:hAnsi="仿宋_GB2312" w:eastAsia="仿宋_GB2312" w:cs="仿宋_GB2312"/>
          <w:bCs/>
          <w:color w:val="auto"/>
          <w:sz w:val="32"/>
          <w:szCs w:val="32"/>
          <w:highlight w:val="none"/>
          <w:lang w:bidi="ar"/>
        </w:rPr>
        <w:t>月</w:t>
      </w:r>
      <w:r>
        <w:rPr>
          <w:rFonts w:hint="eastAsia" w:ascii="仿宋_GB2312" w:hAnsi="仿宋_GB2312" w:eastAsia="仿宋_GB2312" w:cs="仿宋_GB2312"/>
          <w:bCs/>
          <w:color w:val="auto"/>
          <w:sz w:val="32"/>
          <w:szCs w:val="32"/>
          <w:highlight w:val="none"/>
          <w:lang w:val="en-US" w:eastAsia="zh-CN" w:bidi="ar"/>
        </w:rPr>
        <w:t>22</w:t>
      </w:r>
      <w:r>
        <w:rPr>
          <w:rFonts w:hint="eastAsia" w:ascii="仿宋_GB2312" w:hAnsi="仿宋_GB2312" w:eastAsia="仿宋_GB2312" w:cs="仿宋_GB2312"/>
          <w:bCs/>
          <w:color w:val="auto"/>
          <w:sz w:val="32"/>
          <w:szCs w:val="32"/>
          <w:highlight w:val="none"/>
          <w:lang w:bidi="ar"/>
        </w:rPr>
        <w:t>日（星期</w:t>
      </w:r>
      <w:r>
        <w:rPr>
          <w:rFonts w:hint="eastAsia" w:ascii="仿宋_GB2312" w:hAnsi="仿宋_GB2312" w:eastAsia="仿宋_GB2312" w:cs="仿宋_GB2312"/>
          <w:bCs/>
          <w:color w:val="auto"/>
          <w:sz w:val="32"/>
          <w:szCs w:val="32"/>
          <w:highlight w:val="none"/>
          <w:lang w:val="en-US" w:eastAsia="zh-CN" w:bidi="ar"/>
        </w:rPr>
        <w:t>三</w:t>
      </w:r>
      <w:r>
        <w:rPr>
          <w:rFonts w:hint="eastAsia" w:ascii="仿宋_GB2312" w:hAnsi="仿宋_GB2312" w:eastAsia="仿宋_GB2312" w:cs="仿宋_GB2312"/>
          <w:bCs/>
          <w:color w:val="auto"/>
          <w:sz w:val="32"/>
          <w:szCs w:val="32"/>
          <w:highlight w:val="none"/>
          <w:lang w:bidi="ar"/>
        </w:rPr>
        <w:t>）上午1</w:t>
      </w:r>
      <w:r>
        <w:rPr>
          <w:rFonts w:hint="eastAsia" w:ascii="仿宋_GB2312" w:hAnsi="仿宋_GB2312" w:eastAsia="仿宋_GB2312" w:cs="仿宋_GB2312"/>
          <w:bCs/>
          <w:color w:val="auto"/>
          <w:sz w:val="32"/>
          <w:szCs w:val="32"/>
          <w:highlight w:val="none"/>
          <w:lang w:val="en-US" w:eastAsia="zh-CN" w:bidi="ar"/>
        </w:rPr>
        <w:t>0</w:t>
      </w:r>
      <w:r>
        <w:rPr>
          <w:rFonts w:hint="eastAsia" w:ascii="仿宋_GB2312" w:hAnsi="仿宋_GB2312" w:eastAsia="仿宋_GB2312" w:cs="仿宋_GB2312"/>
          <w:bCs/>
          <w:color w:val="auto"/>
          <w:sz w:val="32"/>
          <w:szCs w:val="32"/>
          <w:highlight w:val="none"/>
          <w:lang w:bidi="ar"/>
        </w:rPr>
        <w:t>:</w:t>
      </w:r>
      <w:r>
        <w:rPr>
          <w:rFonts w:hint="eastAsia" w:ascii="仿宋_GB2312" w:hAnsi="仿宋_GB2312" w:eastAsia="仿宋_GB2312" w:cs="仿宋_GB2312"/>
          <w:bCs/>
          <w:color w:val="auto"/>
          <w:sz w:val="32"/>
          <w:szCs w:val="32"/>
          <w:highlight w:val="none"/>
          <w:lang w:val="en-US" w:eastAsia="zh-CN" w:bidi="ar"/>
        </w:rPr>
        <w:t>0</w:t>
      </w:r>
      <w:r>
        <w:rPr>
          <w:rFonts w:hint="eastAsia" w:ascii="仿宋_GB2312" w:hAnsi="仿宋_GB2312" w:eastAsia="仿宋_GB2312" w:cs="仿宋_GB2312"/>
          <w:bCs/>
          <w:color w:val="auto"/>
          <w:sz w:val="32"/>
          <w:szCs w:val="32"/>
          <w:highlight w:val="none"/>
          <w:lang w:bidi="ar"/>
        </w:rPr>
        <w:t>0。</w:t>
      </w:r>
    </w:p>
    <w:p w14:paraId="0FA6D128">
      <w:pPr>
        <w:adjustRightInd w:val="0"/>
        <w:snapToGrid w:val="0"/>
        <w:spacing w:line="560" w:lineRule="exact"/>
        <w:ind w:firstLine="640" w:firstLineChars="200"/>
        <w:rPr>
          <w:rFonts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bidi="ar"/>
        </w:rPr>
        <w:t>开标地址：广东东实环境股份有限公司线上招采平台。</w:t>
      </w:r>
    </w:p>
    <w:p w14:paraId="2C8DCDD6">
      <w:pPr>
        <w:adjustRightInd w:val="0"/>
        <w:snapToGrid w:val="0"/>
        <w:spacing w:line="560" w:lineRule="exact"/>
        <w:ind w:firstLine="640" w:firstLineChars="200"/>
        <w:rPr>
          <w:rFonts w:eastAsia="黑体"/>
          <w:color w:val="auto"/>
          <w:sz w:val="32"/>
          <w:szCs w:val="32"/>
          <w:highlight w:val="none"/>
        </w:rPr>
      </w:pPr>
      <w:r>
        <w:rPr>
          <w:rFonts w:hint="eastAsia" w:ascii="Times New Roman" w:hAnsi="Times New Roman" w:eastAsia="黑体" w:cs="黑体"/>
          <w:color w:val="auto"/>
          <w:sz w:val="32"/>
          <w:szCs w:val="32"/>
          <w:highlight w:val="none"/>
          <w:lang w:bidi="ar"/>
        </w:rPr>
        <w:t>十四、注意事项</w:t>
      </w:r>
    </w:p>
    <w:p w14:paraId="107AAA24">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1、若报价人未按规定时间进行线上报价或缴纳投标保证金，视为放弃报价资格。</w:t>
      </w:r>
    </w:p>
    <w:p w14:paraId="734D5655">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2、成交人如未按要求缴纳履约保证金，则视为放弃中标资格。</w:t>
      </w:r>
    </w:p>
    <w:p w14:paraId="27C0A098">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3、采购人向报价人提供的有关资料和数据，是采购人现有的能使报价人利用的资料，采购人对报价人由此而做出的推论、理解和结论概不负责。</w:t>
      </w:r>
    </w:p>
    <w:p w14:paraId="647EC68D">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4、本项目执行过程中将遵循国家、省、市有关法律、法规、标准、技术规范和规范性文件的最新规定。</w:t>
      </w:r>
    </w:p>
    <w:p w14:paraId="450C9253">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5、本项目仅可提交一个报价方案，提交两个或以上报价方案的报价人视为无效报价。</w:t>
      </w:r>
    </w:p>
    <w:p w14:paraId="78B84F0F">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6、本项目不接受报价人其他附加条件。</w:t>
      </w:r>
    </w:p>
    <w:p w14:paraId="5A850033">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7、有下列情形之一的，保证金将被没收（如有），并纳入采购人供应商黑名单：</w:t>
      </w:r>
    </w:p>
    <w:p w14:paraId="1FC133F4">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（1）中标后无正当理由放弃中标或不与采购人签订合同。</w:t>
      </w:r>
    </w:p>
    <w:p w14:paraId="5DF3F7EE">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（2）成交人将本项目转让给他人，或者在报价文件中未说明，且未经采购人同意，将中标项目分包给他人。</w:t>
      </w:r>
    </w:p>
    <w:p w14:paraId="513A3C2F">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（3）报价人提供虚假报价文件或虚假补充文件。</w:t>
      </w:r>
    </w:p>
    <w:p w14:paraId="0263DEA0">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（4）成交人在签订合同后，未按合同约定缴纳履约保证金。</w:t>
      </w:r>
    </w:p>
    <w:p w14:paraId="180FFCC3">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8、有下列情形之一的，视为报价人串通询价，其响应无效：</w:t>
      </w:r>
    </w:p>
    <w:p w14:paraId="7247A6FD">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（1）不同报价人的响应文件由同一单位或者个人编制；</w:t>
      </w:r>
    </w:p>
    <w:p w14:paraId="6E2F8420">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（2）不同报价人委托同一单位或者个人办理响应事宜；</w:t>
      </w:r>
    </w:p>
    <w:p w14:paraId="38763C0F">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（3）不同报价人的响应文件载明的项目管理成员或者联系人员为同一人；</w:t>
      </w:r>
    </w:p>
    <w:p w14:paraId="4FB944E3">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（4）不同报价人的响应文件异常一致或者响应报价呈规律性差异；</w:t>
      </w:r>
    </w:p>
    <w:p w14:paraId="076D09EF">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（5）不同报价人的响应文件相互混装；</w:t>
      </w:r>
    </w:p>
    <w:p w14:paraId="76DF55BF">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（6）不同报价人的响应保证金从同一单位或者个人的账户转出。</w:t>
      </w:r>
    </w:p>
    <w:p w14:paraId="5A8F5ADF">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（7）不同报价人的响应IP地址一样。</w:t>
      </w:r>
    </w:p>
    <w:p w14:paraId="3DB68EFC">
      <w:pPr>
        <w:widowControl/>
        <w:spacing w:line="560" w:lineRule="exact"/>
        <w:ind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9、已列入采购人及上级单位部门黑名单的报价人视为无效报价。</w:t>
      </w:r>
    </w:p>
    <w:p w14:paraId="2EA31052">
      <w:pPr>
        <w:pStyle w:val="6"/>
        <w:widowControl/>
        <w:rPr>
          <w:rFonts w:ascii="仿宋_GB2312" w:hAnsi="仿宋_GB2312" w:eastAsia="仿宋_GB2312" w:cs="仿宋_GB2312"/>
          <w:color w:val="auto"/>
          <w:sz w:val="32"/>
          <w:szCs w:val="32"/>
          <w:highlight w:val="none"/>
        </w:rPr>
      </w:pPr>
    </w:p>
    <w:p w14:paraId="4F2FC518">
      <w:pPr>
        <w:spacing w:line="560" w:lineRule="exact"/>
        <w:ind w:firstLine="640" w:firstLineChars="200"/>
        <w:jc w:val="right"/>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bidi="ar"/>
        </w:rPr>
        <w:t>东莞市新东欣环保投资有限公司</w:t>
      </w:r>
    </w:p>
    <w:p w14:paraId="09282DCD">
      <w:pPr>
        <w:spacing w:line="560" w:lineRule="exact"/>
        <w:ind w:firstLine="640" w:firstLineChars="200"/>
        <w:jc w:val="righ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t>202</w:t>
      </w:r>
      <w:r>
        <w:rPr>
          <w:rFonts w:hint="eastAsia" w:ascii="仿宋_GB2312" w:hAnsi="仿宋_GB2312" w:eastAsia="仿宋_GB2312" w:cs="仿宋_GB2312"/>
          <w:color w:val="auto"/>
          <w:sz w:val="32"/>
          <w:szCs w:val="32"/>
          <w:highlight w:val="none"/>
          <w:lang w:val="en-US" w:eastAsia="zh-CN" w:bidi="ar"/>
        </w:rPr>
        <w:t>5</w:t>
      </w:r>
      <w:r>
        <w:rPr>
          <w:rFonts w:hint="eastAsia" w:ascii="仿宋_GB2312" w:hAnsi="仿宋_GB2312" w:eastAsia="仿宋_GB2312" w:cs="仿宋_GB2312"/>
          <w:color w:val="auto"/>
          <w:sz w:val="32"/>
          <w:szCs w:val="32"/>
          <w:highlight w:val="none"/>
          <w:lang w:bidi="ar"/>
        </w:rPr>
        <w:t>年</w:t>
      </w:r>
      <w:r>
        <w:rPr>
          <w:rFonts w:hint="eastAsia" w:ascii="仿宋_GB2312" w:hAnsi="仿宋_GB2312" w:eastAsia="仿宋_GB2312" w:cs="仿宋_GB2312"/>
          <w:color w:val="auto"/>
          <w:sz w:val="32"/>
          <w:szCs w:val="32"/>
          <w:highlight w:val="none"/>
          <w:lang w:val="en-US" w:eastAsia="zh-CN" w:bidi="ar"/>
        </w:rPr>
        <w:t>10</w:t>
      </w:r>
      <w:r>
        <w:rPr>
          <w:rFonts w:hint="eastAsia" w:ascii="仿宋_GB2312" w:hAnsi="仿宋_GB2312" w:eastAsia="仿宋_GB2312" w:cs="仿宋_GB2312"/>
          <w:color w:val="auto"/>
          <w:sz w:val="32"/>
          <w:szCs w:val="32"/>
          <w:highlight w:val="none"/>
          <w:lang w:bidi="ar"/>
        </w:rPr>
        <w:t>月</w:t>
      </w:r>
      <w:r>
        <w:rPr>
          <w:rFonts w:hint="eastAsia" w:ascii="仿宋_GB2312" w:hAnsi="仿宋_GB2312" w:eastAsia="仿宋_GB2312" w:cs="仿宋_GB2312"/>
          <w:color w:val="auto"/>
          <w:sz w:val="32"/>
          <w:szCs w:val="32"/>
          <w:highlight w:val="none"/>
          <w:lang w:val="en-US" w:eastAsia="zh-CN" w:bidi="ar"/>
        </w:rPr>
        <w:t>14</w:t>
      </w:r>
      <w:bookmarkStart w:id="47" w:name="_GoBack"/>
      <w:bookmarkEnd w:id="47"/>
      <w:r>
        <w:rPr>
          <w:rFonts w:hint="eastAsia" w:ascii="仿宋_GB2312" w:hAnsi="仿宋_GB2312" w:eastAsia="仿宋_GB2312" w:cs="仿宋_GB2312"/>
          <w:color w:val="auto"/>
          <w:sz w:val="32"/>
          <w:szCs w:val="32"/>
          <w:highlight w:val="none"/>
          <w:lang w:bidi="ar"/>
        </w:rPr>
        <w:t>日</w:t>
      </w:r>
    </w:p>
    <w:p w14:paraId="19F81D50">
      <w:pPr>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bidi="ar"/>
        </w:rPr>
        <w:br w:type="page"/>
      </w:r>
    </w:p>
    <w:p w14:paraId="5E73D73D">
      <w:pPr>
        <w:rPr>
          <w:rFonts w:ascii="仿宋_GB2312" w:hAnsi="仿宋_GB2312" w:eastAsia="仿宋_GB2312" w:cs="仿宋_GB2312"/>
          <w:color w:val="auto"/>
          <w:sz w:val="32"/>
          <w:szCs w:val="32"/>
          <w:highlight w:val="none"/>
          <w:lang w:bidi="ar"/>
        </w:rPr>
        <w:sectPr>
          <w:pgSz w:w="11906" w:h="16838"/>
          <w:pgMar w:top="1417" w:right="1800" w:bottom="1440" w:left="1800" w:header="851" w:footer="992" w:gutter="0"/>
          <w:cols w:space="425" w:num="1"/>
          <w:docGrid w:type="lines" w:linePitch="312" w:charSpace="0"/>
        </w:sectPr>
      </w:pPr>
    </w:p>
    <w:p w14:paraId="577A17B4">
      <w:pPr>
        <w:pStyle w:val="25"/>
        <w:widowControl/>
        <w:ind w:firstLine="0" w:firstLineChars="0"/>
        <w:jc w:val="left"/>
        <w:outlineLvl w:val="1"/>
        <w:rPr>
          <w:rFonts w:eastAsia="黑体"/>
          <w:color w:val="auto"/>
          <w:sz w:val="28"/>
          <w:szCs w:val="44"/>
          <w:highlight w:val="none"/>
        </w:rPr>
      </w:pPr>
      <w:r>
        <w:rPr>
          <w:rFonts w:hint="eastAsia" w:eastAsia="黑体" w:cs="黑体"/>
          <w:color w:val="auto"/>
          <w:sz w:val="28"/>
          <w:szCs w:val="44"/>
          <w:highlight w:val="none"/>
        </w:rPr>
        <w:t>附件一</w:t>
      </w:r>
      <w:r>
        <w:rPr>
          <w:rFonts w:eastAsia="黑体"/>
          <w:color w:val="auto"/>
          <w:sz w:val="28"/>
          <w:szCs w:val="44"/>
          <w:highlight w:val="none"/>
        </w:rPr>
        <w:t xml:space="preserve">  </w:t>
      </w:r>
      <w:r>
        <w:rPr>
          <w:rFonts w:hint="eastAsia" w:eastAsia="黑体" w:cs="黑体"/>
          <w:color w:val="auto"/>
          <w:sz w:val="28"/>
          <w:szCs w:val="44"/>
          <w:highlight w:val="none"/>
        </w:rPr>
        <w:t>响应须知</w:t>
      </w:r>
    </w:p>
    <w:p w14:paraId="6CE773F1">
      <w:pPr>
        <w:jc w:val="center"/>
        <w:rPr>
          <w:rFonts w:eastAsia="华文中宋"/>
          <w:color w:val="auto"/>
          <w:sz w:val="44"/>
          <w:szCs w:val="44"/>
          <w:highlight w:val="none"/>
        </w:rPr>
      </w:pPr>
      <w:r>
        <w:rPr>
          <w:rFonts w:hint="eastAsia" w:ascii="Times New Roman" w:hAnsi="Times New Roman" w:eastAsia="华文中宋" w:cs="华文中宋"/>
          <w:color w:val="auto"/>
          <w:sz w:val="44"/>
          <w:szCs w:val="44"/>
          <w:highlight w:val="none"/>
          <w:lang w:bidi="ar"/>
        </w:rPr>
        <w:t>响应须知</w:t>
      </w:r>
    </w:p>
    <w:tbl>
      <w:tblPr>
        <w:tblStyle w:val="13"/>
        <w:tblW w:w="909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6"/>
        <w:gridCol w:w="5944"/>
      </w:tblGrid>
      <w:tr w14:paraId="7AC0B7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2F5BBBC3">
            <w:pPr>
              <w:pStyle w:val="12"/>
              <w:spacing w:after="0"/>
              <w:ind w:firstLine="0" w:firstLineChars="0"/>
              <w:jc w:val="center"/>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项号</w:t>
            </w:r>
          </w:p>
        </w:tc>
        <w:tc>
          <w:tcPr>
            <w:tcW w:w="2275" w:type="dxa"/>
            <w:tcBorders>
              <w:top w:val="double" w:color="auto" w:sz="4" w:space="0"/>
              <w:left w:val="single" w:color="auto" w:sz="4" w:space="0"/>
              <w:bottom w:val="single" w:color="auto" w:sz="4" w:space="0"/>
              <w:right w:val="single" w:color="auto" w:sz="4" w:space="0"/>
            </w:tcBorders>
            <w:shd w:val="clear" w:color="auto" w:fill="auto"/>
            <w:vAlign w:val="center"/>
          </w:tcPr>
          <w:p w14:paraId="24EE2507">
            <w:pPr>
              <w:pStyle w:val="12"/>
              <w:spacing w:after="0"/>
              <w:ind w:firstLine="320"/>
              <w:jc w:val="center"/>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内容</w:t>
            </w:r>
          </w:p>
        </w:tc>
        <w:tc>
          <w:tcPr>
            <w:tcW w:w="5942" w:type="dxa"/>
            <w:tcBorders>
              <w:top w:val="double" w:color="auto" w:sz="4" w:space="0"/>
              <w:left w:val="single" w:color="auto" w:sz="4" w:space="0"/>
              <w:bottom w:val="single" w:color="auto" w:sz="4" w:space="0"/>
              <w:right w:val="double" w:color="auto" w:sz="4" w:space="0"/>
            </w:tcBorders>
            <w:shd w:val="clear" w:color="auto" w:fill="auto"/>
            <w:vAlign w:val="center"/>
          </w:tcPr>
          <w:p w14:paraId="5811D50E">
            <w:pPr>
              <w:pStyle w:val="12"/>
              <w:spacing w:after="0"/>
              <w:ind w:firstLine="320"/>
              <w:jc w:val="center"/>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说明与要求</w:t>
            </w:r>
          </w:p>
        </w:tc>
      </w:tr>
      <w:tr w14:paraId="7AB1512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B4ED978">
            <w:pPr>
              <w:jc w:val="center"/>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t>1</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21A74D5C">
            <w:pPr>
              <w:jc w:val="center"/>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项目名称</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55A643E9">
            <w:pPr>
              <w:adjustRightInd w:val="0"/>
              <w:snapToGrid w:val="0"/>
              <w:rPr>
                <w:rFonts w:hint="eastAsia" w:eastAsia="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bidi="ar"/>
              </w:rPr>
              <w:t>东莞市海心沙资源综合利用中心绿色工业服务项目（改扩建）竣工环保验收服务</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lang w:val="en-US" w:eastAsia="zh-CN"/>
              </w:rPr>
              <w:t>重新采购</w:t>
            </w:r>
            <w:r>
              <w:rPr>
                <w:rFonts w:hint="eastAsia" w:ascii="仿宋_GB2312" w:hAnsi="仿宋_GB2312" w:eastAsia="仿宋_GB2312" w:cs="仿宋_GB2312"/>
                <w:color w:val="auto"/>
                <w:sz w:val="32"/>
                <w:szCs w:val="32"/>
                <w:highlight w:val="none"/>
                <w:u w:val="single"/>
                <w:lang w:eastAsia="zh-CN"/>
              </w:rPr>
              <w:t>）</w:t>
            </w:r>
          </w:p>
        </w:tc>
      </w:tr>
      <w:tr w14:paraId="581368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A94BBB8">
            <w:pPr>
              <w:jc w:val="center"/>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t>2</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3D1603DA">
            <w:pPr>
              <w:jc w:val="center"/>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供货地点</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0306EAEC">
            <w:pPr>
              <w:rPr>
                <w:rFonts w:hint="eastAsia" w:eastAsia="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bidi="ar"/>
              </w:rPr>
              <w:t>东莞市新东欣环保投资有限公司</w:t>
            </w:r>
          </w:p>
        </w:tc>
      </w:tr>
      <w:tr w14:paraId="657D27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871EF58">
            <w:pPr>
              <w:jc w:val="center"/>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t>3</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65632D0B">
            <w:pPr>
              <w:jc w:val="center"/>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项目性质</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30868B55">
            <w:pPr>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服务类采购</w:t>
            </w:r>
          </w:p>
        </w:tc>
      </w:tr>
      <w:tr w14:paraId="5789CE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6C887444">
            <w:pPr>
              <w:jc w:val="center"/>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t>4</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362DA599">
            <w:pPr>
              <w:jc w:val="center"/>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发包要求</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69A54D31">
            <w:pPr>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固定总价包干</w:t>
            </w:r>
          </w:p>
        </w:tc>
      </w:tr>
      <w:tr w14:paraId="5883791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19B6517E">
            <w:pPr>
              <w:jc w:val="center"/>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t>5</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7AA24630">
            <w:pPr>
              <w:jc w:val="center"/>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质量标准</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0CC04F76">
            <w:pPr>
              <w:jc w:val="left"/>
              <w:rPr>
                <w:rFonts w:eastAsia="仿宋"/>
                <w:color w:val="auto"/>
                <w:sz w:val="32"/>
                <w:szCs w:val="32"/>
                <w:highlight w:val="none"/>
              </w:rPr>
            </w:pPr>
            <w:r>
              <w:rPr>
                <w:rFonts w:hint="eastAsia" w:ascii="Times New Roman" w:hAnsi="Times New Roman" w:eastAsia="仿宋" w:cs="仿宋"/>
                <w:color w:val="auto"/>
                <w:sz w:val="32"/>
                <w:szCs w:val="32"/>
                <w:highlight w:val="none"/>
                <w:lang w:bidi="ar"/>
              </w:rPr>
              <w:t>详见采购文件</w:t>
            </w:r>
          </w:p>
        </w:tc>
      </w:tr>
      <w:tr w14:paraId="4C6AEE7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A4B49C3">
            <w:pPr>
              <w:jc w:val="center"/>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t>6</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72AD26A5">
            <w:pPr>
              <w:jc w:val="center"/>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供货要求</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312E8D50">
            <w:pPr>
              <w:jc w:val="left"/>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详见采购文件</w:t>
            </w:r>
          </w:p>
        </w:tc>
      </w:tr>
      <w:tr w14:paraId="49D8602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0022647">
            <w:pPr>
              <w:jc w:val="center"/>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t>7</w:t>
            </w: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5B321965">
            <w:pPr>
              <w:jc w:val="center"/>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单位资质要求</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4F8DD36A">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详见采购文件</w:t>
            </w:r>
          </w:p>
        </w:tc>
      </w:tr>
      <w:tr w14:paraId="68AF17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6B47295E">
            <w:pPr>
              <w:jc w:val="center"/>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t>8</w:t>
            </w:r>
          </w:p>
        </w:tc>
        <w:tc>
          <w:tcPr>
            <w:tcW w:w="2275" w:type="dxa"/>
            <w:tcBorders>
              <w:top w:val="single" w:color="auto" w:sz="4" w:space="0"/>
              <w:left w:val="single" w:color="auto" w:sz="4" w:space="0"/>
              <w:bottom w:val="single" w:color="auto" w:sz="4" w:space="0"/>
              <w:right w:val="single" w:color="auto" w:sz="4" w:space="0"/>
            </w:tcBorders>
            <w:shd w:val="clear" w:color="auto" w:fill="auto"/>
          </w:tcPr>
          <w:p w14:paraId="551024DF">
            <w:pPr>
              <w:spacing w:line="500" w:lineRule="exact"/>
              <w:jc w:val="center"/>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询价保证金金额及缴纳方式</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5A913E01">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详见采购文件</w:t>
            </w:r>
          </w:p>
        </w:tc>
      </w:tr>
      <w:tr w14:paraId="06DD94A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2AAC652">
            <w:pPr>
              <w:jc w:val="center"/>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t>9</w:t>
            </w:r>
          </w:p>
        </w:tc>
        <w:tc>
          <w:tcPr>
            <w:tcW w:w="2275" w:type="dxa"/>
            <w:tcBorders>
              <w:top w:val="single" w:color="auto" w:sz="4" w:space="0"/>
              <w:left w:val="single" w:color="auto" w:sz="4" w:space="0"/>
              <w:bottom w:val="single" w:color="auto" w:sz="4" w:space="0"/>
              <w:right w:val="single" w:color="auto" w:sz="4" w:space="0"/>
            </w:tcBorders>
            <w:shd w:val="clear" w:color="auto" w:fill="auto"/>
          </w:tcPr>
          <w:p w14:paraId="42A84CA7">
            <w:pPr>
              <w:jc w:val="center"/>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询价有效期</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41ACD495">
            <w:pPr>
              <w:adjustRightInd w:val="0"/>
              <w:snapToGrid w:val="0"/>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t>90</w:t>
            </w:r>
            <w:r>
              <w:rPr>
                <w:rFonts w:hint="eastAsia" w:ascii="Times New Roman" w:hAnsi="Times New Roman" w:eastAsia="仿宋_GB2312" w:cs="仿宋_GB2312"/>
                <w:color w:val="auto"/>
                <w:sz w:val="32"/>
                <w:szCs w:val="32"/>
                <w:highlight w:val="none"/>
                <w:lang w:bidi="ar"/>
              </w:rPr>
              <w:t>天</w:t>
            </w:r>
          </w:p>
        </w:tc>
      </w:tr>
      <w:tr w14:paraId="33C7452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361C115">
            <w:pPr>
              <w:jc w:val="center"/>
              <w:rPr>
                <w:rFonts w:eastAsia="仿宋_GB2312"/>
                <w:color w:val="auto"/>
                <w:sz w:val="32"/>
                <w:szCs w:val="32"/>
                <w:highlight w:val="none"/>
              </w:rPr>
            </w:pP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2F389BB1">
            <w:pPr>
              <w:jc w:val="center"/>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响应人不得存在的情形</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1D670CA7">
            <w:pPr>
              <w:adjustRightInd w:val="0"/>
              <w:snapToGrid w:val="0"/>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t>1</w:t>
            </w:r>
            <w:r>
              <w:rPr>
                <w:rFonts w:hint="eastAsia" w:ascii="Times New Roman" w:hAnsi="Times New Roman" w:eastAsia="仿宋_GB2312" w:cs="仿宋_GB2312"/>
                <w:color w:val="auto"/>
                <w:sz w:val="32"/>
                <w:szCs w:val="32"/>
                <w:highlight w:val="none"/>
                <w:lang w:bidi="ar"/>
              </w:rPr>
              <w:t>、响应人不得存在下列情形之一，否则甲方有权取消其参与响应资格或成交资格：</w:t>
            </w:r>
          </w:p>
          <w:p w14:paraId="2D1D8AEC">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1</w:t>
            </w:r>
            <w:r>
              <w:rPr>
                <w:rFonts w:hint="eastAsia" w:ascii="Times New Roman" w:hAnsi="Times New Roman" w:eastAsia="仿宋_GB2312" w:cs="仿宋_GB2312"/>
                <w:color w:val="auto"/>
                <w:sz w:val="32"/>
                <w:szCs w:val="32"/>
                <w:highlight w:val="none"/>
                <w:lang w:bidi="ar"/>
              </w:rPr>
              <w:t>）为甲方不具有独立法人资格的附属机构（单位）；</w:t>
            </w:r>
          </w:p>
          <w:p w14:paraId="20B16C4E">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2</w:t>
            </w:r>
            <w:r>
              <w:rPr>
                <w:rFonts w:hint="eastAsia" w:ascii="Times New Roman" w:hAnsi="Times New Roman" w:eastAsia="仿宋_GB2312" w:cs="仿宋_GB2312"/>
                <w:color w:val="auto"/>
                <w:sz w:val="32"/>
                <w:szCs w:val="32"/>
                <w:highlight w:val="none"/>
                <w:lang w:bidi="ar"/>
              </w:rPr>
              <w:t>）被责令停业的；</w:t>
            </w:r>
            <w:r>
              <w:rPr>
                <w:rFonts w:ascii="Times New Roman" w:hAnsi="Times New Roman" w:eastAsia="仿宋_GB2312" w:cs="Times New Roman"/>
                <w:color w:val="auto"/>
                <w:sz w:val="32"/>
                <w:szCs w:val="32"/>
                <w:highlight w:val="none"/>
                <w:lang w:bidi="ar"/>
              </w:rPr>
              <w:t xml:space="preserve"> </w:t>
            </w:r>
          </w:p>
          <w:p w14:paraId="2777C790">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3</w:t>
            </w:r>
            <w:r>
              <w:rPr>
                <w:rFonts w:hint="eastAsia" w:ascii="Times New Roman" w:hAnsi="Times New Roman" w:eastAsia="仿宋_GB2312" w:cs="仿宋_GB2312"/>
                <w:color w:val="auto"/>
                <w:sz w:val="32"/>
                <w:szCs w:val="32"/>
                <w:highlight w:val="none"/>
                <w:lang w:bidi="ar"/>
              </w:rPr>
              <w:t>）被暂停或取消投标资格的；</w:t>
            </w:r>
            <w:r>
              <w:rPr>
                <w:rFonts w:ascii="Times New Roman" w:hAnsi="Times New Roman" w:eastAsia="仿宋_GB2312" w:cs="Times New Roman"/>
                <w:color w:val="auto"/>
                <w:sz w:val="32"/>
                <w:szCs w:val="32"/>
                <w:highlight w:val="none"/>
                <w:lang w:bidi="ar"/>
              </w:rPr>
              <w:t xml:space="preserve"> </w:t>
            </w:r>
          </w:p>
          <w:p w14:paraId="53406E19">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4</w:t>
            </w:r>
            <w:r>
              <w:rPr>
                <w:rFonts w:hint="eastAsia" w:ascii="Times New Roman" w:hAnsi="Times New Roman" w:eastAsia="仿宋_GB2312" w:cs="仿宋_GB2312"/>
                <w:color w:val="auto"/>
                <w:sz w:val="32"/>
                <w:szCs w:val="32"/>
                <w:highlight w:val="none"/>
                <w:lang w:bidi="ar"/>
              </w:rPr>
              <w:t>）财产被接管或冻结的；</w:t>
            </w:r>
          </w:p>
          <w:p w14:paraId="3F95E9A1">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5</w:t>
            </w:r>
            <w:r>
              <w:rPr>
                <w:rFonts w:hint="eastAsia" w:ascii="Times New Roman" w:hAnsi="Times New Roman" w:eastAsia="仿宋_GB2312" w:cs="仿宋_GB2312"/>
                <w:color w:val="auto"/>
                <w:sz w:val="32"/>
                <w:szCs w:val="32"/>
                <w:highlight w:val="none"/>
                <w:lang w:bidi="ar"/>
              </w:rPr>
              <w:t>）在最近三年内有骗取中标、严重违约、重大质量或安全问题的；</w:t>
            </w:r>
          </w:p>
          <w:p w14:paraId="70203BFF">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6</w:t>
            </w:r>
            <w:r>
              <w:rPr>
                <w:rFonts w:hint="eastAsia" w:ascii="Times New Roman" w:hAnsi="Times New Roman" w:eastAsia="仿宋_GB2312" w:cs="仿宋_GB2312"/>
                <w:color w:val="auto"/>
                <w:sz w:val="32"/>
                <w:szCs w:val="32"/>
                <w:highlight w:val="none"/>
                <w:lang w:bidi="ar"/>
              </w:rPr>
              <w:t>）法律法规规定的其他情形；</w:t>
            </w:r>
          </w:p>
          <w:p w14:paraId="5046F344">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7</w:t>
            </w:r>
            <w:r>
              <w:rPr>
                <w:rFonts w:hint="eastAsia" w:ascii="Times New Roman" w:hAnsi="Times New Roman" w:eastAsia="仿宋_GB2312" w:cs="仿宋_GB2312"/>
                <w:color w:val="auto"/>
                <w:sz w:val="32"/>
                <w:szCs w:val="32"/>
                <w:highlight w:val="none"/>
                <w:lang w:bidi="ar"/>
              </w:rPr>
              <w:t>）询价文件规定的其他情形：见询价公告或询价响应须知前附表。</w:t>
            </w:r>
          </w:p>
          <w:p w14:paraId="59D18722">
            <w:pPr>
              <w:adjustRightInd w:val="0"/>
              <w:snapToGrid w:val="0"/>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t>2</w:t>
            </w:r>
            <w:r>
              <w:rPr>
                <w:rFonts w:hint="eastAsia" w:ascii="Times New Roman" w:hAnsi="Times New Roman" w:eastAsia="仿宋_GB2312" w:cs="仿宋_GB2312"/>
                <w:color w:val="auto"/>
                <w:sz w:val="32"/>
                <w:szCs w:val="32"/>
                <w:highlight w:val="none"/>
                <w:lang w:bidi="ar"/>
              </w:rPr>
              <w:t>、响应人在询价活动中有下列行为之一的，应视情节轻重，暂停或取消其参与甲方及东实集团旗下采购项目的资格：</w:t>
            </w:r>
          </w:p>
          <w:p w14:paraId="5DAAE8FE">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1</w:t>
            </w:r>
            <w:r>
              <w:rPr>
                <w:rFonts w:hint="eastAsia" w:ascii="Times New Roman" w:hAnsi="Times New Roman" w:eastAsia="仿宋_GB2312" w:cs="仿宋_GB2312"/>
                <w:color w:val="auto"/>
                <w:sz w:val="32"/>
                <w:szCs w:val="32"/>
                <w:highlight w:val="none"/>
                <w:lang w:bidi="ar"/>
              </w:rPr>
              <w:t>）响应人之间相互串通、或与甲方、代理机构、评审委员会成员串通询价，损害甲方或者其他响应人的合法权益的；</w:t>
            </w:r>
            <w:r>
              <w:rPr>
                <w:rFonts w:ascii="Times New Roman" w:hAnsi="Times New Roman" w:eastAsia="仿宋_GB2312" w:cs="Times New Roman"/>
                <w:color w:val="auto"/>
                <w:sz w:val="32"/>
                <w:szCs w:val="32"/>
                <w:highlight w:val="none"/>
                <w:lang w:bidi="ar"/>
              </w:rPr>
              <w:t xml:space="preserve"> </w:t>
            </w:r>
          </w:p>
          <w:p w14:paraId="752F8062">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2</w:t>
            </w:r>
            <w:r>
              <w:rPr>
                <w:rFonts w:hint="eastAsia" w:ascii="Times New Roman" w:hAnsi="Times New Roman" w:eastAsia="仿宋_GB2312" w:cs="仿宋_GB2312"/>
                <w:color w:val="auto"/>
                <w:sz w:val="32"/>
                <w:szCs w:val="32"/>
                <w:highlight w:val="none"/>
                <w:lang w:bidi="ar"/>
              </w:rPr>
              <w:t>）向甲方、代理机构、评审委会成员或其他相关工作人员行贿的；</w:t>
            </w:r>
            <w:r>
              <w:rPr>
                <w:rFonts w:ascii="Times New Roman" w:hAnsi="Times New Roman" w:eastAsia="仿宋_GB2312" w:cs="Times New Roman"/>
                <w:color w:val="auto"/>
                <w:sz w:val="32"/>
                <w:szCs w:val="32"/>
                <w:highlight w:val="none"/>
                <w:lang w:bidi="ar"/>
              </w:rPr>
              <w:t xml:space="preserve"> </w:t>
            </w:r>
          </w:p>
          <w:p w14:paraId="7B56071A">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3</w:t>
            </w:r>
            <w:r>
              <w:rPr>
                <w:rFonts w:hint="eastAsia" w:ascii="Times New Roman" w:hAnsi="Times New Roman" w:eastAsia="仿宋_GB2312" w:cs="仿宋_GB2312"/>
                <w:color w:val="auto"/>
                <w:sz w:val="32"/>
                <w:szCs w:val="32"/>
                <w:highlight w:val="none"/>
                <w:lang w:bidi="ar"/>
              </w:rPr>
              <w:t>）以他人名义询价或以其他方式弄虚作假，骗取成交的；</w:t>
            </w:r>
            <w:r>
              <w:rPr>
                <w:rFonts w:ascii="Times New Roman" w:hAnsi="Times New Roman" w:eastAsia="仿宋_GB2312" w:cs="Times New Roman"/>
                <w:color w:val="auto"/>
                <w:sz w:val="32"/>
                <w:szCs w:val="32"/>
                <w:highlight w:val="none"/>
                <w:lang w:bidi="ar"/>
              </w:rPr>
              <w:t xml:space="preserve"> </w:t>
            </w:r>
          </w:p>
          <w:p w14:paraId="442BD42F">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4</w:t>
            </w:r>
            <w:r>
              <w:rPr>
                <w:rFonts w:hint="eastAsia" w:ascii="Times New Roman" w:hAnsi="Times New Roman" w:eastAsia="仿宋_GB2312" w:cs="仿宋_GB2312"/>
                <w:color w:val="auto"/>
                <w:sz w:val="32"/>
                <w:szCs w:val="32"/>
                <w:highlight w:val="none"/>
                <w:lang w:bidi="ar"/>
              </w:rPr>
              <w:t>）乙方私自将成交项目转让给他人的，将成交项目肢解后分别转让给他人的；</w:t>
            </w:r>
            <w:r>
              <w:rPr>
                <w:rFonts w:ascii="Times New Roman" w:hAnsi="Times New Roman" w:eastAsia="仿宋_GB2312" w:cs="Times New Roman"/>
                <w:color w:val="auto"/>
                <w:sz w:val="32"/>
                <w:szCs w:val="32"/>
                <w:highlight w:val="none"/>
                <w:lang w:bidi="ar"/>
              </w:rPr>
              <w:t xml:space="preserve"> </w:t>
            </w:r>
          </w:p>
          <w:p w14:paraId="3B46C07A">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5</w:t>
            </w:r>
            <w:r>
              <w:rPr>
                <w:rFonts w:hint="eastAsia" w:ascii="Times New Roman" w:hAnsi="Times New Roman" w:eastAsia="仿宋_GB2312" w:cs="仿宋_GB2312"/>
                <w:color w:val="auto"/>
                <w:sz w:val="32"/>
                <w:szCs w:val="32"/>
                <w:highlight w:val="none"/>
                <w:lang w:bidi="ar"/>
              </w:rPr>
              <w:t>）乙方无正当理由不与甲方订立合同，在签订合同时向甲方提出附加条件，或者不按照询价文件要求提交履约担保的；</w:t>
            </w:r>
          </w:p>
          <w:p w14:paraId="4E7CF81F">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6</w:t>
            </w:r>
            <w:r>
              <w:rPr>
                <w:rFonts w:hint="eastAsia" w:ascii="Times New Roman" w:hAnsi="Times New Roman" w:eastAsia="仿宋_GB2312" w:cs="仿宋_GB2312"/>
                <w:color w:val="auto"/>
                <w:sz w:val="32"/>
                <w:szCs w:val="32"/>
                <w:highlight w:val="none"/>
                <w:lang w:bidi="ar"/>
              </w:rPr>
              <w:t>）响应人捏造事实、伪造材料或者以非法手段取得证明材料进行投诉，给他人造成损失的；</w:t>
            </w:r>
            <w:r>
              <w:rPr>
                <w:rFonts w:ascii="Times New Roman" w:hAnsi="Times New Roman" w:eastAsia="仿宋_GB2312" w:cs="Times New Roman"/>
                <w:color w:val="auto"/>
                <w:sz w:val="32"/>
                <w:szCs w:val="32"/>
                <w:highlight w:val="none"/>
                <w:lang w:bidi="ar"/>
              </w:rPr>
              <w:t xml:space="preserve"> </w:t>
            </w:r>
          </w:p>
          <w:p w14:paraId="0F4F4B3C">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7</w:t>
            </w:r>
            <w:r>
              <w:rPr>
                <w:rFonts w:hint="eastAsia" w:ascii="Times New Roman" w:hAnsi="Times New Roman" w:eastAsia="仿宋_GB2312" w:cs="仿宋_GB2312"/>
                <w:color w:val="auto"/>
                <w:sz w:val="32"/>
                <w:szCs w:val="32"/>
                <w:highlight w:val="none"/>
                <w:lang w:bidi="ar"/>
              </w:rPr>
              <w:t>）相关工作人员应当回避而不回避的；</w:t>
            </w:r>
            <w:r>
              <w:rPr>
                <w:rFonts w:ascii="Times New Roman" w:hAnsi="Times New Roman" w:eastAsia="仿宋_GB2312" w:cs="Times New Roman"/>
                <w:color w:val="auto"/>
                <w:sz w:val="32"/>
                <w:szCs w:val="32"/>
                <w:highlight w:val="none"/>
                <w:lang w:bidi="ar"/>
              </w:rPr>
              <w:t xml:space="preserve"> </w:t>
            </w:r>
          </w:p>
          <w:p w14:paraId="4E8316C6">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8</w:t>
            </w:r>
            <w:r>
              <w:rPr>
                <w:rFonts w:hint="eastAsia" w:ascii="Times New Roman" w:hAnsi="Times New Roman" w:eastAsia="仿宋_GB2312" w:cs="仿宋_GB2312"/>
                <w:color w:val="auto"/>
                <w:sz w:val="32"/>
                <w:szCs w:val="32"/>
                <w:highlight w:val="none"/>
                <w:lang w:bidi="ar"/>
              </w:rPr>
              <w:t>）其他违法违规的行为。</w:t>
            </w:r>
          </w:p>
          <w:p w14:paraId="73C219F4">
            <w:pPr>
              <w:adjustRightInd w:val="0"/>
              <w:snapToGrid w:val="0"/>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t>3</w:t>
            </w:r>
            <w:r>
              <w:rPr>
                <w:rFonts w:hint="eastAsia" w:ascii="Times New Roman" w:hAnsi="Times New Roman" w:eastAsia="仿宋_GB2312" w:cs="仿宋_GB2312"/>
                <w:color w:val="auto"/>
                <w:sz w:val="32"/>
                <w:szCs w:val="32"/>
                <w:highlight w:val="none"/>
                <w:lang w:bidi="ar"/>
              </w:rPr>
              <w:t>、有下列情形之一的，视为响应人串通询价，其响应无效：</w:t>
            </w:r>
          </w:p>
          <w:p w14:paraId="7B561B14">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1</w:t>
            </w:r>
            <w:r>
              <w:rPr>
                <w:rFonts w:hint="eastAsia" w:ascii="Times New Roman" w:hAnsi="Times New Roman" w:eastAsia="仿宋_GB2312" w:cs="仿宋_GB2312"/>
                <w:color w:val="auto"/>
                <w:sz w:val="32"/>
                <w:szCs w:val="32"/>
                <w:highlight w:val="none"/>
                <w:lang w:bidi="ar"/>
              </w:rPr>
              <w:t>）不同响应人的响应文件由同一单位或者个人编制；</w:t>
            </w:r>
          </w:p>
          <w:p w14:paraId="7D483B8A">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2</w:t>
            </w:r>
            <w:r>
              <w:rPr>
                <w:rFonts w:hint="eastAsia" w:ascii="Times New Roman" w:hAnsi="Times New Roman" w:eastAsia="仿宋_GB2312" w:cs="仿宋_GB2312"/>
                <w:color w:val="auto"/>
                <w:sz w:val="32"/>
                <w:szCs w:val="32"/>
                <w:highlight w:val="none"/>
                <w:lang w:bidi="ar"/>
              </w:rPr>
              <w:t>）不同响应人委托同一单位或者个人办理响应事宜；</w:t>
            </w:r>
          </w:p>
          <w:p w14:paraId="32E56FD5">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3</w:t>
            </w:r>
            <w:r>
              <w:rPr>
                <w:rFonts w:hint="eastAsia" w:ascii="Times New Roman" w:hAnsi="Times New Roman" w:eastAsia="仿宋_GB2312" w:cs="仿宋_GB2312"/>
                <w:color w:val="auto"/>
                <w:sz w:val="32"/>
                <w:szCs w:val="32"/>
                <w:highlight w:val="none"/>
                <w:lang w:bidi="ar"/>
              </w:rPr>
              <w:t>）不同响应人的响应文件载明的项目管理成员或者联系人员为同一人；</w:t>
            </w:r>
          </w:p>
          <w:p w14:paraId="2FBE1CEB">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4</w:t>
            </w:r>
            <w:r>
              <w:rPr>
                <w:rFonts w:hint="eastAsia" w:ascii="Times New Roman" w:hAnsi="Times New Roman" w:eastAsia="仿宋_GB2312" w:cs="仿宋_GB2312"/>
                <w:color w:val="auto"/>
                <w:sz w:val="32"/>
                <w:szCs w:val="32"/>
                <w:highlight w:val="none"/>
                <w:lang w:bidi="ar"/>
              </w:rPr>
              <w:t>）不同响应人的响应文件异常一致或者响应报价呈规律性差异；</w:t>
            </w:r>
          </w:p>
          <w:p w14:paraId="3C168722">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5</w:t>
            </w:r>
            <w:r>
              <w:rPr>
                <w:rFonts w:hint="eastAsia" w:ascii="Times New Roman" w:hAnsi="Times New Roman" w:eastAsia="仿宋_GB2312" w:cs="仿宋_GB2312"/>
                <w:color w:val="auto"/>
                <w:sz w:val="32"/>
                <w:szCs w:val="32"/>
                <w:highlight w:val="none"/>
                <w:lang w:bidi="ar"/>
              </w:rPr>
              <w:t>）不同响应人的响应文件相互混装；</w:t>
            </w:r>
          </w:p>
          <w:p w14:paraId="208437BA">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6</w:t>
            </w:r>
            <w:r>
              <w:rPr>
                <w:rFonts w:hint="eastAsia" w:ascii="Times New Roman" w:hAnsi="Times New Roman" w:eastAsia="仿宋_GB2312" w:cs="仿宋_GB2312"/>
                <w:color w:val="auto"/>
                <w:sz w:val="32"/>
                <w:szCs w:val="32"/>
                <w:highlight w:val="none"/>
                <w:lang w:bidi="ar"/>
              </w:rPr>
              <w:t>）不同响应人的响应保证金从同一单位或者个人的账户转出。</w:t>
            </w:r>
          </w:p>
          <w:p w14:paraId="0D6A267F">
            <w:pPr>
              <w:adjustRightInd w:val="0"/>
              <w:snapToGrid w:val="0"/>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t>4</w:t>
            </w:r>
            <w:r>
              <w:rPr>
                <w:rFonts w:hint="eastAsia" w:ascii="Times New Roman" w:hAnsi="Times New Roman" w:eastAsia="仿宋_GB2312" w:cs="仿宋_GB2312"/>
                <w:color w:val="auto"/>
                <w:sz w:val="32"/>
                <w:szCs w:val="32"/>
                <w:highlight w:val="none"/>
                <w:lang w:bidi="ar"/>
              </w:rPr>
              <w:t>、使用通过受让或者租借等方式获取的资格、资质证书响应的，属于以他人名义询价，其响应无效：</w:t>
            </w:r>
          </w:p>
          <w:p w14:paraId="61F85DF6">
            <w:pPr>
              <w:adjustRightInd w:val="0"/>
              <w:snapToGrid w:val="0"/>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t>5</w:t>
            </w:r>
            <w:r>
              <w:rPr>
                <w:rFonts w:hint="eastAsia" w:ascii="Times New Roman" w:hAnsi="Times New Roman" w:eastAsia="仿宋_GB2312" w:cs="仿宋_GB2312"/>
                <w:color w:val="auto"/>
                <w:sz w:val="32"/>
                <w:szCs w:val="32"/>
                <w:highlight w:val="none"/>
                <w:lang w:bidi="ar"/>
              </w:rPr>
              <w:t>、有下列情形之一的，属于以其他方式弄虚作假的行为，其响应无效：</w:t>
            </w:r>
          </w:p>
          <w:p w14:paraId="0021EDB9">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1</w:t>
            </w:r>
            <w:r>
              <w:rPr>
                <w:rFonts w:hint="eastAsia" w:ascii="Times New Roman" w:hAnsi="Times New Roman" w:eastAsia="仿宋_GB2312" w:cs="仿宋_GB2312"/>
                <w:color w:val="auto"/>
                <w:sz w:val="32"/>
                <w:szCs w:val="32"/>
                <w:highlight w:val="none"/>
                <w:lang w:bidi="ar"/>
              </w:rPr>
              <w:t>）使用伪造、变造的许可证件；</w:t>
            </w:r>
          </w:p>
          <w:p w14:paraId="14EDA5F6">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2</w:t>
            </w:r>
            <w:r>
              <w:rPr>
                <w:rFonts w:hint="eastAsia" w:ascii="Times New Roman" w:hAnsi="Times New Roman" w:eastAsia="仿宋_GB2312" w:cs="仿宋_GB2312"/>
                <w:color w:val="auto"/>
                <w:sz w:val="32"/>
                <w:szCs w:val="32"/>
                <w:highlight w:val="none"/>
                <w:lang w:bidi="ar"/>
              </w:rPr>
              <w:t>）提供虚假的财务状况或者业绩；</w:t>
            </w:r>
            <w:r>
              <w:rPr>
                <w:rFonts w:ascii="Times New Roman" w:hAnsi="Times New Roman" w:eastAsia="仿宋_GB2312" w:cs="Times New Roman"/>
                <w:color w:val="auto"/>
                <w:sz w:val="32"/>
                <w:szCs w:val="32"/>
                <w:highlight w:val="none"/>
                <w:lang w:bidi="ar"/>
              </w:rPr>
              <w:t xml:space="preserve"> </w:t>
            </w:r>
          </w:p>
          <w:p w14:paraId="0986B003">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3</w:t>
            </w:r>
            <w:r>
              <w:rPr>
                <w:rFonts w:hint="eastAsia" w:ascii="Times New Roman" w:hAnsi="Times New Roman" w:eastAsia="仿宋_GB2312" w:cs="仿宋_GB2312"/>
                <w:color w:val="auto"/>
                <w:sz w:val="32"/>
                <w:szCs w:val="32"/>
                <w:highlight w:val="none"/>
                <w:lang w:bidi="ar"/>
              </w:rPr>
              <w:t>）提供虚假的项目负责人或者主要技术人员简历、劳动关系证明；</w:t>
            </w:r>
            <w:r>
              <w:rPr>
                <w:rFonts w:ascii="Times New Roman" w:hAnsi="Times New Roman" w:eastAsia="仿宋_GB2312" w:cs="Times New Roman"/>
                <w:color w:val="auto"/>
                <w:sz w:val="32"/>
                <w:szCs w:val="32"/>
                <w:highlight w:val="none"/>
                <w:lang w:bidi="ar"/>
              </w:rPr>
              <w:t xml:space="preserve"> </w:t>
            </w:r>
          </w:p>
          <w:p w14:paraId="635340F6">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4</w:t>
            </w:r>
            <w:r>
              <w:rPr>
                <w:rFonts w:hint="eastAsia" w:ascii="Times New Roman" w:hAnsi="Times New Roman" w:eastAsia="仿宋_GB2312" w:cs="仿宋_GB2312"/>
                <w:color w:val="auto"/>
                <w:sz w:val="32"/>
                <w:szCs w:val="32"/>
                <w:highlight w:val="none"/>
                <w:lang w:bidi="ar"/>
              </w:rPr>
              <w:t>）提供虚假的信用状况；</w:t>
            </w:r>
          </w:p>
          <w:p w14:paraId="167D7FFB">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r>
              <w:rPr>
                <w:rFonts w:ascii="Times New Roman" w:hAnsi="Times New Roman" w:eastAsia="仿宋_GB2312" w:cs="Times New Roman"/>
                <w:color w:val="auto"/>
                <w:sz w:val="32"/>
                <w:szCs w:val="32"/>
                <w:highlight w:val="none"/>
                <w:lang w:bidi="ar"/>
              </w:rPr>
              <w:t>5</w:t>
            </w:r>
            <w:r>
              <w:rPr>
                <w:rFonts w:hint="eastAsia" w:ascii="Times New Roman" w:hAnsi="Times New Roman" w:eastAsia="仿宋_GB2312" w:cs="仿宋_GB2312"/>
                <w:color w:val="auto"/>
                <w:sz w:val="32"/>
                <w:szCs w:val="32"/>
                <w:highlight w:val="none"/>
                <w:lang w:bidi="ar"/>
              </w:rPr>
              <w:t>）其他弄虚作假的行为。</w:t>
            </w:r>
          </w:p>
          <w:p w14:paraId="4EB4D594">
            <w:pPr>
              <w:adjustRightInd w:val="0"/>
              <w:snapToGrid w:val="0"/>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t>6</w:t>
            </w:r>
            <w:r>
              <w:rPr>
                <w:rFonts w:hint="eastAsia" w:ascii="Times New Roman" w:hAnsi="Times New Roman" w:eastAsia="仿宋_GB2312" w:cs="仿宋_GB2312"/>
                <w:color w:val="auto"/>
                <w:sz w:val="32"/>
                <w:szCs w:val="32"/>
                <w:highlight w:val="none"/>
                <w:lang w:bidi="ar"/>
              </w:rPr>
              <w:t>、响应人相关工作人员与甲方或采购代理机构有以下利害关系之一的，应当回避：</w:t>
            </w:r>
            <w:r>
              <w:rPr>
                <w:rFonts w:ascii="Times New Roman" w:hAnsi="Times New Roman" w:eastAsia="仿宋_GB2312" w:cs="Times New Roman"/>
                <w:color w:val="auto"/>
                <w:sz w:val="32"/>
                <w:szCs w:val="32"/>
                <w:highlight w:val="none"/>
                <w:lang w:bidi="ar"/>
              </w:rPr>
              <w:t xml:space="preserve"> </w:t>
            </w:r>
          </w:p>
          <w:p w14:paraId="5D552DF7">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（一）是其主要负责人的近亲属的；</w:t>
            </w:r>
          </w:p>
          <w:p w14:paraId="0D292231">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（二）询价活动前</w:t>
            </w:r>
            <w:r>
              <w:rPr>
                <w:rFonts w:ascii="Times New Roman" w:hAnsi="Times New Roman" w:eastAsia="仿宋_GB2312" w:cs="Times New Roman"/>
                <w:color w:val="auto"/>
                <w:sz w:val="32"/>
                <w:szCs w:val="32"/>
                <w:highlight w:val="none"/>
                <w:lang w:bidi="ar"/>
              </w:rPr>
              <w:t>3</w:t>
            </w:r>
            <w:r>
              <w:rPr>
                <w:rFonts w:hint="eastAsia" w:ascii="Times New Roman" w:hAnsi="Times New Roman" w:eastAsia="仿宋_GB2312" w:cs="仿宋_GB2312"/>
                <w:color w:val="auto"/>
                <w:sz w:val="32"/>
                <w:szCs w:val="32"/>
                <w:highlight w:val="none"/>
                <w:lang w:bidi="ar"/>
              </w:rPr>
              <w:t>年内与其存在劳动关系，担任其董事、监事，是其控股股东或实际控制人，或存在其他经济利益关系，可能影响询价活动公平公正的；</w:t>
            </w:r>
          </w:p>
          <w:p w14:paraId="46943E74">
            <w:pPr>
              <w:adjustRightInd w:val="0"/>
              <w:snapToGrid w:val="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（三）其他可能影响询价活动公平、公正进行的关系。</w:t>
            </w:r>
          </w:p>
        </w:tc>
      </w:tr>
      <w:tr w14:paraId="379E9A4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B30FFB5">
            <w:pPr>
              <w:jc w:val="center"/>
              <w:rPr>
                <w:rFonts w:eastAsia="仿宋_GB2312"/>
                <w:color w:val="auto"/>
                <w:sz w:val="32"/>
                <w:szCs w:val="32"/>
                <w:highlight w:val="none"/>
              </w:rPr>
            </w:pPr>
          </w:p>
        </w:tc>
        <w:tc>
          <w:tcPr>
            <w:tcW w:w="2275" w:type="dxa"/>
            <w:tcBorders>
              <w:top w:val="single" w:color="auto" w:sz="4" w:space="0"/>
              <w:left w:val="single" w:color="auto" w:sz="4" w:space="0"/>
              <w:bottom w:val="single" w:color="auto" w:sz="4" w:space="0"/>
              <w:right w:val="single" w:color="auto" w:sz="4" w:space="0"/>
            </w:tcBorders>
            <w:shd w:val="clear" w:color="auto" w:fill="auto"/>
            <w:vAlign w:val="center"/>
          </w:tcPr>
          <w:p w14:paraId="18585D2B">
            <w:pPr>
              <w:jc w:val="center"/>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w:t>
            </w:r>
          </w:p>
        </w:tc>
        <w:tc>
          <w:tcPr>
            <w:tcW w:w="5942" w:type="dxa"/>
            <w:tcBorders>
              <w:top w:val="single" w:color="auto" w:sz="4" w:space="0"/>
              <w:left w:val="single" w:color="auto" w:sz="4" w:space="0"/>
              <w:bottom w:val="single" w:color="auto" w:sz="4" w:space="0"/>
              <w:right w:val="double" w:color="auto" w:sz="4" w:space="0"/>
            </w:tcBorders>
            <w:shd w:val="clear" w:color="auto" w:fill="auto"/>
            <w:vAlign w:val="center"/>
          </w:tcPr>
          <w:p w14:paraId="1B0676A4">
            <w:pPr>
              <w:adjustRightInd w:val="0"/>
              <w:snapToGrid w:val="0"/>
              <w:rPr>
                <w:rFonts w:eastAsia="仿宋_GB2312"/>
                <w:color w:val="auto"/>
                <w:sz w:val="32"/>
                <w:szCs w:val="32"/>
                <w:highlight w:val="none"/>
              </w:rPr>
            </w:pPr>
          </w:p>
        </w:tc>
      </w:tr>
      <w:tr w14:paraId="76FE66F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04CE57A8">
            <w:pPr>
              <w:jc w:val="center"/>
              <w:rPr>
                <w:rFonts w:eastAsia="仿宋_GB2312"/>
                <w:color w:val="auto"/>
                <w:sz w:val="32"/>
                <w:szCs w:val="32"/>
                <w:highlight w:val="none"/>
              </w:rPr>
            </w:pPr>
          </w:p>
        </w:tc>
        <w:tc>
          <w:tcPr>
            <w:tcW w:w="2275" w:type="dxa"/>
            <w:tcBorders>
              <w:top w:val="single" w:color="auto" w:sz="4" w:space="0"/>
              <w:left w:val="single" w:color="auto" w:sz="4" w:space="0"/>
              <w:bottom w:val="double" w:color="auto" w:sz="4" w:space="0"/>
              <w:right w:val="single" w:color="auto" w:sz="4" w:space="0"/>
            </w:tcBorders>
            <w:shd w:val="clear" w:color="auto" w:fill="auto"/>
            <w:vAlign w:val="center"/>
          </w:tcPr>
          <w:p w14:paraId="68D07BE8">
            <w:pPr>
              <w:jc w:val="center"/>
              <w:rPr>
                <w:rFonts w:eastAsia="仿宋_GB2312"/>
                <w:color w:val="auto"/>
                <w:sz w:val="32"/>
                <w:szCs w:val="32"/>
                <w:highlight w:val="none"/>
              </w:rPr>
            </w:pPr>
          </w:p>
        </w:tc>
        <w:tc>
          <w:tcPr>
            <w:tcW w:w="5942" w:type="dxa"/>
            <w:tcBorders>
              <w:top w:val="single" w:color="auto" w:sz="4" w:space="0"/>
              <w:left w:val="single" w:color="auto" w:sz="4" w:space="0"/>
              <w:bottom w:val="double" w:color="auto" w:sz="4" w:space="0"/>
              <w:right w:val="double" w:color="auto" w:sz="4" w:space="0"/>
            </w:tcBorders>
            <w:shd w:val="clear" w:color="auto" w:fill="auto"/>
            <w:vAlign w:val="center"/>
          </w:tcPr>
          <w:p w14:paraId="01D46B3F">
            <w:pPr>
              <w:adjustRightInd w:val="0"/>
              <w:snapToGrid w:val="0"/>
              <w:rPr>
                <w:rFonts w:eastAsia="仿宋_GB2312"/>
                <w:color w:val="auto"/>
                <w:sz w:val="32"/>
                <w:szCs w:val="32"/>
                <w:highlight w:val="none"/>
              </w:rPr>
            </w:pPr>
          </w:p>
        </w:tc>
      </w:tr>
    </w:tbl>
    <w:p w14:paraId="75C2D855">
      <w:pPr>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br w:type="page"/>
      </w:r>
    </w:p>
    <w:p w14:paraId="32F79FDC">
      <w:pPr>
        <w:pStyle w:val="25"/>
        <w:widowControl/>
        <w:ind w:firstLine="0" w:firstLineChars="0"/>
        <w:jc w:val="left"/>
        <w:outlineLvl w:val="1"/>
        <w:rPr>
          <w:rFonts w:eastAsia="黑体"/>
          <w:color w:val="auto"/>
          <w:sz w:val="28"/>
          <w:szCs w:val="44"/>
          <w:highlight w:val="none"/>
        </w:rPr>
      </w:pPr>
      <w:bookmarkStart w:id="27" w:name="_Hlk524442005"/>
      <w:r>
        <w:rPr>
          <w:rFonts w:hint="eastAsia" w:eastAsia="黑体" w:cs="黑体"/>
          <w:color w:val="auto"/>
          <w:sz w:val="28"/>
          <w:szCs w:val="44"/>
          <w:highlight w:val="none"/>
        </w:rPr>
        <w:t>附件二</w:t>
      </w:r>
      <w:r>
        <w:rPr>
          <w:rFonts w:eastAsia="黑体"/>
          <w:color w:val="auto"/>
          <w:sz w:val="28"/>
          <w:szCs w:val="44"/>
          <w:highlight w:val="none"/>
        </w:rPr>
        <w:t xml:space="preserve">  </w:t>
      </w:r>
      <w:r>
        <w:rPr>
          <w:rFonts w:hint="eastAsia" w:eastAsia="黑体" w:cs="黑体"/>
          <w:color w:val="auto"/>
          <w:sz w:val="28"/>
          <w:szCs w:val="44"/>
          <w:highlight w:val="none"/>
        </w:rPr>
        <w:t>报价函</w:t>
      </w:r>
    </w:p>
    <w:p w14:paraId="35874645">
      <w:pPr>
        <w:jc w:val="center"/>
        <w:rPr>
          <w:rFonts w:eastAsia="华文中宋"/>
          <w:color w:val="auto"/>
          <w:sz w:val="44"/>
          <w:szCs w:val="44"/>
          <w:highlight w:val="none"/>
        </w:rPr>
      </w:pPr>
      <w:r>
        <w:rPr>
          <w:rFonts w:hint="eastAsia" w:ascii="Times New Roman" w:hAnsi="Times New Roman" w:eastAsia="华文中宋" w:cs="华文中宋"/>
          <w:color w:val="auto"/>
          <w:sz w:val="44"/>
          <w:szCs w:val="44"/>
          <w:highlight w:val="none"/>
          <w:lang w:bidi="ar"/>
        </w:rPr>
        <w:t>报价函</w:t>
      </w:r>
    </w:p>
    <w:p w14:paraId="6B0F2FA8">
      <w:pPr>
        <w:ind w:firstLine="560"/>
        <w:jc w:val="center"/>
        <w:rPr>
          <w:rFonts w:eastAsia="仿宋_GB2312"/>
          <w:color w:val="auto"/>
          <w:sz w:val="32"/>
          <w:szCs w:val="32"/>
          <w:highlight w:val="none"/>
        </w:rPr>
      </w:pPr>
    </w:p>
    <w:p w14:paraId="5F8014A5">
      <w:pPr>
        <w:rPr>
          <w:rFonts w:eastAsia="仿宋_GB2312"/>
          <w:color w:val="auto"/>
          <w:sz w:val="32"/>
          <w:szCs w:val="32"/>
          <w:highlight w:val="none"/>
        </w:rPr>
      </w:pPr>
      <w:r>
        <w:rPr>
          <w:rFonts w:hint="eastAsia" w:ascii="仿宋_GB2312" w:hAnsi="仿宋_GB2312" w:eastAsia="仿宋_GB2312" w:cs="仿宋_GB2312"/>
          <w:color w:val="auto"/>
          <w:sz w:val="32"/>
          <w:szCs w:val="32"/>
          <w:highlight w:val="none"/>
          <w:lang w:eastAsia="zh-CN" w:bidi="ar"/>
        </w:rPr>
        <w:t>东莞市新东欣环保投资有限公司</w:t>
      </w:r>
      <w:r>
        <w:rPr>
          <w:rFonts w:hint="eastAsia" w:ascii="Times New Roman" w:hAnsi="Times New Roman" w:eastAsia="仿宋_GB2312" w:cs="仿宋_GB2312"/>
          <w:color w:val="auto"/>
          <w:sz w:val="32"/>
          <w:szCs w:val="32"/>
          <w:highlight w:val="none"/>
          <w:lang w:bidi="ar"/>
        </w:rPr>
        <w:t>：</w:t>
      </w:r>
    </w:p>
    <w:p w14:paraId="58A67E5F">
      <w:pPr>
        <w:ind w:firstLine="640" w:firstLineChars="20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针对贵司</w:t>
      </w:r>
      <w:r>
        <w:rPr>
          <w:rFonts w:hint="eastAsia" w:ascii="Times New Roman" w:hAnsi="Times New Roman" w:eastAsia="仿宋_GB2312" w:cs="仿宋_GB2312"/>
          <w:b/>
          <w:color w:val="auto"/>
          <w:sz w:val="32"/>
          <w:szCs w:val="32"/>
          <w:highlight w:val="none"/>
          <w:u w:val="single"/>
          <w:lang w:eastAsia="zh-CN" w:bidi="ar"/>
        </w:rPr>
        <w:t>东莞市海心沙资源综合利用中心绿色工业服务项目（改扩建）竣工环保验收服务</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lang w:val="en-US" w:eastAsia="zh-CN"/>
        </w:rPr>
        <w:t>重新采购</w:t>
      </w:r>
      <w:r>
        <w:rPr>
          <w:rFonts w:hint="eastAsia" w:ascii="仿宋_GB2312" w:hAnsi="仿宋_GB2312" w:eastAsia="仿宋_GB2312" w:cs="仿宋_GB2312"/>
          <w:color w:val="auto"/>
          <w:sz w:val="32"/>
          <w:szCs w:val="32"/>
          <w:highlight w:val="none"/>
          <w:u w:val="single"/>
          <w:lang w:eastAsia="zh-CN"/>
        </w:rPr>
        <w:t>）</w:t>
      </w:r>
      <w:r>
        <w:rPr>
          <w:rFonts w:hint="eastAsia" w:ascii="Times New Roman" w:hAnsi="Times New Roman" w:eastAsia="仿宋_GB2312" w:cs="仿宋_GB2312"/>
          <w:color w:val="auto"/>
          <w:sz w:val="32"/>
          <w:szCs w:val="32"/>
          <w:highlight w:val="none"/>
          <w:lang w:bidi="ar"/>
        </w:rPr>
        <w:t>，我司愿意以含税价合计人民币</w:t>
      </w:r>
      <w:r>
        <w:rPr>
          <w:rFonts w:ascii="Times New Roman" w:hAnsi="Times New Roman" w:eastAsia="仿宋_GB2312" w:cs="Times New Roman"/>
          <w:color w:val="auto"/>
          <w:sz w:val="32"/>
          <w:szCs w:val="32"/>
          <w:highlight w:val="none"/>
          <w:u w:val="single"/>
          <w:lang w:bidi="ar"/>
        </w:rPr>
        <w:t>xxxx</w:t>
      </w:r>
      <w:r>
        <w:rPr>
          <w:rFonts w:hint="eastAsia" w:ascii="Times New Roman" w:hAnsi="Times New Roman" w:eastAsia="仿宋_GB2312" w:cs="仿宋_GB2312"/>
          <w:color w:val="auto"/>
          <w:sz w:val="32"/>
          <w:szCs w:val="32"/>
          <w:highlight w:val="none"/>
          <w:u w:val="single"/>
          <w:lang w:bidi="ar"/>
        </w:rPr>
        <w:t>元（大写），</w:t>
      </w:r>
      <w:r>
        <w:rPr>
          <w:rFonts w:ascii="Times New Roman" w:hAnsi="Times New Roman" w:eastAsia="仿宋_GB2312" w:cs="Times New Roman"/>
          <w:color w:val="auto"/>
          <w:sz w:val="32"/>
          <w:szCs w:val="32"/>
          <w:highlight w:val="none"/>
          <w:u w:val="single"/>
          <w:lang w:bidi="ar"/>
        </w:rPr>
        <w:t>¥xxx.00</w:t>
      </w:r>
      <w:r>
        <w:rPr>
          <w:rFonts w:hint="eastAsia" w:ascii="Times New Roman" w:hAnsi="Times New Roman" w:eastAsia="仿宋_GB2312" w:cs="仿宋_GB2312"/>
          <w:color w:val="auto"/>
          <w:sz w:val="32"/>
          <w:szCs w:val="32"/>
          <w:highlight w:val="none"/>
          <w:u w:val="single"/>
          <w:lang w:bidi="ar"/>
        </w:rPr>
        <w:t>（小写）</w:t>
      </w:r>
      <w:r>
        <w:rPr>
          <w:rFonts w:hint="eastAsia" w:ascii="Times New Roman" w:hAnsi="Times New Roman" w:eastAsia="仿宋_GB2312" w:cs="仿宋_GB2312"/>
          <w:color w:val="auto"/>
          <w:sz w:val="32"/>
          <w:szCs w:val="32"/>
          <w:highlight w:val="none"/>
          <w:lang w:bidi="ar"/>
        </w:rPr>
        <w:t>承接此项目。</w:t>
      </w:r>
    </w:p>
    <w:p w14:paraId="7799A027">
      <w:pPr>
        <w:rPr>
          <w:rFonts w:eastAsia="仿宋_GB2312"/>
          <w:color w:val="auto"/>
          <w:sz w:val="32"/>
          <w:szCs w:val="32"/>
          <w:highlight w:val="none"/>
        </w:rPr>
      </w:pPr>
    </w:p>
    <w:p w14:paraId="42107156">
      <w:pPr>
        <w:rPr>
          <w:rFonts w:eastAsia="仿宋_GB2312"/>
          <w:color w:val="auto"/>
          <w:sz w:val="32"/>
          <w:szCs w:val="32"/>
          <w:highlight w:val="none"/>
        </w:rPr>
      </w:pPr>
    </w:p>
    <w:p w14:paraId="2CEF923E">
      <w:pPr>
        <w:rPr>
          <w:rFonts w:eastAsia="仿宋_GB2312"/>
          <w:color w:val="auto"/>
          <w:sz w:val="32"/>
          <w:szCs w:val="32"/>
          <w:highlight w:val="none"/>
        </w:rPr>
      </w:pPr>
    </w:p>
    <w:p w14:paraId="6A29AEE6">
      <w:pPr>
        <w:jc w:val="left"/>
        <w:rPr>
          <w:rFonts w:eastAsia="仿宋_GB2312"/>
          <w:b/>
          <w:bCs/>
          <w:color w:val="auto"/>
          <w:sz w:val="32"/>
          <w:szCs w:val="32"/>
          <w:highlight w:val="none"/>
        </w:rPr>
      </w:pPr>
      <w:r>
        <w:rPr>
          <w:rFonts w:hint="eastAsia" w:ascii="Times New Roman" w:hAnsi="Times New Roman" w:eastAsia="仿宋_GB2312" w:cs="仿宋_GB2312"/>
          <w:color w:val="auto"/>
          <w:sz w:val="32"/>
          <w:szCs w:val="32"/>
          <w:highlight w:val="none"/>
          <w:lang w:bidi="ar"/>
        </w:rPr>
        <w:t>响应人名称</w:t>
      </w:r>
      <w:r>
        <w:rPr>
          <w:rFonts w:hint="eastAsia" w:ascii="Times New Roman" w:hAnsi="Times New Roman" w:eastAsia="仿宋_GB2312" w:cs="仿宋_GB2312"/>
          <w:b/>
          <w:bCs/>
          <w:color w:val="auto"/>
          <w:sz w:val="32"/>
          <w:szCs w:val="32"/>
          <w:highlight w:val="none"/>
          <w:lang w:bidi="ar"/>
        </w:rPr>
        <w:t>（加盖公章）：</w:t>
      </w:r>
    </w:p>
    <w:p w14:paraId="713A452A">
      <w:pPr>
        <w:jc w:val="left"/>
        <w:rPr>
          <w:rFonts w:eastAsia="仿宋_GB2312"/>
          <w:b/>
          <w:bCs/>
          <w:color w:val="auto"/>
          <w:sz w:val="32"/>
          <w:szCs w:val="32"/>
          <w:highlight w:val="none"/>
        </w:rPr>
      </w:pPr>
      <w:r>
        <w:rPr>
          <w:rFonts w:hint="eastAsia" w:ascii="Times New Roman" w:hAnsi="Times New Roman" w:eastAsia="仿宋_GB2312" w:cs="仿宋_GB2312"/>
          <w:color w:val="auto"/>
          <w:sz w:val="32"/>
          <w:szCs w:val="32"/>
          <w:highlight w:val="none"/>
          <w:lang w:bidi="ar"/>
        </w:rPr>
        <w:t>法定代表人</w:t>
      </w:r>
      <w:r>
        <w:rPr>
          <w:rFonts w:hint="eastAsia" w:ascii="Times New Roman" w:hAnsi="Times New Roman" w:eastAsia="仿宋_GB2312" w:cs="仿宋_GB2312"/>
          <w:b/>
          <w:bCs/>
          <w:color w:val="auto"/>
          <w:sz w:val="32"/>
          <w:szCs w:val="32"/>
          <w:highlight w:val="none"/>
          <w:lang w:bidi="ar"/>
        </w:rPr>
        <w:t>（签名或盖章）：</w:t>
      </w:r>
    </w:p>
    <w:p w14:paraId="33891AA4">
      <w:pPr>
        <w:jc w:val="left"/>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联系人：</w:t>
      </w:r>
    </w:p>
    <w:p w14:paraId="7616E13A">
      <w:pPr>
        <w:jc w:val="left"/>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联系电话：</w:t>
      </w:r>
    </w:p>
    <w:p w14:paraId="16462177">
      <w:pPr>
        <w:jc w:val="left"/>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日期：</w:t>
      </w:r>
    </w:p>
    <w:p w14:paraId="15C475BA">
      <w:pPr>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br w:type="page"/>
      </w:r>
    </w:p>
    <w:p w14:paraId="31545C53">
      <w:pPr>
        <w:pStyle w:val="25"/>
        <w:widowControl/>
        <w:spacing w:line="540" w:lineRule="exact"/>
        <w:ind w:firstLine="0" w:firstLineChars="0"/>
        <w:jc w:val="left"/>
        <w:outlineLvl w:val="1"/>
        <w:rPr>
          <w:rFonts w:eastAsia="黑体"/>
          <w:color w:val="auto"/>
          <w:sz w:val="28"/>
          <w:szCs w:val="44"/>
          <w:highlight w:val="none"/>
        </w:rPr>
      </w:pPr>
      <w:r>
        <w:rPr>
          <w:rFonts w:hint="eastAsia" w:eastAsia="黑体" w:cs="黑体"/>
          <w:color w:val="auto"/>
          <w:sz w:val="28"/>
          <w:szCs w:val="44"/>
          <w:highlight w:val="none"/>
        </w:rPr>
        <w:t>附件三</w:t>
      </w:r>
      <w:r>
        <w:rPr>
          <w:rFonts w:eastAsia="黑体"/>
          <w:color w:val="auto"/>
          <w:sz w:val="28"/>
          <w:szCs w:val="44"/>
          <w:highlight w:val="none"/>
        </w:rPr>
        <w:t xml:space="preserve">  </w:t>
      </w:r>
      <w:r>
        <w:rPr>
          <w:rFonts w:hint="eastAsia" w:eastAsia="黑体" w:cs="黑体"/>
          <w:color w:val="auto"/>
          <w:sz w:val="28"/>
          <w:szCs w:val="44"/>
          <w:highlight w:val="none"/>
        </w:rPr>
        <w:t>法人证明</w:t>
      </w:r>
    </w:p>
    <w:p w14:paraId="352016DB">
      <w:pPr>
        <w:pStyle w:val="25"/>
        <w:widowControl/>
        <w:spacing w:line="540" w:lineRule="exact"/>
        <w:ind w:firstLine="0" w:firstLineChars="0"/>
        <w:jc w:val="left"/>
        <w:rPr>
          <w:rFonts w:eastAsia="黑体"/>
          <w:color w:val="auto"/>
          <w:sz w:val="28"/>
          <w:szCs w:val="44"/>
          <w:highlight w:val="none"/>
        </w:rPr>
      </w:pPr>
    </w:p>
    <w:p w14:paraId="79F344E4">
      <w:pPr>
        <w:spacing w:line="540" w:lineRule="exact"/>
        <w:jc w:val="center"/>
        <w:rPr>
          <w:rFonts w:eastAsia="仿宋_GB2312"/>
          <w:b/>
          <w:color w:val="auto"/>
          <w:sz w:val="32"/>
          <w:szCs w:val="32"/>
          <w:highlight w:val="none"/>
        </w:rPr>
      </w:pPr>
      <w:r>
        <w:rPr>
          <w:rFonts w:hint="eastAsia" w:ascii="Times New Roman" w:hAnsi="Times New Roman" w:eastAsia="仿宋_GB2312" w:cs="仿宋_GB2312"/>
          <w:b/>
          <w:color w:val="auto"/>
          <w:sz w:val="32"/>
          <w:szCs w:val="32"/>
          <w:highlight w:val="none"/>
          <w:lang w:bidi="ar"/>
        </w:rPr>
        <w:t>法定代表人身份证明书及法定代表人身份证复印件</w:t>
      </w:r>
    </w:p>
    <w:p w14:paraId="20E6A3D4">
      <w:pPr>
        <w:spacing w:line="540" w:lineRule="exact"/>
        <w:rPr>
          <w:rFonts w:eastAsia="仿宋_GB2312"/>
          <w:color w:val="auto"/>
          <w:sz w:val="32"/>
          <w:szCs w:val="32"/>
          <w:highlight w:val="none"/>
        </w:rPr>
      </w:pPr>
    </w:p>
    <w:p w14:paraId="0A9E5EE6">
      <w:pPr>
        <w:spacing w:line="540" w:lineRule="exact"/>
        <w:rPr>
          <w:rFonts w:eastAsia="仿宋_GB2312"/>
          <w:color w:val="auto"/>
          <w:sz w:val="32"/>
          <w:szCs w:val="32"/>
          <w:highlight w:val="none"/>
        </w:rPr>
      </w:pPr>
      <w:r>
        <w:rPr>
          <w:rFonts w:hint="eastAsia" w:ascii="仿宋_GB2312" w:hAnsi="仿宋_GB2312" w:eastAsia="仿宋_GB2312" w:cs="仿宋_GB2312"/>
          <w:color w:val="auto"/>
          <w:sz w:val="32"/>
          <w:szCs w:val="32"/>
          <w:highlight w:val="none"/>
          <w:lang w:eastAsia="zh-CN" w:bidi="ar"/>
        </w:rPr>
        <w:t>东莞市新东欣环保投资有限公司</w:t>
      </w:r>
      <w:r>
        <w:rPr>
          <w:rFonts w:hint="eastAsia" w:ascii="Times New Roman" w:hAnsi="Times New Roman" w:eastAsia="仿宋_GB2312" w:cs="仿宋_GB2312"/>
          <w:color w:val="auto"/>
          <w:sz w:val="32"/>
          <w:szCs w:val="32"/>
          <w:highlight w:val="none"/>
          <w:lang w:bidi="ar"/>
        </w:rPr>
        <w:t>：</w:t>
      </w:r>
    </w:p>
    <w:p w14:paraId="3D00051B">
      <w:pPr>
        <w:pStyle w:val="19"/>
        <w:widowControl/>
        <w:spacing w:line="540" w:lineRule="exact"/>
        <w:ind w:firstLine="659"/>
        <w:rPr>
          <w:rFonts w:hint="default" w:ascii="Times New Roman" w:hAnsi="Times New Roman"/>
          <w:color w:val="auto"/>
          <w:sz w:val="32"/>
          <w:szCs w:val="32"/>
          <w:highlight w:val="none"/>
        </w:rPr>
      </w:pPr>
      <w:r>
        <w:rPr>
          <w:rFonts w:ascii="Times New Roman" w:hAnsi="Times New Roman"/>
          <w:color w:val="auto"/>
          <w:sz w:val="32"/>
          <w:szCs w:val="32"/>
          <w:highlight w:val="none"/>
        </w:rPr>
        <w:t>本证明书声明：注册于（国家名称）的</w:t>
      </w:r>
      <w:r>
        <w:rPr>
          <w:rFonts w:ascii="Times New Roman" w:hAnsi="Times New Roman"/>
          <w:color w:val="auto"/>
          <w:sz w:val="32"/>
          <w:szCs w:val="32"/>
          <w:highlight w:val="none"/>
          <w:u w:val="single"/>
        </w:rPr>
        <w:t>　　</w:t>
      </w:r>
      <w:r>
        <w:rPr>
          <w:rFonts w:ascii="Times New Roman" w:hAnsi="Times New Roman"/>
          <w:color w:val="auto"/>
          <w:sz w:val="32"/>
          <w:szCs w:val="32"/>
          <w:highlight w:val="none"/>
        </w:rPr>
        <w:t>（响应人名称）在下面签字的</w:t>
      </w:r>
      <w:r>
        <w:rPr>
          <w:rFonts w:ascii="Times New Roman" w:hAnsi="Times New Roman"/>
          <w:color w:val="auto"/>
          <w:sz w:val="32"/>
          <w:szCs w:val="32"/>
          <w:highlight w:val="none"/>
          <w:u w:val="single"/>
        </w:rPr>
        <w:t>　　　　　</w:t>
      </w:r>
      <w:r>
        <w:rPr>
          <w:rFonts w:ascii="Times New Roman" w:hAnsi="Times New Roman"/>
          <w:color w:val="auto"/>
          <w:sz w:val="32"/>
          <w:szCs w:val="32"/>
          <w:highlight w:val="none"/>
        </w:rPr>
        <w:t>（法定代表人姓名、职务）为本公司的合法代表人（</w:t>
      </w:r>
      <w:r>
        <w:rPr>
          <w:rFonts w:ascii="Times New Roman" w:hAnsi="Times New Roman"/>
          <w:b/>
          <w:color w:val="auto"/>
          <w:sz w:val="32"/>
          <w:szCs w:val="32"/>
          <w:highlight w:val="none"/>
        </w:rPr>
        <w:t>须附法定代表人身份证复印件</w:t>
      </w:r>
      <w:r>
        <w:rPr>
          <w:rFonts w:ascii="Times New Roman" w:hAnsi="Times New Roman"/>
          <w:color w:val="auto"/>
          <w:sz w:val="32"/>
          <w:szCs w:val="32"/>
          <w:highlight w:val="none"/>
        </w:rPr>
        <w:t>）。</w:t>
      </w:r>
    </w:p>
    <w:p w14:paraId="17A579A1">
      <w:pPr>
        <w:spacing w:line="540" w:lineRule="exact"/>
        <w:ind w:firstLine="480" w:firstLineChars="150"/>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特此证明</w:t>
      </w:r>
    </w:p>
    <w:p w14:paraId="0E272051">
      <w:pPr>
        <w:spacing w:line="540" w:lineRule="exact"/>
        <w:rPr>
          <w:rFonts w:eastAsia="仿宋_GB2312"/>
          <w:color w:val="auto"/>
          <w:sz w:val="32"/>
          <w:szCs w:val="32"/>
          <w:highlight w:val="none"/>
        </w:rPr>
      </w:pPr>
    </w:p>
    <w:p w14:paraId="0A2FE62B">
      <w:pPr>
        <w:spacing w:line="540" w:lineRule="exact"/>
        <w:jc w:val="left"/>
        <w:rPr>
          <w:rFonts w:eastAsia="仿宋_GB2312"/>
          <w:b/>
          <w:bCs/>
          <w:color w:val="auto"/>
          <w:sz w:val="32"/>
          <w:szCs w:val="32"/>
          <w:highlight w:val="none"/>
        </w:rPr>
      </w:pPr>
      <w:r>
        <w:rPr>
          <w:rFonts w:hint="eastAsia" w:ascii="Times New Roman" w:hAnsi="Times New Roman" w:eastAsia="仿宋_GB2312" w:cs="仿宋_GB2312"/>
          <w:color w:val="auto"/>
          <w:sz w:val="32"/>
          <w:szCs w:val="32"/>
          <w:highlight w:val="none"/>
          <w:lang w:bidi="ar"/>
        </w:rPr>
        <w:t>响应人名称</w:t>
      </w:r>
      <w:r>
        <w:rPr>
          <w:rFonts w:hint="eastAsia" w:ascii="Times New Roman" w:hAnsi="Times New Roman" w:eastAsia="仿宋_GB2312" w:cs="仿宋_GB2312"/>
          <w:b/>
          <w:bCs/>
          <w:color w:val="auto"/>
          <w:sz w:val="32"/>
          <w:szCs w:val="32"/>
          <w:highlight w:val="none"/>
          <w:lang w:bidi="ar"/>
        </w:rPr>
        <w:t>（加盖公章）：</w:t>
      </w:r>
    </w:p>
    <w:p w14:paraId="1564AB2B">
      <w:pPr>
        <w:spacing w:line="540" w:lineRule="exact"/>
        <w:jc w:val="left"/>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响应人地址：</w:t>
      </w:r>
    </w:p>
    <w:p w14:paraId="529F0663">
      <w:pPr>
        <w:spacing w:line="540" w:lineRule="exact"/>
        <w:jc w:val="left"/>
        <w:rPr>
          <w:rFonts w:eastAsia="仿宋_GB2312"/>
          <w:b/>
          <w:bCs/>
          <w:color w:val="auto"/>
          <w:sz w:val="32"/>
          <w:szCs w:val="32"/>
          <w:highlight w:val="none"/>
        </w:rPr>
      </w:pPr>
      <w:r>
        <w:rPr>
          <w:rFonts w:hint="eastAsia" w:ascii="Times New Roman" w:hAnsi="Times New Roman" w:eastAsia="仿宋_GB2312" w:cs="仿宋_GB2312"/>
          <w:color w:val="auto"/>
          <w:sz w:val="32"/>
          <w:szCs w:val="32"/>
          <w:highlight w:val="none"/>
          <w:lang w:bidi="ar"/>
        </w:rPr>
        <w:t>法定代表人</w:t>
      </w:r>
      <w:r>
        <w:rPr>
          <w:rFonts w:hint="eastAsia" w:ascii="Times New Roman" w:hAnsi="Times New Roman" w:eastAsia="仿宋_GB2312" w:cs="仿宋_GB2312"/>
          <w:b/>
          <w:bCs/>
          <w:color w:val="auto"/>
          <w:sz w:val="32"/>
          <w:szCs w:val="32"/>
          <w:highlight w:val="none"/>
          <w:lang w:bidi="ar"/>
        </w:rPr>
        <w:t>（签名或盖私章）：</w:t>
      </w:r>
    </w:p>
    <w:p w14:paraId="7CF068F1">
      <w:pPr>
        <w:spacing w:line="540" w:lineRule="exact"/>
        <w:jc w:val="left"/>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职务：</w:t>
      </w:r>
    </w:p>
    <w:p w14:paraId="298DC459">
      <w:pPr>
        <w:rPr>
          <w:color w:val="auto"/>
          <w:highlight w:val="none"/>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6"/>
      </w:tblGrid>
      <w:tr w14:paraId="0B8AB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0" w:hRule="atLeast"/>
        </w:trPr>
        <w:tc>
          <w:tcPr>
            <w:tcW w:w="8516" w:type="dxa"/>
            <w:tcBorders>
              <w:top w:val="single" w:color="auto" w:sz="4" w:space="0"/>
              <w:left w:val="single" w:color="auto" w:sz="4" w:space="0"/>
              <w:bottom w:val="single" w:color="auto" w:sz="4" w:space="0"/>
              <w:right w:val="single" w:color="auto" w:sz="4" w:space="0"/>
            </w:tcBorders>
            <w:shd w:val="clear" w:color="auto" w:fill="auto"/>
          </w:tcPr>
          <w:p w14:paraId="24AF9E96">
            <w:pPr>
              <w:widowControl/>
              <w:spacing w:line="360" w:lineRule="auto"/>
              <w:rPr>
                <w:rFonts w:ascii="仿宋" w:hAnsi="仿宋" w:eastAsia="仿宋" w:cs="仿宋"/>
                <w:color w:val="auto"/>
                <w:sz w:val="28"/>
                <w:szCs w:val="28"/>
                <w:highlight w:val="none"/>
              </w:rPr>
            </w:pPr>
            <w:r>
              <w:rPr>
                <w:rFonts w:hint="eastAsia" w:ascii="仿宋" w:hAnsi="仿宋" w:eastAsia="仿宋" w:cs="仿宋"/>
                <w:b/>
                <w:color w:val="auto"/>
                <w:sz w:val="28"/>
                <w:szCs w:val="28"/>
                <w:highlight w:val="none"/>
              </w:rPr>
              <w:t>（法定代表人身份证复印件，并加盖公章）</w:t>
            </w:r>
          </w:p>
        </w:tc>
      </w:tr>
    </w:tbl>
    <w:p w14:paraId="7951E1E2">
      <w:pPr>
        <w:widowControl/>
        <w:jc w:val="center"/>
        <w:rPr>
          <w:rFonts w:eastAsia="仿宋_GB2312"/>
          <w:color w:val="auto"/>
          <w:sz w:val="32"/>
          <w:szCs w:val="32"/>
          <w:highlight w:val="none"/>
        </w:rPr>
      </w:pPr>
      <w:r>
        <w:rPr>
          <w:rFonts w:ascii="Times New Roman" w:hAnsi="Times New Roman" w:eastAsia="仿宋_GB2312" w:cs="Times New Roman"/>
          <w:color w:val="auto"/>
          <w:sz w:val="32"/>
          <w:szCs w:val="32"/>
          <w:highlight w:val="none"/>
          <w:lang w:bidi="ar"/>
        </w:rPr>
        <w:br w:type="page"/>
      </w:r>
      <w:bookmarkStart w:id="28" w:name="_Toc384752807"/>
    </w:p>
    <w:p w14:paraId="258E40CA">
      <w:pPr>
        <w:pStyle w:val="25"/>
        <w:widowControl/>
        <w:ind w:firstLine="0" w:firstLineChars="0"/>
        <w:jc w:val="left"/>
        <w:outlineLvl w:val="1"/>
        <w:rPr>
          <w:rFonts w:eastAsia="黑体"/>
          <w:color w:val="auto"/>
          <w:sz w:val="28"/>
          <w:szCs w:val="44"/>
          <w:highlight w:val="none"/>
        </w:rPr>
      </w:pPr>
      <w:bookmarkStart w:id="29" w:name="_Hlk40704362"/>
      <w:r>
        <w:rPr>
          <w:rFonts w:hint="eastAsia" w:eastAsia="黑体" w:cs="黑体"/>
          <w:color w:val="auto"/>
          <w:sz w:val="28"/>
          <w:szCs w:val="44"/>
          <w:highlight w:val="none"/>
        </w:rPr>
        <w:t>附件五</w:t>
      </w:r>
      <w:r>
        <w:rPr>
          <w:rFonts w:eastAsia="黑体"/>
          <w:color w:val="auto"/>
          <w:sz w:val="28"/>
          <w:szCs w:val="44"/>
          <w:highlight w:val="none"/>
        </w:rPr>
        <w:t xml:space="preserve">  </w:t>
      </w:r>
      <w:r>
        <w:rPr>
          <w:rFonts w:hint="eastAsia" w:eastAsia="黑体" w:cs="黑体"/>
          <w:color w:val="auto"/>
          <w:sz w:val="28"/>
          <w:szCs w:val="44"/>
          <w:highlight w:val="none"/>
        </w:rPr>
        <w:t>法人授权书</w:t>
      </w:r>
    </w:p>
    <w:p w14:paraId="1CEE0F5A">
      <w:pPr>
        <w:widowControl/>
        <w:spacing w:line="500" w:lineRule="exact"/>
        <w:jc w:val="center"/>
        <w:rPr>
          <w:rFonts w:eastAsia="仿宋_GB2312"/>
          <w:b/>
          <w:color w:val="auto"/>
          <w:sz w:val="32"/>
          <w:szCs w:val="32"/>
          <w:highlight w:val="none"/>
        </w:rPr>
      </w:pPr>
    </w:p>
    <w:p w14:paraId="1D73727C">
      <w:pPr>
        <w:widowControl/>
        <w:spacing w:line="500" w:lineRule="exact"/>
        <w:jc w:val="center"/>
        <w:rPr>
          <w:rFonts w:eastAsia="仿宋_GB2312"/>
          <w:color w:val="auto"/>
          <w:sz w:val="32"/>
          <w:szCs w:val="32"/>
          <w:highlight w:val="none"/>
        </w:rPr>
      </w:pPr>
      <w:r>
        <w:rPr>
          <w:rFonts w:hint="eastAsia" w:ascii="Times New Roman" w:hAnsi="Times New Roman" w:eastAsia="仿宋_GB2312" w:cs="仿宋_GB2312"/>
          <w:b/>
          <w:color w:val="auto"/>
          <w:sz w:val="32"/>
          <w:szCs w:val="32"/>
          <w:highlight w:val="none"/>
          <w:lang w:bidi="ar"/>
        </w:rPr>
        <w:t>授权委托书</w:t>
      </w:r>
      <w:bookmarkEnd w:id="28"/>
    </w:p>
    <w:p w14:paraId="2E1EC79F">
      <w:pPr>
        <w:pStyle w:val="19"/>
        <w:widowControl/>
        <w:spacing w:line="500" w:lineRule="exact"/>
        <w:ind w:firstLine="0" w:firstLineChars="0"/>
        <w:rPr>
          <w:rFonts w:hint="default" w:ascii="Times New Roman" w:hAnsi="Times New Roman"/>
          <w:color w:val="auto"/>
          <w:sz w:val="32"/>
          <w:szCs w:val="32"/>
          <w:highlight w:val="none"/>
        </w:rPr>
      </w:pPr>
    </w:p>
    <w:p w14:paraId="107BF976">
      <w:pPr>
        <w:spacing w:line="500" w:lineRule="exact"/>
        <w:rPr>
          <w:rFonts w:eastAsia="仿宋_GB2312"/>
          <w:color w:val="auto"/>
          <w:sz w:val="32"/>
          <w:szCs w:val="32"/>
          <w:highlight w:val="none"/>
        </w:rPr>
      </w:pPr>
      <w:r>
        <w:rPr>
          <w:rFonts w:hint="eastAsia" w:ascii="Times New Roman" w:hAnsi="Times New Roman" w:eastAsia="仿宋_GB2312" w:cs="仿宋_GB2312"/>
          <w:color w:val="auto"/>
          <w:sz w:val="32"/>
          <w:szCs w:val="32"/>
          <w:highlight w:val="none"/>
          <w:lang w:eastAsia="zh-CN" w:bidi="ar"/>
        </w:rPr>
        <w:t>东莞市新东欣环保投资有限公司</w:t>
      </w:r>
      <w:r>
        <w:rPr>
          <w:rFonts w:hint="eastAsia" w:ascii="Times New Roman" w:hAnsi="Times New Roman" w:eastAsia="仿宋_GB2312" w:cs="仿宋_GB2312"/>
          <w:color w:val="auto"/>
          <w:sz w:val="32"/>
          <w:szCs w:val="32"/>
          <w:highlight w:val="none"/>
          <w:lang w:bidi="ar"/>
        </w:rPr>
        <w:t>：</w:t>
      </w:r>
    </w:p>
    <w:p w14:paraId="46E2E7AA">
      <w:pPr>
        <w:pStyle w:val="19"/>
        <w:widowControl/>
        <w:spacing w:line="500" w:lineRule="exact"/>
        <w:ind w:firstLine="659"/>
        <w:rPr>
          <w:rFonts w:hint="default" w:ascii="Times New Roman" w:hAnsi="Times New Roman"/>
          <w:color w:val="auto"/>
          <w:sz w:val="32"/>
          <w:szCs w:val="32"/>
          <w:highlight w:val="none"/>
        </w:rPr>
      </w:pPr>
      <w:r>
        <w:rPr>
          <w:rFonts w:ascii="Times New Roman" w:hAnsi="Times New Roman"/>
          <w:color w:val="auto"/>
          <w:sz w:val="32"/>
          <w:szCs w:val="32"/>
          <w:highlight w:val="none"/>
        </w:rPr>
        <w:t>本委托书声明：在下面签字的</w:t>
      </w:r>
      <w:r>
        <w:rPr>
          <w:rFonts w:ascii="Times New Roman" w:hAnsi="Times New Roman"/>
          <w:color w:val="auto"/>
          <w:sz w:val="32"/>
          <w:szCs w:val="32"/>
          <w:highlight w:val="none"/>
          <w:u w:val="single"/>
        </w:rPr>
        <w:t>（填写法定代表人姓名、职务）</w:t>
      </w:r>
      <w:r>
        <w:rPr>
          <w:rFonts w:ascii="Times New Roman" w:hAnsi="Times New Roman"/>
          <w:color w:val="auto"/>
          <w:sz w:val="32"/>
          <w:szCs w:val="32"/>
          <w:highlight w:val="none"/>
        </w:rPr>
        <w:t>代表</w:t>
      </w:r>
      <w:r>
        <w:rPr>
          <w:rFonts w:ascii="Times New Roman" w:hAnsi="Times New Roman"/>
          <w:color w:val="auto"/>
          <w:sz w:val="32"/>
          <w:szCs w:val="32"/>
          <w:highlight w:val="none"/>
          <w:u w:val="single"/>
        </w:rPr>
        <w:t>（填写响应人名称）</w:t>
      </w:r>
      <w:r>
        <w:rPr>
          <w:rFonts w:ascii="Times New Roman" w:hAnsi="Times New Roman"/>
          <w:color w:val="auto"/>
          <w:sz w:val="32"/>
          <w:szCs w:val="32"/>
          <w:highlight w:val="none"/>
        </w:rPr>
        <w:t>委托在下面签字的</w:t>
      </w:r>
      <w:r>
        <w:rPr>
          <w:rFonts w:ascii="Times New Roman" w:hAnsi="Times New Roman"/>
          <w:color w:val="auto"/>
          <w:sz w:val="32"/>
          <w:szCs w:val="32"/>
          <w:highlight w:val="none"/>
          <w:u w:val="single"/>
        </w:rPr>
        <w:t>（填写受委托人的姓名、职务）</w:t>
      </w:r>
      <w:r>
        <w:rPr>
          <w:rFonts w:ascii="Times New Roman" w:hAnsi="Times New Roman"/>
          <w:color w:val="auto"/>
          <w:sz w:val="32"/>
          <w:szCs w:val="32"/>
          <w:highlight w:val="none"/>
        </w:rPr>
        <w:t>为本公司的合法代表人，就</w:t>
      </w:r>
      <w:r>
        <w:rPr>
          <w:rFonts w:hint="eastAsia"/>
          <w:color w:val="auto"/>
          <w:sz w:val="32"/>
          <w:szCs w:val="32"/>
          <w:highlight w:val="none"/>
          <w:u w:val="single"/>
          <w:lang w:eastAsia="zh-CN"/>
        </w:rPr>
        <w:t>东莞市海心沙资源综合利用中心绿色工业服务项目（改扩建）竣工环保验收服务</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lang w:val="en-US" w:eastAsia="zh-CN"/>
        </w:rPr>
        <w:t>重新采购</w:t>
      </w:r>
      <w:r>
        <w:rPr>
          <w:rFonts w:hint="eastAsia" w:ascii="仿宋_GB2312" w:hAnsi="仿宋_GB2312" w:eastAsia="仿宋_GB2312" w:cs="仿宋_GB2312"/>
          <w:color w:val="auto"/>
          <w:sz w:val="32"/>
          <w:szCs w:val="32"/>
          <w:highlight w:val="none"/>
          <w:u w:val="single"/>
          <w:lang w:eastAsia="zh-CN"/>
        </w:rPr>
        <w:t>）</w:t>
      </w:r>
      <w:r>
        <w:rPr>
          <w:rFonts w:ascii="Times New Roman" w:hAnsi="Times New Roman"/>
          <w:color w:val="auto"/>
          <w:sz w:val="32"/>
          <w:szCs w:val="32"/>
          <w:highlight w:val="none"/>
        </w:rPr>
        <w:t>等相关服务的谈判和合同的执行，以我方的名义处理一切与之有关的事宜（相关身份证复印件须附后）。</w:t>
      </w:r>
    </w:p>
    <w:p w14:paraId="78E7A065">
      <w:pPr>
        <w:pStyle w:val="19"/>
        <w:widowControl/>
        <w:spacing w:line="500" w:lineRule="exact"/>
        <w:ind w:firstLine="659"/>
        <w:rPr>
          <w:rFonts w:hint="default" w:ascii="Times New Roman" w:hAnsi="Times New Roman"/>
          <w:color w:val="auto"/>
          <w:sz w:val="32"/>
          <w:szCs w:val="32"/>
          <w:highlight w:val="none"/>
        </w:rPr>
      </w:pPr>
      <w:r>
        <w:rPr>
          <w:rFonts w:ascii="Times New Roman" w:hAnsi="Times New Roman"/>
          <w:color w:val="auto"/>
          <w:sz w:val="32"/>
          <w:szCs w:val="32"/>
          <w:highlight w:val="none"/>
        </w:rPr>
        <w:t>本委托书于</w:t>
      </w:r>
      <w:r>
        <w:rPr>
          <w:rFonts w:hint="eastAsia" w:ascii="Times New Roman" w:hAnsi="Times New Roman"/>
          <w:color w:val="auto"/>
          <w:sz w:val="32"/>
          <w:szCs w:val="32"/>
          <w:highlight w:val="none"/>
          <w:lang w:val="en-US" w:eastAsia="zh-CN"/>
        </w:rPr>
        <w:t xml:space="preserve">  </w:t>
      </w:r>
      <w:r>
        <w:rPr>
          <w:rFonts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ascii="Times New Roman" w:hAnsi="Times New Roman"/>
          <w:color w:val="auto"/>
          <w:sz w:val="32"/>
          <w:szCs w:val="32"/>
          <w:highlight w:val="none"/>
        </w:rPr>
        <w:t>日至</w:t>
      </w:r>
      <w:r>
        <w:rPr>
          <w:rFonts w:hint="eastAsia" w:ascii="Times New Roman" w:hAnsi="Times New Roman"/>
          <w:color w:val="auto"/>
          <w:sz w:val="32"/>
          <w:szCs w:val="32"/>
          <w:highlight w:val="none"/>
          <w:lang w:val="en-US" w:eastAsia="zh-CN"/>
        </w:rPr>
        <w:t xml:space="preserve">  </w:t>
      </w:r>
      <w:r>
        <w:rPr>
          <w:rFonts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ascii="Times New Roman" w:hAnsi="Times New Roman"/>
          <w:color w:val="auto"/>
          <w:sz w:val="32"/>
          <w:szCs w:val="32"/>
          <w:highlight w:val="none"/>
        </w:rPr>
        <w:t>日签字生效，有效期与询价有效期一致，特此声明。</w:t>
      </w:r>
    </w:p>
    <w:p w14:paraId="2A731BAF">
      <w:pPr>
        <w:pStyle w:val="19"/>
        <w:widowControl/>
        <w:spacing w:line="500" w:lineRule="exact"/>
        <w:ind w:firstLine="659"/>
        <w:rPr>
          <w:rFonts w:hint="default" w:ascii="Times New Roman" w:hAnsi="Times New Roman"/>
          <w:color w:val="auto"/>
          <w:sz w:val="32"/>
          <w:szCs w:val="32"/>
          <w:highlight w:val="none"/>
        </w:rPr>
      </w:pPr>
    </w:p>
    <w:p w14:paraId="5AEA57E1">
      <w:pPr>
        <w:pStyle w:val="19"/>
        <w:widowControl/>
        <w:adjustRightInd w:val="0"/>
        <w:spacing w:line="500" w:lineRule="exact"/>
        <w:ind w:firstLine="640" w:firstLineChars="200"/>
        <w:jc w:val="left"/>
        <w:rPr>
          <w:rFonts w:hint="default" w:ascii="Times New Roman" w:hAnsi="Times New Roman"/>
          <w:b/>
          <w:bCs/>
          <w:color w:val="auto"/>
          <w:sz w:val="32"/>
          <w:szCs w:val="32"/>
          <w:highlight w:val="none"/>
        </w:rPr>
      </w:pPr>
      <w:r>
        <w:rPr>
          <w:rFonts w:ascii="Times New Roman" w:hAnsi="Times New Roman"/>
          <w:color w:val="auto"/>
          <w:sz w:val="32"/>
          <w:szCs w:val="32"/>
          <w:highlight w:val="none"/>
        </w:rPr>
        <w:t>响应人名称</w:t>
      </w:r>
      <w:r>
        <w:rPr>
          <w:rFonts w:ascii="Times New Roman" w:hAnsi="Times New Roman"/>
          <w:b/>
          <w:bCs/>
          <w:color w:val="auto"/>
          <w:sz w:val="32"/>
          <w:szCs w:val="32"/>
          <w:highlight w:val="none"/>
        </w:rPr>
        <w:t>（加盖公章）：</w:t>
      </w:r>
    </w:p>
    <w:p w14:paraId="6D113EDD">
      <w:pPr>
        <w:pStyle w:val="19"/>
        <w:widowControl/>
        <w:adjustRightInd w:val="0"/>
        <w:spacing w:line="500" w:lineRule="exact"/>
        <w:ind w:firstLine="640" w:firstLineChars="200"/>
        <w:jc w:val="left"/>
        <w:rPr>
          <w:rFonts w:hint="default" w:ascii="Times New Roman" w:hAnsi="Times New Roman"/>
          <w:b/>
          <w:bCs/>
          <w:color w:val="auto"/>
          <w:sz w:val="32"/>
          <w:szCs w:val="32"/>
          <w:highlight w:val="none"/>
        </w:rPr>
      </w:pPr>
      <w:r>
        <w:rPr>
          <w:rFonts w:ascii="Times New Roman" w:hAnsi="Times New Roman"/>
          <w:color w:val="auto"/>
          <w:sz w:val="32"/>
          <w:szCs w:val="32"/>
          <w:highlight w:val="none"/>
        </w:rPr>
        <w:t>法定代表人</w:t>
      </w:r>
      <w:r>
        <w:rPr>
          <w:rFonts w:ascii="Times New Roman" w:hAnsi="Times New Roman"/>
          <w:b/>
          <w:bCs/>
          <w:color w:val="auto"/>
          <w:sz w:val="32"/>
          <w:szCs w:val="32"/>
          <w:highlight w:val="none"/>
        </w:rPr>
        <w:t>（签字或盖章）：</w:t>
      </w:r>
    </w:p>
    <w:p w14:paraId="1DDED152">
      <w:pPr>
        <w:pStyle w:val="19"/>
        <w:widowControl/>
        <w:adjustRightInd w:val="0"/>
        <w:spacing w:line="500" w:lineRule="exact"/>
        <w:ind w:firstLine="640" w:firstLineChars="200"/>
        <w:jc w:val="left"/>
        <w:rPr>
          <w:rFonts w:hint="default" w:ascii="Times New Roman" w:hAnsi="Times New Roman"/>
          <w:color w:val="auto"/>
          <w:sz w:val="32"/>
          <w:szCs w:val="32"/>
          <w:highlight w:val="none"/>
        </w:rPr>
      </w:pPr>
      <w:r>
        <w:rPr>
          <w:rFonts w:ascii="Times New Roman" w:hAnsi="Times New Roman"/>
          <w:color w:val="auto"/>
          <w:sz w:val="32"/>
          <w:szCs w:val="32"/>
          <w:highlight w:val="none"/>
        </w:rPr>
        <w:t>职务：</w:t>
      </w:r>
    </w:p>
    <w:p w14:paraId="0DEBBC0F">
      <w:pPr>
        <w:pStyle w:val="19"/>
        <w:widowControl/>
        <w:adjustRightInd w:val="0"/>
        <w:spacing w:line="500" w:lineRule="exact"/>
        <w:ind w:firstLine="640" w:firstLineChars="200"/>
        <w:jc w:val="left"/>
        <w:rPr>
          <w:rFonts w:hint="default" w:ascii="Times New Roman" w:hAnsi="Times New Roman"/>
          <w:b/>
          <w:bCs/>
          <w:color w:val="auto"/>
          <w:sz w:val="32"/>
          <w:szCs w:val="32"/>
          <w:highlight w:val="none"/>
        </w:rPr>
      </w:pPr>
      <w:r>
        <w:rPr>
          <w:rFonts w:ascii="Times New Roman" w:hAnsi="Times New Roman"/>
          <w:color w:val="auto"/>
          <w:sz w:val="32"/>
          <w:szCs w:val="32"/>
          <w:highlight w:val="none"/>
        </w:rPr>
        <w:t>受委托人</w:t>
      </w:r>
      <w:r>
        <w:rPr>
          <w:rFonts w:ascii="Times New Roman" w:hAnsi="Times New Roman"/>
          <w:b/>
          <w:bCs/>
          <w:color w:val="auto"/>
          <w:sz w:val="32"/>
          <w:szCs w:val="32"/>
          <w:highlight w:val="none"/>
        </w:rPr>
        <w:t>（签字或盖章）：</w:t>
      </w:r>
    </w:p>
    <w:p w14:paraId="2160C4F2">
      <w:pPr>
        <w:pStyle w:val="19"/>
        <w:widowControl/>
        <w:adjustRightInd w:val="0"/>
        <w:spacing w:line="500" w:lineRule="exact"/>
        <w:ind w:firstLine="640" w:firstLineChars="200"/>
        <w:jc w:val="left"/>
        <w:rPr>
          <w:rFonts w:hint="default" w:ascii="Times New Roman" w:hAnsi="Times New Roman"/>
          <w:color w:val="auto"/>
          <w:sz w:val="32"/>
          <w:szCs w:val="32"/>
          <w:highlight w:val="none"/>
        </w:rPr>
      </w:pPr>
      <w:r>
        <w:rPr>
          <w:rFonts w:ascii="Times New Roman" w:hAnsi="Times New Roman"/>
          <w:color w:val="auto"/>
          <w:sz w:val="32"/>
          <w:szCs w:val="32"/>
          <w:highlight w:val="none"/>
        </w:rPr>
        <w:t>职务：</w:t>
      </w:r>
    </w:p>
    <w:p w14:paraId="652FC3C2">
      <w:pPr>
        <w:pStyle w:val="19"/>
        <w:widowControl/>
        <w:adjustRightInd w:val="0"/>
        <w:spacing w:line="500" w:lineRule="exact"/>
        <w:ind w:firstLine="640" w:firstLineChars="200"/>
        <w:jc w:val="left"/>
        <w:rPr>
          <w:rFonts w:hint="default" w:ascii="Times New Roman" w:hAnsi="Times New Roman"/>
          <w:color w:val="auto"/>
          <w:sz w:val="32"/>
          <w:szCs w:val="32"/>
          <w:highlight w:val="none"/>
        </w:rPr>
      </w:pPr>
      <w:r>
        <w:rPr>
          <w:rFonts w:ascii="Times New Roman" w:hAnsi="Times New Roman"/>
          <w:color w:val="auto"/>
          <w:sz w:val="32"/>
          <w:szCs w:val="32"/>
          <w:highlight w:val="none"/>
        </w:rPr>
        <w:t>日期：</w:t>
      </w:r>
    </w:p>
    <w:p w14:paraId="4F74F279">
      <w:pPr>
        <w:pStyle w:val="19"/>
        <w:widowControl/>
        <w:spacing w:line="500" w:lineRule="exact"/>
        <w:ind w:firstLine="0" w:firstLineChars="0"/>
        <w:jc w:val="left"/>
        <w:rPr>
          <w:rFonts w:hint="default" w:ascii="Times New Roman" w:hAnsi="Times New Roman"/>
          <w:color w:val="auto"/>
          <w:sz w:val="28"/>
          <w:szCs w:val="28"/>
          <w:highlight w:val="none"/>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8"/>
      </w:tblGrid>
      <w:tr w14:paraId="7509D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3" w:hRule="atLeast"/>
        </w:trPr>
        <w:tc>
          <w:tcPr>
            <w:tcW w:w="9078" w:type="dxa"/>
            <w:tcBorders>
              <w:top w:val="single" w:color="auto" w:sz="4" w:space="0"/>
              <w:left w:val="single" w:color="auto" w:sz="4" w:space="0"/>
              <w:bottom w:val="single" w:color="auto" w:sz="4" w:space="0"/>
              <w:right w:val="single" w:color="auto" w:sz="4" w:space="0"/>
            </w:tcBorders>
            <w:shd w:val="clear" w:color="auto" w:fill="auto"/>
          </w:tcPr>
          <w:p w14:paraId="7FBC5DB6">
            <w:pPr>
              <w:widowControl/>
              <w:spacing w:line="360" w:lineRule="auto"/>
              <w:rPr>
                <w:rFonts w:ascii="仿宋" w:hAnsi="仿宋" w:eastAsia="仿宋" w:cs="仿宋"/>
                <w:color w:val="auto"/>
                <w:sz w:val="28"/>
                <w:szCs w:val="28"/>
                <w:highlight w:val="none"/>
              </w:rPr>
            </w:pPr>
            <w:r>
              <w:rPr>
                <w:rFonts w:hint="eastAsia" w:ascii="仿宋" w:hAnsi="仿宋" w:eastAsia="仿宋" w:cs="仿宋"/>
                <w:b/>
                <w:color w:val="auto"/>
                <w:sz w:val="28"/>
                <w:szCs w:val="28"/>
                <w:highlight w:val="none"/>
              </w:rPr>
              <w:t>（受委托人身份证复印件，并加盖公章）</w:t>
            </w:r>
          </w:p>
        </w:tc>
      </w:tr>
      <w:bookmarkEnd w:id="29"/>
    </w:tbl>
    <w:p w14:paraId="44CABD44">
      <w:pPr>
        <w:rPr>
          <w:color w:val="auto"/>
          <w:sz w:val="32"/>
          <w:szCs w:val="32"/>
          <w:highlight w:val="none"/>
        </w:rPr>
      </w:pPr>
      <w:r>
        <w:rPr>
          <w:rFonts w:ascii="Times New Roman" w:hAnsi="Times New Roman" w:eastAsia="宋体" w:cs="Times New Roman"/>
          <w:color w:val="auto"/>
          <w:sz w:val="32"/>
          <w:szCs w:val="32"/>
          <w:highlight w:val="none"/>
          <w:lang w:bidi="ar"/>
        </w:rPr>
        <w:br w:type="page"/>
      </w:r>
    </w:p>
    <w:p w14:paraId="787A79D8">
      <w:pPr>
        <w:pStyle w:val="25"/>
        <w:numPr>
          <w:ilvl w:val="-1"/>
          <w:numId w:val="0"/>
        </w:numPr>
        <w:spacing w:line="360" w:lineRule="auto"/>
        <w:ind w:left="0" w:firstLine="0" w:firstLineChars="0"/>
        <w:outlineLvl w:val="1"/>
        <w:rPr>
          <w:rFonts w:hint="default" w:ascii="Times New Roman" w:hAnsi="Times New Roman" w:eastAsia="仿宋" w:cs="仿宋"/>
          <w:b/>
          <w:sz w:val="24"/>
          <w:szCs w:val="40"/>
          <w:u w:val="none"/>
          <w:lang w:val="en-US" w:eastAsia="zh-CN" w:bidi="ar"/>
        </w:rPr>
      </w:pPr>
      <w:r>
        <w:rPr>
          <w:rFonts w:hint="eastAsia" w:eastAsia="黑体" w:cs="黑体"/>
          <w:color w:val="auto"/>
          <w:sz w:val="28"/>
          <w:szCs w:val="44"/>
          <w:highlight w:val="none"/>
        </w:rPr>
        <w:t>附件六</w:t>
      </w:r>
      <w:r>
        <w:rPr>
          <w:rFonts w:eastAsia="黑体"/>
          <w:color w:val="auto"/>
          <w:sz w:val="28"/>
          <w:szCs w:val="44"/>
          <w:highlight w:val="none"/>
        </w:rPr>
        <w:t xml:space="preserve"> </w:t>
      </w:r>
      <w:r>
        <w:rPr>
          <w:rFonts w:hint="default" w:ascii="Times New Roman" w:hAnsi="Times New Roman" w:eastAsia="仿宋" w:cs="仿宋"/>
          <w:b/>
          <w:sz w:val="24"/>
          <w:szCs w:val="40"/>
          <w:u w:val="none"/>
          <w:lang w:bidi="ar"/>
        </w:rPr>
        <w:t>依法缴纳税收及无欠税的证明材料</w:t>
      </w:r>
      <w:r>
        <w:rPr>
          <w:rFonts w:hint="default" w:ascii="Times New Roman" w:hAnsi="Times New Roman" w:eastAsia="仿宋" w:cs="仿宋"/>
          <w:b/>
          <w:sz w:val="24"/>
          <w:szCs w:val="40"/>
          <w:u w:val="none"/>
          <w:lang w:eastAsia="zh-CN" w:bidi="ar"/>
        </w:rPr>
        <w:t>（</w:t>
      </w:r>
      <w:r>
        <w:rPr>
          <w:rFonts w:hint="default" w:ascii="Times New Roman" w:hAnsi="Times New Roman" w:eastAsia="仿宋" w:cs="仿宋"/>
          <w:b/>
          <w:sz w:val="24"/>
          <w:szCs w:val="40"/>
          <w:u w:val="none"/>
          <w:lang w:val="en-US" w:eastAsia="zh-CN" w:bidi="ar"/>
        </w:rPr>
        <w:t>参考如下</w:t>
      </w:r>
      <w:r>
        <w:rPr>
          <w:rFonts w:hint="default" w:ascii="Times New Roman" w:hAnsi="Times New Roman" w:eastAsia="仿宋" w:cs="仿宋"/>
          <w:b/>
          <w:sz w:val="24"/>
          <w:szCs w:val="40"/>
          <w:u w:val="none"/>
          <w:lang w:eastAsia="zh-CN" w:bidi="ar"/>
        </w:rPr>
        <w:t>）</w:t>
      </w:r>
    </w:p>
    <w:p w14:paraId="11DFB310">
      <w:pPr>
        <w:rPr>
          <w:rFonts w:eastAsia="黑体"/>
          <w:color w:val="auto"/>
          <w:sz w:val="28"/>
          <w:szCs w:val="44"/>
          <w:highlight w:val="none"/>
        </w:rPr>
      </w:pPr>
      <w:r>
        <w:rPr>
          <w:rFonts w:ascii="宋体" w:hAnsi="宋体" w:eastAsia="宋体" w:cs="宋体"/>
          <w:sz w:val="24"/>
          <w:szCs w:val="24"/>
        </w:rPr>
        <w:fldChar w:fldCharType="begin"/>
      </w:r>
      <w:r>
        <w:rPr>
          <w:rFonts w:ascii="宋体" w:hAnsi="宋体" w:eastAsia="宋体" w:cs="宋体"/>
          <w:sz w:val="24"/>
          <w:szCs w:val="24"/>
        </w:rPr>
        <w:instrText xml:space="preserve">INCLUDEPICTURE \d "D:\\360MoveData\\Users\\admin\\Documents\\WXWork\\1688855055303288\\Cache\\Image\\2024-11\\fda532986622e0229a6f4425e96396e7.png"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4062730" cy="3244215"/>
            <wp:effectExtent l="0" t="0" r="13970" b="1333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6"/>
                    <a:stretch>
                      <a:fillRect/>
                    </a:stretch>
                  </pic:blipFill>
                  <pic:spPr>
                    <a:xfrm>
                      <a:off x="0" y="0"/>
                      <a:ext cx="4062730" cy="3244215"/>
                    </a:xfrm>
                    <a:prstGeom prst="rect">
                      <a:avLst/>
                    </a:prstGeom>
                    <a:noFill/>
                    <a:ln>
                      <a:noFill/>
                    </a:ln>
                  </pic:spPr>
                </pic:pic>
              </a:graphicData>
            </a:graphic>
          </wp:inline>
        </w:drawing>
      </w:r>
      <w:r>
        <w:rPr>
          <w:rFonts w:ascii="宋体" w:hAnsi="宋体" w:eastAsia="宋体" w:cs="宋体"/>
          <w:sz w:val="24"/>
          <w:szCs w:val="24"/>
        </w:rPr>
        <w:fldChar w:fldCharType="end"/>
      </w:r>
      <w:r>
        <w:rPr>
          <w:rFonts w:hint="eastAsia" w:eastAsia="黑体"/>
          <w:color w:val="auto"/>
          <w:sz w:val="28"/>
          <w:szCs w:val="44"/>
          <w:u w:val="none"/>
          <w:lang w:val="en-US" w:eastAsia="zh-CN"/>
        </w:rPr>
        <w:drawing>
          <wp:inline distT="0" distB="0" distL="114300" distR="114300">
            <wp:extent cx="3870325" cy="3070860"/>
            <wp:effectExtent l="0" t="0" r="15875" b="15240"/>
            <wp:docPr id="5" name="图片 2" descr="011e619651dc2cfe0fdaa22885aa8f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011e619651dc2cfe0fdaa22885aa8f6d"/>
                    <pic:cNvPicPr>
                      <a:picLocks noChangeAspect="1"/>
                    </pic:cNvPicPr>
                  </pic:nvPicPr>
                  <pic:blipFill>
                    <a:blip r:embed="rId7"/>
                    <a:stretch>
                      <a:fillRect/>
                    </a:stretch>
                  </pic:blipFill>
                  <pic:spPr>
                    <a:xfrm>
                      <a:off x="0" y="0"/>
                      <a:ext cx="3870325" cy="3070860"/>
                    </a:xfrm>
                    <a:prstGeom prst="rect">
                      <a:avLst/>
                    </a:prstGeom>
                    <a:noFill/>
                    <a:ln>
                      <a:noFill/>
                    </a:ln>
                  </pic:spPr>
                </pic:pic>
              </a:graphicData>
            </a:graphic>
          </wp:inline>
        </w:drawing>
      </w:r>
    </w:p>
    <w:p w14:paraId="66627DB9">
      <w:pPr>
        <w:ind w:firstLineChars="0"/>
        <w:outlineLvl w:val="1"/>
        <w:rPr>
          <w:rFonts w:hint="eastAsia" w:eastAsia="黑体" w:cs="黑体"/>
          <w:color w:val="auto"/>
          <w:sz w:val="28"/>
          <w:szCs w:val="44"/>
          <w:highlight w:val="none"/>
        </w:rPr>
      </w:pPr>
      <w:bookmarkStart w:id="30" w:name="_Hlk40704598"/>
      <w:r>
        <w:rPr>
          <w:rFonts w:hint="eastAsia" w:eastAsia="黑体" w:cs="黑体"/>
          <w:color w:val="auto"/>
          <w:sz w:val="28"/>
          <w:szCs w:val="44"/>
          <w:highlight w:val="none"/>
        </w:rPr>
        <w:br w:type="page"/>
      </w:r>
    </w:p>
    <w:p w14:paraId="7098EE87">
      <w:pPr>
        <w:pStyle w:val="25"/>
        <w:numPr>
          <w:ilvl w:val="-1"/>
          <w:numId w:val="0"/>
        </w:numPr>
        <w:spacing w:line="360" w:lineRule="auto"/>
        <w:ind w:left="0" w:firstLine="0" w:firstLineChars="0"/>
        <w:outlineLvl w:val="1"/>
        <w:rPr>
          <w:rFonts w:hint="eastAsia" w:eastAsia="黑体"/>
          <w:b w:val="0"/>
          <w:bCs w:val="0"/>
          <w:color w:val="auto"/>
          <w:sz w:val="28"/>
          <w:szCs w:val="44"/>
          <w:highlight w:val="none"/>
          <w:u w:val="none"/>
        </w:rPr>
      </w:pPr>
      <w:r>
        <w:rPr>
          <w:rFonts w:hint="eastAsia" w:eastAsia="黑体" w:cs="黑体"/>
          <w:color w:val="auto"/>
          <w:sz w:val="28"/>
          <w:szCs w:val="44"/>
          <w:highlight w:val="none"/>
        </w:rPr>
        <w:t>附件七</w:t>
      </w:r>
      <w:r>
        <w:rPr>
          <w:rFonts w:eastAsia="黑体"/>
          <w:color w:val="auto"/>
          <w:sz w:val="28"/>
          <w:szCs w:val="44"/>
          <w:highlight w:val="none"/>
        </w:rPr>
        <w:t xml:space="preserve">  </w:t>
      </w:r>
      <w:r>
        <w:rPr>
          <w:rFonts w:hint="eastAsia" w:eastAsia="黑体"/>
          <w:b w:val="0"/>
          <w:bCs w:val="0"/>
          <w:color w:val="auto"/>
          <w:sz w:val="28"/>
          <w:szCs w:val="44"/>
          <w:highlight w:val="none"/>
          <w:u w:val="none"/>
        </w:rPr>
        <w:t>报价保证金汇入情况说明</w:t>
      </w:r>
      <w:bookmarkStart w:id="31" w:name="_Toc3766"/>
      <w:bookmarkStart w:id="32" w:name="_Toc28801"/>
      <w:bookmarkStart w:id="33" w:name="_Toc5428"/>
      <w:bookmarkStart w:id="34" w:name="_Toc12220"/>
      <w:bookmarkStart w:id="35" w:name="_Toc30346"/>
      <w:bookmarkStart w:id="36" w:name="_Toc32088"/>
      <w:bookmarkStart w:id="37" w:name="_Toc3217"/>
      <w:bookmarkStart w:id="38" w:name="_Toc3118"/>
      <w:bookmarkStart w:id="39" w:name="_Toc1367"/>
      <w:bookmarkStart w:id="40" w:name="_Toc30323"/>
      <w:bookmarkStart w:id="41" w:name="_Toc10037"/>
    </w:p>
    <w:p w14:paraId="3BF8D509">
      <w:pPr>
        <w:pStyle w:val="25"/>
        <w:ind w:firstLine="0" w:firstLineChars="0"/>
        <w:jc w:val="center"/>
        <w:outlineLvl w:val="1"/>
        <w:rPr>
          <w:rFonts w:ascii="Times New Roman" w:hAnsi="Times New Roman"/>
          <w:b/>
          <w:color w:val="auto"/>
          <w:sz w:val="24"/>
          <w:szCs w:val="24"/>
          <w:highlight w:val="none"/>
          <w:u w:val="none"/>
        </w:rPr>
      </w:pPr>
      <w:r>
        <w:rPr>
          <w:rFonts w:hint="eastAsia" w:eastAsia="仿宋"/>
          <w:b/>
          <w:bCs/>
          <w:color w:val="auto"/>
          <w:sz w:val="30"/>
          <w:szCs w:val="30"/>
          <w:highlight w:val="none"/>
          <w:u w:val="none"/>
        </w:rPr>
        <w:t>报价保证金汇入情况说明</w:t>
      </w:r>
      <w:bookmarkEnd w:id="31"/>
      <w:bookmarkEnd w:id="32"/>
      <w:bookmarkEnd w:id="33"/>
      <w:bookmarkEnd w:id="34"/>
      <w:bookmarkEnd w:id="35"/>
      <w:bookmarkEnd w:id="36"/>
      <w:bookmarkEnd w:id="37"/>
      <w:bookmarkEnd w:id="38"/>
      <w:bookmarkEnd w:id="39"/>
      <w:bookmarkEnd w:id="40"/>
      <w:bookmarkEnd w:id="41"/>
    </w:p>
    <w:p w14:paraId="24B58DE7">
      <w:pPr>
        <w:spacing w:line="500" w:lineRule="exact"/>
        <w:ind w:firstLine="482"/>
        <w:rPr>
          <w:rFonts w:hint="eastAsia" w:ascii="仿宋_GB2312" w:hAnsi="仿宋_GB2312" w:eastAsia="仿宋_GB2312" w:cs="仿宋_GB2312"/>
          <w:b/>
          <w:color w:val="auto"/>
          <w:sz w:val="24"/>
          <w:szCs w:val="24"/>
          <w:highlight w:val="none"/>
          <w:u w:val="none"/>
        </w:rPr>
      </w:pPr>
      <w:r>
        <w:rPr>
          <w:rFonts w:hint="eastAsia" w:ascii="仿宋_GB2312" w:hAnsi="仿宋_GB2312" w:eastAsia="仿宋_GB2312" w:cs="仿宋_GB2312"/>
          <w:b/>
          <w:color w:val="auto"/>
          <w:sz w:val="24"/>
          <w:szCs w:val="24"/>
          <w:highlight w:val="none"/>
          <w:u w:val="none"/>
        </w:rPr>
        <w:t>致：</w:t>
      </w:r>
      <w:r>
        <w:rPr>
          <w:rFonts w:hint="eastAsia" w:ascii="仿宋_GB2312" w:hAnsi="仿宋_GB2312" w:eastAsia="仿宋_GB2312" w:cs="仿宋_GB2312"/>
          <w:b/>
          <w:color w:val="auto"/>
          <w:sz w:val="24"/>
          <w:szCs w:val="24"/>
          <w:highlight w:val="none"/>
          <w:u w:val="none"/>
          <w:lang w:val="en-US" w:eastAsia="zh-CN"/>
        </w:rPr>
        <w:t>东莞市新东欣环保投资有限公司</w:t>
      </w:r>
    </w:p>
    <w:p w14:paraId="7B3A3381">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lang w:eastAsia="zh-CN"/>
        </w:rPr>
        <w:t>我</w:t>
      </w:r>
      <w:r>
        <w:rPr>
          <w:rFonts w:hint="eastAsia" w:ascii="仿宋_GB2312" w:hAnsi="仿宋_GB2312" w:eastAsia="仿宋_GB2312" w:cs="仿宋_GB2312"/>
          <w:color w:val="auto"/>
          <w:sz w:val="24"/>
          <w:szCs w:val="24"/>
          <w:highlight w:val="none"/>
          <w:u w:val="none"/>
        </w:rPr>
        <w:t>单位已按      （服务内容）的</w:t>
      </w:r>
      <w:r>
        <w:rPr>
          <w:rFonts w:hint="eastAsia" w:ascii="仿宋_GB2312" w:hAnsi="仿宋_GB2312" w:eastAsia="仿宋_GB2312" w:cs="仿宋_GB2312"/>
          <w:color w:val="auto"/>
          <w:sz w:val="24"/>
          <w:szCs w:val="24"/>
          <w:highlight w:val="none"/>
          <w:u w:val="none"/>
          <w:lang w:val="en-US" w:eastAsia="zh-CN"/>
        </w:rPr>
        <w:t>采购</w:t>
      </w:r>
      <w:r>
        <w:rPr>
          <w:rFonts w:hint="eastAsia" w:ascii="仿宋_GB2312" w:hAnsi="仿宋_GB2312" w:eastAsia="仿宋_GB2312" w:cs="仿宋_GB2312"/>
          <w:color w:val="auto"/>
          <w:sz w:val="24"/>
          <w:szCs w:val="24"/>
          <w:highlight w:val="none"/>
          <w:u w:val="none"/>
        </w:rPr>
        <w:t>文件要求，于    年    月    日前以    （付款形式）  方式汇入指定</w:t>
      </w: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户（</w:t>
      </w: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户名称：             ，</w:t>
      </w: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号              ,开户银行：               ）。</w:t>
      </w:r>
    </w:p>
    <w:p w14:paraId="047B932D">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本单位报价保证金的汇款情况：（详见附件－报价保证金汇款凭证）</w:t>
      </w:r>
    </w:p>
    <w:p w14:paraId="7980F298">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汇出时间：    年    月    日</w:t>
      </w:r>
    </w:p>
    <w:p w14:paraId="54B16668">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汇款金额：（大写）人民币       元（小写：￥      元）</w:t>
      </w:r>
    </w:p>
    <w:p w14:paraId="0EE092AD">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汇款</w:t>
      </w: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户名称：  （必须是报价时使用的</w:t>
      </w: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 xml:space="preserve">户名）   </w:t>
      </w:r>
    </w:p>
    <w:p w14:paraId="5A5E0635">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 xml:space="preserve">    号：      （必须是报价时使用的</w:t>
      </w:r>
      <w:r>
        <w:rPr>
          <w:rFonts w:hint="eastAsia" w:ascii="仿宋_GB2312" w:hAnsi="仿宋_GB2312" w:eastAsia="仿宋_GB2312" w:cs="仿宋_GB2312"/>
          <w:color w:val="auto"/>
          <w:sz w:val="24"/>
          <w:szCs w:val="24"/>
          <w:highlight w:val="none"/>
          <w:u w:val="none"/>
          <w:lang w:val="en-US" w:eastAsia="zh-CN"/>
        </w:rPr>
        <w:t>账</w:t>
      </w:r>
      <w:r>
        <w:rPr>
          <w:rFonts w:hint="eastAsia" w:ascii="仿宋_GB2312" w:hAnsi="仿宋_GB2312" w:eastAsia="仿宋_GB2312" w:cs="仿宋_GB2312"/>
          <w:color w:val="auto"/>
          <w:sz w:val="24"/>
          <w:szCs w:val="24"/>
          <w:highlight w:val="none"/>
          <w:u w:val="none"/>
        </w:rPr>
        <w:t xml:space="preserve">号）     </w:t>
      </w:r>
    </w:p>
    <w:p w14:paraId="0A8FF069">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 xml:space="preserve">开户银行：         省    市                    </w:t>
      </w:r>
    </w:p>
    <w:p w14:paraId="777127AA">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本单位谨承诺上述资料是正确、真实的，如因上述证明与事实不符导致的一切损失，本单位保证承担赔偿等一切法律责任。</w:t>
      </w:r>
    </w:p>
    <w:p w14:paraId="32C9667A">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报价保证金退回时，请按上述资料退回。</w:t>
      </w:r>
    </w:p>
    <w:p w14:paraId="78990E7F">
      <w:pPr>
        <w:ind w:firstLine="480"/>
        <w:jc w:val="right"/>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（单位公章）</w:t>
      </w:r>
    </w:p>
    <w:p w14:paraId="2E888CBA">
      <w:pPr>
        <w:ind w:firstLine="480"/>
        <w:jc w:val="right"/>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年  月  日</w:t>
      </w:r>
    </w:p>
    <w:p w14:paraId="1306981C">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 xml:space="preserve">单位名称：                     </w:t>
      </w:r>
    </w:p>
    <w:p w14:paraId="76DD3182">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 xml:space="preserve">联 系 人：                     </w:t>
      </w:r>
    </w:p>
    <w:p w14:paraId="78070189">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 xml:space="preserve">单位电话：                      </w:t>
      </w:r>
    </w:p>
    <w:p w14:paraId="2875764E">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 xml:space="preserve">联系人手机：                   </w:t>
      </w:r>
    </w:p>
    <w:p w14:paraId="3D8EAF0D">
      <w:pPr>
        <w:spacing w:line="500" w:lineRule="exact"/>
        <w:ind w:firstLine="480"/>
        <w:rPr>
          <w:rFonts w:hint="eastAsia" w:ascii="仿宋_GB2312" w:hAnsi="仿宋_GB2312" w:eastAsia="仿宋_GB2312" w:cs="仿宋_GB2312"/>
          <w:color w:val="auto"/>
          <w:sz w:val="24"/>
          <w:szCs w:val="24"/>
          <w:highlight w:val="none"/>
          <w:u w:val="none"/>
        </w:rPr>
      </w:pPr>
      <w:r>
        <w:rPr>
          <w:rFonts w:hint="eastAsia" w:ascii="仿宋_GB2312" w:hAnsi="仿宋_GB2312" w:eastAsia="仿宋_GB2312" w:cs="仿宋_GB2312"/>
          <w:color w:val="auto"/>
          <w:sz w:val="24"/>
          <w:szCs w:val="24"/>
          <w:highlight w:val="none"/>
          <w:u w:val="none"/>
        </w:rPr>
        <w:t>附：我方报价保证金汇款凭证</w:t>
      </w:r>
    </w:p>
    <w:p w14:paraId="347B3D7E">
      <w:pPr>
        <w:pStyle w:val="6"/>
        <w:ind w:firstLine="560"/>
        <w:rPr>
          <w:rFonts w:hint="eastAsia" w:ascii="仿宋_GB2312" w:hAnsi="仿宋_GB2312" w:eastAsia="仿宋_GB2312" w:cs="仿宋_GB2312"/>
          <w:color w:val="auto"/>
          <w:highlight w:val="none"/>
          <w:u w:val="none"/>
        </w:rPr>
      </w:pPr>
    </w:p>
    <w:tbl>
      <w:tblPr>
        <w:tblStyle w:val="13"/>
        <w:tblW w:w="89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0"/>
      </w:tblGrid>
      <w:tr w14:paraId="00A52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4" w:hRule="atLeast"/>
        </w:trPr>
        <w:tc>
          <w:tcPr>
            <w:tcW w:w="8920" w:type="dxa"/>
            <w:tcBorders>
              <w:top w:val="single" w:color="auto" w:sz="4" w:space="0"/>
              <w:left w:val="single" w:color="auto" w:sz="4" w:space="0"/>
              <w:bottom w:val="single" w:color="auto" w:sz="4" w:space="0"/>
              <w:right w:val="single" w:color="auto" w:sz="4" w:space="0"/>
            </w:tcBorders>
            <w:vAlign w:val="center"/>
          </w:tcPr>
          <w:p w14:paraId="2A0DE710">
            <w:pPr>
              <w:tabs>
                <w:tab w:val="left" w:pos="3885"/>
              </w:tabs>
              <w:spacing w:line="360" w:lineRule="auto"/>
              <w:ind w:firstLine="480"/>
              <w:jc w:val="center"/>
              <w:rPr>
                <w:rFonts w:hint="eastAsia" w:ascii="仿宋_GB2312" w:hAnsi="仿宋_GB2312" w:eastAsia="仿宋_GB2312" w:cs="仿宋_GB2312"/>
                <w:color w:val="auto"/>
                <w:sz w:val="24"/>
                <w:szCs w:val="24"/>
                <w:highlight w:val="none"/>
                <w:u w:val="none"/>
              </w:rPr>
            </w:pPr>
            <w:bookmarkStart w:id="42" w:name="hs_yhname"/>
            <w:bookmarkEnd w:id="42"/>
            <w:bookmarkStart w:id="43" w:name="hs_Tprice"/>
            <w:bookmarkEnd w:id="43"/>
            <w:bookmarkStart w:id="44" w:name="hs_code"/>
            <w:bookmarkEnd w:id="44"/>
            <w:r>
              <w:rPr>
                <w:rFonts w:hint="eastAsia" w:ascii="仿宋_GB2312" w:hAnsi="仿宋_GB2312" w:eastAsia="仿宋_GB2312" w:cs="仿宋_GB2312"/>
                <w:color w:val="auto"/>
                <w:sz w:val="24"/>
                <w:szCs w:val="24"/>
                <w:highlight w:val="none"/>
                <w:u w:val="none"/>
              </w:rPr>
              <w:t>（粘贴汇款单或转账凭证复印件，并在骑缝上加盖公章，或是直接把转账凭证复印到此张纸上）</w:t>
            </w:r>
          </w:p>
        </w:tc>
      </w:tr>
    </w:tbl>
    <w:p w14:paraId="0B9F65BC">
      <w:pPr>
        <w:rPr>
          <w:rFonts w:hint="eastAsia" w:ascii="Times New Roman" w:hAnsi="Times New Roman" w:eastAsia="仿宋" w:cs="仿宋"/>
          <w:b/>
          <w:kern w:val="2"/>
          <w:sz w:val="24"/>
          <w:szCs w:val="40"/>
          <w:lang w:val="en-US" w:eastAsia="zh-CN" w:bidi="ar"/>
        </w:rPr>
      </w:pPr>
      <w:r>
        <w:rPr>
          <w:rFonts w:hint="eastAsia" w:ascii="Times New Roman" w:hAnsi="Times New Roman" w:eastAsia="仿宋" w:cs="仿宋"/>
          <w:b/>
          <w:kern w:val="2"/>
          <w:sz w:val="24"/>
          <w:szCs w:val="40"/>
          <w:lang w:val="en-US" w:eastAsia="zh-CN" w:bidi="ar"/>
        </w:rPr>
        <w:br w:type="page"/>
      </w:r>
    </w:p>
    <w:p w14:paraId="08BEDFF7">
      <w:pPr>
        <w:pStyle w:val="25"/>
        <w:ind w:firstLine="0" w:firstLineChars="0"/>
        <w:outlineLvl w:val="1"/>
        <w:rPr>
          <w:rFonts w:ascii="仿宋" w:hAnsi="仿宋" w:eastAsia="仿宋" w:cs="宋体"/>
          <w:sz w:val="24"/>
          <w:szCs w:val="24"/>
        </w:rPr>
      </w:pPr>
      <w:r>
        <w:rPr>
          <w:rFonts w:hint="eastAsia" w:eastAsia="黑体"/>
          <w:color w:val="auto"/>
          <w:sz w:val="28"/>
          <w:szCs w:val="44"/>
          <w:highlight w:val="none"/>
          <w:lang w:val="en-US" w:eastAsia="zh-CN"/>
        </w:rPr>
        <w:t xml:space="preserve">附件八 </w:t>
      </w:r>
      <w:r>
        <w:rPr>
          <w:rFonts w:hint="eastAsia" w:eastAsia="黑体" w:cs="黑体"/>
          <w:color w:val="auto"/>
          <w:sz w:val="28"/>
          <w:szCs w:val="44"/>
          <w:highlight w:val="none"/>
        </w:rPr>
        <w:t>合同模板</w:t>
      </w:r>
      <w:bookmarkEnd w:id="27"/>
      <w:bookmarkEnd w:id="30"/>
    </w:p>
    <w:p w14:paraId="7212413E">
      <w:pPr>
        <w:jc w:val="center"/>
        <w:rPr>
          <w:rFonts w:ascii="宋体" w:hAnsi="宋体"/>
          <w:b/>
          <w:sz w:val="32"/>
          <w:szCs w:val="32"/>
        </w:rPr>
      </w:pPr>
      <w:r>
        <w:rPr>
          <w:rFonts w:hint="eastAsia" w:eastAsia="仿宋_GB2312"/>
          <w:b/>
          <w:sz w:val="32"/>
          <w:szCs w:val="32"/>
          <w:lang w:eastAsia="zh-CN"/>
        </w:rPr>
        <w:t>东莞市海心沙资源综合利用中心绿色工业服务项目（改扩建）竣工环保验收服务</w:t>
      </w:r>
      <w:r>
        <w:rPr>
          <w:rFonts w:hint="eastAsia" w:eastAsia="仿宋_GB2312"/>
          <w:b/>
          <w:sz w:val="32"/>
          <w:szCs w:val="32"/>
          <w:lang w:val="en-US" w:eastAsia="zh-CN"/>
        </w:rPr>
        <w:t>合同</w:t>
      </w:r>
      <w:r>
        <w:rPr>
          <w:rFonts w:ascii="宋体" w:hAnsi="宋体"/>
          <w:sz w:val="24"/>
          <w:szCs w:val="24"/>
        </w:rPr>
        <w:t xml:space="preserve">                                                  </w:t>
      </w:r>
    </w:p>
    <w:p w14:paraId="638B277A">
      <w:pPr>
        <w:spacing w:line="360" w:lineRule="auto"/>
        <w:rPr>
          <w:rFonts w:ascii="宋体" w:hAnsi="宋体"/>
          <w:bCs/>
          <w:kern w:val="0"/>
          <w:sz w:val="24"/>
          <w:szCs w:val="24"/>
        </w:rPr>
      </w:pPr>
      <w:r>
        <w:rPr>
          <w:rFonts w:ascii="宋体" w:hAnsi="宋体"/>
          <w:bCs/>
          <w:kern w:val="0"/>
          <w:sz w:val="24"/>
          <w:szCs w:val="24"/>
        </w:rPr>
        <w:t>甲方（委托方）：</w:t>
      </w:r>
      <w:r>
        <w:rPr>
          <w:rFonts w:hint="eastAsia" w:ascii="宋体" w:hAnsi="宋体"/>
          <w:bCs/>
          <w:kern w:val="0"/>
          <w:sz w:val="24"/>
          <w:szCs w:val="24"/>
        </w:rPr>
        <w:t>东莞市新东欣环保投资有限公司</w:t>
      </w:r>
    </w:p>
    <w:p w14:paraId="2970B33A">
      <w:pPr>
        <w:spacing w:line="360" w:lineRule="auto"/>
        <w:rPr>
          <w:rFonts w:hint="eastAsia" w:ascii="宋体" w:hAnsi="宋体"/>
          <w:bCs/>
          <w:kern w:val="0"/>
          <w:sz w:val="24"/>
          <w:szCs w:val="24"/>
        </w:rPr>
      </w:pPr>
      <w:r>
        <w:rPr>
          <w:rFonts w:hint="eastAsia" w:ascii="宋体" w:hAnsi="宋体"/>
          <w:bCs/>
          <w:kern w:val="0"/>
          <w:sz w:val="24"/>
          <w:szCs w:val="24"/>
        </w:rPr>
        <w:t>统一社会信用代码：</w:t>
      </w:r>
    </w:p>
    <w:p w14:paraId="2E4D092F">
      <w:pPr>
        <w:spacing w:line="360" w:lineRule="auto"/>
        <w:ind w:firstLine="0" w:firstLineChars="0"/>
        <w:rPr>
          <w:rFonts w:hint="eastAsia" w:ascii="宋体" w:hAnsi="宋体" w:eastAsia="宋体" w:cs="Times New Roman"/>
          <w:bCs/>
          <w:color w:val="auto"/>
          <w:kern w:val="0"/>
          <w:sz w:val="24"/>
          <w:szCs w:val="24"/>
          <w:highlight w:val="none"/>
          <w:lang w:val="en-US" w:eastAsia="zh-CN"/>
        </w:rPr>
      </w:pPr>
      <w:r>
        <w:rPr>
          <w:rFonts w:hint="eastAsia" w:ascii="宋体" w:hAnsi="宋体" w:eastAsia="宋体" w:cs="Times New Roman"/>
          <w:bCs/>
          <w:color w:val="auto"/>
          <w:kern w:val="0"/>
          <w:sz w:val="24"/>
          <w:szCs w:val="24"/>
          <w:highlight w:val="none"/>
          <w:lang w:val="en-US" w:eastAsia="zh-CN"/>
        </w:rPr>
        <w:t>联系人：</w:t>
      </w:r>
    </w:p>
    <w:p w14:paraId="42FFEA83">
      <w:pPr>
        <w:spacing w:line="360" w:lineRule="auto"/>
        <w:ind w:firstLine="0" w:firstLineChars="0"/>
        <w:rPr>
          <w:rFonts w:hint="eastAsia" w:ascii="宋体" w:hAnsi="宋体" w:eastAsia="宋体" w:cs="Times New Roman"/>
          <w:bCs/>
          <w:color w:val="auto"/>
          <w:kern w:val="0"/>
          <w:sz w:val="24"/>
          <w:szCs w:val="24"/>
          <w:highlight w:val="none"/>
          <w:lang w:val="en-US" w:eastAsia="zh-CN"/>
        </w:rPr>
      </w:pPr>
      <w:r>
        <w:rPr>
          <w:rFonts w:hint="eastAsia" w:ascii="宋体" w:hAnsi="宋体" w:eastAsia="宋体" w:cs="Times New Roman"/>
          <w:bCs/>
          <w:color w:val="auto"/>
          <w:kern w:val="0"/>
          <w:sz w:val="24"/>
          <w:szCs w:val="24"/>
          <w:highlight w:val="none"/>
          <w:lang w:val="en-US" w:eastAsia="zh-CN"/>
        </w:rPr>
        <w:t>联系电话：</w:t>
      </w:r>
    </w:p>
    <w:p w14:paraId="2715523A">
      <w:pPr>
        <w:spacing w:line="360" w:lineRule="auto"/>
        <w:ind w:firstLine="0" w:firstLineChars="0"/>
        <w:rPr>
          <w:rFonts w:hint="eastAsia" w:ascii="宋体" w:hAnsi="宋体" w:eastAsia="宋体" w:cs="Times New Roman"/>
          <w:bCs/>
          <w:color w:val="auto"/>
          <w:kern w:val="0"/>
          <w:sz w:val="24"/>
          <w:szCs w:val="24"/>
          <w:highlight w:val="none"/>
          <w:lang w:val="en-US" w:eastAsia="zh-CN"/>
        </w:rPr>
      </w:pPr>
      <w:r>
        <w:rPr>
          <w:rFonts w:hint="eastAsia" w:ascii="宋体" w:hAnsi="宋体" w:eastAsia="宋体" w:cs="Times New Roman"/>
          <w:bCs/>
          <w:color w:val="auto"/>
          <w:kern w:val="0"/>
          <w:sz w:val="24"/>
          <w:szCs w:val="24"/>
          <w:highlight w:val="none"/>
          <w:lang w:val="en-US" w:eastAsia="zh-CN"/>
        </w:rPr>
        <w:t>联系地址：</w:t>
      </w:r>
    </w:p>
    <w:p w14:paraId="58201F03">
      <w:pPr>
        <w:spacing w:line="360" w:lineRule="auto"/>
        <w:rPr>
          <w:rFonts w:ascii="宋体" w:hAnsi="宋体"/>
          <w:bCs/>
          <w:kern w:val="0"/>
          <w:sz w:val="24"/>
          <w:szCs w:val="24"/>
        </w:rPr>
      </w:pPr>
    </w:p>
    <w:p w14:paraId="1EB8CD96">
      <w:pPr>
        <w:spacing w:line="360" w:lineRule="auto"/>
        <w:rPr>
          <w:rFonts w:ascii="宋体" w:hAnsi="宋体" w:cs="仿宋_GB2312"/>
          <w:bCs/>
          <w:kern w:val="0"/>
          <w:sz w:val="24"/>
          <w:szCs w:val="24"/>
        </w:rPr>
      </w:pPr>
      <w:r>
        <w:rPr>
          <w:rFonts w:ascii="宋体" w:hAnsi="宋体"/>
          <w:bCs/>
          <w:kern w:val="0"/>
          <w:sz w:val="24"/>
          <w:szCs w:val="24"/>
        </w:rPr>
        <w:t>乙方（受托方）：</w:t>
      </w:r>
      <w:r>
        <w:rPr>
          <w:rFonts w:ascii="宋体" w:hAnsi="宋体" w:cs="仿宋_GB2312"/>
          <w:bCs/>
          <w:kern w:val="0"/>
          <w:sz w:val="24"/>
          <w:szCs w:val="24"/>
        </w:rPr>
        <w:t xml:space="preserve"> XXX公司            </w:t>
      </w:r>
    </w:p>
    <w:p w14:paraId="0EC6376D">
      <w:pPr>
        <w:spacing w:line="360" w:lineRule="auto"/>
        <w:rPr>
          <w:rFonts w:hint="eastAsia" w:ascii="宋体" w:hAnsi="宋体"/>
          <w:bCs/>
          <w:kern w:val="0"/>
          <w:sz w:val="24"/>
          <w:szCs w:val="24"/>
        </w:rPr>
      </w:pPr>
      <w:r>
        <w:rPr>
          <w:rFonts w:hint="eastAsia" w:ascii="宋体" w:hAnsi="宋体"/>
          <w:bCs/>
          <w:kern w:val="0"/>
          <w:sz w:val="24"/>
          <w:szCs w:val="24"/>
        </w:rPr>
        <w:t>统一社会信用代码：</w:t>
      </w:r>
    </w:p>
    <w:p w14:paraId="7A1AEFEE">
      <w:pPr>
        <w:spacing w:line="360" w:lineRule="auto"/>
        <w:ind w:firstLine="0" w:firstLineChars="0"/>
        <w:rPr>
          <w:rFonts w:hint="eastAsia" w:ascii="宋体" w:hAnsi="宋体" w:eastAsia="宋体" w:cs="Times New Roman"/>
          <w:bCs/>
          <w:color w:val="auto"/>
          <w:kern w:val="0"/>
          <w:sz w:val="24"/>
          <w:szCs w:val="24"/>
          <w:highlight w:val="none"/>
          <w:lang w:val="en-US" w:eastAsia="zh-CN"/>
        </w:rPr>
      </w:pPr>
      <w:r>
        <w:rPr>
          <w:rFonts w:hint="eastAsia" w:ascii="宋体" w:hAnsi="宋体" w:eastAsia="宋体" w:cs="Times New Roman"/>
          <w:bCs/>
          <w:color w:val="auto"/>
          <w:kern w:val="0"/>
          <w:sz w:val="24"/>
          <w:szCs w:val="24"/>
          <w:highlight w:val="none"/>
          <w:lang w:val="en-US" w:eastAsia="zh-CN"/>
        </w:rPr>
        <w:t>联系人：</w:t>
      </w:r>
    </w:p>
    <w:p w14:paraId="6698DB25">
      <w:pPr>
        <w:spacing w:line="360" w:lineRule="auto"/>
        <w:ind w:firstLine="0" w:firstLineChars="0"/>
        <w:rPr>
          <w:rFonts w:hint="eastAsia" w:ascii="宋体" w:hAnsi="宋体" w:eastAsia="宋体" w:cs="Times New Roman"/>
          <w:bCs/>
          <w:color w:val="auto"/>
          <w:kern w:val="0"/>
          <w:sz w:val="24"/>
          <w:szCs w:val="24"/>
          <w:highlight w:val="none"/>
          <w:lang w:val="en-US" w:eastAsia="zh-CN"/>
        </w:rPr>
      </w:pPr>
      <w:r>
        <w:rPr>
          <w:rFonts w:hint="eastAsia" w:ascii="宋体" w:hAnsi="宋体" w:eastAsia="宋体" w:cs="Times New Roman"/>
          <w:bCs/>
          <w:color w:val="auto"/>
          <w:kern w:val="0"/>
          <w:sz w:val="24"/>
          <w:szCs w:val="24"/>
          <w:highlight w:val="none"/>
          <w:lang w:val="en-US" w:eastAsia="zh-CN"/>
        </w:rPr>
        <w:t>联系电话：</w:t>
      </w:r>
    </w:p>
    <w:p w14:paraId="385028F8">
      <w:pPr>
        <w:spacing w:line="360" w:lineRule="auto"/>
        <w:ind w:firstLine="0" w:firstLineChars="0"/>
      </w:pPr>
      <w:r>
        <w:rPr>
          <w:rFonts w:hint="eastAsia" w:ascii="宋体" w:hAnsi="宋体" w:eastAsia="宋体" w:cs="Times New Roman"/>
          <w:bCs/>
          <w:color w:val="auto"/>
          <w:kern w:val="0"/>
          <w:sz w:val="24"/>
          <w:szCs w:val="24"/>
          <w:highlight w:val="none"/>
          <w:lang w:val="en-US" w:eastAsia="zh-CN"/>
        </w:rPr>
        <w:t>联系地址：</w:t>
      </w:r>
    </w:p>
    <w:p w14:paraId="5F368E8A">
      <w:pPr>
        <w:spacing w:line="360" w:lineRule="auto"/>
        <w:rPr>
          <w:rFonts w:ascii="宋体" w:hAnsi="宋体"/>
        </w:rPr>
      </w:pPr>
    </w:p>
    <w:p w14:paraId="5C59AFB1">
      <w:pPr>
        <w:spacing w:line="360" w:lineRule="auto"/>
        <w:ind w:firstLine="480" w:firstLineChars="200"/>
        <w:rPr>
          <w:rFonts w:ascii="宋体" w:hAnsi="宋体"/>
          <w:sz w:val="24"/>
          <w:szCs w:val="24"/>
        </w:rPr>
      </w:pPr>
      <w:r>
        <w:rPr>
          <w:rFonts w:hint="eastAsia" w:ascii="宋体" w:hAnsi="宋体"/>
          <w:sz w:val="24"/>
          <w:szCs w:val="24"/>
        </w:rPr>
        <w:t>根据《中华人民共和国民法典》及其他有关法律、法规规定，遵循平等、自愿、公平和诚实信用的原则，甲、乙双方就</w:t>
      </w:r>
      <w:r>
        <w:rPr>
          <w:rFonts w:hint="eastAsia" w:ascii="宋体" w:hAnsi="宋体"/>
          <w:sz w:val="24"/>
          <w:szCs w:val="24"/>
          <w:u w:val="single"/>
          <w:lang w:eastAsia="zh-CN"/>
        </w:rPr>
        <w:t>东莞市海心沙资源综合利用中心绿色工业服务项目（改扩建）竣工环保验收服务</w:t>
      </w:r>
      <w:r>
        <w:rPr>
          <w:rFonts w:hint="eastAsia" w:ascii="宋体" w:hAnsi="宋体"/>
          <w:sz w:val="24"/>
          <w:szCs w:val="24"/>
          <w:u w:val="single"/>
        </w:rPr>
        <w:t>事</w:t>
      </w:r>
      <w:r>
        <w:rPr>
          <w:rFonts w:hint="eastAsia" w:ascii="宋体" w:hAnsi="宋体"/>
          <w:sz w:val="24"/>
          <w:szCs w:val="24"/>
        </w:rPr>
        <w:t>宜协商一致，特订立本合同，由甲、乙双方共同遵守履行。</w:t>
      </w:r>
    </w:p>
    <w:p w14:paraId="3FDBB2EA">
      <w:pPr>
        <w:spacing w:line="360" w:lineRule="auto"/>
        <w:ind w:firstLine="480" w:firstLineChars="200"/>
        <w:rPr>
          <w:rFonts w:asciiTheme="minorEastAsia" w:hAnsiTheme="minorEastAsia" w:eastAsiaTheme="minorEastAsia"/>
          <w:b/>
          <w:sz w:val="24"/>
          <w:szCs w:val="24"/>
        </w:rPr>
      </w:pPr>
      <w:r>
        <w:rPr>
          <w:rFonts w:asciiTheme="minorEastAsia" w:hAnsiTheme="minorEastAsia" w:eastAsiaTheme="minorEastAsia"/>
          <w:b/>
          <w:sz w:val="24"/>
          <w:szCs w:val="24"/>
        </w:rPr>
        <w:t>第一条</w:t>
      </w:r>
      <w:r>
        <w:rPr>
          <w:rFonts w:hint="eastAsia" w:asciiTheme="minorEastAsia" w:hAnsiTheme="minorEastAsia" w:eastAsiaTheme="minorEastAsia"/>
          <w:b/>
          <w:sz w:val="24"/>
          <w:szCs w:val="24"/>
        </w:rPr>
        <w:t xml:space="preserve"> 甲方委托乙方进行技术服务内容如下：</w:t>
      </w:r>
    </w:p>
    <w:p w14:paraId="2E61FE85">
      <w:pPr>
        <w:spacing w:line="360" w:lineRule="auto"/>
        <w:ind w:firstLine="480" w:firstLineChars="200"/>
        <w:outlineLvl w:val="9"/>
        <w:rPr>
          <w:rFonts w:hint="eastAsia" w:ascii="宋体" w:hAnsi="宋体"/>
          <w:sz w:val="24"/>
        </w:rPr>
      </w:pPr>
      <w:r>
        <w:rPr>
          <w:rFonts w:hint="eastAsia" w:ascii="宋体" w:hAnsi="宋体"/>
          <w:sz w:val="24"/>
          <w:lang w:eastAsia="zh-CN"/>
        </w:rPr>
        <w:t>1</w:t>
      </w:r>
      <w:r>
        <w:rPr>
          <w:rFonts w:hint="eastAsia" w:ascii="宋体" w:hAnsi="宋体"/>
          <w:sz w:val="24"/>
          <w:lang w:val="en-US" w:eastAsia="zh-CN"/>
        </w:rPr>
        <w:t>.</w:t>
      </w:r>
      <w:r>
        <w:rPr>
          <w:rFonts w:hint="eastAsia" w:ascii="宋体" w:hAnsi="宋体"/>
          <w:sz w:val="24"/>
        </w:rPr>
        <w:t>编制验收监测方案</w:t>
      </w:r>
    </w:p>
    <w:p w14:paraId="7408B301">
      <w:pPr>
        <w:spacing w:line="360" w:lineRule="auto"/>
        <w:ind w:firstLine="480" w:firstLineChars="200"/>
        <w:rPr>
          <w:rFonts w:hint="eastAsia" w:ascii="宋体" w:hAnsi="宋体"/>
          <w:bCs w:val="0"/>
          <w:spacing w:val="0"/>
          <w:sz w:val="24"/>
        </w:rPr>
      </w:pPr>
      <w:r>
        <w:rPr>
          <w:rFonts w:hint="eastAsia" w:ascii="宋体" w:hAnsi="宋体"/>
          <w:bCs w:val="0"/>
          <w:spacing w:val="0"/>
          <w:sz w:val="24"/>
          <w:lang w:val="en-US" w:eastAsia="zh-CN"/>
        </w:rPr>
        <w:t>1.1</w:t>
      </w:r>
      <w:r>
        <w:rPr>
          <w:rFonts w:hint="eastAsia" w:ascii="宋体" w:hAnsi="宋体"/>
          <w:bCs w:val="0"/>
          <w:spacing w:val="0"/>
          <w:sz w:val="24"/>
        </w:rPr>
        <w:t>编制验收监测方案</w:t>
      </w:r>
    </w:p>
    <w:p w14:paraId="014A5292">
      <w:pPr>
        <w:spacing w:line="360" w:lineRule="auto"/>
        <w:ind w:firstLine="480" w:firstLineChars="200"/>
        <w:rPr>
          <w:rFonts w:hint="eastAsia" w:ascii="宋体" w:hAnsi="宋体"/>
          <w:bCs w:val="0"/>
          <w:spacing w:val="0"/>
          <w:sz w:val="24"/>
        </w:rPr>
      </w:pPr>
      <w:r>
        <w:rPr>
          <w:rFonts w:hint="eastAsia" w:ascii="宋体" w:hAnsi="宋体"/>
          <w:bCs w:val="0"/>
          <w:spacing w:val="0"/>
          <w:sz w:val="24"/>
        </w:rPr>
        <w:t>根据《中华人民共和国环境保护法》、《建设项目竣工环境保护验收暂行办法》、《建设项目环境保护管理条例》以及《建设项目竣工环境保护验收技术指南 污染影响类》等法律法规要求编制验收监测方案，满足项目竣工环境保护验收报告评审的要求。</w:t>
      </w:r>
    </w:p>
    <w:p w14:paraId="73DE437A">
      <w:pPr>
        <w:spacing w:line="360" w:lineRule="auto"/>
        <w:ind w:firstLine="496" w:firstLineChars="200"/>
        <w:rPr>
          <w:bCs/>
          <w:spacing w:val="4"/>
          <w:sz w:val="24"/>
        </w:rPr>
      </w:pPr>
      <w:r>
        <w:rPr>
          <w:rFonts w:hint="eastAsia"/>
          <w:bCs/>
          <w:spacing w:val="4"/>
          <w:sz w:val="24"/>
          <w:lang w:val="en-US" w:eastAsia="zh-CN"/>
        </w:rPr>
        <w:t>1.2</w:t>
      </w:r>
      <w:r>
        <w:rPr>
          <w:rFonts w:hint="eastAsia"/>
          <w:bCs/>
          <w:spacing w:val="4"/>
          <w:sz w:val="24"/>
        </w:rPr>
        <w:t>收集本技术服务需要的各项基础资料；</w:t>
      </w:r>
    </w:p>
    <w:p w14:paraId="585F9942">
      <w:pPr>
        <w:spacing w:line="360" w:lineRule="auto"/>
        <w:ind w:firstLine="496" w:firstLineChars="200"/>
        <w:rPr>
          <w:bCs/>
          <w:spacing w:val="4"/>
          <w:sz w:val="24"/>
        </w:rPr>
      </w:pPr>
      <w:r>
        <w:rPr>
          <w:rFonts w:hint="eastAsia"/>
          <w:bCs/>
          <w:spacing w:val="4"/>
          <w:sz w:val="24"/>
          <w:lang w:val="en-US" w:eastAsia="zh-CN"/>
        </w:rPr>
        <w:t>1.3</w:t>
      </w:r>
      <w:r>
        <w:rPr>
          <w:bCs/>
          <w:spacing w:val="4"/>
          <w:sz w:val="24"/>
        </w:rPr>
        <w:t>实施验收监测</w:t>
      </w:r>
    </w:p>
    <w:p w14:paraId="1BEC2962">
      <w:pPr>
        <w:spacing w:line="360" w:lineRule="auto"/>
        <w:ind w:firstLine="496" w:firstLineChars="200"/>
        <w:rPr>
          <w:bCs/>
          <w:spacing w:val="4"/>
          <w:sz w:val="24"/>
        </w:rPr>
      </w:pPr>
      <w:r>
        <w:rPr>
          <w:rFonts w:hint="eastAsia"/>
          <w:bCs/>
          <w:spacing w:val="4"/>
          <w:sz w:val="24"/>
        </w:rPr>
        <w:t>监测工作包括：</w:t>
      </w:r>
      <w:r>
        <w:rPr>
          <w:bCs/>
          <w:spacing w:val="4"/>
          <w:sz w:val="24"/>
        </w:rPr>
        <w:t>有组织废气污染物排放监测</w:t>
      </w:r>
      <w:r>
        <w:rPr>
          <w:rFonts w:hint="eastAsia"/>
          <w:bCs/>
          <w:spacing w:val="4"/>
          <w:sz w:val="24"/>
        </w:rPr>
        <w:t>、</w:t>
      </w:r>
      <w:r>
        <w:rPr>
          <w:bCs/>
          <w:spacing w:val="4"/>
          <w:sz w:val="24"/>
        </w:rPr>
        <w:t>无组织废气污染物排放监测</w:t>
      </w:r>
      <w:r>
        <w:rPr>
          <w:rFonts w:hint="eastAsia"/>
          <w:bCs/>
          <w:spacing w:val="4"/>
          <w:sz w:val="24"/>
        </w:rPr>
        <w:t>、</w:t>
      </w:r>
      <w:r>
        <w:rPr>
          <w:bCs/>
          <w:spacing w:val="4"/>
          <w:sz w:val="24"/>
        </w:rPr>
        <w:t>废水污染物排放监测</w:t>
      </w:r>
      <w:r>
        <w:rPr>
          <w:rFonts w:hint="eastAsia"/>
          <w:bCs/>
          <w:spacing w:val="4"/>
          <w:sz w:val="24"/>
        </w:rPr>
        <w:t>、</w:t>
      </w:r>
      <w:r>
        <w:rPr>
          <w:bCs/>
          <w:spacing w:val="4"/>
          <w:sz w:val="24"/>
        </w:rPr>
        <w:t>噪声污染物排放监测</w:t>
      </w:r>
      <w:r>
        <w:rPr>
          <w:rFonts w:hint="eastAsia"/>
          <w:bCs/>
          <w:spacing w:val="4"/>
          <w:sz w:val="24"/>
        </w:rPr>
        <w:t>、地下水环境质量监测、土壤环境质量监测、环境空气质量监测等。</w:t>
      </w:r>
    </w:p>
    <w:p w14:paraId="2FBF6D66">
      <w:pPr>
        <w:spacing w:line="360" w:lineRule="auto"/>
        <w:ind w:firstLine="496" w:firstLineChars="200"/>
        <w:rPr>
          <w:bCs/>
          <w:spacing w:val="4"/>
          <w:sz w:val="24"/>
        </w:rPr>
      </w:pPr>
      <w:r>
        <w:rPr>
          <w:rFonts w:hint="eastAsia"/>
          <w:bCs/>
          <w:spacing w:val="4"/>
          <w:sz w:val="24"/>
          <w:lang w:val="en-US" w:eastAsia="zh-CN"/>
        </w:rPr>
        <w:t>1.4</w:t>
      </w:r>
      <w:r>
        <w:rPr>
          <w:rFonts w:hint="eastAsia"/>
          <w:bCs/>
          <w:spacing w:val="4"/>
          <w:sz w:val="24"/>
        </w:rPr>
        <w:t>总结检测报告</w:t>
      </w:r>
    </w:p>
    <w:p w14:paraId="4C23AF47">
      <w:pPr>
        <w:spacing w:line="360" w:lineRule="auto"/>
        <w:ind w:firstLine="496" w:firstLineChars="200"/>
        <w:rPr>
          <w:bCs/>
          <w:spacing w:val="4"/>
          <w:sz w:val="24"/>
        </w:rPr>
      </w:pPr>
      <w:r>
        <w:rPr>
          <w:rFonts w:hint="eastAsia"/>
          <w:bCs/>
          <w:spacing w:val="4"/>
          <w:sz w:val="24"/>
        </w:rPr>
        <w:t>汇总监测数据、检查和调查的结果，得出结论，监测结果须具有有效、完整、质量合格且盖有CMA认证章的监测报告，为建设项目竣工环境保护验收的技术依据。</w:t>
      </w:r>
    </w:p>
    <w:p w14:paraId="14161ECA">
      <w:pPr>
        <w:spacing w:line="360" w:lineRule="auto"/>
        <w:ind w:firstLine="480" w:firstLineChars="200"/>
        <w:outlineLvl w:val="9"/>
        <w:rPr>
          <w:rFonts w:hint="eastAsia" w:ascii="宋体" w:hAnsi="宋体"/>
          <w:sz w:val="24"/>
        </w:rPr>
      </w:pPr>
      <w:r>
        <w:rPr>
          <w:rFonts w:hint="eastAsia" w:ascii="宋体" w:hAnsi="宋体"/>
          <w:sz w:val="24"/>
          <w:lang w:val="en-US" w:eastAsia="zh-CN"/>
        </w:rPr>
        <w:t>2.</w:t>
      </w:r>
      <w:r>
        <w:rPr>
          <w:rFonts w:hint="eastAsia" w:ascii="宋体" w:hAnsi="宋体"/>
          <w:sz w:val="24"/>
        </w:rPr>
        <w:t>编制竣工环境保护验收文件</w:t>
      </w:r>
    </w:p>
    <w:p w14:paraId="70B6AF9F">
      <w:pPr>
        <w:spacing w:line="240" w:lineRule="auto"/>
        <w:ind w:firstLine="480" w:firstLineChars="0"/>
        <w:rPr>
          <w:sz w:val="24"/>
          <w:szCs w:val="22"/>
        </w:rPr>
      </w:pPr>
      <w:r>
        <w:rPr>
          <w:rFonts w:hint="eastAsia"/>
          <w:sz w:val="24"/>
          <w:szCs w:val="22"/>
          <w:lang w:val="en-US" w:eastAsia="zh-CN"/>
        </w:rPr>
        <w:t>2.1</w:t>
      </w:r>
      <w:r>
        <w:rPr>
          <w:rFonts w:hint="eastAsia"/>
          <w:sz w:val="24"/>
          <w:szCs w:val="22"/>
          <w:lang w:eastAsia="zh-CN"/>
        </w:rPr>
        <w:t>成交人</w:t>
      </w:r>
      <w:r>
        <w:rPr>
          <w:rFonts w:hint="eastAsia"/>
          <w:sz w:val="24"/>
          <w:szCs w:val="22"/>
        </w:rPr>
        <w:t>需按照国家和地方环境保护法律、法规、标准和规定的要求，编制竣工环境保护验收调查报告。</w:t>
      </w:r>
    </w:p>
    <w:p w14:paraId="3DE1AFCA">
      <w:pPr>
        <w:ind w:firstLine="480"/>
        <w:rPr>
          <w:rFonts w:hint="eastAsia"/>
          <w:sz w:val="24"/>
          <w:szCs w:val="22"/>
        </w:rPr>
      </w:pPr>
      <w:r>
        <w:rPr>
          <w:rFonts w:hint="eastAsia"/>
          <w:sz w:val="24"/>
          <w:szCs w:val="22"/>
          <w:lang w:val="en-US" w:eastAsia="zh-CN"/>
        </w:rPr>
        <w:t>2.2</w:t>
      </w:r>
      <w:r>
        <w:rPr>
          <w:rFonts w:hint="eastAsia"/>
          <w:sz w:val="24"/>
          <w:szCs w:val="22"/>
        </w:rPr>
        <w:t>主要编制技术内容包括但不限于：验收项目概况、验收依据、工程建设情况、环境保护设施、环评结论与建议及审批部门审批决定、验收执行标准、验收监测内容、质量保证和质量控制、验收监测结果、验收监测结论、建设项目环境保护“三同时”竣工验收登记表等。</w:t>
      </w:r>
    </w:p>
    <w:p w14:paraId="56E71C4A">
      <w:pPr>
        <w:spacing w:line="240" w:lineRule="auto"/>
        <w:ind w:firstLine="480" w:firstLineChars="0"/>
        <w:rPr>
          <w:sz w:val="24"/>
          <w:szCs w:val="22"/>
        </w:rPr>
      </w:pPr>
    </w:p>
    <w:p w14:paraId="1932594C">
      <w:pPr>
        <w:spacing w:line="360" w:lineRule="auto"/>
        <w:jc w:val="center"/>
        <w:rPr>
          <w:b/>
          <w:sz w:val="24"/>
          <w:szCs w:val="22"/>
        </w:rPr>
      </w:pPr>
      <w:r>
        <w:rPr>
          <w:b/>
          <w:sz w:val="24"/>
          <w:szCs w:val="22"/>
        </w:rPr>
        <w:t>表1 验收技术方案主要内容</w:t>
      </w:r>
    </w:p>
    <w:tbl>
      <w:tblPr>
        <w:tblStyle w:val="1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701"/>
        <w:gridCol w:w="5891"/>
      </w:tblGrid>
      <w:tr w14:paraId="6B6AD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4" w:type="dxa"/>
            <w:shd w:val="clear" w:color="auto" w:fill="auto"/>
            <w:noWrap w:val="0"/>
            <w:vAlign w:val="center"/>
          </w:tcPr>
          <w:p w14:paraId="0C2EBB07">
            <w:pPr>
              <w:spacing w:line="276" w:lineRule="auto"/>
              <w:jc w:val="center"/>
              <w:rPr>
                <w:b/>
                <w:szCs w:val="21"/>
              </w:rPr>
            </w:pPr>
            <w:r>
              <w:rPr>
                <w:b/>
                <w:szCs w:val="21"/>
              </w:rPr>
              <w:t>序号</w:t>
            </w:r>
          </w:p>
        </w:tc>
        <w:tc>
          <w:tcPr>
            <w:tcW w:w="1701" w:type="dxa"/>
            <w:shd w:val="clear" w:color="auto" w:fill="auto"/>
            <w:noWrap w:val="0"/>
            <w:vAlign w:val="center"/>
          </w:tcPr>
          <w:p w14:paraId="5058555B">
            <w:pPr>
              <w:spacing w:line="276" w:lineRule="auto"/>
              <w:jc w:val="center"/>
              <w:rPr>
                <w:b/>
                <w:szCs w:val="21"/>
              </w:rPr>
            </w:pPr>
            <w:r>
              <w:rPr>
                <w:b/>
                <w:szCs w:val="21"/>
              </w:rPr>
              <w:t>类别</w:t>
            </w:r>
          </w:p>
        </w:tc>
        <w:tc>
          <w:tcPr>
            <w:tcW w:w="5891" w:type="dxa"/>
            <w:shd w:val="clear" w:color="auto" w:fill="auto"/>
            <w:noWrap w:val="0"/>
            <w:vAlign w:val="center"/>
          </w:tcPr>
          <w:p w14:paraId="04B26FEC">
            <w:pPr>
              <w:spacing w:line="276" w:lineRule="auto"/>
              <w:jc w:val="center"/>
              <w:rPr>
                <w:b/>
                <w:szCs w:val="21"/>
              </w:rPr>
            </w:pPr>
            <w:r>
              <w:rPr>
                <w:b/>
                <w:szCs w:val="21"/>
              </w:rPr>
              <w:t>主要内容</w:t>
            </w:r>
          </w:p>
        </w:tc>
      </w:tr>
      <w:tr w14:paraId="39388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auto"/>
            <w:noWrap w:val="0"/>
            <w:vAlign w:val="center"/>
          </w:tcPr>
          <w:p w14:paraId="003BCAEC">
            <w:pPr>
              <w:spacing w:line="276" w:lineRule="auto"/>
              <w:jc w:val="center"/>
              <w:rPr>
                <w:szCs w:val="21"/>
              </w:rPr>
            </w:pPr>
            <w:r>
              <w:rPr>
                <w:szCs w:val="21"/>
              </w:rPr>
              <w:t>1</w:t>
            </w:r>
          </w:p>
        </w:tc>
        <w:tc>
          <w:tcPr>
            <w:tcW w:w="1701" w:type="dxa"/>
            <w:shd w:val="clear" w:color="auto" w:fill="auto"/>
            <w:noWrap w:val="0"/>
            <w:vAlign w:val="center"/>
          </w:tcPr>
          <w:p w14:paraId="43A801D6">
            <w:pPr>
              <w:spacing w:line="276" w:lineRule="auto"/>
              <w:jc w:val="center"/>
              <w:rPr>
                <w:szCs w:val="21"/>
              </w:rPr>
            </w:pPr>
            <w:r>
              <w:rPr>
                <w:szCs w:val="21"/>
              </w:rPr>
              <w:t>总论</w:t>
            </w:r>
          </w:p>
        </w:tc>
        <w:tc>
          <w:tcPr>
            <w:tcW w:w="5891" w:type="dxa"/>
            <w:shd w:val="clear" w:color="auto" w:fill="auto"/>
            <w:noWrap w:val="0"/>
            <w:vAlign w:val="center"/>
          </w:tcPr>
          <w:p w14:paraId="5C19DCF6">
            <w:pPr>
              <w:spacing w:line="276" w:lineRule="auto"/>
              <w:rPr>
                <w:szCs w:val="21"/>
              </w:rPr>
            </w:pPr>
            <w:r>
              <w:rPr>
                <w:szCs w:val="21"/>
              </w:rPr>
              <w:t>简述项目立项、环境影响评价、初步设计、环境影响报告书批复、试生产等审批过程，以及工程开工、建成并投入试运行时间等建设情况；叙述验收技术工作承担单位及现场勘查时间；阐明验收目的等</w:t>
            </w:r>
          </w:p>
        </w:tc>
      </w:tr>
      <w:tr w14:paraId="27F03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auto"/>
            <w:noWrap w:val="0"/>
            <w:vAlign w:val="center"/>
          </w:tcPr>
          <w:p w14:paraId="3E5B92B8">
            <w:pPr>
              <w:spacing w:line="276" w:lineRule="auto"/>
              <w:jc w:val="center"/>
              <w:rPr>
                <w:szCs w:val="21"/>
              </w:rPr>
            </w:pPr>
            <w:r>
              <w:rPr>
                <w:szCs w:val="21"/>
              </w:rPr>
              <w:t>2</w:t>
            </w:r>
          </w:p>
        </w:tc>
        <w:tc>
          <w:tcPr>
            <w:tcW w:w="1701" w:type="dxa"/>
            <w:shd w:val="clear" w:color="auto" w:fill="auto"/>
            <w:noWrap w:val="0"/>
            <w:vAlign w:val="center"/>
          </w:tcPr>
          <w:p w14:paraId="70A28B9E">
            <w:pPr>
              <w:spacing w:line="276" w:lineRule="auto"/>
              <w:jc w:val="center"/>
              <w:rPr>
                <w:szCs w:val="21"/>
              </w:rPr>
            </w:pPr>
            <w:r>
              <w:rPr>
                <w:szCs w:val="21"/>
              </w:rPr>
              <w:t>验收依据</w:t>
            </w:r>
          </w:p>
        </w:tc>
        <w:tc>
          <w:tcPr>
            <w:tcW w:w="5891" w:type="dxa"/>
            <w:shd w:val="clear" w:color="auto" w:fill="auto"/>
            <w:noWrap w:val="0"/>
            <w:vAlign w:val="center"/>
          </w:tcPr>
          <w:p w14:paraId="3687E49A">
            <w:pPr>
              <w:spacing w:line="276" w:lineRule="auto"/>
              <w:rPr>
                <w:szCs w:val="21"/>
              </w:rPr>
            </w:pPr>
            <w:r>
              <w:rPr>
                <w:szCs w:val="21"/>
              </w:rPr>
              <w:t>从法律法规、环评技术文件及其批复、技术规范等方面简述验收依据，如项目建设过程中发生变更，应把行政主管单位针对的变更的批复列入验收依据</w:t>
            </w:r>
          </w:p>
        </w:tc>
      </w:tr>
      <w:tr w14:paraId="26A68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auto"/>
            <w:noWrap w:val="0"/>
            <w:vAlign w:val="center"/>
          </w:tcPr>
          <w:p w14:paraId="341BD521">
            <w:pPr>
              <w:spacing w:line="276" w:lineRule="auto"/>
              <w:jc w:val="center"/>
              <w:rPr>
                <w:szCs w:val="21"/>
              </w:rPr>
            </w:pPr>
            <w:r>
              <w:rPr>
                <w:szCs w:val="21"/>
              </w:rPr>
              <w:t>3</w:t>
            </w:r>
          </w:p>
        </w:tc>
        <w:tc>
          <w:tcPr>
            <w:tcW w:w="1701" w:type="dxa"/>
            <w:shd w:val="clear" w:color="auto" w:fill="auto"/>
            <w:noWrap w:val="0"/>
            <w:vAlign w:val="center"/>
          </w:tcPr>
          <w:p w14:paraId="7FBD6016">
            <w:pPr>
              <w:spacing w:line="276" w:lineRule="auto"/>
              <w:jc w:val="center"/>
              <w:rPr>
                <w:szCs w:val="21"/>
              </w:rPr>
            </w:pPr>
            <w:r>
              <w:rPr>
                <w:szCs w:val="21"/>
              </w:rPr>
              <w:t>建设项目工程概况</w:t>
            </w:r>
          </w:p>
        </w:tc>
        <w:tc>
          <w:tcPr>
            <w:tcW w:w="5891" w:type="dxa"/>
            <w:shd w:val="clear" w:color="auto" w:fill="auto"/>
            <w:noWrap w:val="0"/>
            <w:vAlign w:val="center"/>
          </w:tcPr>
          <w:p w14:paraId="7DD74ADF">
            <w:pPr>
              <w:spacing w:line="276" w:lineRule="auto"/>
              <w:rPr>
                <w:szCs w:val="21"/>
              </w:rPr>
            </w:pPr>
            <w:r>
              <w:rPr>
                <w:szCs w:val="21"/>
              </w:rPr>
              <w:t>简述工程性质、建设规模、建设地点、占地面积、总投资及环保投资、主要建设内容等基本情况，说明验收范围和内容</w:t>
            </w:r>
          </w:p>
        </w:tc>
      </w:tr>
      <w:tr w14:paraId="1EB6B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auto"/>
            <w:noWrap w:val="0"/>
            <w:vAlign w:val="center"/>
          </w:tcPr>
          <w:p w14:paraId="6304088C">
            <w:pPr>
              <w:spacing w:line="276" w:lineRule="auto"/>
              <w:jc w:val="center"/>
              <w:rPr>
                <w:szCs w:val="21"/>
              </w:rPr>
            </w:pPr>
            <w:r>
              <w:rPr>
                <w:szCs w:val="21"/>
              </w:rPr>
              <w:t>4</w:t>
            </w:r>
          </w:p>
        </w:tc>
        <w:tc>
          <w:tcPr>
            <w:tcW w:w="1701" w:type="dxa"/>
            <w:shd w:val="clear" w:color="auto" w:fill="auto"/>
            <w:noWrap w:val="0"/>
            <w:vAlign w:val="center"/>
          </w:tcPr>
          <w:p w14:paraId="33340B01">
            <w:pPr>
              <w:spacing w:line="276" w:lineRule="auto"/>
              <w:jc w:val="center"/>
              <w:rPr>
                <w:szCs w:val="21"/>
              </w:rPr>
            </w:pPr>
            <w:r>
              <w:rPr>
                <w:szCs w:val="21"/>
              </w:rPr>
              <w:t>环境影响评价结论及其批复要求</w:t>
            </w:r>
          </w:p>
        </w:tc>
        <w:tc>
          <w:tcPr>
            <w:tcW w:w="5891" w:type="dxa"/>
            <w:shd w:val="clear" w:color="auto" w:fill="auto"/>
            <w:noWrap w:val="0"/>
            <w:vAlign w:val="center"/>
          </w:tcPr>
          <w:p w14:paraId="1B663DF2">
            <w:pPr>
              <w:spacing w:line="276" w:lineRule="auto"/>
              <w:rPr>
                <w:szCs w:val="21"/>
              </w:rPr>
            </w:pPr>
            <w:r>
              <w:rPr>
                <w:szCs w:val="21"/>
              </w:rPr>
              <w:t>摘录建设项目环境影响评价文件中的结论性文字，将各级环境保护行政主管部门的预审/审批意见等作为验收技术方案的附件</w:t>
            </w:r>
          </w:p>
        </w:tc>
      </w:tr>
      <w:tr w14:paraId="54F78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auto"/>
            <w:noWrap w:val="0"/>
            <w:vAlign w:val="center"/>
          </w:tcPr>
          <w:p w14:paraId="4CECDDC7">
            <w:pPr>
              <w:spacing w:line="276" w:lineRule="auto"/>
              <w:jc w:val="center"/>
              <w:rPr>
                <w:szCs w:val="21"/>
              </w:rPr>
            </w:pPr>
            <w:r>
              <w:rPr>
                <w:szCs w:val="21"/>
              </w:rPr>
              <w:t>5</w:t>
            </w:r>
          </w:p>
        </w:tc>
        <w:tc>
          <w:tcPr>
            <w:tcW w:w="1701" w:type="dxa"/>
            <w:shd w:val="clear" w:color="auto" w:fill="auto"/>
            <w:noWrap w:val="0"/>
            <w:vAlign w:val="center"/>
          </w:tcPr>
          <w:p w14:paraId="72756D6B">
            <w:pPr>
              <w:spacing w:line="276" w:lineRule="auto"/>
              <w:jc w:val="center"/>
              <w:rPr>
                <w:szCs w:val="21"/>
              </w:rPr>
            </w:pPr>
            <w:r>
              <w:rPr>
                <w:szCs w:val="21"/>
              </w:rPr>
              <w:t>污染物的排放与防治措施</w:t>
            </w:r>
          </w:p>
        </w:tc>
        <w:tc>
          <w:tcPr>
            <w:tcW w:w="5891" w:type="dxa"/>
            <w:shd w:val="clear" w:color="auto" w:fill="auto"/>
            <w:noWrap w:val="0"/>
            <w:vAlign w:val="center"/>
          </w:tcPr>
          <w:p w14:paraId="049A7A00">
            <w:pPr>
              <w:spacing w:line="276" w:lineRule="auto"/>
              <w:rPr>
                <w:szCs w:val="21"/>
              </w:rPr>
            </w:pPr>
            <w:r>
              <w:rPr>
                <w:szCs w:val="21"/>
              </w:rPr>
              <w:t>按照废气、废水、噪声、固体废物四个方面详细分析各污染源产生、治理、排放情况；初步调查“三同时”落实情况、建设项目大气环境防护距离内环境保护敏感区分布情况等</w:t>
            </w:r>
          </w:p>
        </w:tc>
      </w:tr>
      <w:tr w14:paraId="35216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auto"/>
            <w:noWrap w:val="0"/>
            <w:vAlign w:val="center"/>
          </w:tcPr>
          <w:p w14:paraId="153F55E9">
            <w:pPr>
              <w:spacing w:line="276" w:lineRule="auto"/>
              <w:jc w:val="center"/>
              <w:rPr>
                <w:szCs w:val="21"/>
              </w:rPr>
            </w:pPr>
            <w:r>
              <w:rPr>
                <w:szCs w:val="21"/>
              </w:rPr>
              <w:t>6</w:t>
            </w:r>
          </w:p>
        </w:tc>
        <w:tc>
          <w:tcPr>
            <w:tcW w:w="1701" w:type="dxa"/>
            <w:shd w:val="clear" w:color="auto" w:fill="auto"/>
            <w:noWrap w:val="0"/>
            <w:vAlign w:val="center"/>
          </w:tcPr>
          <w:p w14:paraId="7675DEBF">
            <w:pPr>
              <w:spacing w:line="276" w:lineRule="auto"/>
              <w:jc w:val="center"/>
              <w:rPr>
                <w:szCs w:val="21"/>
              </w:rPr>
            </w:pPr>
            <w:r>
              <w:rPr>
                <w:szCs w:val="21"/>
              </w:rPr>
              <w:t>验收评价标准</w:t>
            </w:r>
          </w:p>
        </w:tc>
        <w:tc>
          <w:tcPr>
            <w:tcW w:w="5891" w:type="dxa"/>
            <w:shd w:val="clear" w:color="auto" w:fill="auto"/>
            <w:noWrap w:val="0"/>
            <w:vAlign w:val="center"/>
          </w:tcPr>
          <w:p w14:paraId="59390095">
            <w:pPr>
              <w:spacing w:line="276" w:lineRule="auto"/>
              <w:rPr>
                <w:szCs w:val="21"/>
              </w:rPr>
            </w:pPr>
            <w:r>
              <w:rPr>
                <w:szCs w:val="21"/>
              </w:rPr>
              <w:t>按新的国家环境质量标准、污染排放标准，对应经批准的环境影响报告的相应时段作为执行标准。</w:t>
            </w:r>
          </w:p>
        </w:tc>
      </w:tr>
      <w:tr w14:paraId="1EB03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auto"/>
            <w:noWrap w:val="0"/>
            <w:vAlign w:val="center"/>
          </w:tcPr>
          <w:p w14:paraId="10DE3F11">
            <w:pPr>
              <w:spacing w:line="276" w:lineRule="auto"/>
              <w:jc w:val="center"/>
              <w:rPr>
                <w:szCs w:val="21"/>
              </w:rPr>
            </w:pPr>
            <w:r>
              <w:rPr>
                <w:szCs w:val="21"/>
              </w:rPr>
              <w:t>7</w:t>
            </w:r>
          </w:p>
        </w:tc>
        <w:tc>
          <w:tcPr>
            <w:tcW w:w="1701" w:type="dxa"/>
            <w:shd w:val="clear" w:color="auto" w:fill="auto"/>
            <w:noWrap w:val="0"/>
            <w:vAlign w:val="center"/>
          </w:tcPr>
          <w:p w14:paraId="1F830D48">
            <w:pPr>
              <w:spacing w:line="276" w:lineRule="auto"/>
              <w:jc w:val="center"/>
              <w:rPr>
                <w:szCs w:val="21"/>
              </w:rPr>
            </w:pPr>
            <w:r>
              <w:rPr>
                <w:szCs w:val="21"/>
              </w:rPr>
              <w:t>验收监测内容</w:t>
            </w:r>
          </w:p>
        </w:tc>
        <w:tc>
          <w:tcPr>
            <w:tcW w:w="5891" w:type="dxa"/>
            <w:shd w:val="clear" w:color="auto" w:fill="auto"/>
            <w:noWrap w:val="0"/>
            <w:vAlign w:val="center"/>
          </w:tcPr>
          <w:p w14:paraId="7B63EECA">
            <w:pPr>
              <w:spacing w:line="276" w:lineRule="auto"/>
              <w:rPr>
                <w:szCs w:val="21"/>
              </w:rPr>
            </w:pPr>
            <w:r>
              <w:rPr>
                <w:szCs w:val="21"/>
              </w:rPr>
              <w:t>包括污染物的达标排放情况监测、污染治理设施设计指标的监测、环境敏感目标的环境质量监测（环评批复如有此类要求）、环境影响评价文件批复中需监测数据评价的项目和内容及总量控制指标、建设项目环境保护“三同时”竣工验收登记表中需要填写的污染控制指标；新建部分产生量、新建部分处理削减量、处理前浓度、实际排放浓度等。验收监测内容同时明确了相应的监测点位、监测因子、监测频次。监测点位根据现场勘察情况及 HJ/T 397、GB/T 16157、HJ/T 55、HJ/T 91、HJ/T 92、HJ/T 164、HJ/T 365 等相关的技术规范确定。</w:t>
            </w:r>
          </w:p>
        </w:tc>
      </w:tr>
      <w:tr w14:paraId="14963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auto"/>
            <w:noWrap w:val="0"/>
            <w:vAlign w:val="center"/>
          </w:tcPr>
          <w:p w14:paraId="5BEC9DA3">
            <w:pPr>
              <w:spacing w:line="276" w:lineRule="auto"/>
              <w:jc w:val="center"/>
              <w:rPr>
                <w:szCs w:val="21"/>
              </w:rPr>
            </w:pPr>
            <w:r>
              <w:rPr>
                <w:szCs w:val="21"/>
              </w:rPr>
              <w:t>8</w:t>
            </w:r>
          </w:p>
        </w:tc>
        <w:tc>
          <w:tcPr>
            <w:tcW w:w="1701" w:type="dxa"/>
            <w:shd w:val="clear" w:color="auto" w:fill="auto"/>
            <w:noWrap w:val="0"/>
            <w:vAlign w:val="center"/>
          </w:tcPr>
          <w:p w14:paraId="5DA9E2D6">
            <w:pPr>
              <w:spacing w:line="276" w:lineRule="auto"/>
              <w:jc w:val="center"/>
              <w:rPr>
                <w:szCs w:val="21"/>
              </w:rPr>
            </w:pPr>
            <w:r>
              <w:rPr>
                <w:szCs w:val="21"/>
              </w:rPr>
              <w:t>监测分析方法及质量保证</w:t>
            </w:r>
          </w:p>
        </w:tc>
        <w:tc>
          <w:tcPr>
            <w:tcW w:w="5891" w:type="dxa"/>
            <w:shd w:val="clear" w:color="auto" w:fill="auto"/>
            <w:noWrap w:val="0"/>
            <w:vAlign w:val="center"/>
          </w:tcPr>
          <w:p w14:paraId="48F013A5">
            <w:pPr>
              <w:spacing w:line="276" w:lineRule="auto"/>
              <w:rPr>
                <w:szCs w:val="21"/>
              </w:rPr>
            </w:pPr>
            <w:r>
              <w:rPr>
                <w:szCs w:val="21"/>
              </w:rPr>
              <w:t>监测分析方法、监测期间工况要求、人员、仪器及水、气、声、固废的全面质量控制</w:t>
            </w:r>
          </w:p>
        </w:tc>
      </w:tr>
      <w:tr w14:paraId="16C24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shd w:val="clear" w:color="auto" w:fill="auto"/>
            <w:noWrap w:val="0"/>
            <w:vAlign w:val="center"/>
          </w:tcPr>
          <w:p w14:paraId="0BA210A9">
            <w:pPr>
              <w:spacing w:line="276" w:lineRule="auto"/>
              <w:jc w:val="center"/>
              <w:rPr>
                <w:szCs w:val="21"/>
              </w:rPr>
            </w:pPr>
            <w:r>
              <w:rPr>
                <w:szCs w:val="21"/>
              </w:rPr>
              <w:t>9</w:t>
            </w:r>
          </w:p>
        </w:tc>
        <w:tc>
          <w:tcPr>
            <w:tcW w:w="1701" w:type="dxa"/>
            <w:shd w:val="clear" w:color="auto" w:fill="auto"/>
            <w:noWrap w:val="0"/>
            <w:vAlign w:val="center"/>
          </w:tcPr>
          <w:p w14:paraId="2683D78B">
            <w:pPr>
              <w:spacing w:line="276" w:lineRule="auto"/>
              <w:jc w:val="center"/>
              <w:rPr>
                <w:szCs w:val="21"/>
              </w:rPr>
            </w:pPr>
            <w:r>
              <w:rPr>
                <w:szCs w:val="21"/>
              </w:rPr>
              <w:t>环境管理检查</w:t>
            </w:r>
          </w:p>
        </w:tc>
        <w:tc>
          <w:tcPr>
            <w:tcW w:w="5891" w:type="dxa"/>
            <w:shd w:val="clear" w:color="auto" w:fill="auto"/>
            <w:noWrap w:val="0"/>
            <w:vAlign w:val="center"/>
          </w:tcPr>
          <w:p w14:paraId="5C4B0B35">
            <w:pPr>
              <w:spacing w:line="276" w:lineRule="auto"/>
              <w:rPr>
                <w:szCs w:val="21"/>
              </w:rPr>
            </w:pPr>
            <w:r>
              <w:rPr>
                <w:szCs w:val="21"/>
              </w:rPr>
              <w:t>环境管理检查篇章应重点叙述和检查环评结论与建议中提到的各项环保设施建成和措施落实情况，尤其应逐项检查和归纳叙述行政主管部门环评批复中提到的建设项目在工程设计、建设中应重点注意问题的落实情况。</w:t>
            </w:r>
          </w:p>
        </w:tc>
      </w:tr>
    </w:tbl>
    <w:p w14:paraId="206F6A55">
      <w:pPr>
        <w:spacing w:line="360" w:lineRule="auto"/>
        <w:ind w:firstLine="480" w:firstLineChars="200"/>
        <w:rPr>
          <w:rFonts w:asciiTheme="minorEastAsia" w:hAnsiTheme="minorEastAsia" w:eastAsiaTheme="minorEastAsia"/>
          <w:sz w:val="24"/>
          <w:szCs w:val="24"/>
        </w:rPr>
      </w:pPr>
    </w:p>
    <w:p w14:paraId="1E64FA51">
      <w:pPr>
        <w:spacing w:line="360" w:lineRule="auto"/>
        <w:ind w:firstLine="480"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第二条</w:t>
      </w:r>
      <w:r>
        <w:rPr>
          <w:rFonts w:asciiTheme="minorEastAsia" w:hAnsiTheme="minorEastAsia" w:eastAsiaTheme="minorEastAsia"/>
          <w:b/>
          <w:sz w:val="24"/>
          <w:szCs w:val="24"/>
        </w:rPr>
        <w:t xml:space="preserve"> 乙方应当按下列要求完成技术服务工作</w:t>
      </w:r>
    </w:p>
    <w:p w14:paraId="0C4AB3B9">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w:t>
      </w:r>
      <w:r>
        <w:rPr>
          <w:rFonts w:asciiTheme="minorEastAsia" w:hAnsiTheme="minorEastAsia" w:eastAsiaTheme="minorEastAsia"/>
          <w:sz w:val="24"/>
          <w:szCs w:val="24"/>
        </w:rPr>
        <w:t>服务地点：</w:t>
      </w:r>
      <w:r>
        <w:rPr>
          <w:rFonts w:hint="eastAsia" w:asciiTheme="minorEastAsia" w:hAnsiTheme="minorEastAsia" w:eastAsiaTheme="minorEastAsia"/>
          <w:sz w:val="24"/>
          <w:szCs w:val="24"/>
          <w:u w:val="single"/>
        </w:rPr>
        <w:t>东莞市麻涌镇大步村海心沙岛东莞市新东欣环保投资有限公司。</w:t>
      </w:r>
    </w:p>
    <w:p w14:paraId="476CECE6">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w:t>
      </w:r>
      <w:r>
        <w:rPr>
          <w:rFonts w:asciiTheme="minorEastAsia" w:hAnsiTheme="minorEastAsia" w:eastAsiaTheme="minorEastAsia"/>
          <w:sz w:val="24"/>
          <w:szCs w:val="24"/>
        </w:rPr>
        <w:t>服务期限：</w:t>
      </w:r>
      <w:r>
        <w:rPr>
          <w:rFonts w:hint="eastAsia" w:asciiTheme="minorEastAsia" w:hAnsiTheme="minorEastAsia" w:eastAsiaTheme="minorEastAsia"/>
          <w:sz w:val="24"/>
          <w:szCs w:val="24"/>
        </w:rPr>
        <w:t>合同签订之日起5个工作日内，乙方提交项目工作方案（包含资料清单及项目工期计划）。</w:t>
      </w:r>
      <w:r>
        <w:rPr>
          <w:rFonts w:asciiTheme="minorEastAsia" w:hAnsiTheme="minorEastAsia" w:eastAsiaTheme="minorEastAsia"/>
          <w:sz w:val="24"/>
          <w:szCs w:val="24"/>
        </w:rPr>
        <w:t>在</w:t>
      </w:r>
      <w:r>
        <w:rPr>
          <w:rFonts w:hint="eastAsia" w:asciiTheme="minorEastAsia" w:hAnsiTheme="minorEastAsia" w:eastAsiaTheme="minorEastAsia"/>
          <w:sz w:val="24"/>
          <w:szCs w:val="24"/>
        </w:rPr>
        <w:t>甲方通知进场进行监测采样之日起</w:t>
      </w:r>
      <w:r>
        <w:rPr>
          <w:rFonts w:asciiTheme="minorEastAsia" w:hAnsiTheme="minorEastAsia" w:eastAsiaTheme="minorEastAsia"/>
          <w:sz w:val="24"/>
          <w:szCs w:val="24"/>
        </w:rPr>
        <w:t>，在</w:t>
      </w:r>
      <w:r>
        <w:rPr>
          <w:rFonts w:hint="eastAsia" w:asciiTheme="minorEastAsia" w:hAnsiTheme="minorEastAsia" w:eastAsiaTheme="minorEastAsia"/>
          <w:sz w:val="24"/>
          <w:szCs w:val="24"/>
        </w:rPr>
        <w:t>验收</w:t>
      </w:r>
      <w:r>
        <w:rPr>
          <w:rFonts w:asciiTheme="minorEastAsia" w:hAnsiTheme="minorEastAsia" w:eastAsiaTheme="minorEastAsia"/>
          <w:sz w:val="24"/>
          <w:szCs w:val="24"/>
        </w:rPr>
        <w:t>监测工作能满足自主验收专家评审的前提下，60个</w:t>
      </w:r>
      <w:r>
        <w:rPr>
          <w:rFonts w:hint="eastAsia" w:asciiTheme="minorEastAsia" w:hAnsiTheme="minorEastAsia" w:eastAsiaTheme="minorEastAsia"/>
          <w:sz w:val="24"/>
          <w:szCs w:val="24"/>
        </w:rPr>
        <w:t>日历日</w:t>
      </w:r>
      <w:r>
        <w:rPr>
          <w:rFonts w:asciiTheme="minorEastAsia" w:hAnsiTheme="minorEastAsia" w:eastAsiaTheme="minorEastAsia"/>
          <w:sz w:val="24"/>
          <w:szCs w:val="24"/>
        </w:rPr>
        <w:t>内通过专家评审</w:t>
      </w:r>
      <w:r>
        <w:rPr>
          <w:rFonts w:hint="eastAsia" w:asciiTheme="minorEastAsia" w:hAnsiTheme="minorEastAsia" w:eastAsiaTheme="minorEastAsia"/>
          <w:sz w:val="24"/>
          <w:szCs w:val="24"/>
        </w:rPr>
        <w:t>，通过专家评审会后的3</w:t>
      </w:r>
      <w:r>
        <w:rPr>
          <w:rFonts w:asciiTheme="minorEastAsia" w:hAnsiTheme="minorEastAsia" w:eastAsiaTheme="minorEastAsia"/>
          <w:sz w:val="24"/>
          <w:szCs w:val="24"/>
        </w:rPr>
        <w:t>0</w:t>
      </w:r>
      <w:r>
        <w:rPr>
          <w:rFonts w:hint="eastAsia" w:asciiTheme="minorEastAsia" w:hAnsiTheme="minorEastAsia" w:eastAsiaTheme="minorEastAsia"/>
          <w:sz w:val="24"/>
          <w:szCs w:val="24"/>
        </w:rPr>
        <w:t>个日历日内完成验收工作及公示。</w:t>
      </w:r>
    </w:p>
    <w:p w14:paraId="66709188">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.相关</w:t>
      </w:r>
      <w:r>
        <w:rPr>
          <w:rFonts w:asciiTheme="minorEastAsia" w:hAnsiTheme="minorEastAsia" w:eastAsiaTheme="minorEastAsia"/>
          <w:sz w:val="24"/>
          <w:szCs w:val="24"/>
        </w:rPr>
        <w:t>要求：</w:t>
      </w:r>
    </w:p>
    <w:p w14:paraId="01D4B3E7">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w:t>
      </w:r>
      <w:r>
        <w:rPr>
          <w:rFonts w:asciiTheme="minorEastAsia" w:hAnsiTheme="minorEastAsia" w:eastAsiaTheme="minorEastAsia"/>
          <w:sz w:val="24"/>
          <w:szCs w:val="24"/>
        </w:rPr>
        <w:t>.1</w:t>
      </w:r>
      <w:r>
        <w:rPr>
          <w:rFonts w:hint="eastAsia" w:asciiTheme="minorEastAsia" w:hAnsiTheme="minorEastAsia" w:eastAsiaTheme="minorEastAsia"/>
          <w:sz w:val="24"/>
          <w:szCs w:val="24"/>
        </w:rPr>
        <w:t>乙方</w:t>
      </w:r>
      <w:r>
        <w:rPr>
          <w:rFonts w:asciiTheme="minorEastAsia" w:hAnsiTheme="minorEastAsia" w:eastAsiaTheme="minorEastAsia"/>
          <w:sz w:val="24"/>
          <w:szCs w:val="24"/>
        </w:rPr>
        <w:t>必须应</w:t>
      </w:r>
      <w:r>
        <w:rPr>
          <w:rFonts w:hint="eastAsia" w:asciiTheme="minorEastAsia" w:hAnsiTheme="minorEastAsia" w:eastAsiaTheme="minorEastAsia"/>
          <w:sz w:val="24"/>
          <w:szCs w:val="24"/>
        </w:rPr>
        <w:t>甲方</w:t>
      </w:r>
      <w:r>
        <w:rPr>
          <w:rFonts w:asciiTheme="minorEastAsia" w:hAnsiTheme="minorEastAsia" w:eastAsiaTheme="minorEastAsia"/>
          <w:sz w:val="24"/>
          <w:szCs w:val="24"/>
        </w:rPr>
        <w:t>要求成立项目组，项目组必须专业配备齐全，具备丰富经验，各专业能独挡一面，项目负责人具备注册环评工程师资质，项目负责人在项目实施过程中未经甲方同意不得更改。项目组前往项目现场时必要严格遵守</w:t>
      </w:r>
      <w:r>
        <w:rPr>
          <w:rFonts w:hint="eastAsia" w:asciiTheme="minorEastAsia" w:hAnsiTheme="minorEastAsia" w:eastAsiaTheme="minorEastAsia"/>
          <w:sz w:val="24"/>
          <w:szCs w:val="24"/>
        </w:rPr>
        <w:t>甲方</w:t>
      </w:r>
      <w:r>
        <w:rPr>
          <w:rFonts w:asciiTheme="minorEastAsia" w:hAnsiTheme="minorEastAsia" w:eastAsiaTheme="minorEastAsia"/>
          <w:sz w:val="24"/>
          <w:szCs w:val="24"/>
        </w:rPr>
        <w:t>现场安全管理规定并佩戴好劳保用品（安全帽、反光衣等，</w:t>
      </w:r>
      <w:r>
        <w:rPr>
          <w:rFonts w:hint="eastAsia" w:asciiTheme="minorEastAsia" w:hAnsiTheme="minorEastAsia" w:eastAsiaTheme="minorEastAsia"/>
          <w:sz w:val="24"/>
          <w:szCs w:val="24"/>
        </w:rPr>
        <w:t>乙方</w:t>
      </w:r>
      <w:r>
        <w:rPr>
          <w:rFonts w:asciiTheme="minorEastAsia" w:hAnsiTheme="minorEastAsia" w:eastAsiaTheme="minorEastAsia"/>
          <w:sz w:val="24"/>
          <w:szCs w:val="24"/>
        </w:rPr>
        <w:t>自备）。</w:t>
      </w:r>
    </w:p>
    <w:p w14:paraId="73EDD371">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3.2</w:t>
      </w:r>
      <w:r>
        <w:rPr>
          <w:rFonts w:hint="eastAsia" w:asciiTheme="minorEastAsia" w:hAnsiTheme="minorEastAsia" w:eastAsiaTheme="minorEastAsia"/>
          <w:sz w:val="24"/>
          <w:szCs w:val="24"/>
        </w:rPr>
        <w:t>乙方</w:t>
      </w:r>
      <w:r>
        <w:rPr>
          <w:rFonts w:asciiTheme="minorEastAsia" w:hAnsiTheme="minorEastAsia" w:eastAsiaTheme="minorEastAsia"/>
          <w:sz w:val="24"/>
          <w:szCs w:val="24"/>
        </w:rPr>
        <w:t>必须根据服务内容制订监测方案，并根据监测方案要求进行采样和监测分析，最终提交有效、完整、质量合格且盖有CMA的监测报告。</w:t>
      </w:r>
    </w:p>
    <w:p w14:paraId="57539A85">
      <w:pPr>
        <w:spacing w:line="560" w:lineRule="exact"/>
        <w:ind w:firstLine="480"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第三条</w:t>
      </w:r>
      <w:r>
        <w:rPr>
          <w:rFonts w:asciiTheme="minorEastAsia" w:hAnsiTheme="minorEastAsia" w:eastAsiaTheme="minorEastAsia"/>
          <w:b/>
          <w:sz w:val="24"/>
          <w:szCs w:val="24"/>
        </w:rPr>
        <w:t xml:space="preserve"> 双方确定以下标准和方式对乙方提交的技术服务工作成果进行验收</w:t>
      </w:r>
    </w:p>
    <w:p w14:paraId="6E0C95AF">
      <w:pPr>
        <w:pStyle w:val="26"/>
        <w:ind w:firstLine="480"/>
      </w:pPr>
      <w:r>
        <w:rPr>
          <w:rFonts w:hint="eastAsia" w:asciiTheme="minorEastAsia" w:hAnsiTheme="minorEastAsia" w:eastAsiaTheme="minorEastAsia"/>
        </w:rPr>
        <w:t>成果形式：</w:t>
      </w:r>
      <w:r>
        <w:rPr>
          <w:rFonts w:hint="eastAsia"/>
        </w:rPr>
        <w:t>编制《东莞市海心沙资源综合利用中心绿色工业服务项目（改扩建）竣工环保验收监测报告》并通过专家评审；根据专家意见完善《东莞市海心沙资源综合利用中心绿色工业服务项目（改扩建）竣工环保验收报告》。</w:t>
      </w:r>
    </w:p>
    <w:p w14:paraId="668D6DEC">
      <w:pPr>
        <w:pStyle w:val="26"/>
        <w:ind w:firstLine="480"/>
        <w:jc w:val="both"/>
        <w:rPr>
          <w:rFonts w:hint="eastAsia"/>
        </w:rPr>
      </w:pPr>
      <w:r>
        <w:rPr>
          <w:rFonts w:hint="eastAsia" w:asciiTheme="minorEastAsia" w:hAnsiTheme="minorEastAsia" w:eastAsiaTheme="minorEastAsia"/>
        </w:rPr>
        <w:t>验收标准：</w:t>
      </w:r>
      <w:r>
        <w:rPr>
          <w:rFonts w:hint="eastAsia"/>
        </w:rPr>
        <w:t>中标人需保证提交的《东莞市海心沙资源综合利用中心绿色工业服务项目（改扩建）竣工环保验收报告》符合国家及地方有关法律、法规、标准与规范、企业实际。</w:t>
      </w:r>
    </w:p>
    <w:p w14:paraId="25D1E6F4">
      <w:pPr>
        <w:pStyle w:val="26"/>
        <w:ind w:firstLine="480"/>
        <w:jc w:val="both"/>
        <w:rPr>
          <w:rFonts w:asciiTheme="minorEastAsia" w:hAnsiTheme="minorEastAsia" w:eastAsiaTheme="minorEastAsia"/>
        </w:rPr>
      </w:pPr>
      <w:r>
        <w:rPr>
          <w:rFonts w:hint="eastAsia"/>
        </w:rPr>
        <w:t>验收报告纸质文件提供给采购人一式五份及原文件电子资料一套。</w:t>
      </w:r>
    </w:p>
    <w:p w14:paraId="26B291A1">
      <w:pPr>
        <w:spacing w:line="560" w:lineRule="exact"/>
        <w:ind w:firstLine="480"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第四条</w:t>
      </w:r>
      <w:r>
        <w:rPr>
          <w:rFonts w:asciiTheme="minorEastAsia" w:hAnsiTheme="minorEastAsia" w:eastAsiaTheme="minorEastAsia"/>
          <w:b/>
          <w:sz w:val="24"/>
          <w:szCs w:val="24"/>
        </w:rPr>
        <w:t xml:space="preserve"> 甲方的权利和义务</w:t>
      </w:r>
    </w:p>
    <w:p w14:paraId="0E66B2AB">
      <w:pPr>
        <w:spacing w:line="560" w:lineRule="exact"/>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w:t>
      </w:r>
      <w:r>
        <w:rPr>
          <w:rFonts w:asciiTheme="minorEastAsia" w:hAnsiTheme="minorEastAsia" w:eastAsiaTheme="minorEastAsia"/>
          <w:sz w:val="24"/>
          <w:szCs w:val="24"/>
        </w:rPr>
        <w:t>提供</w:t>
      </w:r>
      <w:r>
        <w:rPr>
          <w:rFonts w:hint="eastAsia" w:asciiTheme="minorEastAsia" w:hAnsiTheme="minorEastAsia" w:eastAsiaTheme="minorEastAsia"/>
          <w:sz w:val="24"/>
          <w:szCs w:val="24"/>
        </w:rPr>
        <w:t>完成《</w:t>
      </w:r>
      <w:r>
        <w:rPr>
          <w:rFonts w:hint="eastAsia"/>
        </w:rPr>
        <w:t>东莞市海心沙资源综合利用中心绿色工业服务项目（改扩建）竣工环保验收监测报告</w:t>
      </w:r>
      <w:r>
        <w:rPr>
          <w:rFonts w:hint="eastAsia" w:asciiTheme="minorEastAsia" w:hAnsiTheme="minorEastAsia" w:eastAsiaTheme="minorEastAsia"/>
          <w:sz w:val="24"/>
          <w:szCs w:val="24"/>
          <w:u w:val="single"/>
        </w:rPr>
        <w:t>》</w:t>
      </w:r>
      <w:r>
        <w:rPr>
          <w:rFonts w:hint="eastAsia" w:asciiTheme="minorEastAsia" w:hAnsiTheme="minorEastAsia" w:eastAsiaTheme="minorEastAsia"/>
          <w:sz w:val="24"/>
          <w:szCs w:val="24"/>
        </w:rPr>
        <w:t>及取得该项目环保验收审核通过凭证工作</w:t>
      </w:r>
      <w:r>
        <w:rPr>
          <w:rFonts w:asciiTheme="minorEastAsia" w:hAnsiTheme="minorEastAsia" w:eastAsiaTheme="minorEastAsia"/>
          <w:sz w:val="24"/>
          <w:szCs w:val="24"/>
        </w:rPr>
        <w:t>所需的信息、资料或检品。</w:t>
      </w:r>
    </w:p>
    <w:p w14:paraId="2D5B8BEB">
      <w:pPr>
        <w:spacing w:line="560" w:lineRule="exact"/>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w:t>
      </w:r>
      <w:r>
        <w:rPr>
          <w:rFonts w:asciiTheme="minorEastAsia" w:hAnsiTheme="minorEastAsia" w:eastAsiaTheme="minorEastAsia"/>
          <w:sz w:val="24"/>
          <w:szCs w:val="24"/>
        </w:rPr>
        <w:t>按期验收乙方的技术服务成果，并按合同约定支付报酬。</w:t>
      </w:r>
    </w:p>
    <w:p w14:paraId="04C9ADCA">
      <w:pPr>
        <w:spacing w:line="560" w:lineRule="exact"/>
        <w:ind w:firstLine="480" w:firstLineChars="200"/>
        <w:rPr>
          <w:rFonts w:asciiTheme="minorEastAsia" w:hAnsiTheme="minorEastAsia" w:eastAsiaTheme="minorEastAsia"/>
          <w:b/>
          <w:sz w:val="24"/>
          <w:szCs w:val="24"/>
        </w:rPr>
      </w:pPr>
      <w:r>
        <w:rPr>
          <w:rFonts w:hint="eastAsia" w:asciiTheme="minorEastAsia" w:hAnsiTheme="minorEastAsia" w:eastAsiaTheme="minorEastAsia"/>
          <w:sz w:val="24"/>
          <w:szCs w:val="24"/>
        </w:rPr>
        <w:t>3</w:t>
      </w:r>
      <w:r>
        <w:rPr>
          <w:rFonts w:asciiTheme="minorEastAsia" w:hAnsiTheme="minorEastAsia" w:eastAsiaTheme="minorEastAsia"/>
          <w:sz w:val="24"/>
          <w:szCs w:val="24"/>
        </w:rPr>
        <w:t>.</w:t>
      </w:r>
      <w:r>
        <w:rPr>
          <w:rFonts w:hint="eastAsia" w:asciiTheme="minorEastAsia" w:hAnsiTheme="minorEastAsia" w:eastAsiaTheme="minorEastAsia"/>
          <w:sz w:val="24"/>
          <w:szCs w:val="24"/>
        </w:rPr>
        <w:t>如乙方须到甲方项目现场进行采样、监测或调查等，乙方自负费用，但甲方应为乙方提供必要的工作条件</w:t>
      </w:r>
      <w:r>
        <w:rPr>
          <w:rFonts w:asciiTheme="minorEastAsia" w:hAnsiTheme="minorEastAsia" w:eastAsiaTheme="minorEastAsia"/>
          <w:sz w:val="24"/>
          <w:szCs w:val="24"/>
        </w:rPr>
        <w:t>。</w:t>
      </w:r>
    </w:p>
    <w:p w14:paraId="675CADEF">
      <w:pPr>
        <w:spacing w:line="560" w:lineRule="exact"/>
        <w:ind w:firstLine="480"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第五条</w:t>
      </w:r>
      <w:r>
        <w:rPr>
          <w:rFonts w:asciiTheme="minorEastAsia" w:hAnsiTheme="minorEastAsia" w:eastAsiaTheme="minorEastAsia"/>
          <w:b/>
          <w:sz w:val="24"/>
          <w:szCs w:val="24"/>
        </w:rPr>
        <w:t xml:space="preserve"> 乙方的权利和义务</w:t>
      </w:r>
    </w:p>
    <w:p w14:paraId="2B36B5A6">
      <w:pPr>
        <w:spacing w:line="560" w:lineRule="exact"/>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w:t>
      </w:r>
      <w:r>
        <w:rPr>
          <w:rFonts w:asciiTheme="minorEastAsia" w:hAnsiTheme="minorEastAsia" w:eastAsiaTheme="minorEastAsia"/>
          <w:sz w:val="24"/>
          <w:szCs w:val="24"/>
        </w:rPr>
        <w:t>按照合同约定的期限完成服务内容。</w:t>
      </w:r>
    </w:p>
    <w:p w14:paraId="5BE60ECF">
      <w:pPr>
        <w:spacing w:line="560" w:lineRule="exact"/>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w:t>
      </w:r>
      <w:r>
        <w:rPr>
          <w:rFonts w:asciiTheme="minorEastAsia" w:hAnsiTheme="minorEastAsia" w:eastAsiaTheme="minorEastAsia"/>
          <w:sz w:val="24"/>
          <w:szCs w:val="24"/>
        </w:rPr>
        <w:t>按照团体标准制定流程，协助甲方参与标准的编制工作，保障技术服务成果文件达到技术服务条件验收的需求。</w:t>
      </w:r>
    </w:p>
    <w:p w14:paraId="720A1AA6">
      <w:pPr>
        <w:spacing w:line="560" w:lineRule="exact"/>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w:t>
      </w:r>
      <w:r>
        <w:rPr>
          <w:rFonts w:asciiTheme="minorEastAsia" w:hAnsiTheme="minorEastAsia" w:eastAsiaTheme="minorEastAsia"/>
          <w:sz w:val="24"/>
          <w:szCs w:val="24"/>
        </w:rPr>
        <w:t>为保证乙方有效进行技术指导服务工作，乙方有权按照约定要求甲方给予支持和协助，并根据合同约定收取服务报酬。</w:t>
      </w:r>
    </w:p>
    <w:p w14:paraId="0625350C">
      <w:pPr>
        <w:spacing w:line="56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w:t>
      </w:r>
      <w:r>
        <w:rPr>
          <w:rFonts w:asciiTheme="minorEastAsia" w:hAnsiTheme="minorEastAsia" w:eastAsiaTheme="minorEastAsia"/>
          <w:sz w:val="24"/>
          <w:szCs w:val="24"/>
        </w:rPr>
        <w:t>未经甲方书面同意，乙方不得将本项目分包或转包给本协议以外的第三方</w:t>
      </w:r>
      <w:r>
        <w:rPr>
          <w:rFonts w:hint="eastAsia" w:asciiTheme="minorEastAsia" w:hAnsiTheme="minorEastAsia" w:eastAsiaTheme="minorEastAsia"/>
          <w:sz w:val="24"/>
          <w:szCs w:val="24"/>
        </w:rPr>
        <w:t>。</w:t>
      </w:r>
    </w:p>
    <w:p w14:paraId="001FBD35">
      <w:pPr>
        <w:spacing w:line="560" w:lineRule="exact"/>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.乙</w:t>
      </w:r>
      <w:r>
        <w:rPr>
          <w:rFonts w:asciiTheme="minorEastAsia" w:hAnsiTheme="minorEastAsia" w:eastAsiaTheme="minorEastAsia"/>
          <w:sz w:val="24"/>
          <w:szCs w:val="24"/>
        </w:rPr>
        <w:t>方保证遵守国家法律、法规和规章制度，确保检测工作符合国家标准、规范。按国家标准、规范进行符合性声明，声明符合性判定时不考虑测量不确定度的影响。</w:t>
      </w:r>
    </w:p>
    <w:p w14:paraId="7F6496C6">
      <w:pPr>
        <w:spacing w:line="560" w:lineRule="exact"/>
        <w:ind w:firstLine="480"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第六条 资料保密</w:t>
      </w:r>
    </w:p>
    <w:p w14:paraId="4CF32829">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本合同签订之日起至乙方取得甲方书面同意止，乙方必须采取措施对本项目实施过程中的数据、技术文档、成果等资料保密，否则，乙方导致上述资料泄密的，乙方必须承担一切责任，乙方应向甲方支付本合同总费用2</w:t>
      </w:r>
      <w:r>
        <w:rPr>
          <w:rFonts w:asciiTheme="minorEastAsia" w:hAnsiTheme="minorEastAsia" w:eastAsiaTheme="minorEastAsia"/>
          <w:sz w:val="24"/>
          <w:szCs w:val="24"/>
        </w:rPr>
        <w:t>0%</w:t>
      </w:r>
      <w:r>
        <w:rPr>
          <w:rFonts w:hint="eastAsia" w:asciiTheme="minorEastAsia" w:hAnsiTheme="minorEastAsia" w:eastAsiaTheme="minorEastAsia"/>
          <w:sz w:val="24"/>
          <w:szCs w:val="24"/>
        </w:rPr>
        <w:t>的违约金，且应当赔偿甲方的一切损失。本合同第六条约定，不因合同终止而免除乙方的保密责任，项目完成后，乙方仍有责任对本项目的技术保密承担责任。</w:t>
      </w:r>
    </w:p>
    <w:p w14:paraId="18FDEBBB">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1.未经甲方事先书面同意，乙方不得将由甲方为本合同提供的条文、规格、计划、图纸、模型、样品或资料提供给与本合同无关的任何第三方，不得将其用于履行本合同之外的其它用途</w:t>
      </w:r>
      <w:r>
        <w:rPr>
          <w:rFonts w:hint="eastAsia" w:asciiTheme="minorEastAsia" w:hAnsiTheme="minorEastAsia" w:eastAsiaTheme="minorEastAsia"/>
          <w:sz w:val="24"/>
          <w:szCs w:val="24"/>
        </w:rPr>
        <w:t>；未经甲方事先书面同意，乙方不得将在履行本合同中取得的数据、技术文档、成果等资料提供给与本合同无关的任何第三方。</w:t>
      </w:r>
      <w:r>
        <w:rPr>
          <w:rFonts w:asciiTheme="minorEastAsia" w:hAnsiTheme="minorEastAsia" w:eastAsiaTheme="minorEastAsia"/>
          <w:sz w:val="24"/>
          <w:szCs w:val="24"/>
        </w:rPr>
        <w:t>即使向与履行本合同有关的人员提供，也应注意保密并限于履行本合同所必需的范围。</w:t>
      </w:r>
    </w:p>
    <w:p w14:paraId="247F8023">
      <w:pPr>
        <w:spacing w:line="360" w:lineRule="auto"/>
        <w:ind w:firstLine="480" w:firstLineChars="200"/>
        <w:rPr>
          <w:rFonts w:asciiTheme="minorEastAsia" w:hAnsiTheme="minorEastAsia" w:eastAsiaTheme="minorEastAsia"/>
          <w:b/>
          <w:sz w:val="24"/>
          <w:szCs w:val="24"/>
        </w:rPr>
      </w:pPr>
      <w:r>
        <w:rPr>
          <w:rFonts w:asciiTheme="minorEastAsia" w:hAnsiTheme="minorEastAsia" w:eastAsiaTheme="minorEastAsia"/>
          <w:sz w:val="24"/>
          <w:szCs w:val="24"/>
        </w:rPr>
        <w:t>2.除了合同本身之外，上款所列举的任何物件均是甲方的财产。乙方应当在完成合同后将这些物件及全部复制件还给甲方，甲方同意由乙方持有的除外。</w:t>
      </w:r>
    </w:p>
    <w:p w14:paraId="434FEC0A">
      <w:pPr>
        <w:spacing w:line="360" w:lineRule="auto"/>
        <w:ind w:firstLine="480"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第七条</w:t>
      </w:r>
      <w:r>
        <w:rPr>
          <w:rFonts w:asciiTheme="minorEastAsia" w:hAnsiTheme="minorEastAsia" w:eastAsiaTheme="minorEastAsia"/>
          <w:b/>
          <w:sz w:val="24"/>
          <w:szCs w:val="24"/>
        </w:rPr>
        <w:t xml:space="preserve"> 技术服务报酬及支付方式</w:t>
      </w:r>
    </w:p>
    <w:p w14:paraId="1C47A6F4">
      <w:pPr>
        <w:spacing w:line="360" w:lineRule="auto"/>
        <w:ind w:firstLine="480" w:firstLineChars="200"/>
        <w:rPr>
          <w:rFonts w:asciiTheme="minorEastAsia" w:hAnsiTheme="minorEastAsia" w:eastAsiaTheme="minorEastAsia"/>
          <w:b/>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w:t>
      </w:r>
      <w:r>
        <w:rPr>
          <w:rFonts w:asciiTheme="minorEastAsia" w:hAnsiTheme="minorEastAsia" w:eastAsiaTheme="minorEastAsia"/>
          <w:sz w:val="24"/>
          <w:szCs w:val="24"/>
        </w:rPr>
        <w:t>技术服务费总额为：</w:t>
      </w:r>
      <w:r>
        <w:rPr>
          <w:rFonts w:asciiTheme="minorEastAsia" w:hAnsiTheme="minorEastAsia" w:eastAsiaTheme="minorEastAsia"/>
          <w:sz w:val="24"/>
          <w:szCs w:val="24"/>
          <w:u w:val="single"/>
        </w:rPr>
        <w:t>大写人民币</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圆整（小写：￥      元</w:t>
      </w:r>
      <w:r>
        <w:rPr>
          <w:rFonts w:asciiTheme="minorEastAsia" w:hAnsiTheme="minorEastAsia" w:eastAsiaTheme="minorEastAsia"/>
          <w:sz w:val="24"/>
          <w:szCs w:val="24"/>
        </w:rPr>
        <w:t>）。</w:t>
      </w:r>
      <w:r>
        <w:rPr>
          <w:rFonts w:hint="eastAsia" w:asciiTheme="minorEastAsia" w:hAnsiTheme="minorEastAsia" w:eastAsiaTheme="minorEastAsia"/>
          <w:sz w:val="24"/>
          <w:szCs w:val="24"/>
        </w:rPr>
        <w:t>其中：增值税税率为</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asciiTheme="minorEastAsia" w:hAnsiTheme="minorEastAsia" w:eastAsiaTheme="minorEastAsia"/>
          <w:sz w:val="24"/>
          <w:szCs w:val="24"/>
        </w:rPr>
        <w:t>，税金为</w:t>
      </w:r>
      <w:r>
        <w:rPr>
          <w:rFonts w:asciiTheme="minorEastAsia" w:hAnsiTheme="minorEastAsia" w:eastAsiaTheme="minorEastAsia"/>
          <w:sz w:val="24"/>
          <w:szCs w:val="24"/>
          <w:u w:val="single"/>
        </w:rPr>
        <w:t xml:space="preserve">¥      </w:t>
      </w:r>
      <w:r>
        <w:rPr>
          <w:rFonts w:asciiTheme="minorEastAsia" w:hAnsiTheme="minorEastAsia" w:eastAsiaTheme="minorEastAsia"/>
          <w:sz w:val="24"/>
          <w:szCs w:val="24"/>
        </w:rPr>
        <w:t>元，不含税总额</w:t>
      </w:r>
      <w:r>
        <w:rPr>
          <w:rFonts w:asciiTheme="minorEastAsia" w:hAnsiTheme="minorEastAsia" w:eastAsiaTheme="minorEastAsia"/>
          <w:sz w:val="24"/>
          <w:szCs w:val="24"/>
          <w:u w:val="single"/>
        </w:rPr>
        <w:t>为¥       元</w:t>
      </w:r>
      <w:r>
        <w:rPr>
          <w:rFonts w:asciiTheme="minorEastAsia" w:hAnsiTheme="minorEastAsia" w:eastAsiaTheme="minorEastAsia"/>
          <w:sz w:val="24"/>
          <w:szCs w:val="24"/>
        </w:rPr>
        <w:t>。</w:t>
      </w:r>
      <w:r>
        <w:rPr>
          <w:rFonts w:hint="eastAsia" w:asciiTheme="minorEastAsia" w:hAnsiTheme="minorEastAsia" w:eastAsiaTheme="minorEastAsia"/>
          <w:sz w:val="24"/>
          <w:szCs w:val="24"/>
        </w:rPr>
        <w:t>如遇国家调整税率，不含税合同款不予调整，税金按调整后税率及相关细则执行。</w:t>
      </w:r>
    </w:p>
    <w:p w14:paraId="15B31115">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本项目报价</w:t>
      </w:r>
      <w:r>
        <w:rPr>
          <w:rFonts w:hint="eastAsia" w:asciiTheme="minorEastAsia" w:hAnsiTheme="minorEastAsia" w:eastAsiaTheme="minorEastAsia"/>
          <w:sz w:val="24"/>
          <w:szCs w:val="24"/>
        </w:rPr>
        <w:t>包括但不限于现场调查、资料收集与分析费用；申请表、申请书等相关材料编制费用；专家评审费用（包括内审费用和外审费用）；自主办公费（办公耗材、照明、水、通讯）、印刷费、交通费、税费等项目一切为满足项目实施可能产生的费用，除甲方变更论证范围、主要工程方案、采用新的评价标准或因为甲方原因导致需复测外，可协商调整监测价款；由于乙方的监测报告不能达到专家评审会的要求，需部分返工的，最终结算时不做调整，但甲方有权就乙方需要返工部分追究其违约责任。</w:t>
      </w:r>
      <w:r>
        <w:rPr>
          <w:rFonts w:asciiTheme="minorEastAsia" w:hAnsiTheme="minorEastAsia" w:eastAsiaTheme="minorEastAsia"/>
          <w:sz w:val="24"/>
          <w:szCs w:val="24"/>
        </w:rPr>
        <w:t>各项子项目费用详见附件《报价清单》。</w:t>
      </w:r>
    </w:p>
    <w:p w14:paraId="3385A8F1">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w:t>
      </w:r>
      <w:r>
        <w:rPr>
          <w:rFonts w:asciiTheme="minorEastAsia" w:hAnsiTheme="minorEastAsia" w:eastAsiaTheme="minorEastAsia"/>
          <w:sz w:val="24"/>
          <w:szCs w:val="24"/>
        </w:rPr>
        <w:t>支付方式</w:t>
      </w:r>
    </w:p>
    <w:p w14:paraId="0ABBBC2A">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（一）合同签订完成后，乙方提交有效的增值税专用发票和请款资料，甲方在收到上述有效资料的</w:t>
      </w:r>
      <w:r>
        <w:rPr>
          <w:rFonts w:asciiTheme="minorEastAsia" w:hAnsiTheme="minorEastAsia" w:eastAsiaTheme="minorEastAsia"/>
          <w:sz w:val="24"/>
          <w:szCs w:val="24"/>
        </w:rPr>
        <w:t>30个日历日内支付至合同款20%。</w:t>
      </w:r>
    </w:p>
    <w:p w14:paraId="5A55188B">
      <w:pPr>
        <w:spacing w:line="36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（二）</w:t>
      </w:r>
      <w:r>
        <w:rPr>
          <w:rFonts w:hint="eastAsia" w:asciiTheme="minorEastAsia" w:hAnsiTheme="minorEastAsia"/>
          <w:sz w:val="24"/>
          <w:szCs w:val="24"/>
          <w:lang w:eastAsia="zh-CN"/>
        </w:rPr>
        <w:t>乙方</w:t>
      </w:r>
      <w:r>
        <w:rPr>
          <w:rFonts w:hint="eastAsia" w:asciiTheme="minorEastAsia" w:hAnsiTheme="minorEastAsia" w:eastAsiaTheme="minorEastAsia"/>
          <w:sz w:val="24"/>
          <w:szCs w:val="24"/>
        </w:rPr>
        <w:t>完成竣工环保验收监测工作，通过专家评审会，</w:t>
      </w:r>
      <w:r>
        <w:rPr>
          <w:rFonts w:hint="eastAsia" w:asciiTheme="minorEastAsia" w:hAnsiTheme="minorEastAsia"/>
          <w:sz w:val="24"/>
          <w:szCs w:val="24"/>
          <w:lang w:eastAsia="zh-CN"/>
        </w:rPr>
        <w:t>乙方</w:t>
      </w:r>
      <w:r>
        <w:rPr>
          <w:rFonts w:hint="eastAsia" w:asciiTheme="minorEastAsia" w:hAnsiTheme="minorEastAsia" w:eastAsiaTheme="minorEastAsia"/>
          <w:sz w:val="24"/>
          <w:szCs w:val="24"/>
        </w:rPr>
        <w:t>根据专家意见完善验收报告，且协助</w:t>
      </w:r>
      <w:r>
        <w:rPr>
          <w:rFonts w:hint="eastAsia" w:asciiTheme="minorEastAsia" w:hAnsiTheme="minorEastAsia"/>
          <w:sz w:val="24"/>
          <w:szCs w:val="24"/>
          <w:lang w:eastAsia="zh-CN"/>
        </w:rPr>
        <w:t>甲方</w:t>
      </w:r>
      <w:r>
        <w:rPr>
          <w:rFonts w:hint="eastAsia" w:asciiTheme="minorEastAsia" w:hAnsiTheme="minorEastAsia" w:eastAsiaTheme="minorEastAsia"/>
          <w:sz w:val="24"/>
          <w:szCs w:val="24"/>
        </w:rPr>
        <w:t>完成项目环保竣工验收公开、登记相关信息并建立档案工作后，</w:t>
      </w:r>
      <w:r>
        <w:rPr>
          <w:rFonts w:hint="eastAsia" w:asciiTheme="minorEastAsia" w:hAnsiTheme="minorEastAsia"/>
          <w:sz w:val="24"/>
          <w:szCs w:val="24"/>
          <w:lang w:eastAsia="zh-CN"/>
        </w:rPr>
        <w:t>乙方</w:t>
      </w:r>
      <w:r>
        <w:rPr>
          <w:rFonts w:hint="eastAsia" w:asciiTheme="minorEastAsia" w:hAnsiTheme="minorEastAsia" w:eastAsiaTheme="minorEastAsia"/>
          <w:sz w:val="24"/>
          <w:szCs w:val="24"/>
        </w:rPr>
        <w:t>提供增值税专用发票，</w:t>
      </w:r>
      <w:r>
        <w:rPr>
          <w:rFonts w:hint="eastAsia" w:asciiTheme="minorEastAsia" w:hAnsiTheme="minorEastAsia"/>
          <w:sz w:val="24"/>
          <w:szCs w:val="24"/>
          <w:lang w:val="en-US" w:eastAsia="zh-CN"/>
        </w:rPr>
        <w:t>甲方</w:t>
      </w:r>
      <w:r>
        <w:rPr>
          <w:rFonts w:hint="eastAsia" w:asciiTheme="minorEastAsia" w:hAnsiTheme="minorEastAsia" w:eastAsiaTheme="minorEastAsia"/>
          <w:sz w:val="24"/>
          <w:szCs w:val="24"/>
        </w:rPr>
        <w:t>在收到上述有效资料的30个日历日内向</w:t>
      </w:r>
      <w:r>
        <w:rPr>
          <w:rFonts w:hint="eastAsia" w:asciiTheme="minorEastAsia" w:hAnsiTheme="minorEastAsia"/>
          <w:sz w:val="24"/>
          <w:szCs w:val="24"/>
          <w:lang w:eastAsia="zh-CN"/>
        </w:rPr>
        <w:t>乙方</w:t>
      </w:r>
      <w:r>
        <w:rPr>
          <w:rFonts w:hint="eastAsia" w:asciiTheme="minorEastAsia" w:hAnsiTheme="minorEastAsia" w:eastAsiaTheme="minorEastAsia"/>
          <w:sz w:val="24"/>
          <w:szCs w:val="24"/>
        </w:rPr>
        <w:t>支付至合同总额的100%。</w:t>
      </w:r>
    </w:p>
    <w:p w14:paraId="04671C68">
      <w:pPr>
        <w:spacing w:line="360" w:lineRule="auto"/>
        <w:ind w:firstLine="480" w:firstLineChars="20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乙方请款前需向甲方提供请款材料和开具合法有效等额的增值税专用发票，否则甲方有权拒绝付款。</w:t>
      </w:r>
    </w:p>
    <w:p w14:paraId="0F310950">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3.履约保证金：</w:t>
      </w:r>
      <w:r>
        <w:rPr>
          <w:rFonts w:hint="eastAsia" w:asciiTheme="minorEastAsia" w:hAnsiTheme="minorEastAsia" w:eastAsiaTheme="minorEastAsia"/>
          <w:sz w:val="24"/>
          <w:szCs w:val="24"/>
        </w:rPr>
        <w:t>乙方已缴纳的报价保证金在签订合同后转为履约保证金，</w:t>
      </w:r>
    </w:p>
    <w:p w14:paraId="08501A7C">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履约保证金作为乙方在履约过程中违约金或罚款的扣罚来源之一，履约保证金返还申请时间为</w:t>
      </w:r>
      <w:r>
        <w:rPr>
          <w:rFonts w:hint="eastAsia" w:asciiTheme="minorEastAsia" w:hAnsiTheme="minorEastAsia" w:eastAsiaTheme="minorEastAsia"/>
          <w:sz w:val="24"/>
          <w:szCs w:val="24"/>
        </w:rPr>
        <w:t>甲方拿到</w:t>
      </w:r>
      <w:r>
        <w:rPr>
          <w:rFonts w:hint="eastAsia" w:asciiTheme="minorEastAsia" w:hAnsiTheme="minorEastAsia"/>
          <w:sz w:val="24"/>
          <w:szCs w:val="24"/>
          <w:lang w:eastAsia="zh-CN"/>
        </w:rPr>
        <w:t>东莞市海心沙资源综合利用中心优化调整（一期）项目竣工环保验</w:t>
      </w:r>
      <w:r>
        <w:rPr>
          <w:rFonts w:hint="eastAsia" w:asciiTheme="minorEastAsia" w:hAnsiTheme="minorEastAsia" w:eastAsiaTheme="minorEastAsia"/>
          <w:sz w:val="24"/>
          <w:szCs w:val="24"/>
        </w:rPr>
        <w:t>环保验收报告及取得相关部门备案审批之日，</w:t>
      </w:r>
      <w:r>
        <w:rPr>
          <w:rFonts w:asciiTheme="minorEastAsia" w:hAnsiTheme="minorEastAsia" w:eastAsiaTheme="minorEastAsia"/>
          <w:sz w:val="24"/>
          <w:szCs w:val="24"/>
        </w:rPr>
        <w:t>乙方在没有任何违约的情况下提交退款申请，收到乙方申请后30个日历日内，甲方一次性无息退回。</w:t>
      </w:r>
      <w:r>
        <w:rPr>
          <w:rFonts w:hint="eastAsia" w:asciiTheme="minorEastAsia" w:hAnsiTheme="minorEastAsia" w:eastAsiaTheme="minorEastAsia"/>
          <w:sz w:val="24"/>
          <w:szCs w:val="24"/>
        </w:rPr>
        <w:t>若本合同因乙方责任导致合同无效、提前终止或解除，或乙方存在违约情形的，甲方均有权没收履约保证金（或向银行申请索赔，乙方不得以任何理由要求甲方退回相关款项）。</w:t>
      </w:r>
    </w:p>
    <w:p w14:paraId="395B2EF3">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w:t>
      </w:r>
      <w:r>
        <w:rPr>
          <w:rFonts w:asciiTheme="minorEastAsia" w:hAnsiTheme="minorEastAsia" w:eastAsiaTheme="minorEastAsia"/>
          <w:sz w:val="24"/>
          <w:szCs w:val="24"/>
        </w:rPr>
        <w:t>.乙方收款账户信息：</w:t>
      </w:r>
    </w:p>
    <w:p w14:paraId="05005EFE">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开户名称： </w:t>
      </w:r>
      <w:r>
        <w:rPr>
          <w:rFonts w:asciiTheme="minorEastAsia" w:hAnsiTheme="minorEastAsia" w:eastAsiaTheme="minorEastAsia"/>
          <w:sz w:val="24"/>
          <w:szCs w:val="24"/>
        </w:rPr>
        <w:t xml:space="preserve">          </w:t>
      </w:r>
    </w:p>
    <w:p w14:paraId="196CD4CB">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地</w:t>
      </w:r>
      <w:r>
        <w:rPr>
          <w:rFonts w:asciiTheme="minorEastAsia" w:hAnsiTheme="minorEastAsia" w:eastAsiaTheme="minorEastAsia"/>
          <w:sz w:val="24"/>
          <w:szCs w:val="24"/>
        </w:rPr>
        <w:t xml:space="preserve">    址：</w:t>
      </w: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 xml:space="preserve"> </w:t>
      </w:r>
    </w:p>
    <w:p w14:paraId="6E9BEC00">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账</w:t>
      </w:r>
      <w:r>
        <w:rPr>
          <w:rFonts w:asciiTheme="minorEastAsia" w:hAnsiTheme="minorEastAsia" w:eastAsiaTheme="minorEastAsia"/>
          <w:sz w:val="24"/>
          <w:szCs w:val="24"/>
        </w:rPr>
        <w:t xml:space="preserve">    号：                      </w:t>
      </w:r>
    </w:p>
    <w:p w14:paraId="568E31D1">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开户银行： </w:t>
      </w:r>
      <w:r>
        <w:rPr>
          <w:rFonts w:asciiTheme="minorEastAsia" w:hAnsiTheme="minorEastAsia" w:eastAsiaTheme="minorEastAsia"/>
          <w:sz w:val="24"/>
          <w:szCs w:val="24"/>
        </w:rPr>
        <w:t xml:space="preserve">                   </w:t>
      </w:r>
    </w:p>
    <w:p w14:paraId="58D72F35">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因乙方提供的收款账户信息错误或乙方擅自变更收款账户信息而未及时书面通知甲方，导致甲方付款迟延的，甲方无需承担迟延付款责任。</w:t>
      </w:r>
    </w:p>
    <w:p w14:paraId="73D91BAA">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5</w:t>
      </w:r>
      <w:r>
        <w:rPr>
          <w:rFonts w:asciiTheme="minorEastAsia" w:hAnsiTheme="minorEastAsia" w:eastAsiaTheme="minorEastAsia"/>
          <w:sz w:val="24"/>
          <w:szCs w:val="24"/>
        </w:rPr>
        <w:t>.</w:t>
      </w:r>
      <w:r>
        <w:rPr>
          <w:rFonts w:hint="eastAsia" w:asciiTheme="minorEastAsia" w:hAnsiTheme="minorEastAsia" w:eastAsiaTheme="minorEastAsia"/>
          <w:sz w:val="24"/>
          <w:szCs w:val="24"/>
        </w:rPr>
        <w:t>对本合同没有约定的项目内容，只有双方签订的补充协议才能作为最终</w:t>
      </w:r>
      <w:r>
        <w:rPr>
          <w:rFonts w:asciiTheme="minorEastAsia" w:hAnsiTheme="minorEastAsia" w:eastAsiaTheme="minorEastAsia"/>
          <w:sz w:val="24"/>
          <w:szCs w:val="24"/>
        </w:rPr>
        <w:t>款项支付</w:t>
      </w:r>
      <w:r>
        <w:rPr>
          <w:rFonts w:hint="eastAsia" w:asciiTheme="minorEastAsia" w:hAnsiTheme="minorEastAsia" w:eastAsiaTheme="minorEastAsia"/>
          <w:sz w:val="24"/>
          <w:szCs w:val="24"/>
        </w:rPr>
        <w:t>依据，除补充协议外的任何文件（如备忘录、会议纪要等）均不得作为最终款项支付的依据。</w:t>
      </w:r>
    </w:p>
    <w:p w14:paraId="45A8CEB6">
      <w:pPr>
        <w:spacing w:line="360" w:lineRule="auto"/>
        <w:ind w:firstLine="480"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第八条</w:t>
      </w:r>
      <w:r>
        <w:rPr>
          <w:rFonts w:asciiTheme="minorEastAsia" w:hAnsiTheme="minorEastAsia" w:eastAsiaTheme="minorEastAsia"/>
          <w:b/>
          <w:sz w:val="24"/>
          <w:szCs w:val="24"/>
        </w:rPr>
        <w:t xml:space="preserve"> 工作成果归属：</w:t>
      </w:r>
    </w:p>
    <w:p w14:paraId="2AC46260">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1．甲方利用乙方提交的技术服务工作成果所</w:t>
      </w:r>
      <w:r>
        <w:rPr>
          <w:rFonts w:hint="eastAsia" w:asciiTheme="minorEastAsia" w:hAnsiTheme="minorEastAsia" w:eastAsiaTheme="minorEastAsia"/>
          <w:sz w:val="24"/>
          <w:szCs w:val="24"/>
        </w:rPr>
        <w:t>完成的新的技术成果，归</w:t>
      </w:r>
      <w:r>
        <w:rPr>
          <w:rFonts w:asciiTheme="minorEastAsia" w:hAnsiTheme="minorEastAsia" w:eastAsiaTheme="minorEastAsia"/>
          <w:sz w:val="24"/>
          <w:szCs w:val="24"/>
        </w:rPr>
        <w:t xml:space="preserve"> </w:t>
      </w:r>
      <w:bookmarkStart w:id="45" w:name="OLE_LINK1"/>
      <w:bookmarkStart w:id="46" w:name="OLE_LINK2"/>
      <w:r>
        <w:rPr>
          <w:rFonts w:hint="eastAsia" w:asciiTheme="minorEastAsia" w:hAnsiTheme="minorEastAsia" w:eastAsiaTheme="minorEastAsia"/>
          <w:sz w:val="24"/>
          <w:szCs w:val="24"/>
          <w:u w:val="single"/>
        </w:rPr>
        <w:t>【 甲</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w:t>
      </w:r>
      <w:bookmarkEnd w:id="45"/>
      <w:bookmarkEnd w:id="46"/>
      <w:r>
        <w:rPr>
          <w:rFonts w:asciiTheme="minorEastAsia" w:hAnsiTheme="minorEastAsia" w:eastAsiaTheme="minorEastAsia"/>
          <w:sz w:val="24"/>
          <w:szCs w:val="24"/>
        </w:rPr>
        <w:t>（甲、双）方所有。</w:t>
      </w:r>
    </w:p>
    <w:p w14:paraId="77C09F09">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2．乙方利用甲方提供的技术资料和工作条件</w:t>
      </w:r>
      <w:r>
        <w:rPr>
          <w:rFonts w:hint="eastAsia" w:asciiTheme="minorEastAsia" w:hAnsiTheme="minorEastAsia" w:eastAsiaTheme="minorEastAsia"/>
          <w:sz w:val="24"/>
          <w:szCs w:val="24"/>
        </w:rPr>
        <w:t>所完成的新的技术成果，归</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甲</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w:t>
      </w:r>
      <w:r>
        <w:rPr>
          <w:rFonts w:asciiTheme="minorEastAsia" w:hAnsiTheme="minorEastAsia" w:eastAsiaTheme="minorEastAsia"/>
          <w:sz w:val="24"/>
          <w:szCs w:val="24"/>
        </w:rPr>
        <w:t>（</w:t>
      </w:r>
      <w:r>
        <w:rPr>
          <w:rFonts w:hint="eastAsia" w:asciiTheme="minorEastAsia" w:hAnsiTheme="minorEastAsia" w:eastAsiaTheme="minorEastAsia"/>
          <w:sz w:val="24"/>
          <w:szCs w:val="24"/>
        </w:rPr>
        <w:t>甲、</w:t>
      </w:r>
      <w:r>
        <w:rPr>
          <w:rFonts w:asciiTheme="minorEastAsia" w:hAnsiTheme="minorEastAsia" w:eastAsiaTheme="minorEastAsia"/>
          <w:sz w:val="24"/>
          <w:szCs w:val="24"/>
        </w:rPr>
        <w:t>乙、双）方所有。</w:t>
      </w:r>
    </w:p>
    <w:p w14:paraId="7DB0BF49">
      <w:pPr>
        <w:spacing w:line="360" w:lineRule="auto"/>
        <w:ind w:firstLine="480"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第九条</w:t>
      </w:r>
      <w:r>
        <w:rPr>
          <w:rFonts w:asciiTheme="minorEastAsia" w:hAnsiTheme="minorEastAsia" w:eastAsiaTheme="minorEastAsia"/>
          <w:b/>
          <w:sz w:val="24"/>
          <w:szCs w:val="24"/>
        </w:rPr>
        <w:t xml:space="preserve"> 违约责任</w:t>
      </w:r>
    </w:p>
    <w:p w14:paraId="480B27D6">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违反本合同约定，违约方应当按《中华人民共和国民法典》有关规定，承担违约责任。</w:t>
      </w:r>
    </w:p>
    <w:p w14:paraId="684EC6B9">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．甲方应按本合同规定的金额和时间向乙方支付合同价款，</w:t>
      </w:r>
      <w:r>
        <w:rPr>
          <w:rFonts w:hint="eastAsia" w:asciiTheme="minorEastAsia" w:hAnsiTheme="minorEastAsia"/>
          <w:sz w:val="24"/>
          <w:szCs w:val="24"/>
          <w:lang w:val="en-US" w:eastAsia="zh-CN"/>
        </w:rPr>
        <w:t>若甲方逾期付款</w:t>
      </w:r>
      <w:r>
        <w:rPr>
          <w:rFonts w:hint="eastAsia" w:ascii="宋体" w:hAnsi="宋体"/>
          <w:color w:val="auto"/>
          <w:sz w:val="24"/>
          <w:szCs w:val="24"/>
          <w:highlight w:val="none"/>
          <w:lang w:val="en-US" w:eastAsia="zh-CN"/>
        </w:rPr>
        <w:t>且经乙方书面催告后仍未支付，</w:t>
      </w:r>
      <w:r>
        <w:rPr>
          <w:rFonts w:hint="eastAsia" w:asciiTheme="minorEastAsia" w:hAnsiTheme="minorEastAsia" w:eastAsiaTheme="minorEastAsia"/>
          <w:sz w:val="24"/>
          <w:szCs w:val="24"/>
        </w:rPr>
        <w:t>每逾期一天，应承担应付未付金额</w:t>
      </w:r>
      <w:r>
        <w:rPr>
          <w:rFonts w:asciiTheme="minorEastAsia" w:hAnsiTheme="minorEastAsia" w:eastAsiaTheme="minorEastAsia"/>
          <w:sz w:val="24"/>
          <w:szCs w:val="24"/>
          <w:u w:val="single"/>
        </w:rPr>
        <w:t xml:space="preserve">   1  </w:t>
      </w:r>
      <w:r>
        <w:rPr>
          <w:rFonts w:hint="eastAsia" w:asciiTheme="minorEastAsia" w:hAnsiTheme="minorEastAsia" w:eastAsiaTheme="minorEastAsia"/>
          <w:sz w:val="24"/>
          <w:szCs w:val="24"/>
          <w:u w:val="single"/>
        </w:rPr>
        <w:t>‰</w:t>
      </w:r>
      <w:r>
        <w:rPr>
          <w:rFonts w:hint="eastAsia" w:asciiTheme="minorEastAsia" w:hAnsiTheme="minorEastAsia" w:eastAsiaTheme="minorEastAsia"/>
          <w:sz w:val="24"/>
          <w:szCs w:val="24"/>
        </w:rPr>
        <w:t>的逾期违约金，违约金总额最高不超过本合同总额的10%。</w:t>
      </w:r>
    </w:p>
    <w:p w14:paraId="63E47BF3">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．乙方必须按本合同第二条的工期及成果要求完成各项任务，如果因乙方原因造成工期延误</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 xml:space="preserve">逾期十五日内，每逾期一日，应按合同总额的 </w:t>
      </w:r>
      <w:r>
        <w:rPr>
          <w:rFonts w:asciiTheme="minorEastAsia" w:hAnsiTheme="minorEastAsia" w:eastAsiaTheme="minorEastAsia"/>
          <w:sz w:val="24"/>
          <w:szCs w:val="24"/>
          <w:u w:val="single"/>
        </w:rPr>
        <w:t xml:space="preserve">  1  </w:t>
      </w:r>
      <w:r>
        <w:rPr>
          <w:rFonts w:hint="eastAsia" w:asciiTheme="minorEastAsia" w:hAnsiTheme="minorEastAsia" w:eastAsiaTheme="minorEastAsia"/>
          <w:sz w:val="24"/>
          <w:szCs w:val="24"/>
        </w:rPr>
        <w:t>％向甲方支付违约金及赔偿甲方损失；逾期超过十五日甲方有权单方解除本合同，乙方除支付逾期违约金外，还应按合同总价款的</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30 </w:t>
      </w:r>
      <w:r>
        <w:rPr>
          <w:rFonts w:hint="eastAsia" w:asciiTheme="minorEastAsia" w:hAnsiTheme="minorEastAsia" w:eastAsiaTheme="minorEastAsia"/>
          <w:sz w:val="24"/>
          <w:szCs w:val="24"/>
        </w:rPr>
        <w:t>％向甲方支付违约金，并赔偿甲方损失。如果因甲方原因造成工期延误，工期顺延，甲方无需承担其他责任。</w:t>
      </w:r>
    </w:p>
    <w:p w14:paraId="77BDD823">
      <w:pPr>
        <w:spacing w:line="360" w:lineRule="auto"/>
        <w:ind w:firstLine="480" w:firstLineChars="200"/>
        <w:rPr>
          <w:rFonts w:hint="eastAsia" w:asciiTheme="minorEastAsia" w:hAnsiTheme="minorEastAsia" w:eastAsiaTheme="minorEastAsia"/>
          <w:sz w:val="24"/>
          <w:szCs w:val="24"/>
          <w:u w:val="single"/>
        </w:rPr>
      </w:pPr>
      <w:r>
        <w:rPr>
          <w:rFonts w:asciiTheme="minorEastAsia" w:hAnsiTheme="minorEastAsia" w:eastAsiaTheme="minorEastAsia"/>
          <w:sz w:val="24"/>
          <w:szCs w:val="24"/>
        </w:rPr>
        <w:t>3.</w:t>
      </w:r>
      <w:r>
        <w:rPr>
          <w:rFonts w:ascii="宋体" w:hAnsi="宋体"/>
          <w:sz w:val="24"/>
          <w:szCs w:val="24"/>
        </w:rPr>
        <w:t>乙方出具的</w:t>
      </w:r>
      <w:r>
        <w:rPr>
          <w:rFonts w:hint="eastAsia"/>
        </w:rPr>
        <w:t>东莞市海心沙资源综合利用中心绿色工业服务项目（改扩建）竣工环保验收监测报告</w:t>
      </w:r>
      <w:r>
        <w:rPr>
          <w:rFonts w:hint="eastAsia" w:asciiTheme="minorEastAsia" w:hAnsiTheme="minorEastAsia" w:eastAsiaTheme="minorEastAsia"/>
          <w:sz w:val="24"/>
          <w:szCs w:val="24"/>
          <w:u w:val="single"/>
        </w:rPr>
        <w:t>或取得的项目环保验收审核通过凭证</w:t>
      </w:r>
      <w:r>
        <w:rPr>
          <w:rFonts w:asciiTheme="minorEastAsia" w:hAnsiTheme="minorEastAsia" w:eastAsiaTheme="minorEastAsia"/>
          <w:sz w:val="24"/>
          <w:szCs w:val="24"/>
        </w:rPr>
        <w:t>不符合本合同约定标准的，应按甲方要求复测、重测并重新出具</w:t>
      </w:r>
      <w:r>
        <w:rPr>
          <w:rFonts w:hint="eastAsia"/>
        </w:rPr>
        <w:t>东莞市海心沙资源综合利用中心绿色工业服务项目（改扩建）竣工环保验收监测报告</w:t>
      </w:r>
      <w:r>
        <w:rPr>
          <w:rFonts w:asciiTheme="minorEastAsia" w:hAnsiTheme="minorEastAsia" w:eastAsiaTheme="minorEastAsia"/>
          <w:sz w:val="24"/>
          <w:szCs w:val="24"/>
        </w:rPr>
        <w:t>，因此导致检测期间逾期的，按本条第2款承担相应违约责任。</w:t>
      </w:r>
      <w:r>
        <w:rPr>
          <w:rFonts w:hint="eastAsia" w:asciiTheme="minorEastAsia" w:hAnsiTheme="minorEastAsia" w:eastAsiaTheme="minorEastAsia"/>
          <w:sz w:val="24"/>
          <w:szCs w:val="24"/>
        </w:rPr>
        <w:t>经整改后乙方出具的</w:t>
      </w:r>
      <w:r>
        <w:rPr>
          <w:rFonts w:hint="eastAsia" w:asciiTheme="minorEastAsia" w:hAnsiTheme="minorEastAsia" w:eastAsiaTheme="minorEastAsia"/>
          <w:sz w:val="24"/>
          <w:szCs w:val="24"/>
          <w:u w:val="single"/>
        </w:rPr>
        <w:t xml:space="preserve"> </w:t>
      </w:r>
      <w:r>
        <w:rPr>
          <w:rFonts w:hint="eastAsia"/>
        </w:rPr>
        <w:t>东莞市海心沙资源综合利用中心绿色工业服务项目（改扩建）竣工环保验收监测报告</w:t>
      </w:r>
      <w:r>
        <w:rPr>
          <w:rFonts w:hint="eastAsia" w:asciiTheme="minorEastAsia" w:hAnsiTheme="minorEastAsia" w:eastAsiaTheme="minorEastAsia"/>
          <w:sz w:val="24"/>
          <w:szCs w:val="24"/>
          <w:u w:val="single"/>
        </w:rPr>
        <w:t>或取得的取得的项目环保验收审核通过凭证仍不符合约定标准的，甲方有权解除合同，乙方应向甲方退回全部款项，且乙方应按合同总价款之30%向甲方支付违约金及赔偿甲方损失。</w:t>
      </w:r>
    </w:p>
    <w:p w14:paraId="21CD7107">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u w:val="single"/>
        </w:rPr>
        <w:t>4．因乙方导致《</w:t>
      </w:r>
      <w:r>
        <w:rPr>
          <w:rFonts w:hint="eastAsia"/>
        </w:rPr>
        <w:t>东莞市海心沙资源综合利用中心绿色工业服务项目（改扩建）竣工环保验收监测报告</w:t>
      </w:r>
      <w:r>
        <w:rPr>
          <w:rFonts w:hint="eastAsia" w:asciiTheme="minorEastAsia" w:hAnsiTheme="minorEastAsia" w:eastAsiaTheme="minorEastAsia"/>
          <w:sz w:val="24"/>
          <w:szCs w:val="24"/>
          <w:u w:val="single"/>
        </w:rPr>
        <w:t>》或取得的项目环保验收审核登记失败，无法</w:t>
      </w:r>
      <w:r>
        <w:rPr>
          <w:rFonts w:hint="eastAsia" w:asciiTheme="minorEastAsia" w:hAnsiTheme="minorEastAsia" w:eastAsiaTheme="minorEastAsia"/>
          <w:sz w:val="24"/>
          <w:szCs w:val="24"/>
        </w:rPr>
        <w:t>通过甲方组织的验收</w:t>
      </w:r>
      <w:r>
        <w:rPr>
          <w:rFonts w:asciiTheme="minorEastAsia" w:hAnsiTheme="minorEastAsia" w:eastAsiaTheme="minorEastAsia"/>
          <w:sz w:val="24"/>
          <w:szCs w:val="24"/>
        </w:rPr>
        <w:t>,</w:t>
      </w:r>
      <w:r>
        <w:rPr>
          <w:rFonts w:hint="eastAsia" w:asciiTheme="minorEastAsia" w:hAnsiTheme="minorEastAsia" w:eastAsiaTheme="minorEastAsia"/>
          <w:sz w:val="24"/>
          <w:szCs w:val="24"/>
        </w:rPr>
        <w:t>甲方有权不支付相应报酬</w:t>
      </w:r>
      <w:r>
        <w:rPr>
          <w:rFonts w:hint="eastAsia" w:asciiTheme="minorEastAsia" w:hAnsiTheme="minorEastAsia"/>
          <w:sz w:val="24"/>
          <w:szCs w:val="24"/>
          <w:lang w:eastAsia="zh-CN"/>
        </w:rPr>
        <w:t>、</w:t>
      </w:r>
      <w:r>
        <w:rPr>
          <w:rFonts w:hint="eastAsia" w:asciiTheme="minorEastAsia" w:hAnsiTheme="minorEastAsia"/>
          <w:sz w:val="24"/>
          <w:szCs w:val="24"/>
          <w:lang w:val="en-US" w:eastAsia="zh-CN"/>
        </w:rPr>
        <w:t>甲方已支付款项有权要求乙方全额退还，</w:t>
      </w:r>
      <w:r>
        <w:rPr>
          <w:rFonts w:hint="eastAsia" w:asciiTheme="minorEastAsia" w:hAnsiTheme="minorEastAsia" w:eastAsiaTheme="minorEastAsia"/>
          <w:sz w:val="24"/>
          <w:szCs w:val="24"/>
        </w:rPr>
        <w:t>并没收乙方履约保证金，因此造成的损失有权向乙方索赔。</w:t>
      </w:r>
    </w:p>
    <w:p w14:paraId="5EEE2964">
      <w:pPr>
        <w:spacing w:line="360" w:lineRule="auto"/>
        <w:ind w:firstLine="480"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第十条 争端的解决</w:t>
      </w:r>
    </w:p>
    <w:p w14:paraId="4ACC4C37">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合同执行过程中发生的任何争议，如双方不能通过友好协商解决，提交甲方所在地法院诉讼解决。</w:t>
      </w:r>
    </w:p>
    <w:p w14:paraId="74697D49">
      <w:pPr>
        <w:spacing w:line="360" w:lineRule="auto"/>
        <w:ind w:firstLine="480"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第十一条 不可抗力</w:t>
      </w:r>
    </w:p>
    <w:p w14:paraId="0DD53F50">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任何一方由于不可抗力原因不能履行合同时，应在不可抗力事件结束后</w:t>
      </w:r>
      <w:r>
        <w:rPr>
          <w:rFonts w:asciiTheme="minorEastAsia" w:hAnsiTheme="minorEastAsia" w:eastAsiaTheme="minorEastAsia"/>
          <w:sz w:val="24"/>
          <w:szCs w:val="24"/>
        </w:rPr>
        <w:t>1个日历日内向对方通报，以减轻可能给对方造成的损失，在取得有关机构的不可抗力证明或双方谅解确认后，允许延期履行或修订合同，并根据情况可部分或全部免于承担违约责任。</w:t>
      </w:r>
    </w:p>
    <w:p w14:paraId="06B8D072">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b/>
          <w:sz w:val="24"/>
          <w:szCs w:val="24"/>
        </w:rPr>
        <w:t xml:space="preserve">十二条 </w:t>
      </w:r>
      <w:r>
        <w:rPr>
          <w:rFonts w:asciiTheme="minorEastAsia" w:hAnsiTheme="minorEastAsia" w:eastAsiaTheme="minorEastAsia"/>
          <w:b/>
          <w:sz w:val="24"/>
          <w:szCs w:val="24"/>
        </w:rPr>
        <w:t>合同终止与事后义务</w:t>
      </w:r>
    </w:p>
    <w:p w14:paraId="24805E65">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当</w:t>
      </w:r>
      <w:r>
        <w:rPr>
          <w:rFonts w:hint="eastAsia" w:asciiTheme="minorEastAsia" w:hAnsiTheme="minorEastAsia" w:eastAsiaTheme="minorEastAsia"/>
          <w:sz w:val="24"/>
          <w:szCs w:val="24"/>
        </w:rPr>
        <w:t>甲、</w:t>
      </w:r>
      <w:r>
        <w:rPr>
          <w:rFonts w:asciiTheme="minorEastAsia" w:hAnsiTheme="minorEastAsia" w:eastAsiaTheme="minorEastAsia"/>
          <w:sz w:val="24"/>
          <w:szCs w:val="24"/>
        </w:rPr>
        <w:t>乙</w:t>
      </w:r>
      <w:r>
        <w:rPr>
          <w:rFonts w:hint="eastAsia" w:asciiTheme="minorEastAsia" w:hAnsiTheme="minorEastAsia" w:eastAsiaTheme="minorEastAsia"/>
          <w:sz w:val="24"/>
          <w:szCs w:val="24"/>
        </w:rPr>
        <w:t>双</w:t>
      </w:r>
      <w:r>
        <w:rPr>
          <w:rFonts w:asciiTheme="minorEastAsia" w:hAnsiTheme="minorEastAsia" w:eastAsiaTheme="minorEastAsia"/>
          <w:sz w:val="24"/>
          <w:szCs w:val="24"/>
        </w:rPr>
        <w:t>方</w:t>
      </w:r>
      <w:r>
        <w:rPr>
          <w:rFonts w:hint="eastAsia" w:asciiTheme="minorEastAsia" w:hAnsiTheme="minorEastAsia" w:eastAsiaTheme="minorEastAsia"/>
          <w:sz w:val="24"/>
          <w:szCs w:val="24"/>
        </w:rPr>
        <w:t>完成本项目所有权利义务后</w:t>
      </w:r>
      <w:r>
        <w:rPr>
          <w:rFonts w:asciiTheme="minorEastAsia" w:hAnsiTheme="minorEastAsia" w:eastAsiaTheme="minorEastAsia"/>
          <w:sz w:val="24"/>
          <w:szCs w:val="24"/>
        </w:rPr>
        <w:t>，本合同自行终止。事后双方应保持良好沟通、主动配合行政主管部门的监督检查和回头看工作。</w:t>
      </w:r>
    </w:p>
    <w:p w14:paraId="73DF4DA9">
      <w:pPr>
        <w:spacing w:line="360" w:lineRule="auto"/>
        <w:ind w:firstLine="480"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 xml:space="preserve">十三条 </w:t>
      </w:r>
      <w:r>
        <w:rPr>
          <w:rFonts w:asciiTheme="minorEastAsia" w:hAnsiTheme="minorEastAsia" w:eastAsiaTheme="minorEastAsia"/>
          <w:b/>
          <w:sz w:val="24"/>
          <w:szCs w:val="24"/>
        </w:rPr>
        <w:t>其它</w:t>
      </w:r>
    </w:p>
    <w:p w14:paraId="2662FA56">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1.本合同所有附件、采购文件、报价文件、结果确认函均为本合同的有效组成部分，与本合同具有同等法律效力。</w:t>
      </w:r>
    </w:p>
    <w:p w14:paraId="5271C683">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2.在执行本合同的过程中，所有经双方签署确认的文件（包括会议纪要、补充协议、往来信函）即成为本合同的有效组成部分。</w:t>
      </w:r>
    </w:p>
    <w:p w14:paraId="525321F0">
      <w:pPr>
        <w:numPr>
          <w:ilvl w:val="0"/>
          <w:numId w:val="0"/>
        </w:numPr>
        <w:spacing w:line="24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宋体" w:hAnsi="宋体" w:eastAsia="宋体" w:cs="Times New Roman"/>
          <w:color w:val="auto"/>
          <w:sz w:val="24"/>
          <w:szCs w:val="24"/>
          <w:highlight w:val="none"/>
        </w:rPr>
        <w:t>双方在本合同首部上所填写的地址为送达地址</w:t>
      </w:r>
      <w:r>
        <w:rPr>
          <w:rFonts w:hint="eastAsia" w:ascii="宋体" w:hAnsi="宋体" w:eastAsia="宋体" w:cs="Times New Roman"/>
          <w:color w:val="auto"/>
          <w:sz w:val="24"/>
          <w:szCs w:val="24"/>
          <w:highlight w:val="none"/>
          <w:lang w:eastAsia="zh-CN"/>
        </w:rPr>
        <w:t>，</w:t>
      </w:r>
      <w:r>
        <w:rPr>
          <w:rFonts w:asciiTheme="minorEastAsia" w:hAnsiTheme="minorEastAsia" w:eastAsiaTheme="minorEastAsia"/>
          <w:sz w:val="24"/>
          <w:szCs w:val="24"/>
        </w:rPr>
        <w:t>如一方地址、电话、传真号码有变更，应在变更当日内书面通知对方，否则，应承担相应责任。</w:t>
      </w:r>
      <w:r>
        <w:rPr>
          <w:rFonts w:hint="eastAsia" w:ascii="宋体" w:hAnsi="宋体" w:eastAsia="宋体" w:cs="Times New Roman"/>
          <w:color w:val="auto"/>
          <w:sz w:val="24"/>
          <w:szCs w:val="24"/>
          <w:highlight w:val="none"/>
        </w:rPr>
        <w:t>一方在收到该变更的书面通知前已发出的文件仍视为有效送达。双方通过诉讼</w:t>
      </w:r>
      <w:r>
        <w:rPr>
          <w:rFonts w:hint="eastAsia" w:ascii="宋体" w:hAnsi="宋体" w:eastAsia="宋体" w:cs="Times New Roman"/>
          <w:color w:val="auto"/>
          <w:sz w:val="24"/>
          <w:szCs w:val="24"/>
          <w:highlight w:val="none"/>
          <w:lang w:val="en-US" w:eastAsia="zh-CN"/>
        </w:rPr>
        <w:t>途径</w:t>
      </w:r>
      <w:r>
        <w:rPr>
          <w:rFonts w:hint="eastAsia" w:ascii="宋体" w:hAnsi="宋体" w:eastAsia="宋体" w:cs="Times New Roman"/>
          <w:color w:val="auto"/>
          <w:sz w:val="24"/>
          <w:szCs w:val="24"/>
          <w:highlight w:val="none"/>
        </w:rPr>
        <w:t>解决纷争时人民法院的诉讼文书亦可以按本合同约定地址送达。</w:t>
      </w:r>
    </w:p>
    <w:p w14:paraId="68F2E8A0">
      <w:pPr>
        <w:spacing w:line="360" w:lineRule="auto"/>
        <w:ind w:firstLine="480"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 xml:space="preserve">第十四条 </w:t>
      </w:r>
      <w:r>
        <w:rPr>
          <w:rFonts w:asciiTheme="minorEastAsia" w:hAnsiTheme="minorEastAsia" w:eastAsiaTheme="minorEastAsia"/>
          <w:b/>
          <w:sz w:val="24"/>
          <w:szCs w:val="24"/>
        </w:rPr>
        <w:t>合同生效</w:t>
      </w:r>
    </w:p>
    <w:p w14:paraId="5D256112">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1.本合同在甲乙双方盖章之日及法定代表人或委托代理人签署之日起生效。</w:t>
      </w:r>
    </w:p>
    <w:p w14:paraId="7D1FFC74">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2.本合同一式陆份，甲方肆份，乙方贰份, 具有同等法律效力。</w:t>
      </w:r>
    </w:p>
    <w:p w14:paraId="61C97752">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3.本合同附件：</w:t>
      </w:r>
    </w:p>
    <w:p w14:paraId="7A3619FB">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附件</w:t>
      </w:r>
      <w:r>
        <w:rPr>
          <w:rFonts w:asciiTheme="minorEastAsia" w:hAnsiTheme="minorEastAsia" w:eastAsiaTheme="minorEastAsia"/>
          <w:sz w:val="24"/>
          <w:szCs w:val="24"/>
        </w:rPr>
        <w:t>1：</w:t>
      </w:r>
      <w:r>
        <w:rPr>
          <w:rFonts w:hint="eastAsia" w:asciiTheme="minorEastAsia" w:hAnsiTheme="minorEastAsia" w:eastAsiaTheme="minorEastAsia"/>
          <w:sz w:val="24"/>
          <w:szCs w:val="24"/>
        </w:rPr>
        <w:t>《报价清单》</w:t>
      </w:r>
    </w:p>
    <w:p w14:paraId="47A08195">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附件</w:t>
      </w:r>
      <w:r>
        <w:rPr>
          <w:rFonts w:asciiTheme="minorEastAsia" w:hAnsiTheme="minorEastAsia" w:eastAsiaTheme="minorEastAsia"/>
          <w:sz w:val="24"/>
          <w:szCs w:val="24"/>
        </w:rPr>
        <w:t>2：《阳光合作协议》</w:t>
      </w:r>
    </w:p>
    <w:p w14:paraId="38674CD6">
      <w:pPr>
        <w:spacing w:line="360" w:lineRule="auto"/>
        <w:rPr>
          <w:rFonts w:asciiTheme="minorEastAsia" w:hAnsiTheme="minorEastAsia" w:eastAsiaTheme="minorEastAsia"/>
          <w:sz w:val="24"/>
          <w:szCs w:val="24"/>
        </w:rPr>
      </w:pPr>
    </w:p>
    <w:p w14:paraId="01811AFF">
      <w:pPr>
        <w:spacing w:line="360" w:lineRule="auto"/>
        <w:rPr>
          <w:rFonts w:asciiTheme="minorEastAsia" w:hAnsiTheme="minorEastAsia" w:eastAsiaTheme="minorEastAsia"/>
          <w:sz w:val="24"/>
          <w:szCs w:val="24"/>
        </w:rPr>
      </w:pPr>
    </w:p>
    <w:p w14:paraId="694135E7">
      <w:pPr>
        <w:spacing w:line="360" w:lineRule="auto"/>
        <w:rPr>
          <w:rFonts w:asciiTheme="minorEastAsia" w:hAnsiTheme="minorEastAsia" w:eastAsiaTheme="minorEastAsia"/>
          <w:sz w:val="24"/>
          <w:szCs w:val="24"/>
        </w:rPr>
      </w:pPr>
    </w:p>
    <w:p w14:paraId="3E718E33">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（以下无正文）</w:t>
      </w:r>
    </w:p>
    <w:p w14:paraId="1F5CF7BC">
      <w:pPr>
        <w:spacing w:line="360" w:lineRule="auto"/>
        <w:rPr>
          <w:rFonts w:asciiTheme="minorEastAsia" w:hAnsiTheme="minorEastAsia" w:eastAsiaTheme="minorEastAsia"/>
          <w:sz w:val="24"/>
          <w:szCs w:val="24"/>
        </w:rPr>
      </w:pPr>
    </w:p>
    <w:p w14:paraId="3B919E0B">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 xml:space="preserve">  甲方（盖章）：                     乙方（盖章）：</w:t>
      </w:r>
    </w:p>
    <w:p w14:paraId="45986176">
      <w:pPr>
        <w:spacing w:line="360" w:lineRule="auto"/>
        <w:rPr>
          <w:rFonts w:asciiTheme="minorEastAsia" w:hAnsiTheme="minorEastAsia" w:eastAsiaTheme="minorEastAsia"/>
          <w:sz w:val="24"/>
          <w:szCs w:val="24"/>
        </w:rPr>
      </w:pPr>
    </w:p>
    <w:p w14:paraId="25D13D3C">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法定代表人（签章）：</w:t>
      </w:r>
      <w:r>
        <w:rPr>
          <w:rFonts w:asciiTheme="minorEastAsia" w:hAnsiTheme="minorEastAsia" w:eastAsiaTheme="minorEastAsia"/>
          <w:sz w:val="24"/>
          <w:szCs w:val="24"/>
        </w:rPr>
        <w:t xml:space="preserve">                 法定代表人（签章）：</w:t>
      </w:r>
    </w:p>
    <w:p w14:paraId="4D9609D0">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或授权代表人（签字）：</w:t>
      </w:r>
      <w:r>
        <w:rPr>
          <w:rFonts w:asciiTheme="minorEastAsia" w:hAnsiTheme="minorEastAsia" w:eastAsiaTheme="minorEastAsia"/>
          <w:sz w:val="24"/>
          <w:szCs w:val="24"/>
        </w:rPr>
        <w:t xml:space="preserve">               或授权代表人（签字）：</w:t>
      </w:r>
    </w:p>
    <w:p w14:paraId="11A2C2CD">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 xml:space="preserve">                                 </w:t>
      </w:r>
    </w:p>
    <w:p w14:paraId="5D515E84">
      <w:pPr>
        <w:spacing w:line="360" w:lineRule="auto"/>
        <w:ind w:right="96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签约地点：东莞市</w:t>
      </w:r>
    </w:p>
    <w:p w14:paraId="419EB7AF">
      <w:pPr>
        <w:spacing w:line="360" w:lineRule="auto"/>
        <w:ind w:right="96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 xml:space="preserve">签订时间： </w:t>
      </w:r>
      <w:r>
        <w:rPr>
          <w:rFonts w:asciiTheme="minorEastAsia" w:hAnsiTheme="minorEastAsia" w:eastAsiaTheme="minorEastAsia"/>
          <w:sz w:val="24"/>
          <w:szCs w:val="24"/>
        </w:rPr>
        <w:t>年  月  日</w:t>
      </w:r>
    </w:p>
    <w:p w14:paraId="3D438A70">
      <w:pPr>
        <w:widowControl/>
        <w:jc w:val="left"/>
        <w:rPr>
          <w:rFonts w:asciiTheme="minorEastAsia" w:hAnsiTheme="minorEastAsia" w:eastAsiaTheme="minorEastAsia"/>
          <w:sz w:val="24"/>
          <w:szCs w:val="24"/>
        </w:rPr>
      </w:pPr>
      <w:r>
        <w:rPr>
          <w:rFonts w:asciiTheme="minorEastAsia" w:hAnsiTheme="minorEastAsia" w:eastAsiaTheme="minorEastAsia"/>
          <w:sz w:val="24"/>
          <w:szCs w:val="24"/>
        </w:rPr>
        <w:br w:type="page"/>
      </w:r>
    </w:p>
    <w:p w14:paraId="4EE0D264">
      <w:pPr>
        <w:spacing w:line="480" w:lineRule="exact"/>
        <w:jc w:val="left"/>
        <w:rPr>
          <w:rFonts w:ascii="仿宋" w:hAnsi="仿宋" w:eastAsia="仿宋"/>
          <w:b/>
          <w:color w:val="000000"/>
          <w:sz w:val="30"/>
          <w:szCs w:val="30"/>
        </w:rPr>
      </w:pPr>
      <w:r>
        <w:rPr>
          <w:rFonts w:hint="eastAsia" w:ascii="仿宋" w:hAnsi="仿宋" w:eastAsia="仿宋"/>
          <w:b/>
          <w:color w:val="000000"/>
          <w:sz w:val="30"/>
          <w:szCs w:val="30"/>
        </w:rPr>
        <w:t>附件1：《报价清单》</w:t>
      </w:r>
    </w:p>
    <w:p w14:paraId="0725F2D3">
      <w:pPr>
        <w:spacing w:line="480" w:lineRule="exact"/>
        <w:jc w:val="left"/>
        <w:rPr>
          <w:rFonts w:ascii="仿宋" w:hAnsi="仿宋" w:eastAsia="仿宋"/>
          <w:b/>
          <w:color w:val="000000"/>
          <w:sz w:val="30"/>
          <w:szCs w:val="30"/>
        </w:rPr>
      </w:pPr>
      <w:r>
        <w:rPr>
          <w:rFonts w:hint="eastAsia" w:ascii="仿宋" w:hAnsi="仿宋" w:eastAsia="仿宋"/>
          <w:b/>
          <w:color w:val="000000"/>
          <w:sz w:val="30"/>
          <w:szCs w:val="30"/>
        </w:rPr>
        <w:t>附件2：</w:t>
      </w:r>
    </w:p>
    <w:p w14:paraId="1F10C989">
      <w:pPr>
        <w:spacing w:line="480" w:lineRule="exact"/>
        <w:jc w:val="center"/>
        <w:rPr>
          <w:rFonts w:ascii="仿宋" w:hAnsi="仿宋" w:eastAsia="仿宋"/>
          <w:b/>
          <w:color w:val="000000"/>
          <w:sz w:val="30"/>
          <w:szCs w:val="30"/>
        </w:rPr>
      </w:pPr>
    </w:p>
    <w:p w14:paraId="1EC798D0">
      <w:pPr>
        <w:spacing w:line="480" w:lineRule="exact"/>
        <w:jc w:val="center"/>
        <w:rPr>
          <w:rFonts w:ascii="仿宋" w:hAnsi="仿宋" w:eastAsia="仿宋"/>
          <w:b/>
          <w:color w:val="000000"/>
          <w:sz w:val="30"/>
          <w:szCs w:val="30"/>
        </w:rPr>
      </w:pPr>
      <w:r>
        <w:rPr>
          <w:rFonts w:ascii="仿宋" w:hAnsi="仿宋" w:eastAsia="仿宋"/>
          <w:b/>
          <w:color w:val="000000"/>
          <w:sz w:val="30"/>
          <w:szCs w:val="30"/>
        </w:rPr>
        <w:t>阳光合作协议</w:t>
      </w:r>
    </w:p>
    <w:p w14:paraId="55CB759D">
      <w:pPr>
        <w:spacing w:line="480" w:lineRule="exact"/>
        <w:jc w:val="center"/>
        <w:rPr>
          <w:rFonts w:ascii="仿宋" w:hAnsi="仿宋" w:eastAsia="仿宋"/>
          <w:b/>
          <w:color w:val="000000"/>
          <w:sz w:val="24"/>
          <w:szCs w:val="24"/>
        </w:rPr>
      </w:pPr>
    </w:p>
    <w:p w14:paraId="190CA122">
      <w:pPr>
        <w:spacing w:before="156" w:beforeLines="50" w:after="156" w:afterLines="50" w:line="360" w:lineRule="auto"/>
        <w:ind w:firstLine="420" w:firstLineChars="200"/>
        <w:contextualSpacing/>
        <w:rPr>
          <w:rFonts w:ascii="宋体" w:hAnsi="宋体"/>
        </w:rPr>
      </w:pPr>
      <w:r>
        <w:rPr>
          <w:rFonts w:ascii="宋体" w:hAnsi="宋体"/>
        </w:rPr>
        <w:t>甲方（采购方全称）：东莞市新东欣环保投资有限公司</w:t>
      </w:r>
    </w:p>
    <w:p w14:paraId="63E1A9B4">
      <w:pPr>
        <w:spacing w:before="156" w:beforeLines="50" w:after="156" w:afterLines="50" w:line="360" w:lineRule="auto"/>
        <w:ind w:firstLine="420" w:firstLineChars="200"/>
        <w:contextualSpacing/>
        <w:rPr>
          <w:rFonts w:ascii="宋体" w:hAnsi="宋体"/>
        </w:rPr>
      </w:pPr>
      <w:r>
        <w:rPr>
          <w:rFonts w:ascii="宋体" w:hAnsi="宋体"/>
        </w:rPr>
        <w:t xml:space="preserve">乙方（供应方全称）： </w:t>
      </w:r>
    </w:p>
    <w:p w14:paraId="74B5DEE6">
      <w:pPr>
        <w:spacing w:before="156" w:beforeLines="50" w:after="156" w:afterLines="50" w:line="360" w:lineRule="auto"/>
        <w:ind w:firstLine="420" w:firstLineChars="200"/>
        <w:contextualSpacing/>
        <w:rPr>
          <w:rFonts w:ascii="宋体"/>
        </w:rPr>
      </w:pPr>
      <w:r>
        <w:rPr>
          <w:rFonts w:hint="eastAsia" w:ascii="宋体" w:hAnsi="宋体"/>
        </w:rPr>
        <w:t>甲乙双方于</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日签署了《</w:t>
      </w:r>
      <w:r>
        <w:rPr>
          <w:rFonts w:hint="eastAsia" w:ascii="宋体" w:hAnsi="宋体" w:eastAsiaTheme="minorEastAsia"/>
          <w:b w:val="0"/>
          <w:sz w:val="21"/>
          <w:szCs w:val="24"/>
          <w:lang w:eastAsia="zh-CN"/>
        </w:rPr>
        <w:t>东莞市海心沙资源综合利用中心绿色工业服务项目（改扩建）竣工环保验收服务</w:t>
      </w:r>
      <w:r>
        <w:rPr>
          <w:rFonts w:hint="eastAsia" w:ascii="宋体" w:hAnsi="宋体" w:eastAsiaTheme="minorEastAsia"/>
          <w:b w:val="0"/>
          <w:sz w:val="21"/>
          <w:szCs w:val="24"/>
          <w:lang w:val="en-US" w:eastAsia="zh-CN"/>
        </w:rPr>
        <w:t>合同</w:t>
      </w:r>
      <w:r>
        <w:rPr>
          <w:rFonts w:hint="eastAsia" w:ascii="宋体" w:hAnsi="宋体"/>
        </w:rPr>
        <w:t>》（以下简称原合同），为加强双方阳光合作，保证职员职业安全，甲乙双方经协商签订本协议并作为双方共同遵守的阳光合作行为准则。</w:t>
      </w:r>
    </w:p>
    <w:p w14:paraId="3DB285A7">
      <w:pPr>
        <w:spacing w:before="156" w:beforeLines="50" w:after="156" w:afterLines="50" w:line="360" w:lineRule="auto"/>
        <w:ind w:left="420" w:leftChars="200"/>
        <w:contextualSpacing/>
        <w:rPr>
          <w:rFonts w:ascii="宋体" w:hAnsi="宋体"/>
          <w:b/>
        </w:rPr>
      </w:pPr>
      <w:r>
        <w:rPr>
          <w:rFonts w:hint="eastAsia" w:ascii="宋体" w:hAnsi="宋体"/>
          <w:b/>
        </w:rPr>
        <w:t>一、甲方责任</w:t>
      </w:r>
    </w:p>
    <w:p w14:paraId="4DA50008">
      <w:pPr>
        <w:spacing w:before="156" w:beforeLines="50" w:after="156" w:afterLines="50" w:line="360" w:lineRule="auto"/>
        <w:ind w:left="105" w:leftChars="50" w:firstLine="420" w:firstLineChars="200"/>
        <w:contextualSpacing/>
        <w:rPr>
          <w:rFonts w:ascii="宋体" w:hAnsi="宋体"/>
        </w:rPr>
      </w:pPr>
      <w:r>
        <w:rPr>
          <w:rFonts w:hint="eastAsia" w:ascii="宋体" w:hAnsi="宋体"/>
        </w:rPr>
        <w:t>1.甲方有责任向乙方介绍本单位有关采购管理通用原则和本协议的规定。</w:t>
      </w:r>
    </w:p>
    <w:p w14:paraId="3B300047">
      <w:pPr>
        <w:spacing w:before="156" w:beforeLines="50" w:after="156" w:afterLines="50" w:line="360" w:lineRule="auto"/>
        <w:ind w:left="105" w:leftChars="50" w:firstLine="420" w:firstLineChars="200"/>
        <w:contextualSpacing/>
        <w:rPr>
          <w:rFonts w:ascii="宋体" w:hAnsi="宋体"/>
        </w:rPr>
      </w:pPr>
      <w:r>
        <w:rPr>
          <w:rFonts w:hint="eastAsia" w:ascii="宋体" w:hAnsi="宋体"/>
        </w:rPr>
        <w:t>2.甲方有责任对本单位相关人员进行阳光合作教育。</w:t>
      </w:r>
    </w:p>
    <w:p w14:paraId="3ED9DC32">
      <w:pPr>
        <w:spacing w:before="156" w:beforeLines="50" w:after="156" w:afterLines="50" w:line="360" w:lineRule="auto"/>
        <w:ind w:left="105" w:leftChars="50" w:firstLine="420" w:firstLineChars="200"/>
        <w:contextualSpacing/>
        <w:rPr>
          <w:rFonts w:ascii="宋体" w:hAnsi="宋体"/>
        </w:rPr>
      </w:pPr>
      <w:r>
        <w:rPr>
          <w:rFonts w:hint="eastAsia" w:ascii="宋体" w:hAnsi="宋体"/>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43122915">
      <w:pPr>
        <w:spacing w:before="156" w:beforeLines="50" w:after="156" w:afterLines="50" w:line="360" w:lineRule="auto"/>
        <w:ind w:left="105" w:leftChars="50" w:firstLine="420" w:firstLineChars="200"/>
        <w:contextualSpacing/>
        <w:rPr>
          <w:rFonts w:ascii="宋体" w:hAnsi="宋体"/>
        </w:rPr>
      </w:pPr>
      <w:r>
        <w:rPr>
          <w:rFonts w:hint="eastAsia" w:ascii="宋体" w:hAnsi="宋体"/>
        </w:rPr>
        <w:t>4.甲方人员如违反阳光合作管理制度及本协议规定，甲方视情节轻重、影响大小给予行政及经济处罚。</w:t>
      </w:r>
    </w:p>
    <w:p w14:paraId="4E5F1C2D">
      <w:pPr>
        <w:spacing w:before="156" w:beforeLines="50" w:after="156" w:afterLines="50" w:line="360" w:lineRule="auto"/>
        <w:ind w:left="105" w:leftChars="50" w:firstLine="420" w:firstLineChars="200"/>
        <w:contextualSpacing/>
        <w:rPr>
          <w:rFonts w:ascii="宋体" w:hAnsi="宋体"/>
        </w:rPr>
      </w:pPr>
      <w:r>
        <w:rPr>
          <w:rFonts w:hint="eastAsia" w:ascii="宋体" w:hAnsi="宋体"/>
        </w:rPr>
        <w:t>5．对于乙方举报甲方人员违反阳光合作规定的情况，甲方应及时进行调查，根据调查情况进行处理，并将调查结果向乙方反馈。</w:t>
      </w:r>
    </w:p>
    <w:p w14:paraId="4BFF558C">
      <w:pPr>
        <w:spacing w:before="156" w:beforeLines="50" w:after="156" w:afterLines="50" w:line="360" w:lineRule="auto"/>
        <w:ind w:left="105" w:leftChars="50" w:firstLine="420" w:firstLineChars="200"/>
        <w:contextualSpacing/>
        <w:rPr>
          <w:rFonts w:ascii="宋体" w:hAnsi="宋体"/>
        </w:rPr>
      </w:pPr>
      <w:r>
        <w:rPr>
          <w:rFonts w:hint="eastAsia" w:ascii="宋体" w:hAnsi="宋体"/>
        </w:rPr>
        <w:t>6.接受举报的一方应为举报方保密，不得对举报方进行报复，对举报属实和严格遵守《阳光合作协议》的合作方，在同等条件下给予后续合作的优先权。</w:t>
      </w:r>
    </w:p>
    <w:p w14:paraId="50F482A7">
      <w:pPr>
        <w:spacing w:before="156" w:beforeLines="50" w:after="156" w:afterLines="50" w:line="360" w:lineRule="auto"/>
        <w:ind w:left="420" w:leftChars="200"/>
        <w:contextualSpacing/>
        <w:rPr>
          <w:rFonts w:ascii="宋体" w:hAnsi="宋体"/>
          <w:b/>
        </w:rPr>
      </w:pPr>
      <w:r>
        <w:rPr>
          <w:rFonts w:hint="eastAsia" w:ascii="宋体" w:hAnsi="宋体"/>
          <w:b/>
        </w:rPr>
        <w:t>二、乙方责任</w:t>
      </w:r>
    </w:p>
    <w:p w14:paraId="1EC1348B">
      <w:pPr>
        <w:spacing w:before="156" w:beforeLines="50" w:after="156" w:afterLines="50" w:line="360" w:lineRule="auto"/>
        <w:ind w:left="105" w:leftChars="50" w:firstLine="420" w:firstLineChars="200"/>
        <w:contextualSpacing/>
        <w:rPr>
          <w:rFonts w:ascii="宋体" w:hAnsi="宋体"/>
        </w:rPr>
      </w:pPr>
      <w:r>
        <w:rPr>
          <w:rFonts w:hint="eastAsia" w:ascii="宋体" w:hAnsi="宋体"/>
        </w:rPr>
        <w:t>1.乙方应保证乙方人员了解甲方有关采购管理通用原则和及本协议的规定，并遵照执行。</w:t>
      </w:r>
    </w:p>
    <w:p w14:paraId="78C2798D">
      <w:pPr>
        <w:spacing w:before="156" w:beforeLines="50" w:after="156" w:afterLines="50" w:line="360" w:lineRule="auto"/>
        <w:ind w:left="105" w:leftChars="50" w:firstLine="420" w:firstLineChars="200"/>
        <w:contextualSpacing/>
        <w:rPr>
          <w:rFonts w:ascii="宋体" w:hAnsi="宋体"/>
        </w:rPr>
      </w:pPr>
      <w:r>
        <w:rPr>
          <w:rFonts w:hint="eastAsia" w:ascii="宋体" w:hAnsi="宋体"/>
        </w:rPr>
        <w:t>2.乙方不得以任何形式给予甲方人员回扣、赠送实物、现金、有价证券、礼券等有价物品或提供旅游等其他可能影响职务行为公正履行的活动（以下统称“财物”）。</w:t>
      </w:r>
    </w:p>
    <w:p w14:paraId="7785DB38">
      <w:pPr>
        <w:spacing w:before="156" w:beforeLines="50" w:after="156" w:afterLines="50" w:line="360" w:lineRule="auto"/>
        <w:ind w:left="105" w:leftChars="50" w:firstLine="420" w:firstLineChars="200"/>
        <w:contextualSpacing/>
        <w:rPr>
          <w:rFonts w:ascii="宋体" w:hAnsi="宋体"/>
        </w:rPr>
      </w:pPr>
      <w:r>
        <w:rPr>
          <w:rFonts w:hint="eastAsia" w:ascii="宋体" w:hAnsi="宋体"/>
        </w:rPr>
        <w:t>3.乙方有责任接受甲方对乙方在合作期间阳光合作管理执行情况的监督，并对甲方相关调查工作主动配合。</w:t>
      </w:r>
    </w:p>
    <w:p w14:paraId="0868D791">
      <w:pPr>
        <w:spacing w:before="156" w:beforeLines="50" w:after="156" w:afterLines="50" w:line="360" w:lineRule="auto"/>
        <w:ind w:left="105" w:leftChars="50" w:firstLine="420" w:firstLineChars="200"/>
        <w:contextualSpacing/>
        <w:rPr>
          <w:rFonts w:ascii="宋体" w:hAnsi="宋体"/>
        </w:rPr>
      </w:pPr>
      <w:r>
        <w:rPr>
          <w:rFonts w:hint="eastAsia" w:ascii="宋体" w:hAnsi="宋体"/>
        </w:rPr>
        <w:t>4.乙方有义务就甲方人员任何形式的索取或收受财物行为及时向甲方（直接联系人为东莞实业投资控股集团有限公司</w:t>
      </w:r>
      <w:r>
        <w:rPr>
          <w:rFonts w:hint="eastAsia" w:ascii="宋体" w:hAnsi="宋体"/>
          <w:lang w:eastAsia="zh-CN"/>
        </w:rPr>
        <w:t>风控法务部</w:t>
      </w:r>
      <w:r>
        <w:rPr>
          <w:rFonts w:hint="eastAsia" w:ascii="宋体" w:hAnsi="宋体"/>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03604293">
      <w:pPr>
        <w:spacing w:before="156" w:beforeLines="50" w:after="156" w:afterLines="50" w:line="360" w:lineRule="auto"/>
        <w:ind w:left="105" w:leftChars="50" w:firstLine="420" w:firstLineChars="200"/>
        <w:contextualSpacing/>
        <w:rPr>
          <w:rFonts w:ascii="宋体" w:hAnsi="宋体"/>
        </w:rPr>
      </w:pPr>
      <w:r>
        <w:rPr>
          <w:rFonts w:hint="eastAsia" w:ascii="宋体" w:hAnsi="宋体"/>
        </w:rPr>
        <w:t xml:space="preserve">5．甲方接受乙方实名或匿名举报，保证为举报者的信息保密，常设举报部门及电话： </w:t>
      </w:r>
    </w:p>
    <w:p w14:paraId="70EEF136">
      <w:pPr>
        <w:spacing w:before="156" w:beforeLines="50" w:after="156" w:afterLines="50" w:line="360" w:lineRule="auto"/>
        <w:ind w:left="105" w:leftChars="50" w:firstLine="420" w:firstLineChars="200"/>
        <w:contextualSpacing/>
        <w:rPr>
          <w:rFonts w:hint="eastAsia" w:ascii="宋体" w:hAnsi="宋体" w:eastAsiaTheme="minorEastAsia"/>
          <w:lang w:eastAsia="zh-CN"/>
        </w:rPr>
      </w:pPr>
      <w:r>
        <w:rPr>
          <w:rFonts w:hint="eastAsia" w:ascii="宋体" w:hAnsi="宋体"/>
        </w:rPr>
        <w:t>举报受理部门：东莞实业投资控股集团有限公司</w:t>
      </w:r>
      <w:r>
        <w:rPr>
          <w:rFonts w:hint="eastAsia" w:ascii="宋体" w:hAnsi="宋体"/>
          <w:lang w:eastAsia="zh-CN"/>
        </w:rPr>
        <w:t>风控法务部</w:t>
      </w:r>
    </w:p>
    <w:p w14:paraId="5AD52C6B">
      <w:pPr>
        <w:spacing w:before="156" w:beforeLines="50" w:after="156" w:afterLines="50" w:line="360" w:lineRule="auto"/>
        <w:ind w:left="105" w:leftChars="50" w:firstLine="420" w:firstLineChars="200"/>
        <w:contextualSpacing/>
        <w:rPr>
          <w:rFonts w:ascii="宋体" w:hAnsi="宋体"/>
        </w:rPr>
      </w:pPr>
      <w:r>
        <w:rPr>
          <w:rFonts w:hint="eastAsia" w:ascii="宋体" w:hAnsi="宋体"/>
        </w:rPr>
        <w:t>东实集团举报邮箱：dgsyxf@163.com</w:t>
      </w:r>
    </w:p>
    <w:p w14:paraId="446686FC">
      <w:pPr>
        <w:spacing w:before="156" w:beforeLines="50" w:after="156" w:afterLines="50" w:line="360" w:lineRule="auto"/>
        <w:ind w:left="105" w:leftChars="50" w:firstLine="420" w:firstLineChars="200"/>
        <w:contextualSpacing/>
        <w:rPr>
          <w:rFonts w:ascii="宋体" w:hAnsi="宋体"/>
        </w:rPr>
      </w:pPr>
      <w:r>
        <w:rPr>
          <w:rFonts w:hint="eastAsia" w:ascii="宋体" w:hAnsi="宋体"/>
        </w:rPr>
        <w:t>东实集团举报电话：0769-28820703（周一至周五9:00-12:00和14:00-18:00）</w:t>
      </w:r>
    </w:p>
    <w:p w14:paraId="3F017982">
      <w:pPr>
        <w:spacing w:before="156" w:beforeLines="50" w:after="156" w:afterLines="50" w:line="360" w:lineRule="auto"/>
        <w:ind w:left="105" w:leftChars="50" w:firstLine="420" w:firstLineChars="200"/>
        <w:contextualSpacing/>
        <w:rPr>
          <w:rFonts w:ascii="宋体" w:hAnsi="宋体"/>
        </w:rPr>
      </w:pPr>
      <w:r>
        <w:rPr>
          <w:rFonts w:hint="eastAsia" w:ascii="宋体" w:hAnsi="宋体"/>
        </w:rPr>
        <w:t>邮寄地址：东莞市东城区八一路1号机关二号大院9号楼，东莞实业投资控股集团有限公司</w:t>
      </w:r>
      <w:r>
        <w:rPr>
          <w:rFonts w:hint="eastAsia" w:ascii="宋体" w:hAnsi="宋体"/>
          <w:lang w:eastAsia="zh-CN"/>
        </w:rPr>
        <w:t>风控法务部</w:t>
      </w:r>
      <w:r>
        <w:rPr>
          <w:rFonts w:hint="eastAsia" w:ascii="宋体" w:hAnsi="宋体"/>
        </w:rPr>
        <w:t>收，邮编523000。</w:t>
      </w:r>
    </w:p>
    <w:p w14:paraId="3506303E">
      <w:pPr>
        <w:spacing w:before="156" w:beforeLines="50" w:after="156" w:afterLines="50" w:line="360" w:lineRule="auto"/>
        <w:ind w:left="420" w:leftChars="200"/>
        <w:contextualSpacing/>
        <w:rPr>
          <w:rFonts w:ascii="宋体" w:hAnsi="宋体"/>
          <w:b/>
        </w:rPr>
      </w:pPr>
      <w:r>
        <w:rPr>
          <w:rFonts w:hint="eastAsia" w:ascii="宋体" w:hAnsi="宋体"/>
          <w:b/>
        </w:rPr>
        <w:t>三、其他</w:t>
      </w:r>
    </w:p>
    <w:p w14:paraId="0E58B0ED">
      <w:pPr>
        <w:spacing w:before="156" w:beforeLines="50" w:after="156" w:afterLines="50" w:line="360" w:lineRule="auto"/>
        <w:ind w:left="105" w:leftChars="50" w:firstLine="420" w:firstLineChars="200"/>
        <w:contextualSpacing/>
        <w:rPr>
          <w:rFonts w:ascii="宋体" w:hAnsi="宋体"/>
        </w:rPr>
      </w:pPr>
      <w:r>
        <w:rPr>
          <w:rFonts w:hint="eastAsia" w:ascii="宋体" w:hAnsi="宋体"/>
        </w:rPr>
        <w:t>1.本协议是原合同的补充协议，与原合同有同等法律效力。</w:t>
      </w:r>
    </w:p>
    <w:p w14:paraId="47AEC848">
      <w:pPr>
        <w:spacing w:before="156" w:beforeLines="50" w:after="156" w:afterLines="50" w:line="360" w:lineRule="auto"/>
        <w:ind w:left="105" w:leftChars="50" w:firstLine="420" w:firstLineChars="200"/>
        <w:contextualSpacing/>
        <w:rPr>
          <w:rFonts w:ascii="宋体" w:hAnsi="宋体"/>
        </w:rPr>
      </w:pPr>
      <w:r>
        <w:rPr>
          <w:rFonts w:hint="eastAsia" w:ascii="宋体" w:hAnsi="宋体"/>
        </w:rPr>
        <w:t>2.</w:t>
      </w:r>
      <w:r>
        <w:rPr>
          <w:rFonts w:ascii="宋体" w:hAnsi="宋体"/>
        </w:rPr>
        <w:t>本</w:t>
      </w:r>
      <w:r>
        <w:rPr>
          <w:rFonts w:hint="eastAsia" w:ascii="宋体" w:hAnsi="宋体"/>
        </w:rPr>
        <w:t>协议</w:t>
      </w:r>
      <w:r>
        <w:rPr>
          <w:rFonts w:ascii="宋体" w:hAnsi="宋体"/>
        </w:rPr>
        <w:t>一式</w:t>
      </w:r>
      <w:r>
        <w:rPr>
          <w:rFonts w:hint="eastAsia" w:ascii="宋体" w:hAnsi="宋体"/>
        </w:rPr>
        <w:t>四</w:t>
      </w:r>
      <w:r>
        <w:rPr>
          <w:rFonts w:ascii="宋体" w:hAnsi="宋体"/>
        </w:rPr>
        <w:t>份，甲方执</w:t>
      </w:r>
      <w:r>
        <w:rPr>
          <w:rFonts w:hint="eastAsia" w:ascii="宋体" w:hAnsi="宋体"/>
        </w:rPr>
        <w:t>贰</w:t>
      </w:r>
      <w:r>
        <w:rPr>
          <w:rFonts w:ascii="宋体" w:hAnsi="宋体"/>
        </w:rPr>
        <w:t>份，乙方执</w:t>
      </w:r>
      <w:r>
        <w:rPr>
          <w:rFonts w:hint="eastAsia" w:ascii="宋体" w:hAnsi="宋体"/>
        </w:rPr>
        <w:t>贰</w:t>
      </w:r>
      <w:r>
        <w:rPr>
          <w:rFonts w:ascii="宋体" w:hAnsi="宋体"/>
        </w:rPr>
        <w:t>份</w:t>
      </w:r>
      <w:r>
        <w:rPr>
          <w:rFonts w:hint="eastAsia" w:ascii="宋体" w:hAnsi="宋体"/>
        </w:rPr>
        <w:t>,具有同等法律效力。</w:t>
      </w:r>
    </w:p>
    <w:p w14:paraId="665DECC7">
      <w:pPr>
        <w:spacing w:before="156" w:beforeLines="50" w:after="156" w:afterLines="50" w:line="360" w:lineRule="auto"/>
        <w:ind w:left="105" w:leftChars="50" w:firstLine="420" w:firstLineChars="200"/>
        <w:contextualSpacing/>
        <w:rPr>
          <w:rFonts w:ascii="宋体" w:hAnsi="宋体"/>
        </w:rPr>
      </w:pPr>
      <w:r>
        <w:rPr>
          <w:rFonts w:hint="eastAsia" w:ascii="宋体" w:hAnsi="宋体"/>
        </w:rPr>
        <w:t>3.本协议经双方签署后生效。</w:t>
      </w:r>
    </w:p>
    <w:p w14:paraId="687DD471">
      <w:pPr>
        <w:spacing w:before="156" w:beforeLines="50" w:after="156" w:afterLines="50" w:line="360" w:lineRule="auto"/>
        <w:ind w:firstLine="420" w:firstLineChars="200"/>
        <w:contextualSpacing/>
        <w:rPr>
          <w:rFonts w:ascii="宋体" w:hAnsi="宋体"/>
        </w:rPr>
      </w:pPr>
    </w:p>
    <w:p w14:paraId="5BA38EE6">
      <w:pPr>
        <w:spacing w:before="156" w:beforeLines="50" w:after="156" w:afterLines="50" w:line="360" w:lineRule="auto"/>
        <w:ind w:firstLine="420" w:firstLineChars="200"/>
        <w:contextualSpacing/>
        <w:rPr>
          <w:rFonts w:ascii="宋体"/>
        </w:rPr>
      </w:pPr>
      <w:r>
        <w:rPr>
          <w:rFonts w:hint="eastAsia" w:ascii="宋体" w:hAnsi="宋体"/>
        </w:rPr>
        <w:t>甲方（盖章）：                      乙方（盖章）：</w:t>
      </w:r>
      <w:r>
        <w:rPr>
          <w:rFonts w:ascii="宋体"/>
        </w:rPr>
        <w:t xml:space="preserve"> </w:t>
      </w:r>
    </w:p>
    <w:p w14:paraId="2078320F">
      <w:pPr>
        <w:spacing w:before="156" w:beforeLines="50" w:after="156" w:afterLines="50" w:line="360" w:lineRule="auto"/>
        <w:ind w:firstLine="420" w:firstLineChars="200"/>
        <w:contextualSpacing/>
        <w:rPr>
          <w:rFonts w:ascii="宋体" w:hAnsi="宋体"/>
        </w:rPr>
      </w:pPr>
    </w:p>
    <w:p w14:paraId="13C2CA0B">
      <w:pPr>
        <w:spacing w:before="156" w:beforeLines="50" w:after="156" w:afterLines="50" w:line="360" w:lineRule="auto"/>
        <w:ind w:firstLine="420" w:firstLineChars="200"/>
        <w:contextualSpacing/>
        <w:rPr>
          <w:rFonts w:ascii="宋体"/>
        </w:rPr>
      </w:pPr>
      <w:r>
        <w:rPr>
          <w:rFonts w:hint="eastAsia" w:ascii="宋体" w:hAnsi="宋体"/>
        </w:rPr>
        <w:t>法定代表人（授权代表）：</w:t>
      </w:r>
      <w:r>
        <w:rPr>
          <w:rFonts w:hint="eastAsia" w:ascii="宋体"/>
        </w:rPr>
        <w:tab/>
      </w:r>
      <w:r>
        <w:rPr>
          <w:rFonts w:hint="eastAsia" w:ascii="宋体"/>
        </w:rPr>
        <w:tab/>
      </w:r>
      <w:r>
        <w:rPr>
          <w:rFonts w:hint="eastAsia" w:ascii="宋体"/>
        </w:rPr>
        <w:t xml:space="preserve">  </w:t>
      </w:r>
      <w:r>
        <w:rPr>
          <w:rFonts w:hint="eastAsia" w:ascii="宋体"/>
        </w:rPr>
        <w:tab/>
      </w:r>
      <w:r>
        <w:rPr>
          <w:rFonts w:hint="eastAsia" w:ascii="宋体"/>
        </w:rPr>
        <w:t xml:space="preserve">   </w:t>
      </w:r>
      <w:r>
        <w:rPr>
          <w:rFonts w:hint="eastAsia" w:ascii="宋体" w:hAnsi="宋体"/>
        </w:rPr>
        <w:t>法定代表人（授权代表）：</w:t>
      </w:r>
    </w:p>
    <w:p w14:paraId="47CDDB06">
      <w:pPr>
        <w:spacing w:before="156" w:beforeLines="50" w:after="156" w:afterLines="50" w:line="360" w:lineRule="auto"/>
        <w:ind w:firstLine="420" w:firstLineChars="200"/>
        <w:contextualSpacing/>
        <w:rPr>
          <w:rFonts w:ascii="宋体" w:hAnsi="宋体"/>
        </w:rPr>
      </w:pPr>
    </w:p>
    <w:p w14:paraId="5EFEDDA4">
      <w:pPr>
        <w:spacing w:before="156" w:beforeLines="50" w:after="156" w:afterLines="50" w:line="360" w:lineRule="auto"/>
        <w:ind w:firstLine="420" w:firstLineChars="200"/>
        <w:contextualSpacing/>
      </w:pPr>
      <w:r>
        <w:rPr>
          <w:rFonts w:hint="eastAsia" w:ascii="宋体" w:hAnsi="宋体"/>
        </w:rPr>
        <w:t>签约日期：   年   月   日</w:t>
      </w:r>
      <w:r>
        <w:tab/>
      </w:r>
      <w:r>
        <w:t xml:space="preserve">    </w:t>
      </w:r>
      <w:r>
        <w:rPr>
          <w:rFonts w:hint="eastAsia"/>
        </w:rPr>
        <w:t xml:space="preserve">   </w:t>
      </w:r>
      <w:r>
        <w:rPr>
          <w:rFonts w:hint="eastAsia" w:ascii="宋体" w:hAnsi="宋体"/>
        </w:rPr>
        <w:t>签约日期：   年   月   日</w:t>
      </w:r>
    </w:p>
    <w:p w14:paraId="05A0D22C">
      <w:pPr>
        <w:spacing w:before="68" w:line="201" w:lineRule="auto"/>
        <w:ind w:left="199"/>
        <w:rPr>
          <w:rFonts w:ascii="黑体" w:hAnsi="黑体" w:eastAsia="黑体" w:cs="黑体"/>
        </w:rPr>
      </w:pPr>
    </w:p>
    <w:p w14:paraId="29C9BA87"/>
    <w:p w14:paraId="6330C380">
      <w:pPr>
        <w:rPr>
          <w:color w:val="auto"/>
          <w:highlight w:val="none"/>
        </w:rPr>
      </w:pPr>
    </w:p>
    <w:sectPr>
      <w:headerReference r:id="rId3" w:type="default"/>
      <w:footerReference r:id="rId4" w:type="default"/>
      <w:pgSz w:w="11915" w:h="16840"/>
      <w:pgMar w:top="1531" w:right="1588" w:bottom="1418" w:left="1418" w:header="851" w:footer="1191" w:gutter="0"/>
      <w:cols w:space="425"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etaPlusLF">
    <w:altName w:val="Times New Roman"/>
    <w:panose1 w:val="00000000000000000000"/>
    <w:charset w:val="00"/>
    <w:family w:val="auto"/>
    <w:pitch w:val="default"/>
    <w:sig w:usb0="00000000" w:usb1="00000000" w:usb2="00000000" w:usb3="00000000" w:csb0="00000097" w:csb1="00000000"/>
  </w:font>
  <w:font w:name="Cambria">
    <w:panose1 w:val="02040503050406030204"/>
    <w:charset w:val="00"/>
    <w:family w:val="roman"/>
    <w:pitch w:val="default"/>
    <w:sig w:usb0="E00006FF" w:usb1="420024FF" w:usb2="02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8BB2BD">
    <w:pPr>
      <w:pStyle w:val="8"/>
      <w:jc w:val="center"/>
    </w:pPr>
    <w:r>
      <w:fldChar w:fldCharType="begin"/>
    </w:r>
    <w:r>
      <w:instrText xml:space="preserve">PAGE   \* MERGEFORMAT</w:instrText>
    </w:r>
    <w:r>
      <w:fldChar w:fldCharType="separate"/>
    </w:r>
    <w:r>
      <w:rPr>
        <w:lang w:val="zh-CN"/>
      </w:rPr>
      <w:t>6</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CE1D42">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A4Y2EyYTllYTU3NWFhN2MzMzAwMzYwOTE4MmZmN2MifQ=="/>
    <w:docVar w:name="KSO_WPS_MARK_KEY" w:val="3084deae-3ccf-4f26-964c-961c7a77c538"/>
  </w:docVars>
  <w:rsids>
    <w:rsidRoot w:val="634D5207"/>
    <w:rsid w:val="00161C3F"/>
    <w:rsid w:val="00210D8F"/>
    <w:rsid w:val="002367A0"/>
    <w:rsid w:val="00260F02"/>
    <w:rsid w:val="002F4929"/>
    <w:rsid w:val="0035631D"/>
    <w:rsid w:val="004B1C3C"/>
    <w:rsid w:val="004F0411"/>
    <w:rsid w:val="00555DCF"/>
    <w:rsid w:val="005F0F25"/>
    <w:rsid w:val="00712802"/>
    <w:rsid w:val="00793B1A"/>
    <w:rsid w:val="009711AE"/>
    <w:rsid w:val="00A10BD8"/>
    <w:rsid w:val="00A50A3E"/>
    <w:rsid w:val="00B703B8"/>
    <w:rsid w:val="00BB1D1B"/>
    <w:rsid w:val="00BE1370"/>
    <w:rsid w:val="00C156EF"/>
    <w:rsid w:val="00CB3978"/>
    <w:rsid w:val="00CC5FB2"/>
    <w:rsid w:val="00D43DB3"/>
    <w:rsid w:val="00E139A3"/>
    <w:rsid w:val="00F51401"/>
    <w:rsid w:val="01CC1A40"/>
    <w:rsid w:val="061F05DD"/>
    <w:rsid w:val="07DD1266"/>
    <w:rsid w:val="0A62356F"/>
    <w:rsid w:val="0C19358C"/>
    <w:rsid w:val="0C7104D8"/>
    <w:rsid w:val="0ED5368E"/>
    <w:rsid w:val="1259219B"/>
    <w:rsid w:val="12E82638"/>
    <w:rsid w:val="1D9B02D0"/>
    <w:rsid w:val="2E0B536E"/>
    <w:rsid w:val="2EA123EC"/>
    <w:rsid w:val="33590AD6"/>
    <w:rsid w:val="33B85BB0"/>
    <w:rsid w:val="34443EA2"/>
    <w:rsid w:val="35583FC1"/>
    <w:rsid w:val="35AC3DD1"/>
    <w:rsid w:val="35B82679"/>
    <w:rsid w:val="38782F86"/>
    <w:rsid w:val="3F0A4F8A"/>
    <w:rsid w:val="403F52E1"/>
    <w:rsid w:val="42BA44DC"/>
    <w:rsid w:val="439F05B5"/>
    <w:rsid w:val="45BE699D"/>
    <w:rsid w:val="4D4D4058"/>
    <w:rsid w:val="4DC67855"/>
    <w:rsid w:val="50B81B8A"/>
    <w:rsid w:val="52712F42"/>
    <w:rsid w:val="532C40AF"/>
    <w:rsid w:val="57E02CC4"/>
    <w:rsid w:val="5A8E2EAB"/>
    <w:rsid w:val="5B2278A2"/>
    <w:rsid w:val="5D973E25"/>
    <w:rsid w:val="6155027F"/>
    <w:rsid w:val="6191058D"/>
    <w:rsid w:val="61AE075A"/>
    <w:rsid w:val="634D5207"/>
    <w:rsid w:val="6AB42C41"/>
    <w:rsid w:val="6BBF62E3"/>
    <w:rsid w:val="6D192958"/>
    <w:rsid w:val="6F2052B4"/>
    <w:rsid w:val="76746659"/>
    <w:rsid w:val="77523B4A"/>
    <w:rsid w:val="77D05593"/>
    <w:rsid w:val="77FC40C4"/>
    <w:rsid w:val="789B191B"/>
    <w:rsid w:val="795D1458"/>
    <w:rsid w:val="79BD07C3"/>
    <w:rsid w:val="7ECC3C6A"/>
    <w:rsid w:val="7F3177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paragraph" w:styleId="3">
    <w:name w:val="heading 3"/>
    <w:basedOn w:val="1"/>
    <w:next w:val="1"/>
    <w:autoRedefine/>
    <w:qFormat/>
    <w:uiPriority w:val="9"/>
    <w:pPr>
      <w:ind w:left="662"/>
      <w:outlineLvl w:val="2"/>
    </w:pPr>
    <w:rPr>
      <w:b/>
      <w:bCs/>
      <w:sz w:val="28"/>
      <w:szCs w:val="28"/>
    </w:rPr>
  </w:style>
  <w:style w:type="character" w:default="1" w:styleId="15">
    <w:name w:val="Default Paragraph Font"/>
    <w:autoRedefine/>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5">
    <w:name w:val="annotation text"/>
    <w:basedOn w:val="1"/>
    <w:autoRedefine/>
    <w:unhideWhenUsed/>
    <w:qFormat/>
    <w:uiPriority w:val="99"/>
  </w:style>
  <w:style w:type="paragraph" w:styleId="6">
    <w:name w:val="Body Text"/>
    <w:basedOn w:val="1"/>
    <w:next w:val="1"/>
    <w:link w:val="21"/>
    <w:autoRedefine/>
    <w:qFormat/>
    <w:uiPriority w:val="0"/>
    <w:pPr>
      <w:spacing w:after="120"/>
    </w:pPr>
    <w:rPr>
      <w:rFonts w:ascii="Times New Roman" w:hAnsi="Times New Roman" w:eastAsia="宋体" w:cs="Times New Roman"/>
      <w:szCs w:val="20"/>
    </w:rPr>
  </w:style>
  <w:style w:type="paragraph" w:styleId="7">
    <w:name w:val="Plain Text"/>
    <w:autoRedefine/>
    <w:qFormat/>
    <w:uiPriority w:val="0"/>
    <w:pPr>
      <w:widowControl w:val="0"/>
      <w:adjustRightInd w:val="0"/>
      <w:spacing w:line="312" w:lineRule="atLeast"/>
      <w:jc w:val="both"/>
      <w:textAlignment w:val="baseline"/>
    </w:pPr>
    <w:rPr>
      <w:rFonts w:ascii="宋体" w:hAnsi="Courier New" w:eastAsia="宋体" w:cs="Courier New"/>
      <w:sz w:val="21"/>
      <w:szCs w:val="21"/>
      <w:lang w:val="en-US" w:eastAsia="zh-CN" w:bidi="ar-SA"/>
    </w:rPr>
  </w:style>
  <w:style w:type="paragraph" w:styleId="8">
    <w:name w:val="footer"/>
    <w:basedOn w:val="1"/>
    <w:link w:val="22"/>
    <w:autoRedefine/>
    <w:qFormat/>
    <w:uiPriority w:val="0"/>
    <w:pPr>
      <w:tabs>
        <w:tab w:val="center" w:pos="4153"/>
        <w:tab w:val="right" w:pos="8306"/>
      </w:tabs>
      <w:snapToGrid w:val="0"/>
      <w:jc w:val="left"/>
    </w:pPr>
    <w:rPr>
      <w:sz w:val="18"/>
    </w:rPr>
  </w:style>
  <w:style w:type="paragraph" w:styleId="9">
    <w:name w:val="header"/>
    <w:basedOn w:val="1"/>
    <w:link w:val="23"/>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unhideWhenUsed/>
    <w:qFormat/>
    <w:uiPriority w:val="39"/>
    <w:pPr>
      <w:spacing w:before="120" w:after="120"/>
    </w:pPr>
    <w:rPr>
      <w:rFonts w:ascii="Calibri" w:hAnsi="Calibri"/>
      <w:b/>
      <w:bCs/>
      <w:caps/>
      <w:sz w:val="20"/>
    </w:rPr>
  </w:style>
  <w:style w:type="paragraph" w:styleId="11">
    <w:name w:val="Normal (Web)"/>
    <w:basedOn w:val="1"/>
    <w:autoRedefine/>
    <w:qFormat/>
    <w:uiPriority w:val="0"/>
    <w:rPr>
      <w:rFonts w:ascii="Calibri" w:hAnsi="Calibri" w:eastAsia="宋体" w:cs="Times New Roman"/>
      <w:sz w:val="24"/>
    </w:rPr>
  </w:style>
  <w:style w:type="paragraph" w:styleId="12">
    <w:name w:val="Body Text First Indent"/>
    <w:basedOn w:val="6"/>
    <w:next w:val="1"/>
    <w:link w:val="20"/>
    <w:autoRedefine/>
    <w:qFormat/>
    <w:uiPriority w:val="0"/>
    <w:pPr>
      <w:widowControl/>
      <w:ind w:firstLine="420" w:firstLineChars="100"/>
    </w:pPr>
    <w:rPr>
      <w:rFonts w:ascii="Calibri" w:hAnsi="Calibri"/>
      <w:szCs w:val="22"/>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16">
    <w:name w:val="page number"/>
    <w:autoRedefine/>
    <w:qFormat/>
    <w:uiPriority w:val="0"/>
  </w:style>
  <w:style w:type="character" w:styleId="17">
    <w:name w:val="Hyperlink"/>
    <w:basedOn w:val="15"/>
    <w:autoRedefine/>
    <w:unhideWhenUsed/>
    <w:qFormat/>
    <w:uiPriority w:val="99"/>
    <w:rPr>
      <w:color w:val="0563C1" w:themeColor="hyperlink"/>
      <w:u w:val="single"/>
      <w14:textFill>
        <w14:solidFill>
          <w14:schemeClr w14:val="hlink"/>
        </w14:solidFill>
      </w14:textFill>
    </w:rPr>
  </w:style>
  <w:style w:type="character" w:styleId="18">
    <w:name w:val="annotation reference"/>
    <w:basedOn w:val="15"/>
    <w:autoRedefine/>
    <w:unhideWhenUsed/>
    <w:qFormat/>
    <w:uiPriority w:val="99"/>
    <w:rPr>
      <w:sz w:val="21"/>
      <w:szCs w:val="21"/>
    </w:rPr>
  </w:style>
  <w:style w:type="paragraph" w:customStyle="1" w:styleId="19">
    <w:name w:val="正文缩进2格"/>
    <w:basedOn w:val="1"/>
    <w:autoRedefine/>
    <w:qFormat/>
    <w:uiPriority w:val="0"/>
    <w:pPr>
      <w:spacing w:line="600" w:lineRule="exact"/>
      <w:ind w:firstLine="639" w:firstLineChars="206"/>
    </w:pPr>
    <w:rPr>
      <w:rFonts w:hint="eastAsia" w:ascii="仿宋_GB2312" w:hAnsi="宋体" w:eastAsia="仿宋_GB2312" w:cs="Times New Roman"/>
      <w:kern w:val="0"/>
      <w:sz w:val="31"/>
      <w:szCs w:val="31"/>
    </w:rPr>
  </w:style>
  <w:style w:type="character" w:customStyle="1" w:styleId="20">
    <w:name w:val="正文文本首行缩进 字符"/>
    <w:basedOn w:val="21"/>
    <w:link w:val="12"/>
    <w:autoRedefine/>
    <w:qFormat/>
    <w:uiPriority w:val="0"/>
    <w:rPr>
      <w:rFonts w:hint="default" w:ascii="Calibri" w:hAnsi="Calibri" w:cs="宋体"/>
      <w:kern w:val="2"/>
      <w:sz w:val="21"/>
      <w:szCs w:val="22"/>
    </w:rPr>
  </w:style>
  <w:style w:type="character" w:customStyle="1" w:styleId="21">
    <w:name w:val="正文文本 字符"/>
    <w:basedOn w:val="15"/>
    <w:link w:val="6"/>
    <w:autoRedefine/>
    <w:qFormat/>
    <w:uiPriority w:val="0"/>
    <w:rPr>
      <w:kern w:val="2"/>
      <w:sz w:val="21"/>
    </w:rPr>
  </w:style>
  <w:style w:type="character" w:customStyle="1" w:styleId="22">
    <w:name w:val="页脚 字符"/>
    <w:basedOn w:val="15"/>
    <w:link w:val="8"/>
    <w:autoRedefine/>
    <w:qFormat/>
    <w:uiPriority w:val="0"/>
    <w:rPr>
      <w:kern w:val="2"/>
      <w:sz w:val="18"/>
    </w:rPr>
  </w:style>
  <w:style w:type="character" w:customStyle="1" w:styleId="23">
    <w:name w:val="页眉 字符"/>
    <w:basedOn w:val="15"/>
    <w:link w:val="9"/>
    <w:autoRedefine/>
    <w:qFormat/>
    <w:uiPriority w:val="0"/>
    <w:rPr>
      <w:kern w:val="2"/>
      <w:sz w:val="18"/>
      <w:szCs w:val="18"/>
    </w:rPr>
  </w:style>
  <w:style w:type="paragraph" w:customStyle="1" w:styleId="24">
    <w:name w:val="Default"/>
    <w:basedOn w:val="1"/>
    <w:autoRedefine/>
    <w:qFormat/>
    <w:uiPriority w:val="0"/>
    <w:pPr>
      <w:autoSpaceDE w:val="0"/>
      <w:autoSpaceDN w:val="0"/>
      <w:adjustRightInd w:val="0"/>
      <w:jc w:val="left"/>
    </w:pPr>
    <w:rPr>
      <w:rFonts w:ascii="MetaPlusLF" w:hAnsi="MetaPlusLF" w:eastAsia="宋体" w:cs="Times New Roman"/>
      <w:color w:val="000000"/>
      <w:kern w:val="0"/>
      <w:sz w:val="24"/>
    </w:rPr>
  </w:style>
  <w:style w:type="paragraph" w:customStyle="1" w:styleId="25">
    <w:name w:val="列出段落1"/>
    <w:basedOn w:val="1"/>
    <w:autoRedefine/>
    <w:qFormat/>
    <w:uiPriority w:val="0"/>
    <w:pPr>
      <w:ind w:firstLine="420" w:firstLineChars="200"/>
    </w:pPr>
    <w:rPr>
      <w:rFonts w:ascii="Times New Roman" w:hAnsi="Times New Roman" w:eastAsia="宋体" w:cs="Times New Roman"/>
      <w:szCs w:val="20"/>
    </w:rPr>
  </w:style>
  <w:style w:type="paragraph" w:customStyle="1" w:styleId="26">
    <w:name w:val="报告正文"/>
    <w:next w:val="1"/>
    <w:autoRedefine/>
    <w:qFormat/>
    <w:uiPriority w:val="1"/>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27">
    <w:name w:val="TOC 标题1"/>
    <w:basedOn w:val="2"/>
    <w:next w:val="1"/>
    <w:autoRedefine/>
    <w:unhideWhenUsed/>
    <w:qFormat/>
    <w:uiPriority w:val="39"/>
    <w:pPr>
      <w:spacing w:before="240" w:line="259" w:lineRule="auto"/>
      <w:jc w:val="left"/>
      <w:outlineLvl w:val="9"/>
    </w:pPr>
    <w:rPr>
      <w:rFonts w:ascii="Cambria" w:hAnsi="Cambria" w:eastAsia="宋体" w:cs="Times New Roman"/>
      <w:b w:val="0"/>
      <w:color w:val="366091"/>
      <w:kern w:val="0"/>
      <w:sz w:val="32"/>
      <w:szCs w:val="32"/>
    </w:rPr>
  </w:style>
  <w:style w:type="paragraph" w:customStyle="1" w:styleId="28">
    <w:name w:val="WPSOffice手动目录 1"/>
    <w:autoRedefine/>
    <w:qFormat/>
    <w:uiPriority w:val="0"/>
    <w:rPr>
      <w:rFonts w:ascii="Calibri" w:hAnsi="Calibri" w:eastAsia="宋体" w:cs="Times New Roman"/>
      <w:lang w:val="en-US" w:eastAsia="zh-CN" w:bidi="ar-SA"/>
    </w:rPr>
  </w:style>
  <w:style w:type="paragraph" w:customStyle="1" w:styleId="29">
    <w:name w:val="WPSOffice手动目录 2"/>
    <w:autoRedefine/>
    <w:qFormat/>
    <w:uiPriority w:val="0"/>
    <w:pPr>
      <w:ind w:left="200" w:leftChars="200"/>
    </w:pPr>
    <w:rPr>
      <w:rFonts w:ascii="Calibri" w:hAnsi="Calibri" w:eastAsia="宋体" w:cs="Times New Roman"/>
      <w:lang w:val="en-US" w:eastAsia="zh-CN" w:bidi="ar-SA"/>
    </w:rPr>
  </w:style>
  <w:style w:type="paragraph" w:customStyle="1" w:styleId="30">
    <w:name w:val="WPSOffice手动目录 3"/>
    <w:autoRedefine/>
    <w:qFormat/>
    <w:uiPriority w:val="0"/>
    <w:pPr>
      <w:ind w:left="400" w:leftChars="400"/>
    </w:pPr>
    <w:rPr>
      <w:rFonts w:ascii="Calibri" w:hAnsi="Calibri" w:eastAsia="宋体" w:cs="Times New Roman"/>
      <w:lang w:val="en-US" w:eastAsia="zh-CN" w:bidi="ar-SA"/>
    </w:rPr>
  </w:style>
  <w:style w:type="paragraph" w:customStyle="1" w:styleId="31">
    <w:name w:val="Table Paragraph"/>
    <w:basedOn w:val="1"/>
    <w:autoRedefine/>
    <w:qFormat/>
    <w:uiPriority w:val="1"/>
  </w:style>
  <w:style w:type="paragraph" w:customStyle="1" w:styleId="32">
    <w:name w:val="Revision"/>
    <w:autoRedefine/>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33">
    <w:name w:val="表格内容"/>
    <w:next w:val="1"/>
    <w:autoRedefine/>
    <w:qFormat/>
    <w:uiPriority w:val="0"/>
    <w:pPr>
      <w:jc w:val="center"/>
    </w:pPr>
    <w:rPr>
      <w:rFonts w:ascii="Times New Roman" w:hAnsi="Times New Roman" w:eastAsia="宋体" w:cs="Times New Roman"/>
      <w:kern w:val="2"/>
      <w:position w:val="-3"/>
      <w:sz w:val="21"/>
      <w:szCs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29</Pages>
  <Words>8642</Words>
  <Characters>8909</Characters>
  <Lines>102</Lines>
  <Paragraphs>28</Paragraphs>
  <TotalTime>0</TotalTime>
  <ScaleCrop>false</ScaleCrop>
  <LinksUpToDate>false</LinksUpToDate>
  <CharactersWithSpaces>9281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2024-01-09T09:28:00Z</dcterms:created>
  <dc:creator>梁韦靖</dc:creator>
  <cp:lastModifiedBy>刘文辉</cp:lastModifiedBy>
  <cp:lastPrinted>2024-01-12T06:50:00Z</cp:lastPrinted>
  <dcterms:modified xsi:type="dcterms:W3CDTF">2025-10-14T08:43:10Z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04BBF6220D00455DB78847278B92062C_13</vt:lpwstr>
  </property>
  <property fmtid="{D5CDD505-2E9C-101B-9397-08002B2CF9AE}" pid="4" name="KSOTemplateDocerSaveRecord">
    <vt:lpwstr>eyJoZGlkIjoiYTI5MDBhZDU3ZDc5NzZlYmFmMDQ2ZDNmOGM2ZmZkMTUiLCJ1c2VySWQiOiIxNTkwOTA0MDk2In0=</vt:lpwstr>
  </property>
</Properties>
</file>