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A0E466">
      <w:pPr>
        <w:adjustRightInd w:val="0"/>
        <w:snapToGrid w:val="0"/>
        <w:spacing w:before="120" w:after="120" w:line="276" w:lineRule="auto"/>
        <w:jc w:val="center"/>
        <w:rPr>
          <w:rFonts w:eastAsia="华文中宋"/>
          <w:color w:val="auto"/>
          <w:sz w:val="44"/>
          <w:szCs w:val="44"/>
          <w:highlight w:val="none"/>
        </w:rPr>
      </w:pPr>
      <w:bookmarkStart w:id="39" w:name="_GoBack"/>
      <w:r>
        <w:rPr>
          <w:rFonts w:hint="eastAsia" w:eastAsia="华文中宋"/>
          <w:color w:val="auto"/>
          <w:sz w:val="44"/>
          <w:szCs w:val="44"/>
          <w:highlight w:val="none"/>
        </w:rPr>
        <w:t>询价文件</w:t>
      </w:r>
    </w:p>
    <w:p w14:paraId="15D4891B">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lang w:val="en-US" w:eastAsia="zh-CN"/>
        </w:rPr>
        <w:t>阳江</w:t>
      </w:r>
      <w:r>
        <w:rPr>
          <w:rFonts w:eastAsia="仿宋_GB2312"/>
          <w:color w:val="auto"/>
          <w:sz w:val="32"/>
          <w:szCs w:val="32"/>
          <w:highlight w:val="none"/>
          <w:u w:val="single"/>
        </w:rPr>
        <w:t>开能环保能源有限公司</w:t>
      </w:r>
      <w:r>
        <w:rPr>
          <w:rFonts w:hint="eastAsia" w:eastAsia="仿宋_GB2312"/>
          <w:color w:val="auto"/>
          <w:sz w:val="32"/>
          <w:szCs w:val="32"/>
          <w:highlight w:val="none"/>
          <w:u w:val="single"/>
        </w:rPr>
        <w:t>（采购人）</w:t>
      </w:r>
      <w:r>
        <w:rPr>
          <w:rFonts w:hint="eastAsia" w:eastAsia="仿宋_GB2312"/>
          <w:color w:val="auto"/>
          <w:sz w:val="32"/>
          <w:szCs w:val="32"/>
          <w:highlight w:val="none"/>
        </w:rPr>
        <w:t>需采购一家</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防腐刷漆及保温工程</w:t>
      </w:r>
      <w:r>
        <w:rPr>
          <w:rFonts w:hint="eastAsia" w:eastAsia="仿宋_GB2312"/>
          <w:color w:val="auto"/>
          <w:sz w:val="32"/>
          <w:szCs w:val="32"/>
          <w:highlight w:val="none"/>
          <w:u w:val="single"/>
          <w:lang w:val="en-US" w:eastAsia="zh-CN"/>
        </w:rPr>
        <w:t>施工</w:t>
      </w:r>
      <w:r>
        <w:rPr>
          <w:rFonts w:eastAsia="仿宋_GB2312"/>
          <w:color w:val="auto"/>
          <w:sz w:val="32"/>
          <w:szCs w:val="32"/>
          <w:highlight w:val="none"/>
          <w:u w:val="single"/>
        </w:rPr>
        <w:t xml:space="preserve"> </w:t>
      </w:r>
      <w:r>
        <w:rPr>
          <w:rFonts w:hint="eastAsia" w:eastAsia="仿宋_GB2312"/>
          <w:color w:val="auto"/>
          <w:sz w:val="32"/>
          <w:szCs w:val="32"/>
          <w:highlight w:val="none"/>
        </w:rPr>
        <w:t>单位，现将相关情况介绍如下：</w:t>
      </w:r>
    </w:p>
    <w:p w14:paraId="252FAEDE">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6ED44260">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阳江开能环保能源有限公司2025年度安全隐患整改项目-防腐刷漆及保温工程</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重新采购</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rPr>
        <w:t>（采购项目编号：YJKN（2025）-GC-00</w:t>
      </w:r>
      <w:r>
        <w:rPr>
          <w:rFonts w:hint="eastAsia" w:eastAsia="仿宋_GB2312"/>
          <w:color w:val="auto"/>
          <w:sz w:val="32"/>
          <w:szCs w:val="32"/>
          <w:highlight w:val="none"/>
          <w:u w:val="single"/>
          <w:lang w:val="en-US" w:eastAsia="zh-CN"/>
        </w:rPr>
        <w:t>6-1</w:t>
      </w:r>
      <w:r>
        <w:rPr>
          <w:rFonts w:hint="eastAsia" w:eastAsia="仿宋_GB2312"/>
          <w:color w:val="auto"/>
          <w:sz w:val="32"/>
          <w:szCs w:val="32"/>
          <w:highlight w:val="none"/>
          <w:u w:val="singl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0551E42C">
      <w:pPr>
        <w:adjustRightInd w:val="0"/>
        <w:snapToGrid w:val="0"/>
        <w:spacing w:line="600" w:lineRule="exact"/>
        <w:ind w:firstLine="640" w:firstLineChars="200"/>
        <w:rPr>
          <w:rFonts w:hint="eastAsia"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阳江开能环保能源有限公司</w:t>
      </w:r>
      <w:r>
        <w:rPr>
          <w:rFonts w:hint="eastAsia" w:eastAsia="仿宋_GB2312"/>
          <w:color w:val="auto"/>
          <w:sz w:val="32"/>
          <w:szCs w:val="32"/>
          <w:highlight w:val="none"/>
          <w:u w:val="single"/>
          <w:lang w:val="en-US" w:eastAsia="zh-CN"/>
        </w:rPr>
        <w:t>厂区余热发电过热炉、储水箱外表面防腐刷漆，余热发电钢构防腐刷漆，部分蒸汽管道、蓄热器更换铝皮</w:t>
      </w:r>
      <w:r>
        <w:rPr>
          <w:rFonts w:hint="eastAsia" w:eastAsia="仿宋_GB2312"/>
          <w:color w:val="auto"/>
          <w:sz w:val="32"/>
          <w:szCs w:val="32"/>
          <w:highlight w:val="none"/>
          <w:u w:val="single"/>
        </w:rPr>
        <w:t>。</w:t>
      </w:r>
    </w:p>
    <w:p w14:paraId="63B7A262">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eastAsia="仿宋_GB2312"/>
          <w:color w:val="auto"/>
          <w:sz w:val="32"/>
          <w:szCs w:val="32"/>
          <w:highlight w:val="none"/>
          <w:u w:val="single"/>
        </w:rPr>
        <w:t xml:space="preserve"> </w:t>
      </w:r>
      <w:r>
        <w:rPr>
          <w:rFonts w:hint="default" w:eastAsia="仿宋_GB2312"/>
          <w:color w:val="auto"/>
          <w:sz w:val="32"/>
          <w:szCs w:val="32"/>
          <w:highlight w:val="none"/>
          <w:u w:val="single"/>
        </w:rPr>
        <w:t> 广东省阳江市高新区港口工业区海港二横路一号阳江开能环保能源有限公司</w:t>
      </w:r>
      <w:r>
        <w:rPr>
          <w:rFonts w:hint="eastAsia" w:eastAsia="仿宋_GB2312"/>
          <w:color w:val="auto"/>
          <w:sz w:val="32"/>
          <w:szCs w:val="32"/>
          <w:highlight w:val="none"/>
          <w:u w:val="single"/>
        </w:rPr>
        <w:t>；</w:t>
      </w:r>
    </w:p>
    <w:p w14:paraId="612F200B">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4</w:t>
      </w:r>
      <w:r>
        <w:rPr>
          <w:rFonts w:hint="eastAsia" w:eastAsia="仿宋_GB2312"/>
          <w:color w:val="auto"/>
          <w:sz w:val="32"/>
          <w:szCs w:val="32"/>
          <w:highlight w:val="none"/>
        </w:rPr>
        <w:t>、工期</w:t>
      </w:r>
      <w:r>
        <w:rPr>
          <w:rFonts w:hint="eastAsia" w:eastAsia="仿宋_GB2312"/>
          <w:color w:val="auto"/>
          <w:sz w:val="32"/>
          <w:szCs w:val="32"/>
          <w:highlight w:val="none"/>
          <w:lang w:val="en-US" w:eastAsia="zh-CN"/>
        </w:rPr>
        <w:t>要求</w:t>
      </w:r>
      <w:r>
        <w:rPr>
          <w:rFonts w:hint="eastAsia" w:eastAsia="仿宋_GB2312"/>
          <w:color w:val="auto"/>
          <w:sz w:val="32"/>
          <w:szCs w:val="32"/>
          <w:highlight w:val="non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合同总工期为30个自然日，具体开工时间以采购人发出的通知为准。</w:t>
      </w:r>
    </w:p>
    <w:p w14:paraId="01F21CB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14:paraId="5B6EE2E9">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本采购项目信息在东莞实业投资控股集团有限公司网站-招标采购栏目（</w:t>
      </w:r>
      <w:r>
        <w:rPr>
          <w:rFonts w:eastAsia="仿宋_GB2312"/>
          <w:color w:val="auto"/>
          <w:sz w:val="32"/>
          <w:szCs w:val="32"/>
          <w:highlight w:val="none"/>
        </w:rPr>
        <w:t>http://www.dgsy.com.cn/</w:t>
      </w:r>
      <w:r>
        <w:rPr>
          <w:rFonts w:hint="eastAsia" w:eastAsia="仿宋_GB2312"/>
          <w:color w:val="auto"/>
          <w:sz w:val="32"/>
          <w:szCs w:val="32"/>
          <w:highlight w:val="none"/>
        </w:rPr>
        <w:t>）发布。</w:t>
      </w:r>
    </w:p>
    <w:p w14:paraId="56665BAC">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14:paraId="00DAC442">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14:paraId="520E5553">
      <w:pPr>
        <w:spacing w:line="40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2、业绩要求：具备</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防腐刷漆</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项目经验，要求</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 xml:space="preserve"> </w:t>
      </w:r>
      <w:r>
        <w:rPr>
          <w:rFonts w:hint="eastAsia" w:ascii="仿宋" w:hAnsi="仿宋" w:eastAsia="仿宋"/>
          <w:color w:val="auto"/>
          <w:sz w:val="32"/>
          <w:szCs w:val="32"/>
          <w:highlight w:val="none"/>
          <w:u w:val="single"/>
        </w:rPr>
        <w:t>2020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日起至</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202</w:t>
      </w:r>
      <w:r>
        <w:rPr>
          <w:rFonts w:hint="eastAsia" w:ascii="仿宋" w:hAnsi="仿宋" w:eastAsia="仿宋"/>
          <w:color w:val="auto"/>
          <w:sz w:val="32"/>
          <w:szCs w:val="32"/>
          <w:highlight w:val="none"/>
          <w:u w:val="single"/>
          <w:lang w:val="en-US" w:eastAsia="zh-CN"/>
        </w:rPr>
        <w:t>5</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7</w:t>
      </w:r>
      <w:r>
        <w:rPr>
          <w:rFonts w:hint="eastAsia" w:ascii="仿宋" w:hAnsi="仿宋" w:eastAsia="仿宋"/>
          <w:color w:val="auto"/>
          <w:sz w:val="32"/>
          <w:szCs w:val="32"/>
          <w:highlight w:val="none"/>
        </w:rPr>
        <w:t>月</w:t>
      </w:r>
      <w:r>
        <w:rPr>
          <w:rFonts w:hint="eastAsia" w:ascii="仿宋" w:hAnsi="仿宋" w:eastAsia="仿宋"/>
          <w:color w:val="auto"/>
          <w:sz w:val="32"/>
          <w:szCs w:val="32"/>
          <w:highlight w:val="none"/>
          <w:u w:val="single"/>
          <w:lang w:val="en-US" w:eastAsia="zh-CN"/>
        </w:rPr>
        <w:t xml:space="preserve"> </w:t>
      </w:r>
      <w:r>
        <w:rPr>
          <w:rFonts w:hint="eastAsia" w:ascii="仿宋" w:hAnsi="仿宋" w:eastAsia="仿宋"/>
          <w:color w:val="auto"/>
          <w:sz w:val="32"/>
          <w:szCs w:val="32"/>
          <w:highlight w:val="none"/>
          <w:u w:val="single"/>
        </w:rPr>
        <w:t>31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日，完成至少</w:t>
      </w:r>
      <w:r>
        <w:rPr>
          <w:rFonts w:hint="eastAsia" w:ascii="仿宋" w:hAnsi="仿宋" w:eastAsia="仿宋"/>
          <w:color w:val="auto"/>
          <w:sz w:val="32"/>
          <w:szCs w:val="32"/>
          <w:highlight w:val="none"/>
          <w:lang w:val="en-US" w:eastAsia="zh-CN"/>
        </w:rPr>
        <w:t>2</w:t>
      </w:r>
      <w:r>
        <w:rPr>
          <w:rFonts w:hint="eastAsia" w:ascii="仿宋" w:hAnsi="仿宋" w:eastAsia="仿宋"/>
          <w:color w:val="auto"/>
          <w:sz w:val="32"/>
          <w:szCs w:val="32"/>
          <w:highlight w:val="none"/>
        </w:rPr>
        <w:t>个</w:t>
      </w:r>
      <w:r>
        <w:rPr>
          <w:rFonts w:hint="eastAsia" w:ascii="仿宋" w:hAnsi="仿宋" w:eastAsia="仿宋"/>
          <w:color w:val="auto"/>
          <w:sz w:val="32"/>
          <w:szCs w:val="32"/>
          <w:highlight w:val="none"/>
          <w:lang w:val="en-US" w:eastAsia="zh-CN"/>
        </w:rPr>
        <w:t xml:space="preserve"> </w:t>
      </w:r>
      <w:r>
        <w:rPr>
          <w:rFonts w:hint="eastAsia" w:ascii="仿宋" w:hAnsi="仿宋" w:eastAsia="仿宋"/>
          <w:color w:val="auto"/>
          <w:sz w:val="32"/>
          <w:szCs w:val="32"/>
          <w:highlight w:val="none"/>
          <w:u w:val="single"/>
          <w:lang w:val="en-US" w:eastAsia="zh-CN"/>
        </w:rPr>
        <w:t>防腐刷漆的业绩（整体施工项目中含有或单独施工的均可）</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业绩。【按合同签订时间为准，须提供合同关键页复印件（包含但不限于合同首页、合同金额页、合同签字页等）、该合同期内任意一期发票复印件，并加盖投标人公章。</w:t>
      </w:r>
    </w:p>
    <w:p w14:paraId="1A8A83C6">
      <w:pPr>
        <w:spacing w:line="40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3、</w:t>
      </w:r>
      <w:r>
        <w:rPr>
          <w:rFonts w:hint="eastAsia" w:ascii="仿宋" w:hAnsi="仿宋" w:eastAsia="仿宋"/>
          <w:color w:val="auto"/>
          <w:sz w:val="32"/>
          <w:szCs w:val="32"/>
          <w:highlight w:val="none"/>
        </w:rPr>
        <w:t>资质要求：响应人须具备</w:t>
      </w:r>
      <w:r>
        <w:rPr>
          <w:rFonts w:hint="eastAsia" w:ascii="仿宋" w:hAnsi="仿宋" w:eastAsia="仿宋"/>
          <w:color w:val="auto"/>
          <w:sz w:val="32"/>
          <w:szCs w:val="32"/>
          <w:highlight w:val="none"/>
          <w:lang w:val="en-US" w:eastAsia="zh-CN"/>
        </w:rPr>
        <w:t>防腐保温工程专业承包三级</w:t>
      </w:r>
      <w:r>
        <w:rPr>
          <w:rFonts w:hint="eastAsia" w:ascii="仿宋" w:hAnsi="仿宋" w:eastAsia="仿宋"/>
          <w:color w:val="auto"/>
          <w:sz w:val="32"/>
          <w:szCs w:val="32"/>
          <w:highlight w:val="none"/>
        </w:rPr>
        <w:t>（或以上）资质证书，且在有效期内。【提供资质证书复印件（加盖公章）】</w:t>
      </w:r>
    </w:p>
    <w:p w14:paraId="02836172">
      <w:pPr>
        <w:pStyle w:val="2"/>
        <w:ind w:firstLine="642"/>
        <w:rPr>
          <w:rFonts w:hint="eastAsia" w:ascii="仿宋" w:hAnsi="仿宋" w:eastAsia="仿宋" w:cs="Times New Roman"/>
          <w:b w:val="0"/>
          <w:bCs w:val="0"/>
          <w:color w:val="auto"/>
          <w:kern w:val="2"/>
          <w:sz w:val="32"/>
          <w:szCs w:val="32"/>
          <w:highlight w:val="none"/>
          <w:lang w:val="en-US" w:eastAsia="zh-CN" w:bidi="ar-SA"/>
        </w:rPr>
      </w:pPr>
      <w:r>
        <w:rPr>
          <w:rFonts w:hint="eastAsia" w:ascii="仿宋" w:hAnsi="仿宋" w:eastAsia="仿宋" w:cs="Times New Roman"/>
          <w:b w:val="0"/>
          <w:bCs w:val="0"/>
          <w:color w:val="auto"/>
          <w:kern w:val="2"/>
          <w:sz w:val="32"/>
          <w:szCs w:val="32"/>
          <w:highlight w:val="none"/>
          <w:lang w:val="en-US" w:eastAsia="zh-CN" w:bidi="ar-SA"/>
        </w:rPr>
        <w:t>4、采购人不集中组织现场探勘，但响应人必须自行踏勘现场并保留经采购人现场相关人员盖章签字确认的《响应人参与现场踏勘确认函回执》，此项作为响应必要条件，并放于响应人的报价文件中（详见附件十三），踏勘现场联系人：刘先生（13662885866）。</w:t>
      </w:r>
    </w:p>
    <w:p w14:paraId="2BF9F8F2">
      <w:pPr>
        <w:pStyle w:val="2"/>
        <w:ind w:firstLine="642"/>
        <w:rPr>
          <w:rFonts w:hint="eastAsia" w:ascii="仿宋" w:hAnsi="仿宋" w:eastAsia="仿宋" w:cs="Times New Roman"/>
          <w:b w:val="0"/>
          <w:bCs w:val="0"/>
          <w:color w:val="auto"/>
          <w:kern w:val="2"/>
          <w:sz w:val="32"/>
          <w:szCs w:val="32"/>
          <w:highlight w:val="none"/>
          <w:lang w:val="en-US" w:eastAsia="zh-CN" w:bidi="ar-SA"/>
        </w:rPr>
      </w:pPr>
      <w:r>
        <w:rPr>
          <w:rFonts w:hint="eastAsia" w:ascii="仿宋" w:hAnsi="仿宋" w:eastAsia="仿宋" w:cs="Times New Roman"/>
          <w:b w:val="0"/>
          <w:bCs w:val="0"/>
          <w:color w:val="auto"/>
          <w:kern w:val="2"/>
          <w:sz w:val="32"/>
          <w:szCs w:val="32"/>
          <w:highlight w:val="none"/>
          <w:lang w:val="en-US" w:eastAsia="zh-CN" w:bidi="ar-SA"/>
        </w:rPr>
        <w:t>5、未被列入东实集团及下属企业相关领域黑名单。</w:t>
      </w:r>
    </w:p>
    <w:p w14:paraId="34A30AD7">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6</w:t>
      </w:r>
      <w:r>
        <w:rPr>
          <w:rFonts w:hint="eastAsia" w:eastAsia="仿宋_GB2312"/>
          <w:color w:val="auto"/>
          <w:sz w:val="32"/>
          <w:szCs w:val="32"/>
          <w:highlight w:val="none"/>
        </w:rPr>
        <w:t>、本项目不接受联合体报价。</w:t>
      </w:r>
    </w:p>
    <w:p w14:paraId="7243BAE3">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四、采购内容及要求</w:t>
      </w:r>
    </w:p>
    <w:p w14:paraId="48B72B92">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具体要求详见本询价文件附件</w:t>
      </w:r>
      <w:r>
        <w:rPr>
          <w:rFonts w:hint="eastAsia" w:eastAsia="仿宋_GB2312"/>
          <w:color w:val="auto"/>
          <w:sz w:val="32"/>
          <w:szCs w:val="32"/>
          <w:highlight w:val="none"/>
          <w:u w:val="single"/>
          <w:lang w:val="en-US" w:eastAsia="zh-CN"/>
        </w:rPr>
        <w:t>二《报价函及清单》以及附件六《阳江开能环保能源有限公司2025年度安全隐患整改项目-防腐刷漆及保温工程技术要求》</w:t>
      </w:r>
      <w:r>
        <w:rPr>
          <w:rFonts w:hint="eastAsia" w:eastAsia="仿宋_GB2312"/>
          <w:color w:val="auto"/>
          <w:sz w:val="32"/>
          <w:szCs w:val="32"/>
          <w:highlight w:val="none"/>
        </w:rPr>
        <w:t>。响应人须仔细</w:t>
      </w:r>
      <w:r>
        <w:rPr>
          <w:rFonts w:hint="eastAsia" w:eastAsia="仿宋_GB2312"/>
          <w:color w:val="auto"/>
          <w:sz w:val="32"/>
          <w:szCs w:val="32"/>
          <w:highlight w:val="none"/>
          <w:lang w:val="en-US" w:eastAsia="zh-CN"/>
        </w:rPr>
        <w:t>了解清单及技术规范所列内容</w:t>
      </w:r>
      <w:r>
        <w:rPr>
          <w:rFonts w:hint="eastAsia" w:eastAsia="仿宋_GB2312"/>
          <w:color w:val="auto"/>
          <w:sz w:val="32"/>
          <w:szCs w:val="32"/>
          <w:highlight w:val="none"/>
        </w:rPr>
        <w:t>，因未详细了解造成报价项目遗漏，由响应人自行负责。</w:t>
      </w:r>
    </w:p>
    <w:p w14:paraId="77F916D7">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五、完成时间</w:t>
      </w:r>
    </w:p>
    <w:p w14:paraId="191293E5">
      <w:pPr>
        <w:adjustRightInd w:val="0"/>
        <w:snapToGrid w:val="0"/>
        <w:spacing w:line="600" w:lineRule="exact"/>
        <w:ind w:firstLine="640" w:firstLineChars="200"/>
        <w:outlineLvl w:val="1"/>
        <w:rPr>
          <w:rFonts w:hint="eastAsia" w:eastAsia="仿宋_GB2312"/>
          <w:color w:val="auto"/>
          <w:sz w:val="32"/>
          <w:szCs w:val="32"/>
          <w:highlight w:val="none"/>
          <w:u w:val="single"/>
        </w:rPr>
      </w:pPr>
      <w:r>
        <w:rPr>
          <w:rFonts w:hint="eastAsia" w:eastAsia="仿宋_GB2312"/>
          <w:color w:val="auto"/>
          <w:sz w:val="32"/>
          <w:szCs w:val="32"/>
          <w:highlight w:val="none"/>
          <w:u w:val="single"/>
        </w:rPr>
        <w:t>工期</w:t>
      </w:r>
      <w:r>
        <w:rPr>
          <w:rFonts w:hint="eastAsia" w:eastAsia="仿宋_GB2312"/>
          <w:color w:val="auto"/>
          <w:sz w:val="32"/>
          <w:szCs w:val="32"/>
          <w:highlight w:val="none"/>
          <w:u w:val="single"/>
          <w:lang w:val="en-US" w:eastAsia="zh-CN"/>
        </w:rPr>
        <w:t>要求：合同总工期为30个自然日，具体开工时间以采购人发出的通知为准。</w:t>
      </w:r>
    </w:p>
    <w:p w14:paraId="20D82FFC">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 xml:space="preserve">六、支付方式 </w:t>
      </w:r>
    </w:p>
    <w:p w14:paraId="42ECB120">
      <w:pPr>
        <w:adjustRightInd w:val="0"/>
        <w:snapToGrid w:val="0"/>
        <w:spacing w:line="600" w:lineRule="exact"/>
        <w:ind w:firstLine="640" w:firstLineChars="200"/>
        <w:outlineLvl w:val="1"/>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1</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预付款：合同签订之后采购人支付合同总价30%的预付款；</w:t>
      </w:r>
    </w:p>
    <w:p w14:paraId="2C6C1FB7">
      <w:pPr>
        <w:adjustRightInd w:val="0"/>
        <w:snapToGrid w:val="0"/>
        <w:spacing w:line="600" w:lineRule="exact"/>
        <w:ind w:firstLine="640" w:firstLineChars="200"/>
        <w:outlineLvl w:val="1"/>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2、完工验收款：磋商项目项下所有项目完工并经采购人验收合格，支付至已完工程总价的80%。</w:t>
      </w:r>
    </w:p>
    <w:p w14:paraId="54ADD88E">
      <w:pPr>
        <w:adjustRightInd w:val="0"/>
        <w:snapToGrid w:val="0"/>
        <w:spacing w:line="600" w:lineRule="exact"/>
        <w:ind w:firstLine="640" w:firstLineChars="200"/>
        <w:outlineLvl w:val="1"/>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3、结算款：项目结算完成支付至结算总价的97%。</w:t>
      </w:r>
    </w:p>
    <w:p w14:paraId="512F956D">
      <w:pPr>
        <w:adjustRightInd w:val="0"/>
        <w:snapToGrid w:val="0"/>
        <w:spacing w:line="600" w:lineRule="exact"/>
        <w:ind w:firstLine="640" w:firstLineChars="200"/>
        <w:outlineLvl w:val="1"/>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4、质保金：质保期满后一个月内，采购人向中标人支付合同结算总价3%的质保金。质保期为项目验收合格满1年。</w:t>
      </w:r>
    </w:p>
    <w:p w14:paraId="5A1CE5F2">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14:paraId="6EF26ADC">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采购限价：</w:t>
      </w:r>
      <w:r>
        <w:rPr>
          <w:rFonts w:hint="eastAsia" w:eastAsia="仿宋_GB2312"/>
          <w:color w:val="auto"/>
          <w:sz w:val="32"/>
          <w:szCs w:val="32"/>
          <w:highlight w:val="none"/>
          <w:u w:val="none"/>
        </w:rPr>
        <w:t>人民币</w:t>
      </w:r>
      <w:r>
        <w:rPr>
          <w:rFonts w:eastAsia="仿宋_GB2312"/>
          <w:color w:val="auto"/>
          <w:sz w:val="32"/>
          <w:szCs w:val="32"/>
          <w:highlight w:val="none"/>
          <w:u w:val="single"/>
        </w:rPr>
        <w:t>¥</w:t>
      </w:r>
      <w:r>
        <w:rPr>
          <w:rFonts w:hint="eastAsia" w:eastAsia="仿宋_GB2312"/>
          <w:color w:val="auto"/>
          <w:sz w:val="32"/>
          <w:szCs w:val="32"/>
          <w:highlight w:val="none"/>
          <w:u w:val="single"/>
          <w:lang w:val="en-US" w:eastAsia="zh-CN"/>
        </w:rPr>
        <w:t>669700.00元</w:t>
      </w:r>
      <w:r>
        <w:rPr>
          <w:rFonts w:hint="eastAsia" w:eastAsia="仿宋_GB2312"/>
          <w:color w:val="auto"/>
          <w:sz w:val="32"/>
          <w:szCs w:val="32"/>
          <w:highlight w:val="none"/>
          <w:u w:val="single"/>
        </w:rPr>
        <w:t>整（大写：</w:t>
      </w:r>
      <w:r>
        <w:rPr>
          <w:rFonts w:hint="eastAsia" w:eastAsia="仿宋_GB2312"/>
          <w:color w:val="auto"/>
          <w:sz w:val="32"/>
          <w:szCs w:val="32"/>
          <w:highlight w:val="none"/>
          <w:u w:val="single"/>
          <w:lang w:val="en-US" w:eastAsia="zh-CN"/>
        </w:rPr>
        <w:t>陆拾陆万玖仟柒佰</w:t>
      </w:r>
      <w:r>
        <w:rPr>
          <w:rFonts w:hint="eastAsia" w:eastAsia="仿宋_GB2312"/>
          <w:color w:val="auto"/>
          <w:sz w:val="32"/>
          <w:szCs w:val="32"/>
          <w:highlight w:val="none"/>
          <w:u w:val="single"/>
        </w:rPr>
        <w:t>元整）</w:t>
      </w:r>
      <w:r>
        <w:rPr>
          <w:rFonts w:hint="eastAsia" w:eastAsia="仿宋_GB2312"/>
          <w:color w:val="auto"/>
          <w:sz w:val="32"/>
          <w:szCs w:val="32"/>
          <w:highlight w:val="none"/>
        </w:rPr>
        <w:t>（含税</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包含9%的增值税专用发票</w:t>
      </w:r>
      <w:r>
        <w:rPr>
          <w:rFonts w:hint="eastAsia" w:eastAsia="仿宋_GB2312"/>
          <w:color w:val="auto"/>
          <w:sz w:val="32"/>
          <w:szCs w:val="32"/>
          <w:highlight w:val="none"/>
        </w:rPr>
        <w:t>）。</w:t>
      </w:r>
    </w:p>
    <w:p w14:paraId="41F904CD">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本项目发包方式为</w:t>
      </w:r>
      <w:r>
        <w:rPr>
          <w:rFonts w:hint="eastAsia" w:eastAsia="仿宋_GB2312"/>
          <w:color w:val="auto"/>
          <w:sz w:val="32"/>
          <w:szCs w:val="32"/>
          <w:highlight w:val="none"/>
          <w:lang w:val="en-US" w:eastAsia="zh-CN"/>
        </w:rPr>
        <w:t>固定单价暂定总价的形式，承包内容为</w:t>
      </w:r>
      <w:r>
        <w:rPr>
          <w:rFonts w:hint="eastAsia" w:eastAsia="仿宋_GB2312"/>
          <w:color w:val="auto"/>
          <w:sz w:val="32"/>
          <w:szCs w:val="32"/>
          <w:highlight w:val="none"/>
          <w:u w:val="single"/>
        </w:rPr>
        <w:t>附件</w:t>
      </w:r>
      <w:r>
        <w:rPr>
          <w:rFonts w:hint="eastAsia" w:eastAsia="仿宋_GB2312"/>
          <w:color w:val="auto"/>
          <w:sz w:val="32"/>
          <w:szCs w:val="32"/>
          <w:highlight w:val="none"/>
          <w:u w:val="single"/>
          <w:lang w:val="en-US" w:eastAsia="zh-CN"/>
        </w:rPr>
        <w:t>二《报价函及清单》以及附件六《阳江开能环保能源有限公司2025年度安全隐患整改项目-防腐刷漆及保温工程技术要求》的全部内容</w:t>
      </w:r>
      <w:r>
        <w:rPr>
          <w:rFonts w:hint="eastAsia" w:eastAsia="仿宋_GB2312"/>
          <w:color w:val="auto"/>
          <w:sz w:val="32"/>
          <w:szCs w:val="32"/>
          <w:highlight w:val="none"/>
        </w:rPr>
        <w:t>。</w:t>
      </w:r>
    </w:p>
    <w:p w14:paraId="4EE50108">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八、定标</w:t>
      </w:r>
    </w:p>
    <w:p w14:paraId="3B2175C9">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本次项目采用询价方式进行采购，询价小组对各供应商响应文件进行审核，并根据质量和服务均能满足采购文件实质性响应要求且</w:t>
      </w:r>
      <w:r>
        <w:rPr>
          <w:rFonts w:hint="eastAsia" w:eastAsia="仿宋_GB2312"/>
          <w:color w:val="auto"/>
          <w:sz w:val="32"/>
          <w:szCs w:val="32"/>
          <w:highlight w:val="none"/>
          <w:u w:val="single"/>
          <w:lang w:val="en-US" w:eastAsia="zh-CN"/>
        </w:rPr>
        <w:t>不含税</w:t>
      </w:r>
      <w:r>
        <w:rPr>
          <w:rFonts w:hint="eastAsia" w:eastAsia="仿宋_GB2312"/>
          <w:color w:val="auto"/>
          <w:sz w:val="32"/>
          <w:szCs w:val="32"/>
          <w:highlight w:val="none"/>
          <w:u w:val="single"/>
        </w:rPr>
        <w:t>报价最低的原则，推荐成交候选供应商。</w:t>
      </w:r>
    </w:p>
    <w:p w14:paraId="28D038EB">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询价结束后，招标采购工作小组将相关询价情况按程序审批并确定成交人。</w:t>
      </w:r>
    </w:p>
    <w:p w14:paraId="3771E67A">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九、采取的合同文本</w:t>
      </w:r>
    </w:p>
    <w:p w14:paraId="7050C8E3">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合同签订的依据为附件七合同模板询价函、响应文件及补充说明等。确定成交单位后，成交单位在</w:t>
      </w:r>
      <w:r>
        <w:rPr>
          <w:rFonts w:eastAsia="仿宋_GB2312"/>
          <w:color w:val="auto"/>
          <w:sz w:val="32"/>
          <w:szCs w:val="32"/>
          <w:highlight w:val="none"/>
          <w:u w:val="single"/>
        </w:rPr>
        <w:t>10</w:t>
      </w:r>
      <w:r>
        <w:rPr>
          <w:rFonts w:hint="eastAsia" w:eastAsia="仿宋_GB2312"/>
          <w:color w:val="auto"/>
          <w:sz w:val="32"/>
          <w:szCs w:val="32"/>
          <w:highlight w:val="none"/>
        </w:rPr>
        <w:t>天内与采购人签订合同。</w:t>
      </w:r>
    </w:p>
    <w:p w14:paraId="4F588837">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14:paraId="0B5B28E9">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7FF7CB99">
      <w:pPr>
        <w:numPr>
          <w:ilvl w:val="0"/>
          <w:numId w:val="3"/>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报价函（模板）及报价清单；</w:t>
      </w:r>
    </w:p>
    <w:p w14:paraId="60528BFB">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、法定代表人身份证明（模板）以及法定代表人身份证复印件；</w:t>
      </w:r>
    </w:p>
    <w:p w14:paraId="05844CC9">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63C4EE96">
      <w:pPr>
        <w:spacing w:line="600" w:lineRule="exact"/>
        <w:ind w:firstLine="640" w:firstLineChars="200"/>
        <w:rPr>
          <w:rFonts w:hint="eastAsia"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59F34015">
      <w:pPr>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5、投标人未到场证明（如需）</w:t>
      </w:r>
    </w:p>
    <w:p w14:paraId="14536C5E">
      <w:pPr>
        <w:pStyle w:val="6"/>
        <w:ind w:left="0" w:leftChars="0" w:firstLine="640" w:firstLineChars="200"/>
        <w:rPr>
          <w:color w:val="auto"/>
          <w:highlight w:val="none"/>
        </w:rPr>
      </w:pPr>
      <w:r>
        <w:rPr>
          <w:rFonts w:hint="eastAsia" w:ascii="Times New Roman" w:hAnsi="Times New Roman" w:eastAsia="仿宋_GB2312" w:cs="Times New Roman"/>
          <w:color w:val="auto"/>
          <w:kern w:val="2"/>
          <w:sz w:val="32"/>
          <w:szCs w:val="32"/>
          <w:highlight w:val="none"/>
          <w:lang w:val="en-US" w:eastAsia="zh-CN" w:bidi="ar-SA"/>
        </w:rPr>
        <w:t>6、</w:t>
      </w:r>
      <w:r>
        <w:rPr>
          <w:rFonts w:hint="eastAsia" w:eastAsia="仿宋_GB2312"/>
          <w:color w:val="auto"/>
          <w:sz w:val="32"/>
          <w:szCs w:val="32"/>
          <w:highlight w:val="none"/>
        </w:rPr>
        <w:t>商务技术偏离表（模板）</w:t>
      </w:r>
    </w:p>
    <w:p w14:paraId="6146C369">
      <w:pPr>
        <w:spacing w:line="600" w:lineRule="exact"/>
        <w:ind w:firstLine="640" w:firstLineChars="200"/>
        <w:rPr>
          <w:rFonts w:hint="eastAsia" w:eastAsia="仿宋_GB2312"/>
          <w:color w:val="auto"/>
          <w:sz w:val="32"/>
          <w:szCs w:val="32"/>
          <w:highlight w:val="none"/>
        </w:rPr>
      </w:pPr>
      <w:r>
        <w:rPr>
          <w:rFonts w:hint="eastAsia" w:eastAsia="仿宋_GB2312"/>
          <w:color w:val="auto"/>
          <w:sz w:val="32"/>
          <w:szCs w:val="32"/>
          <w:highlight w:val="none"/>
          <w:lang w:val="en-US" w:eastAsia="zh-CN"/>
        </w:rPr>
        <w:t>7</w:t>
      </w:r>
      <w:r>
        <w:rPr>
          <w:rFonts w:hint="eastAsia" w:eastAsia="仿宋_GB2312"/>
          <w:color w:val="auto"/>
          <w:sz w:val="32"/>
          <w:szCs w:val="32"/>
          <w:highlight w:val="none"/>
        </w:rPr>
        <w:t>、符合“响应人资格要求”对应的证明资料；</w:t>
      </w:r>
    </w:p>
    <w:p w14:paraId="3C0E1093">
      <w:pPr>
        <w:pStyle w:val="2"/>
        <w:ind w:firstLine="640" w:firstLineChars="200"/>
        <w:rPr>
          <w:rFonts w:hint="eastAsia" w:ascii="Times New Roman" w:hAnsi="Times New Roman" w:eastAsia="仿宋_GB2312" w:cs="Times New Roman"/>
          <w:b w:val="0"/>
          <w:bCs w:val="0"/>
          <w:color w:val="auto"/>
          <w:kern w:val="2"/>
          <w:sz w:val="32"/>
          <w:szCs w:val="32"/>
          <w:highlight w:val="none"/>
          <w:lang w:val="en-US" w:eastAsia="zh-CN" w:bidi="ar-SA"/>
        </w:rPr>
      </w:pPr>
      <w:r>
        <w:rPr>
          <w:rFonts w:hint="eastAsia" w:ascii="Times New Roman" w:hAnsi="Times New Roman" w:eastAsia="仿宋_GB2312" w:cs="Times New Roman"/>
          <w:b w:val="0"/>
          <w:bCs w:val="0"/>
          <w:color w:val="auto"/>
          <w:kern w:val="2"/>
          <w:sz w:val="32"/>
          <w:szCs w:val="32"/>
          <w:highlight w:val="none"/>
          <w:lang w:val="en-US" w:eastAsia="zh-CN" w:bidi="ar-SA"/>
        </w:rPr>
        <w:t>8、《响应人参与现场踏勘确认函回执》</w:t>
      </w:r>
    </w:p>
    <w:p w14:paraId="79F971CC">
      <w:pPr>
        <w:spacing w:line="600" w:lineRule="exact"/>
        <w:ind w:firstLine="640" w:firstLineChars="200"/>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9、技术方案（响应人可根据附件六技术规范书修改补充）</w:t>
      </w:r>
    </w:p>
    <w:p w14:paraId="079058F1">
      <w:pPr>
        <w:spacing w:line="600" w:lineRule="exact"/>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10</w:t>
      </w:r>
      <w:r>
        <w:rPr>
          <w:rFonts w:hint="eastAsia" w:eastAsia="仿宋_GB2312"/>
          <w:color w:val="auto"/>
          <w:sz w:val="32"/>
          <w:szCs w:val="32"/>
          <w:highlight w:val="none"/>
        </w:rPr>
        <w:t>、响应人认为需要提供的其他资料。</w:t>
      </w:r>
    </w:p>
    <w:p w14:paraId="448FB000">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14:paraId="2BEACE73">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54F960D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正本一份副本一份，并提供响应文件扫描件电子版（U盘）。</w:t>
      </w:r>
    </w:p>
    <w:p w14:paraId="37AC3950">
      <w:pPr>
        <w:adjustRightInd w:val="0"/>
        <w:snapToGrid w:val="0"/>
        <w:spacing w:line="600" w:lineRule="exact"/>
        <w:ind w:firstLine="640" w:firstLineChars="200"/>
        <w:outlineLvl w:val="1"/>
        <w:rPr>
          <w:rFonts w:eastAsia="仿宋_GB2312"/>
          <w:b/>
          <w:bCs/>
          <w:color w:val="auto"/>
          <w:sz w:val="32"/>
          <w:szCs w:val="32"/>
          <w:highlight w:val="none"/>
        </w:rPr>
      </w:pPr>
      <w:r>
        <w:rPr>
          <w:rFonts w:hint="eastAsia" w:ascii="黑体" w:hAnsi="黑体" w:eastAsia="黑体" w:cs="黑体"/>
          <w:color w:val="auto"/>
          <w:sz w:val="32"/>
          <w:szCs w:val="32"/>
          <w:highlight w:val="none"/>
        </w:rPr>
        <w:t>十二、保证金金额及缴纳方式</w:t>
      </w:r>
    </w:p>
    <w:p w14:paraId="48D4D8E7">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1、开标前，响应人应在项目开标前缴纳人民币</w:t>
      </w:r>
      <w:r>
        <w:rPr>
          <w:rFonts w:hint="eastAsia" w:eastAsia="仿宋_GB2312"/>
          <w:color w:val="auto"/>
          <w:sz w:val="32"/>
          <w:szCs w:val="32"/>
          <w:highlight w:val="none"/>
          <w:u w:val="single"/>
          <w:lang w:val="en-US" w:eastAsia="zh-CN"/>
        </w:rPr>
        <w:t>壹万叁仟元</w:t>
      </w:r>
      <w:r>
        <w:rPr>
          <w:rFonts w:hint="eastAsia" w:eastAsia="仿宋_GB2312"/>
          <w:color w:val="auto"/>
          <w:sz w:val="32"/>
          <w:szCs w:val="32"/>
          <w:highlight w:val="none"/>
          <w:u w:val="single"/>
        </w:rPr>
        <w:t>整（小写￥</w:t>
      </w:r>
      <w:r>
        <w:rPr>
          <w:rFonts w:hint="eastAsia" w:eastAsia="仿宋_GB2312"/>
          <w:color w:val="auto"/>
          <w:sz w:val="32"/>
          <w:szCs w:val="32"/>
          <w:highlight w:val="none"/>
          <w:u w:val="single"/>
          <w:lang w:val="en-US" w:eastAsia="zh-CN"/>
        </w:rPr>
        <w:t>1300</w:t>
      </w:r>
      <w:r>
        <w:rPr>
          <w:rFonts w:hint="eastAsia" w:eastAsia="仿宋_GB2312"/>
          <w:color w:val="auto"/>
          <w:sz w:val="32"/>
          <w:szCs w:val="32"/>
          <w:highlight w:val="none"/>
          <w:u w:val="single"/>
        </w:rPr>
        <w:t>0.00元）至以下报价保证金专用账户（响应人与交款人名称必须一致，不接受个人名义转账）作为项目投标保证金。成交单位的投标保证金不退还，待双方签订合同后，转为履约保证金。未中标单位的保证金在项目中标确定后的10个工作日内无息退还。</w:t>
      </w:r>
    </w:p>
    <w:p w14:paraId="4EAF5FDE">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报价保证金收款账户信息：</w:t>
      </w:r>
    </w:p>
    <w:p w14:paraId="17A09DE9">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帐户名称：</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p>
    <w:p w14:paraId="2396C655">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 xml:space="preserve">开户银行：广发银行股份有限公司阳江分行； </w:t>
      </w:r>
    </w:p>
    <w:p w14:paraId="49766B25">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银行帐号：9550 8802 0063 4500 171；</w:t>
      </w:r>
    </w:p>
    <w:p w14:paraId="2ABE4BF9">
      <w:pPr>
        <w:spacing w:line="600" w:lineRule="exact"/>
        <w:ind w:firstLine="640" w:firstLineChars="200"/>
        <w:rPr>
          <w:color w:val="auto"/>
          <w:highlight w:val="none"/>
        </w:rPr>
      </w:pPr>
      <w:r>
        <w:rPr>
          <w:rFonts w:hint="eastAsia" w:eastAsia="仿宋_GB2312"/>
          <w:color w:val="auto"/>
          <w:sz w:val="32"/>
          <w:szCs w:val="32"/>
          <w:highlight w:val="none"/>
          <w:u w:val="single"/>
        </w:rPr>
        <w:t>2、成交</w:t>
      </w:r>
      <w:r>
        <w:rPr>
          <w:rFonts w:hint="eastAsia" w:eastAsia="仿宋_GB2312"/>
          <w:color w:val="auto"/>
          <w:sz w:val="32"/>
          <w:szCs w:val="32"/>
          <w:highlight w:val="none"/>
          <w:u w:val="single"/>
          <w:lang w:val="en-US" w:eastAsia="zh-CN"/>
        </w:rPr>
        <w:t>单位</w:t>
      </w:r>
      <w:r>
        <w:rPr>
          <w:rFonts w:hint="eastAsia" w:eastAsia="仿宋_GB2312"/>
          <w:color w:val="auto"/>
          <w:sz w:val="32"/>
          <w:szCs w:val="32"/>
          <w:highlight w:val="none"/>
          <w:u w:val="single"/>
        </w:rPr>
        <w:t>的报价保证金在本项目合同签订后自动转为履约保证金，作为成交</w:t>
      </w:r>
      <w:r>
        <w:rPr>
          <w:rFonts w:hint="eastAsia" w:eastAsia="仿宋_GB2312"/>
          <w:color w:val="auto"/>
          <w:sz w:val="32"/>
          <w:szCs w:val="32"/>
          <w:highlight w:val="none"/>
          <w:u w:val="single"/>
          <w:lang w:val="en-US" w:eastAsia="zh-CN"/>
        </w:rPr>
        <w:t>单位</w:t>
      </w:r>
      <w:r>
        <w:rPr>
          <w:rFonts w:hint="eastAsia" w:eastAsia="仿宋_GB2312"/>
          <w:color w:val="auto"/>
          <w:sz w:val="32"/>
          <w:szCs w:val="32"/>
          <w:highlight w:val="none"/>
          <w:u w:val="single"/>
        </w:rPr>
        <w:t>在履约过程中违约金或罚款的扣罚来源之一，履约保证金申请返还时间为采购人</w:t>
      </w:r>
      <w:r>
        <w:rPr>
          <w:rFonts w:hint="eastAsia" w:eastAsia="仿宋_GB2312"/>
          <w:color w:val="auto"/>
          <w:sz w:val="32"/>
          <w:szCs w:val="32"/>
          <w:highlight w:val="none"/>
          <w:u w:val="single"/>
          <w:lang w:val="en-US" w:eastAsia="zh-CN"/>
        </w:rPr>
        <w:t>项目</w:t>
      </w:r>
      <w:r>
        <w:rPr>
          <w:rFonts w:hint="eastAsia" w:eastAsia="仿宋_GB2312"/>
          <w:color w:val="auto"/>
          <w:sz w:val="32"/>
          <w:szCs w:val="32"/>
          <w:highlight w:val="none"/>
          <w:u w:val="single"/>
        </w:rPr>
        <w:t>最终验收合格后，成交单位没有任何违约的情况下由成交</w:t>
      </w:r>
      <w:r>
        <w:rPr>
          <w:rFonts w:hint="eastAsia" w:eastAsia="仿宋_GB2312"/>
          <w:color w:val="auto"/>
          <w:sz w:val="32"/>
          <w:szCs w:val="32"/>
          <w:highlight w:val="none"/>
          <w:u w:val="single"/>
          <w:lang w:val="en-US" w:eastAsia="zh-CN"/>
        </w:rPr>
        <w:t>单位</w:t>
      </w:r>
      <w:r>
        <w:rPr>
          <w:rFonts w:hint="eastAsia" w:eastAsia="仿宋_GB2312"/>
          <w:color w:val="auto"/>
          <w:sz w:val="32"/>
          <w:szCs w:val="32"/>
          <w:highlight w:val="none"/>
          <w:u w:val="single"/>
        </w:rPr>
        <w:t>提交退款申请，收到成交</w:t>
      </w:r>
      <w:r>
        <w:rPr>
          <w:rFonts w:hint="eastAsia" w:eastAsia="仿宋_GB2312"/>
          <w:color w:val="auto"/>
          <w:sz w:val="32"/>
          <w:szCs w:val="32"/>
          <w:highlight w:val="none"/>
          <w:u w:val="single"/>
          <w:lang w:val="en-US" w:eastAsia="zh-CN"/>
        </w:rPr>
        <w:t>单位</w:t>
      </w:r>
      <w:r>
        <w:rPr>
          <w:rFonts w:hint="eastAsia" w:eastAsia="仿宋_GB2312"/>
          <w:color w:val="auto"/>
          <w:sz w:val="32"/>
          <w:szCs w:val="32"/>
          <w:highlight w:val="none"/>
          <w:u w:val="single"/>
        </w:rPr>
        <w:t>申请后30个日历日内，采购人一次性无息退回。</w:t>
      </w:r>
    </w:p>
    <w:p w14:paraId="1C31280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十三、开标时间及地址</w:t>
      </w:r>
    </w:p>
    <w:p w14:paraId="52B0E06F">
      <w:pPr>
        <w:adjustRightInd w:val="0"/>
        <w:snapToGrid w:val="0"/>
        <w:spacing w:line="600" w:lineRule="exact"/>
        <w:ind w:firstLine="643" w:firstLineChars="200"/>
        <w:outlineLvl w:val="1"/>
        <w:rPr>
          <w:rFonts w:hint="eastAsia" w:eastAsia="仿宋_GB2312"/>
          <w:b/>
          <w:color w:val="auto"/>
          <w:sz w:val="32"/>
          <w:szCs w:val="32"/>
          <w:highlight w:val="none"/>
        </w:rPr>
      </w:pPr>
      <w:r>
        <w:rPr>
          <w:rFonts w:hint="eastAsia" w:eastAsia="仿宋_GB2312"/>
          <w:b/>
          <w:color w:val="auto"/>
          <w:sz w:val="32"/>
          <w:szCs w:val="32"/>
          <w:highlight w:val="none"/>
        </w:rPr>
        <w:t>1、接收响应文件截止及开标时间：</w:t>
      </w:r>
      <w:r>
        <w:rPr>
          <w:rFonts w:hint="eastAsia" w:eastAsia="仿宋_GB2312"/>
          <w:b/>
          <w:color w:val="auto"/>
          <w:sz w:val="32"/>
          <w:szCs w:val="32"/>
          <w:highlight w:val="none"/>
          <w:u w:val="single"/>
        </w:rPr>
        <w:t>202</w:t>
      </w:r>
      <w:r>
        <w:rPr>
          <w:rFonts w:hint="eastAsia" w:eastAsia="仿宋_GB2312"/>
          <w:b/>
          <w:color w:val="auto"/>
          <w:sz w:val="32"/>
          <w:szCs w:val="32"/>
          <w:highlight w:val="none"/>
          <w:u w:val="single"/>
          <w:lang w:val="en-US" w:eastAsia="zh-CN"/>
        </w:rPr>
        <w:t>5</w:t>
      </w:r>
      <w:r>
        <w:rPr>
          <w:rFonts w:hint="eastAsia" w:eastAsia="仿宋_GB2312"/>
          <w:b/>
          <w:color w:val="auto"/>
          <w:sz w:val="32"/>
          <w:szCs w:val="32"/>
          <w:highlight w:val="none"/>
          <w:u w:val="single"/>
        </w:rPr>
        <w:t> 年</w:t>
      </w:r>
      <w:r>
        <w:rPr>
          <w:rFonts w:hint="eastAsia" w:eastAsia="仿宋_GB2312"/>
          <w:b/>
          <w:color w:val="auto"/>
          <w:sz w:val="32"/>
          <w:szCs w:val="32"/>
          <w:highlight w:val="none"/>
          <w:u w:val="single"/>
          <w:lang w:val="en-US" w:eastAsia="zh-CN"/>
        </w:rPr>
        <w:t>10</w:t>
      </w:r>
      <w:r>
        <w:rPr>
          <w:rFonts w:hint="eastAsia" w:eastAsia="仿宋_GB2312"/>
          <w:b/>
          <w:color w:val="auto"/>
          <w:sz w:val="32"/>
          <w:szCs w:val="32"/>
          <w:highlight w:val="none"/>
          <w:u w:val="single"/>
        </w:rPr>
        <w:t>  月</w:t>
      </w:r>
      <w:r>
        <w:rPr>
          <w:rFonts w:hint="eastAsia" w:eastAsia="仿宋_GB2312"/>
          <w:b/>
          <w:color w:val="auto"/>
          <w:sz w:val="32"/>
          <w:szCs w:val="32"/>
          <w:highlight w:val="none"/>
          <w:u w:val="single"/>
          <w:lang w:val="en-US" w:eastAsia="zh-CN"/>
        </w:rPr>
        <w:t>16</w:t>
      </w:r>
      <w:r>
        <w:rPr>
          <w:rFonts w:hint="eastAsia" w:eastAsia="仿宋_GB2312"/>
          <w:b/>
          <w:color w:val="auto"/>
          <w:sz w:val="32"/>
          <w:szCs w:val="32"/>
          <w:highlight w:val="none"/>
          <w:u w:val="single"/>
        </w:rPr>
        <w:t>日（星期 </w:t>
      </w:r>
      <w:r>
        <w:rPr>
          <w:rFonts w:hint="eastAsia" w:eastAsia="仿宋_GB2312"/>
          <w:b/>
          <w:color w:val="auto"/>
          <w:sz w:val="32"/>
          <w:szCs w:val="32"/>
          <w:highlight w:val="none"/>
          <w:u w:val="single"/>
          <w:lang w:val="en-US" w:eastAsia="zh-CN"/>
        </w:rPr>
        <w:t>四</w:t>
      </w:r>
      <w:r>
        <w:rPr>
          <w:rFonts w:hint="eastAsia" w:eastAsia="仿宋_GB2312"/>
          <w:b/>
          <w:color w:val="auto"/>
          <w:sz w:val="32"/>
          <w:szCs w:val="32"/>
          <w:highlight w:val="none"/>
          <w:u w:val="single"/>
        </w:rPr>
        <w:t>）下午15:00</w:t>
      </w:r>
      <w:r>
        <w:rPr>
          <w:rFonts w:hint="eastAsia" w:eastAsia="仿宋_GB2312"/>
          <w:b/>
          <w:color w:val="auto"/>
          <w:sz w:val="32"/>
          <w:szCs w:val="32"/>
          <w:highlight w:val="none"/>
        </w:rPr>
        <w:t>。</w:t>
      </w:r>
    </w:p>
    <w:p w14:paraId="45C615FB">
      <w:pPr>
        <w:adjustRightInd w:val="0"/>
        <w:snapToGrid w:val="0"/>
        <w:spacing w:line="600" w:lineRule="exact"/>
        <w:ind w:firstLine="643" w:firstLineChars="200"/>
        <w:outlineLvl w:val="1"/>
        <w:rPr>
          <w:rFonts w:hint="eastAsia" w:eastAsia="仿宋_GB2312"/>
          <w:b/>
          <w:color w:val="auto"/>
          <w:sz w:val="32"/>
          <w:szCs w:val="32"/>
          <w:highlight w:val="none"/>
        </w:rPr>
      </w:pPr>
      <w:r>
        <w:rPr>
          <w:rFonts w:hint="eastAsia" w:eastAsia="仿宋_GB2312"/>
          <w:b/>
          <w:color w:val="auto"/>
          <w:sz w:val="32"/>
          <w:szCs w:val="32"/>
          <w:highlight w:val="none"/>
        </w:rPr>
        <w:t>2、本项目原则上需要现场递交报价文件，如报价人因自身原因无法到现场开标，可选择邮寄递交报价文件。</w:t>
      </w:r>
    </w:p>
    <w:p w14:paraId="606B6403">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（1）现场递交报价文件</w:t>
      </w:r>
    </w:p>
    <w:p w14:paraId="1CE39208">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报价人须委派法定代表人或授权委托人按时到开标地址提交报价文件并参加开标会议，开标时间后到达的拒收报价文件。</w:t>
      </w:r>
    </w:p>
    <w:p w14:paraId="4714CF41">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报价人现场递交报价文件地址：广东省东莞市东城街道八一路1号机关二号大院九号楼102会议室，逾期无效。</w:t>
      </w:r>
    </w:p>
    <w:p w14:paraId="4E4B8EC4">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（2）邮寄递交报价文件</w:t>
      </w:r>
    </w:p>
    <w:p w14:paraId="504FA0D8">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报价人必须确保报价文件密封完好，在开标截止时间前一日送达采购人处，须使用顺丰速运提前寄送（运费自理，采购人拒收到付件），因邮寄造成报价文件破损无效或文件丢失的责任由报价人自负，因快递派件人员无工作证等原因（如顺丰即日达）造成快递派件问题的责任由报价人自负，开标时间后送达的报价文件无效。</w:t>
      </w:r>
    </w:p>
    <w:p w14:paraId="36272974">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邮寄递交报价收件信息：</w:t>
      </w:r>
    </w:p>
    <w:p w14:paraId="37C97E17">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收件地址：广东省东莞市东城街道八一路1号机关二号大院九号楼102会议室</w:t>
      </w:r>
    </w:p>
    <w:p w14:paraId="7EC510EE">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联系人：吕先生</w:t>
      </w:r>
    </w:p>
    <w:p w14:paraId="3FADAC06">
      <w:pPr>
        <w:adjustRightInd w:val="0"/>
        <w:snapToGrid w:val="0"/>
        <w:spacing w:line="600" w:lineRule="exact"/>
        <w:ind w:firstLine="640" w:firstLineChars="200"/>
        <w:outlineLvl w:val="1"/>
        <w:rPr>
          <w:rFonts w:hint="eastAsia" w:eastAsia="仿宋_GB2312"/>
          <w:b w:val="0"/>
          <w:bCs/>
          <w:color w:val="auto"/>
          <w:sz w:val="32"/>
          <w:szCs w:val="32"/>
          <w:highlight w:val="none"/>
        </w:rPr>
      </w:pPr>
      <w:r>
        <w:rPr>
          <w:rFonts w:hint="eastAsia" w:eastAsia="仿宋_GB2312"/>
          <w:b w:val="0"/>
          <w:bCs/>
          <w:color w:val="auto"/>
          <w:sz w:val="32"/>
          <w:szCs w:val="32"/>
          <w:highlight w:val="none"/>
        </w:rPr>
        <w:t>联系电话：15692019575</w:t>
      </w:r>
    </w:p>
    <w:p w14:paraId="6989FB7F">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十四、注意事项</w:t>
      </w:r>
    </w:p>
    <w:p w14:paraId="1BDD179C">
      <w:pPr>
        <w:spacing w:line="600" w:lineRule="exact"/>
        <w:ind w:firstLine="640" w:firstLineChars="200"/>
        <w:rPr>
          <w:rFonts w:eastAsia="仿宋_GB2312"/>
          <w:color w:val="auto"/>
          <w:sz w:val="32"/>
          <w:szCs w:val="32"/>
          <w:highlight w:val="none"/>
        </w:rPr>
      </w:pPr>
      <w:bookmarkStart w:id="0"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5786DE49">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0949B150">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0"/>
    </w:p>
    <w:p w14:paraId="42B39413">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1AF7C10C">
      <w:pPr>
        <w:pStyle w:val="20"/>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rPr>
        <w:t>本项目仅可提交一个报价方案，提交两个或以上报价方案的响应人视为无效报价。</w:t>
      </w:r>
    </w:p>
    <w:p w14:paraId="59821103">
      <w:pPr>
        <w:pStyle w:val="20"/>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6、本项目不接受响应人其他附加条件。</w:t>
      </w:r>
    </w:p>
    <w:p w14:paraId="5D7D8FFA">
      <w:pPr>
        <w:pStyle w:val="20"/>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7、有下列情形之一的，报价保证金将被没收，并纳入采购人供应商黑名单：</w:t>
      </w:r>
    </w:p>
    <w:p w14:paraId="2EC64797">
      <w:pPr>
        <w:pStyle w:val="20"/>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（1）中标后无正当理由放弃中标或不与采购人签订合同。</w:t>
      </w:r>
    </w:p>
    <w:p w14:paraId="00261092">
      <w:pPr>
        <w:pStyle w:val="20"/>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（2）成交人将本项目转让给他人，或者在报价文件中未说明，且未经采购人同意，将中标项目分包给他人，采购人可没收其报价保证金。</w:t>
      </w:r>
    </w:p>
    <w:p w14:paraId="48D01ECB">
      <w:pPr>
        <w:widowControl/>
        <w:spacing w:line="600" w:lineRule="exact"/>
        <w:ind w:firstLine="640" w:firstLineChars="200"/>
        <w:jc w:val="left"/>
        <w:rPr>
          <w:rFonts w:eastAsia="仿宋_GB2312"/>
          <w:color w:val="auto"/>
          <w:sz w:val="32"/>
          <w:szCs w:val="32"/>
          <w:highlight w:val="none"/>
        </w:rPr>
      </w:pPr>
      <w:r>
        <w:rPr>
          <w:rFonts w:hint="eastAsia" w:eastAsia="仿宋_GB2312"/>
          <w:color w:val="auto"/>
          <w:sz w:val="32"/>
          <w:szCs w:val="32"/>
          <w:highlight w:val="none"/>
        </w:rPr>
        <w:t>（3）报价人提供虚假报价文件或虚假补充文件。</w:t>
      </w:r>
    </w:p>
    <w:p w14:paraId="7551152B">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rPr>
        <w:t xml:space="preserve">   </w:t>
      </w:r>
      <w:r>
        <w:rPr>
          <w:rFonts w:hint="eastAsia" w:eastAsia="仿宋_GB2312"/>
          <w:color w:val="auto"/>
          <w:sz w:val="32"/>
          <w:szCs w:val="32"/>
          <w:highlight w:val="none"/>
          <w:lang w:val="en-US" w:eastAsia="zh-CN"/>
        </w:rPr>
        <w:t>阳江</w:t>
      </w:r>
      <w:r>
        <w:rPr>
          <w:rFonts w:hint="eastAsia" w:eastAsia="仿宋_GB2312"/>
          <w:color w:val="auto"/>
          <w:sz w:val="32"/>
          <w:szCs w:val="32"/>
          <w:highlight w:val="none"/>
        </w:rPr>
        <w:t>开能环保能源有限公司</w:t>
      </w:r>
    </w:p>
    <w:p w14:paraId="5FA7EA2D">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u w:val="single"/>
        </w:rPr>
        <w:t>20</w:t>
      </w:r>
      <w:r>
        <w:rPr>
          <w:rFonts w:hint="eastAsia" w:eastAsia="仿宋_GB2312"/>
          <w:color w:val="auto"/>
          <w:sz w:val="32"/>
          <w:szCs w:val="32"/>
          <w:highlight w:val="none"/>
          <w:u w:val="single"/>
        </w:rPr>
        <w:t>2</w:t>
      </w:r>
      <w:r>
        <w:rPr>
          <w:rFonts w:hint="eastAsia" w:eastAsia="仿宋_GB2312"/>
          <w:color w:val="auto"/>
          <w:sz w:val="32"/>
          <w:szCs w:val="32"/>
          <w:highlight w:val="none"/>
          <w:u w:val="single"/>
          <w:lang w:val="en-US" w:eastAsia="zh-CN"/>
        </w:rPr>
        <w:t>5</w:t>
      </w:r>
      <w:r>
        <w:rPr>
          <w:rFonts w:eastAsia="仿宋_GB2312"/>
          <w:color w:val="auto"/>
          <w:sz w:val="32"/>
          <w:szCs w:val="32"/>
          <w:highlight w:val="none"/>
          <w:u w:val="single"/>
        </w:rPr>
        <w:t xml:space="preserve"> </w:t>
      </w:r>
      <w:r>
        <w:rPr>
          <w:rFonts w:hint="eastAsia" w:eastAsia="仿宋_GB2312"/>
          <w:color w:val="auto"/>
          <w:sz w:val="32"/>
          <w:szCs w:val="32"/>
          <w:highlight w:val="none"/>
        </w:rPr>
        <w:t>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10</w:t>
      </w:r>
      <w:r>
        <w:rPr>
          <w:rFonts w:hint="eastAsia" w:eastAsia="仿宋_GB2312"/>
          <w:color w:val="auto"/>
          <w:sz w:val="32"/>
          <w:szCs w:val="32"/>
          <w:highlight w:val="none"/>
        </w:rPr>
        <w:t>月</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11</w:t>
      </w:r>
      <w:r>
        <w:rPr>
          <w:rFonts w:hint="eastAsia" w:eastAsia="仿宋_GB2312"/>
          <w:color w:val="auto"/>
          <w:sz w:val="32"/>
          <w:szCs w:val="32"/>
          <w:highlight w:val="none"/>
        </w:rPr>
        <w:t>日</w:t>
      </w:r>
    </w:p>
    <w:p w14:paraId="4F8A599E">
      <w:pPr>
        <w:widowControl/>
        <w:spacing w:line="600" w:lineRule="exact"/>
        <w:ind w:firstLine="640" w:firstLineChars="200"/>
        <w:jc w:val="left"/>
        <w:rPr>
          <w:rFonts w:eastAsia="仿宋_GB2312"/>
          <w:color w:val="auto"/>
          <w:sz w:val="32"/>
          <w:szCs w:val="32"/>
          <w:highlight w:val="none"/>
        </w:rPr>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pPr>
    </w:p>
    <w:p w14:paraId="4488CD58">
      <w:pPr>
        <w:pStyle w:val="46"/>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附件一 响应须知</w:t>
      </w:r>
    </w:p>
    <w:p w14:paraId="2EDFF64B">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23"/>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1F50C4E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22FFFA2E">
            <w:pPr>
              <w:pStyle w:val="11"/>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34C53F65">
            <w:pPr>
              <w:pStyle w:val="11"/>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02C860BB">
            <w:pPr>
              <w:pStyle w:val="11"/>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4B2332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E9FAE8F">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7B12B7A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14:paraId="2FB643C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lang w:val="en-US" w:eastAsia="zh-CN"/>
              </w:rPr>
              <w:t>阳江开能环保能源有限公司2025年度安全隐患整改项目-防腐刷漆及保温工程（重新采购）</w:t>
            </w:r>
          </w:p>
        </w:tc>
      </w:tr>
      <w:tr w14:paraId="707C37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769F2C9">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12ACBFF5">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14:paraId="20B0B6FD">
            <w:pPr>
              <w:spacing w:line="360" w:lineRule="auto"/>
              <w:rPr>
                <w:rFonts w:eastAsia="仿宋_GB2312"/>
                <w:color w:val="auto"/>
                <w:sz w:val="32"/>
                <w:szCs w:val="32"/>
                <w:highlight w:val="none"/>
              </w:rPr>
            </w:pPr>
            <w:r>
              <w:rPr>
                <w:rFonts w:hint="eastAsia" w:eastAsia="仿宋_GB2312"/>
                <w:color w:val="auto"/>
                <w:sz w:val="32"/>
                <w:szCs w:val="32"/>
                <w:highlight w:val="none"/>
                <w:lang w:val="en-US" w:eastAsia="zh-CN"/>
              </w:rPr>
              <w:t>广东省阳江市高新区港口工业区海港二横路一号阳江开能环保能源有限公司</w:t>
            </w:r>
          </w:p>
        </w:tc>
      </w:tr>
      <w:tr w14:paraId="088FA81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2956F66">
            <w:pPr>
              <w:spacing w:line="360" w:lineRule="auto"/>
              <w:jc w:val="center"/>
              <w:rPr>
                <w:rFonts w:eastAsia="仿宋_GB2312"/>
                <w:color w:val="auto"/>
                <w:sz w:val="32"/>
                <w:szCs w:val="32"/>
                <w:highlight w:val="none"/>
              </w:rPr>
            </w:pPr>
            <w:r>
              <w:rPr>
                <w:rFonts w:hint="eastAsia" w:eastAsia="仿宋_GB2312"/>
                <w:color w:val="auto"/>
                <w:sz w:val="32"/>
                <w:szCs w:val="32"/>
                <w:highlight w:val="none"/>
              </w:rPr>
              <w:t>2</w:t>
            </w:r>
          </w:p>
        </w:tc>
        <w:tc>
          <w:tcPr>
            <w:tcW w:w="2275" w:type="dxa"/>
            <w:vAlign w:val="center"/>
          </w:tcPr>
          <w:p w14:paraId="524C810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工期要求</w:t>
            </w:r>
          </w:p>
        </w:tc>
        <w:tc>
          <w:tcPr>
            <w:tcW w:w="5942" w:type="dxa"/>
            <w:vAlign w:val="center"/>
          </w:tcPr>
          <w:p w14:paraId="1B8C4AE3">
            <w:pPr>
              <w:spacing w:line="500" w:lineRule="exact"/>
              <w:jc w:val="left"/>
              <w:rPr>
                <w:rFonts w:hint="default" w:eastAsia="仿宋_GB2312"/>
                <w:color w:val="auto"/>
                <w:sz w:val="32"/>
                <w:szCs w:val="32"/>
                <w:highlight w:val="none"/>
                <w:lang w:val="en-US" w:eastAsia="zh-CN"/>
              </w:rPr>
            </w:pPr>
            <w:r>
              <w:rPr>
                <w:rFonts w:hint="default" w:eastAsia="仿宋_GB2312"/>
                <w:color w:val="auto"/>
                <w:sz w:val="32"/>
                <w:szCs w:val="32"/>
                <w:highlight w:val="none"/>
                <w:lang w:val="en-US" w:eastAsia="zh-CN"/>
              </w:rPr>
              <w:t>合同总工期为30个自然日，具体开工时间以采购人发出的通知为准。</w:t>
            </w:r>
          </w:p>
        </w:tc>
      </w:tr>
      <w:tr w14:paraId="6E06FE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DAE74FF">
            <w:pPr>
              <w:spacing w:line="360" w:lineRule="auto"/>
              <w:jc w:val="center"/>
              <w:rPr>
                <w:rFonts w:eastAsia="仿宋_GB2312"/>
                <w:color w:val="auto"/>
                <w:sz w:val="32"/>
                <w:szCs w:val="32"/>
                <w:highlight w:val="none"/>
              </w:rPr>
            </w:pPr>
            <w:r>
              <w:rPr>
                <w:rFonts w:hint="eastAsia" w:eastAsia="仿宋_GB2312"/>
                <w:color w:val="auto"/>
                <w:sz w:val="32"/>
                <w:szCs w:val="32"/>
                <w:highlight w:val="none"/>
              </w:rPr>
              <w:t>3</w:t>
            </w:r>
          </w:p>
        </w:tc>
        <w:tc>
          <w:tcPr>
            <w:tcW w:w="2275" w:type="dxa"/>
            <w:vAlign w:val="center"/>
          </w:tcPr>
          <w:p w14:paraId="076A5CBC">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vAlign w:val="center"/>
          </w:tcPr>
          <w:p w14:paraId="3615E37F">
            <w:pPr>
              <w:adjustRightInd w:val="0"/>
              <w:snapToGrid w:val="0"/>
              <w:spacing w:line="560" w:lineRule="exact"/>
              <w:rPr>
                <w:rFonts w:hint="eastAsia" w:eastAsia="仿宋"/>
                <w:color w:val="auto"/>
                <w:sz w:val="32"/>
                <w:szCs w:val="32"/>
                <w:highlight w:val="none"/>
                <w:lang w:val="en-US" w:eastAsia="zh-CN"/>
              </w:rPr>
            </w:pPr>
            <w:r>
              <w:rPr>
                <w:rFonts w:hint="eastAsia" w:ascii="仿宋" w:hAnsi="仿宋" w:eastAsia="仿宋"/>
                <w:color w:val="auto"/>
                <w:sz w:val="32"/>
                <w:szCs w:val="32"/>
                <w:highlight w:val="none"/>
              </w:rPr>
              <w:t>响应人须具备防腐保温工程专业承包三级（或以上）资质证书，且在有效期内</w:t>
            </w:r>
            <w:r>
              <w:rPr>
                <w:rFonts w:hint="eastAsia" w:ascii="仿宋" w:hAnsi="仿宋" w:eastAsia="仿宋"/>
                <w:color w:val="auto"/>
                <w:sz w:val="32"/>
                <w:szCs w:val="32"/>
                <w:highlight w:val="none"/>
                <w:lang w:eastAsia="zh-CN"/>
              </w:rPr>
              <w:t>。</w:t>
            </w:r>
          </w:p>
        </w:tc>
      </w:tr>
      <w:tr w14:paraId="1C7D27F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A92565A">
            <w:pPr>
              <w:spacing w:line="360" w:lineRule="auto"/>
              <w:jc w:val="center"/>
              <w:rPr>
                <w:rFonts w:eastAsia="仿宋_GB2312"/>
                <w:color w:val="auto"/>
                <w:sz w:val="32"/>
                <w:szCs w:val="32"/>
                <w:highlight w:val="none"/>
              </w:rPr>
            </w:pPr>
            <w:r>
              <w:rPr>
                <w:rFonts w:hint="eastAsia" w:eastAsia="仿宋_GB2312"/>
                <w:color w:val="auto"/>
                <w:sz w:val="32"/>
                <w:szCs w:val="32"/>
                <w:highlight w:val="none"/>
              </w:rPr>
              <w:t>4</w:t>
            </w:r>
          </w:p>
        </w:tc>
        <w:tc>
          <w:tcPr>
            <w:tcW w:w="2275" w:type="dxa"/>
          </w:tcPr>
          <w:p w14:paraId="413B9D5E">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询价保证金金额及缴纳方式</w:t>
            </w:r>
          </w:p>
        </w:tc>
        <w:tc>
          <w:tcPr>
            <w:tcW w:w="5942" w:type="dxa"/>
            <w:vAlign w:val="center"/>
          </w:tcPr>
          <w:p w14:paraId="204B835C">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开标前，响应人应在项目开标前缴纳人民币</w:t>
            </w:r>
            <w:r>
              <w:rPr>
                <w:rFonts w:hint="eastAsia" w:eastAsia="仿宋_GB2312"/>
                <w:color w:val="auto"/>
                <w:sz w:val="32"/>
                <w:szCs w:val="32"/>
                <w:highlight w:val="none"/>
                <w:u w:val="single"/>
                <w:lang w:val="en-US" w:eastAsia="zh-CN"/>
              </w:rPr>
              <w:t>壹万叁仟</w:t>
            </w:r>
            <w:r>
              <w:rPr>
                <w:rFonts w:hint="eastAsia" w:eastAsia="仿宋_GB2312"/>
                <w:color w:val="auto"/>
                <w:sz w:val="30"/>
                <w:szCs w:val="30"/>
                <w:highlight w:val="none"/>
                <w:u w:val="single"/>
              </w:rPr>
              <w:t>元整（小写￥</w:t>
            </w:r>
            <w:r>
              <w:rPr>
                <w:rFonts w:hint="eastAsia" w:eastAsia="仿宋_GB2312"/>
                <w:color w:val="auto"/>
                <w:sz w:val="30"/>
                <w:szCs w:val="30"/>
                <w:highlight w:val="none"/>
                <w:u w:val="single"/>
                <w:lang w:val="en-US" w:eastAsia="zh-CN"/>
              </w:rPr>
              <w:t>130</w:t>
            </w:r>
            <w:r>
              <w:rPr>
                <w:rFonts w:hint="eastAsia" w:eastAsia="仿宋_GB2312"/>
                <w:color w:val="auto"/>
                <w:sz w:val="30"/>
                <w:szCs w:val="30"/>
                <w:highlight w:val="none"/>
                <w:u w:val="single"/>
              </w:rPr>
              <w:t>00.00元）</w:t>
            </w:r>
            <w:r>
              <w:rPr>
                <w:rFonts w:hint="eastAsia" w:eastAsia="仿宋_GB2312"/>
                <w:color w:val="auto"/>
                <w:sz w:val="30"/>
                <w:szCs w:val="30"/>
                <w:highlight w:val="none"/>
                <w:u w:val="single"/>
              </w:rPr>
              <w:t>至以下投标保</w:t>
            </w:r>
            <w:r>
              <w:rPr>
                <w:rFonts w:hint="eastAsia" w:eastAsia="仿宋_GB2312"/>
                <w:color w:val="auto"/>
                <w:sz w:val="32"/>
                <w:szCs w:val="32"/>
                <w:highlight w:val="none"/>
                <w:u w:val="single"/>
              </w:rPr>
              <w:t>证金专用账户（响应人与交款人名称必须一致，不接受个人名义转账）作为项目投标保证金。成交单位的投标保证金不退还，待双方签订合同后，转为履约保证金。未中标单位的保证金在项目中标确定后的10个工作日内无息退还。</w:t>
            </w:r>
          </w:p>
          <w:p w14:paraId="540EF9D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报价保证金收款账户信息：</w:t>
            </w:r>
          </w:p>
          <w:p w14:paraId="2421F7F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帐户名称：</w:t>
            </w:r>
            <w:r>
              <w:rPr>
                <w:rFonts w:hint="eastAsia" w:eastAsia="仿宋_GB2312"/>
                <w:color w:val="auto"/>
                <w:sz w:val="32"/>
                <w:szCs w:val="32"/>
                <w:highlight w:val="none"/>
                <w:lang w:val="en-US" w:eastAsia="zh-CN"/>
              </w:rPr>
              <w:t>阳江</w:t>
            </w:r>
            <w:r>
              <w:rPr>
                <w:rFonts w:hint="eastAsia" w:eastAsia="仿宋_GB2312"/>
                <w:color w:val="auto"/>
                <w:sz w:val="32"/>
                <w:szCs w:val="32"/>
                <w:highlight w:val="none"/>
              </w:rPr>
              <w:t xml:space="preserve">开能环保能源有限公司；                            </w:t>
            </w:r>
          </w:p>
          <w:p w14:paraId="2F58244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 xml:space="preserve">开户银行：广发银行股份有限公司阳江分行；                         </w:t>
            </w:r>
          </w:p>
          <w:p w14:paraId="0127D6C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 xml:space="preserve">银行帐号：9550 8802 0063 4500 171。         </w:t>
            </w:r>
          </w:p>
        </w:tc>
      </w:tr>
      <w:tr w14:paraId="5C7999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4F65432">
            <w:pPr>
              <w:spacing w:line="360" w:lineRule="auto"/>
              <w:jc w:val="center"/>
              <w:rPr>
                <w:rFonts w:eastAsia="仿宋_GB2312"/>
                <w:color w:val="auto"/>
                <w:sz w:val="32"/>
                <w:szCs w:val="32"/>
                <w:highlight w:val="none"/>
              </w:rPr>
            </w:pPr>
            <w:r>
              <w:rPr>
                <w:rFonts w:hint="eastAsia" w:eastAsia="仿宋_GB2312"/>
                <w:color w:val="auto"/>
                <w:sz w:val="32"/>
                <w:szCs w:val="32"/>
                <w:highlight w:val="none"/>
              </w:rPr>
              <w:t>5</w:t>
            </w:r>
          </w:p>
        </w:tc>
        <w:tc>
          <w:tcPr>
            <w:tcW w:w="2275" w:type="dxa"/>
          </w:tcPr>
          <w:p w14:paraId="60FF24E4">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4B82D929">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671CB5B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51F56E3">
            <w:pPr>
              <w:spacing w:line="360" w:lineRule="auto"/>
              <w:jc w:val="center"/>
              <w:rPr>
                <w:rFonts w:eastAsia="仿宋_GB2312"/>
                <w:color w:val="auto"/>
                <w:sz w:val="32"/>
                <w:szCs w:val="32"/>
                <w:highlight w:val="none"/>
              </w:rPr>
            </w:pPr>
          </w:p>
        </w:tc>
        <w:tc>
          <w:tcPr>
            <w:tcW w:w="2275" w:type="dxa"/>
            <w:vAlign w:val="center"/>
          </w:tcPr>
          <w:p w14:paraId="5D5C865E">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265E8A29">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2F3DE47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2CAB09B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4343026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58257EB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04E2160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24BD3B4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1AC4787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1BED7999">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1873FBA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0B1A1B8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1D2D1CC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2430603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4D746C1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319B00C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79E35D7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7718D37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1E4FECE5">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17C902C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3B04B32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13C9400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0682E52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528C302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0CA19F5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58B60A71">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28E583CA">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6A98D1A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224363A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6A7003B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3B993EF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5E5E684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0A1FAAA3">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7275A3F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4DAF6CD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2B3502A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2DF6A280">
      <w:pPr>
        <w:rPr>
          <w:rFonts w:eastAsia="仿宋_GB2312"/>
          <w:color w:val="auto"/>
          <w:sz w:val="32"/>
          <w:szCs w:val="32"/>
          <w:highlight w:val="none"/>
        </w:rPr>
      </w:pPr>
    </w:p>
    <w:p w14:paraId="1BDB387C">
      <w:pPr>
        <w:rPr>
          <w:rFonts w:eastAsia="仿宋_GB2312"/>
          <w:color w:val="auto"/>
          <w:sz w:val="32"/>
          <w:szCs w:val="32"/>
          <w:highlight w:val="none"/>
        </w:rPr>
      </w:pPr>
    </w:p>
    <w:p w14:paraId="2CAE8442">
      <w:pPr>
        <w:pStyle w:val="22"/>
        <w:ind w:left="0" w:leftChars="0" w:firstLine="0" w:firstLineChars="0"/>
        <w:rPr>
          <w:rFonts w:eastAsia="仿宋_GB2312"/>
          <w:color w:val="auto"/>
          <w:sz w:val="32"/>
          <w:szCs w:val="32"/>
          <w:highlight w:val="none"/>
        </w:rPr>
      </w:pPr>
    </w:p>
    <w:p w14:paraId="0D85770C">
      <w:pPr>
        <w:pStyle w:val="22"/>
        <w:ind w:left="0" w:leftChars="0" w:firstLine="0" w:firstLineChars="0"/>
        <w:rPr>
          <w:rFonts w:eastAsia="仿宋_GB2312"/>
          <w:color w:val="auto"/>
          <w:sz w:val="32"/>
          <w:szCs w:val="32"/>
          <w:highlight w:val="none"/>
        </w:rPr>
      </w:pPr>
    </w:p>
    <w:p w14:paraId="6843E35F">
      <w:pPr>
        <w:pStyle w:val="22"/>
        <w:ind w:left="0" w:leftChars="0" w:firstLine="0" w:firstLineChars="0"/>
        <w:rPr>
          <w:rFonts w:eastAsia="仿宋_GB2312"/>
          <w:color w:val="auto"/>
          <w:sz w:val="32"/>
          <w:szCs w:val="32"/>
          <w:highlight w:val="none"/>
        </w:rPr>
      </w:pPr>
    </w:p>
    <w:p w14:paraId="4FBD6401">
      <w:pPr>
        <w:pStyle w:val="22"/>
        <w:ind w:left="0" w:leftChars="0" w:firstLine="0" w:firstLineChars="0"/>
        <w:rPr>
          <w:rFonts w:eastAsia="仿宋_GB2312"/>
          <w:color w:val="auto"/>
          <w:sz w:val="32"/>
          <w:szCs w:val="32"/>
          <w:highlight w:val="none"/>
        </w:rPr>
      </w:pPr>
    </w:p>
    <w:p w14:paraId="1C46CBEC">
      <w:pPr>
        <w:pStyle w:val="22"/>
        <w:ind w:left="0" w:leftChars="0" w:firstLine="0" w:firstLineChars="0"/>
        <w:rPr>
          <w:rFonts w:eastAsia="仿宋_GB2312"/>
          <w:color w:val="auto"/>
          <w:sz w:val="32"/>
          <w:szCs w:val="32"/>
          <w:highlight w:val="none"/>
        </w:rPr>
      </w:pPr>
    </w:p>
    <w:p w14:paraId="4075DBCC">
      <w:pPr>
        <w:pStyle w:val="22"/>
        <w:ind w:left="0" w:leftChars="0" w:firstLine="0" w:firstLineChars="0"/>
        <w:rPr>
          <w:rFonts w:eastAsia="仿宋_GB2312"/>
          <w:color w:val="auto"/>
          <w:sz w:val="32"/>
          <w:szCs w:val="32"/>
          <w:highlight w:val="none"/>
        </w:rPr>
      </w:pPr>
    </w:p>
    <w:p w14:paraId="3751A233">
      <w:pPr>
        <w:pStyle w:val="22"/>
        <w:ind w:left="0" w:leftChars="0" w:firstLine="0" w:firstLineChars="0"/>
        <w:rPr>
          <w:rFonts w:eastAsia="仿宋_GB2312"/>
          <w:color w:val="auto"/>
          <w:sz w:val="32"/>
          <w:szCs w:val="32"/>
          <w:highlight w:val="none"/>
        </w:rPr>
      </w:pPr>
    </w:p>
    <w:p w14:paraId="44E101FD">
      <w:pPr>
        <w:pStyle w:val="22"/>
        <w:ind w:left="0" w:leftChars="0" w:firstLine="0" w:firstLineChars="0"/>
        <w:rPr>
          <w:rFonts w:eastAsia="仿宋_GB2312"/>
          <w:color w:val="auto"/>
          <w:sz w:val="32"/>
          <w:szCs w:val="32"/>
          <w:highlight w:val="none"/>
        </w:rPr>
      </w:pPr>
    </w:p>
    <w:p w14:paraId="0178A6AB">
      <w:pPr>
        <w:pStyle w:val="22"/>
        <w:ind w:left="0" w:leftChars="0" w:firstLine="0" w:firstLineChars="0"/>
        <w:rPr>
          <w:rFonts w:eastAsia="仿宋_GB2312"/>
          <w:color w:val="auto"/>
          <w:sz w:val="32"/>
          <w:szCs w:val="32"/>
          <w:highlight w:val="none"/>
        </w:rPr>
      </w:pPr>
    </w:p>
    <w:p w14:paraId="5768A881">
      <w:pPr>
        <w:pStyle w:val="22"/>
        <w:ind w:left="0" w:leftChars="0" w:firstLine="0" w:firstLineChars="0"/>
        <w:rPr>
          <w:rFonts w:eastAsia="仿宋_GB2312"/>
          <w:color w:val="auto"/>
          <w:sz w:val="32"/>
          <w:szCs w:val="32"/>
          <w:highlight w:val="none"/>
        </w:rPr>
      </w:pPr>
    </w:p>
    <w:p w14:paraId="626A3722">
      <w:pPr>
        <w:pStyle w:val="22"/>
        <w:ind w:left="0" w:leftChars="0" w:firstLine="0" w:firstLineChars="0"/>
        <w:rPr>
          <w:rFonts w:eastAsia="仿宋_GB2312"/>
          <w:color w:val="auto"/>
          <w:sz w:val="32"/>
          <w:szCs w:val="32"/>
          <w:highlight w:val="none"/>
        </w:rPr>
      </w:pPr>
    </w:p>
    <w:p w14:paraId="5FBE09F9">
      <w:pPr>
        <w:pStyle w:val="22"/>
        <w:ind w:left="0" w:leftChars="0" w:firstLine="0" w:firstLineChars="0"/>
        <w:rPr>
          <w:rFonts w:eastAsia="仿宋_GB2312"/>
          <w:color w:val="auto"/>
          <w:sz w:val="32"/>
          <w:szCs w:val="32"/>
          <w:highlight w:val="none"/>
        </w:rPr>
      </w:pPr>
    </w:p>
    <w:p w14:paraId="1AF78C47">
      <w:pPr>
        <w:pStyle w:val="22"/>
        <w:ind w:left="0" w:leftChars="0" w:firstLine="0" w:firstLineChars="0"/>
        <w:rPr>
          <w:rFonts w:eastAsia="仿宋_GB2312"/>
          <w:color w:val="auto"/>
          <w:sz w:val="32"/>
          <w:szCs w:val="32"/>
          <w:highlight w:val="none"/>
        </w:rPr>
      </w:pPr>
    </w:p>
    <w:p w14:paraId="21FA4C93">
      <w:pPr>
        <w:pStyle w:val="22"/>
        <w:ind w:left="0" w:leftChars="0" w:firstLine="0" w:firstLineChars="0"/>
        <w:rPr>
          <w:rFonts w:eastAsia="仿宋_GB2312"/>
          <w:color w:val="auto"/>
          <w:sz w:val="32"/>
          <w:szCs w:val="32"/>
          <w:highlight w:val="none"/>
        </w:rPr>
      </w:pPr>
    </w:p>
    <w:p w14:paraId="41D5261D">
      <w:pPr>
        <w:pStyle w:val="22"/>
        <w:ind w:left="0" w:leftChars="0" w:firstLine="0" w:firstLineChars="0"/>
        <w:rPr>
          <w:rFonts w:eastAsia="仿宋_GB2312"/>
          <w:color w:val="auto"/>
          <w:sz w:val="32"/>
          <w:szCs w:val="32"/>
          <w:highlight w:val="none"/>
        </w:rPr>
      </w:pPr>
    </w:p>
    <w:p w14:paraId="4565158F">
      <w:pPr>
        <w:pStyle w:val="22"/>
        <w:ind w:left="0" w:leftChars="0" w:firstLine="0" w:firstLineChars="0"/>
        <w:rPr>
          <w:rFonts w:eastAsia="仿宋_GB2312"/>
          <w:color w:val="auto"/>
          <w:sz w:val="32"/>
          <w:szCs w:val="32"/>
          <w:highlight w:val="none"/>
        </w:rPr>
      </w:pPr>
    </w:p>
    <w:p w14:paraId="6AD79B1E">
      <w:pPr>
        <w:pStyle w:val="22"/>
        <w:ind w:left="0" w:leftChars="0" w:firstLine="0" w:firstLineChars="0"/>
        <w:rPr>
          <w:rFonts w:eastAsia="仿宋_GB2312"/>
          <w:color w:val="auto"/>
          <w:sz w:val="32"/>
          <w:szCs w:val="32"/>
          <w:highlight w:val="none"/>
        </w:rPr>
      </w:pPr>
    </w:p>
    <w:p w14:paraId="3C44111C">
      <w:pPr>
        <w:pStyle w:val="22"/>
        <w:ind w:left="0" w:leftChars="0" w:firstLine="0" w:firstLineChars="0"/>
        <w:rPr>
          <w:rFonts w:eastAsia="仿宋_GB2312"/>
          <w:color w:val="auto"/>
          <w:sz w:val="32"/>
          <w:szCs w:val="32"/>
          <w:highlight w:val="none"/>
        </w:rPr>
      </w:pPr>
    </w:p>
    <w:p w14:paraId="4552C879">
      <w:pPr>
        <w:pStyle w:val="46"/>
        <w:ind w:firstLine="0" w:firstLineChars="0"/>
        <w:jc w:val="left"/>
        <w:outlineLvl w:val="1"/>
        <w:rPr>
          <w:rFonts w:eastAsia="黑体"/>
          <w:color w:val="auto"/>
          <w:sz w:val="28"/>
          <w:szCs w:val="44"/>
          <w:highlight w:val="none"/>
        </w:rPr>
      </w:pPr>
      <w:bookmarkStart w:id="1" w:name="_Hlk524442005"/>
      <w:r>
        <w:rPr>
          <w:rFonts w:hint="eastAsia" w:eastAsia="黑体"/>
          <w:color w:val="auto"/>
          <w:sz w:val="28"/>
          <w:szCs w:val="44"/>
          <w:highlight w:val="none"/>
        </w:rPr>
        <w:t>附件二报价函及报价清单</w:t>
      </w:r>
    </w:p>
    <w:p w14:paraId="20CE97E4">
      <w:pPr>
        <w:jc w:val="center"/>
        <w:rPr>
          <w:rFonts w:eastAsia="华文中宋"/>
          <w:color w:val="auto"/>
          <w:sz w:val="44"/>
          <w:szCs w:val="44"/>
          <w:highlight w:val="none"/>
        </w:rPr>
      </w:pPr>
      <w:r>
        <w:rPr>
          <w:rFonts w:hint="eastAsia" w:eastAsia="华文中宋"/>
          <w:color w:val="auto"/>
          <w:sz w:val="44"/>
          <w:szCs w:val="44"/>
          <w:highlight w:val="none"/>
        </w:rPr>
        <w:t>报价函</w:t>
      </w:r>
    </w:p>
    <w:p w14:paraId="528F44A7">
      <w:pPr>
        <w:ind w:firstLine="560"/>
        <w:jc w:val="center"/>
        <w:rPr>
          <w:rFonts w:eastAsia="仿宋_GB2312"/>
          <w:color w:val="auto"/>
          <w:sz w:val="32"/>
          <w:szCs w:val="32"/>
          <w:highlight w:val="none"/>
        </w:rPr>
      </w:pPr>
    </w:p>
    <w:p w14:paraId="29E6CD0B">
      <w:pPr>
        <w:rPr>
          <w:rFonts w:eastAsia="仿宋_GB2312"/>
          <w:color w:val="auto"/>
          <w:sz w:val="32"/>
          <w:szCs w:val="32"/>
          <w:highlight w:val="none"/>
        </w:rPr>
      </w:pP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1A969A02">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阳江开能环保能源有限公司2025年度安全隐患整改项目-防腐刷漆及保温工程</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重新采购</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rPr>
        <w:t>，我司愿意以含税价合计人民币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含xxx%增值税专用发票</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rPr>
        <w:t>承接此项目。</w:t>
      </w:r>
    </w:p>
    <w:p w14:paraId="7C960603">
      <w:pPr>
        <w:rPr>
          <w:rFonts w:eastAsia="仿宋_GB2312"/>
          <w:color w:val="auto"/>
          <w:sz w:val="32"/>
          <w:szCs w:val="32"/>
          <w:highlight w:val="none"/>
        </w:rPr>
      </w:pPr>
    </w:p>
    <w:p w14:paraId="26629FEE">
      <w:pPr>
        <w:rPr>
          <w:rFonts w:eastAsia="仿宋_GB2312"/>
          <w:color w:val="auto"/>
          <w:sz w:val="32"/>
          <w:szCs w:val="32"/>
          <w:highlight w:val="none"/>
        </w:rPr>
      </w:pPr>
    </w:p>
    <w:p w14:paraId="4A7AFD3A">
      <w:pPr>
        <w:rPr>
          <w:rFonts w:eastAsia="仿宋_GB2312"/>
          <w:color w:val="auto"/>
          <w:sz w:val="32"/>
          <w:szCs w:val="32"/>
          <w:highlight w:val="none"/>
        </w:rPr>
      </w:pPr>
    </w:p>
    <w:p w14:paraId="2188D307">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2F2B2E66">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73E63770">
      <w:pPr>
        <w:jc w:val="left"/>
        <w:rPr>
          <w:rFonts w:eastAsia="仿宋_GB2312"/>
          <w:color w:val="auto"/>
          <w:sz w:val="32"/>
          <w:szCs w:val="32"/>
          <w:highlight w:val="none"/>
        </w:rPr>
      </w:pPr>
      <w:r>
        <w:rPr>
          <w:rFonts w:hint="eastAsia" w:eastAsia="仿宋_GB2312"/>
          <w:color w:val="auto"/>
          <w:sz w:val="32"/>
          <w:szCs w:val="32"/>
          <w:highlight w:val="none"/>
        </w:rPr>
        <w:t>联系人：</w:t>
      </w:r>
    </w:p>
    <w:p w14:paraId="654E44AE">
      <w:pPr>
        <w:jc w:val="left"/>
        <w:rPr>
          <w:rFonts w:eastAsia="仿宋_GB2312"/>
          <w:color w:val="auto"/>
          <w:sz w:val="32"/>
          <w:szCs w:val="32"/>
          <w:highlight w:val="none"/>
        </w:rPr>
      </w:pPr>
      <w:r>
        <w:rPr>
          <w:rFonts w:hint="eastAsia" w:eastAsia="仿宋_GB2312"/>
          <w:color w:val="auto"/>
          <w:sz w:val="32"/>
          <w:szCs w:val="32"/>
          <w:highlight w:val="none"/>
        </w:rPr>
        <w:t>联系电话：</w:t>
      </w:r>
    </w:p>
    <w:p w14:paraId="73EC4F51">
      <w:pPr>
        <w:jc w:val="left"/>
        <w:rPr>
          <w:rFonts w:eastAsia="仿宋_GB2312"/>
          <w:color w:val="auto"/>
          <w:sz w:val="32"/>
          <w:szCs w:val="32"/>
          <w:highlight w:val="none"/>
        </w:rPr>
      </w:pPr>
      <w:r>
        <w:rPr>
          <w:rFonts w:hint="eastAsia" w:eastAsia="仿宋_GB2312"/>
          <w:color w:val="auto"/>
          <w:sz w:val="32"/>
          <w:szCs w:val="32"/>
          <w:highlight w:val="none"/>
        </w:rPr>
        <w:t>日期：</w:t>
      </w:r>
    </w:p>
    <w:p w14:paraId="220E7408">
      <w:pPr>
        <w:jc w:val="center"/>
        <w:rPr>
          <w:rFonts w:eastAsia="仿宋_GB2312"/>
          <w:color w:val="auto"/>
          <w:sz w:val="32"/>
          <w:szCs w:val="32"/>
          <w:highlight w:val="none"/>
        </w:rPr>
      </w:pPr>
    </w:p>
    <w:p w14:paraId="3CE3DB44">
      <w:pPr>
        <w:jc w:val="center"/>
        <w:rPr>
          <w:rFonts w:eastAsia="仿宋_GB2312"/>
          <w:color w:val="auto"/>
          <w:sz w:val="32"/>
          <w:szCs w:val="32"/>
          <w:highlight w:val="none"/>
        </w:rPr>
      </w:pPr>
    </w:p>
    <w:p w14:paraId="140713A4">
      <w:pPr>
        <w:jc w:val="center"/>
        <w:rPr>
          <w:rFonts w:eastAsia="仿宋_GB2312"/>
          <w:color w:val="auto"/>
          <w:sz w:val="32"/>
          <w:szCs w:val="32"/>
          <w:highlight w:val="none"/>
        </w:rPr>
      </w:pPr>
    </w:p>
    <w:p w14:paraId="55D6E0DF">
      <w:pPr>
        <w:jc w:val="center"/>
        <w:rPr>
          <w:rFonts w:eastAsia="仿宋_GB2312"/>
          <w:color w:val="auto"/>
          <w:sz w:val="32"/>
          <w:szCs w:val="32"/>
          <w:highlight w:val="none"/>
        </w:rPr>
      </w:pPr>
    </w:p>
    <w:p w14:paraId="1AC072ED">
      <w:pPr>
        <w:jc w:val="center"/>
        <w:rPr>
          <w:rFonts w:eastAsia="仿宋_GB2312"/>
          <w:color w:val="auto"/>
          <w:sz w:val="32"/>
          <w:szCs w:val="32"/>
          <w:highlight w:val="none"/>
        </w:rPr>
      </w:pPr>
    </w:p>
    <w:p w14:paraId="358442D0">
      <w:pPr>
        <w:pStyle w:val="10"/>
        <w:rPr>
          <w:rFonts w:eastAsia="仿宋_GB2312"/>
          <w:color w:val="auto"/>
          <w:sz w:val="32"/>
          <w:szCs w:val="32"/>
          <w:highlight w:val="none"/>
        </w:rPr>
      </w:pPr>
    </w:p>
    <w:p w14:paraId="594ABF15">
      <w:pPr>
        <w:pStyle w:val="11"/>
        <w:rPr>
          <w:rFonts w:eastAsia="仿宋_GB2312"/>
          <w:color w:val="auto"/>
          <w:sz w:val="32"/>
          <w:szCs w:val="32"/>
          <w:highlight w:val="none"/>
        </w:rPr>
      </w:pPr>
    </w:p>
    <w:p w14:paraId="18C953D3">
      <w:pPr>
        <w:pStyle w:val="31"/>
        <w:rPr>
          <w:rFonts w:eastAsia="仿宋_GB2312"/>
          <w:color w:val="auto"/>
          <w:sz w:val="32"/>
          <w:szCs w:val="32"/>
          <w:highlight w:val="none"/>
        </w:rPr>
      </w:pPr>
    </w:p>
    <w:p w14:paraId="32C33707">
      <w:pPr>
        <w:pStyle w:val="31"/>
        <w:ind w:left="0" w:leftChars="0" w:firstLine="0" w:firstLineChars="0"/>
        <w:rPr>
          <w:rFonts w:eastAsia="仿宋_GB2312"/>
          <w:color w:val="auto"/>
          <w:sz w:val="32"/>
          <w:szCs w:val="32"/>
          <w:highlight w:val="none"/>
        </w:rPr>
      </w:pPr>
    </w:p>
    <w:p w14:paraId="1E1DA5AD">
      <w:pPr>
        <w:rPr>
          <w:rFonts w:eastAsia="仿宋_GB2312"/>
          <w:color w:val="auto"/>
          <w:sz w:val="32"/>
          <w:szCs w:val="32"/>
          <w:highlight w:val="none"/>
        </w:rPr>
      </w:pPr>
    </w:p>
    <w:p w14:paraId="70C39FB2">
      <w:pPr>
        <w:pStyle w:val="2"/>
        <w:rPr>
          <w:rFonts w:eastAsia="仿宋_GB2312"/>
          <w:color w:val="auto"/>
          <w:sz w:val="32"/>
          <w:szCs w:val="32"/>
          <w:highlight w:val="none"/>
        </w:rPr>
      </w:pPr>
    </w:p>
    <w:p w14:paraId="68A6849A">
      <w:pPr>
        <w:rPr>
          <w:rFonts w:eastAsia="仿宋_GB2312"/>
          <w:color w:val="auto"/>
          <w:sz w:val="32"/>
          <w:szCs w:val="32"/>
          <w:highlight w:val="none"/>
        </w:rPr>
      </w:pPr>
    </w:p>
    <w:p w14:paraId="11D2E4B5">
      <w:pPr>
        <w:pStyle w:val="2"/>
        <w:rPr>
          <w:color w:val="auto"/>
          <w:highlight w:val="none"/>
        </w:rPr>
      </w:pPr>
    </w:p>
    <w:p w14:paraId="15CCDF3D">
      <w:pPr>
        <w:rPr>
          <w:color w:val="auto"/>
          <w:highlight w:val="none"/>
        </w:rPr>
      </w:pPr>
    </w:p>
    <w:p w14:paraId="14163D9C">
      <w:pPr>
        <w:pStyle w:val="11"/>
        <w:rPr>
          <w:rFonts w:eastAsia="仿宋_GB2312"/>
          <w:color w:val="auto"/>
          <w:sz w:val="32"/>
          <w:szCs w:val="32"/>
          <w:highlight w:val="none"/>
        </w:rPr>
      </w:pPr>
    </w:p>
    <w:p w14:paraId="3D907687">
      <w:pPr>
        <w:ind w:firstLine="3600" w:firstLineChars="1200"/>
        <w:jc w:val="both"/>
        <w:rPr>
          <w:rFonts w:eastAsia="仿宋_GB2312"/>
          <w:color w:val="auto"/>
          <w:sz w:val="30"/>
          <w:szCs w:val="30"/>
          <w:highlight w:val="none"/>
        </w:rPr>
      </w:pPr>
      <w:r>
        <w:rPr>
          <w:rFonts w:hint="eastAsia" w:eastAsia="华文中宋"/>
          <w:color w:val="auto"/>
          <w:sz w:val="30"/>
          <w:szCs w:val="30"/>
          <w:highlight w:val="none"/>
        </w:rPr>
        <w:t>报价清单</w:t>
      </w:r>
    </w:p>
    <w:tbl>
      <w:tblPr>
        <w:tblStyle w:val="23"/>
        <w:tblW w:w="10037"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6"/>
        <w:gridCol w:w="1416"/>
        <w:gridCol w:w="1011"/>
        <w:gridCol w:w="2327"/>
        <w:gridCol w:w="430"/>
        <w:gridCol w:w="916"/>
        <w:gridCol w:w="1276"/>
        <w:gridCol w:w="1366"/>
        <w:gridCol w:w="879"/>
      </w:tblGrid>
      <w:tr w14:paraId="3D26B5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372"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42DD29B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序号</w:t>
            </w:r>
          </w:p>
        </w:tc>
        <w:tc>
          <w:tcPr>
            <w:tcW w:w="1318"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D22F1D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项目编码</w:t>
            </w:r>
          </w:p>
        </w:tc>
        <w:tc>
          <w:tcPr>
            <w:tcW w:w="1034"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3C1AC26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项目名称</w:t>
            </w:r>
          </w:p>
        </w:tc>
        <w:tc>
          <w:tcPr>
            <w:tcW w:w="2403"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631A01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项目特征描述</w:t>
            </w:r>
          </w:p>
        </w:tc>
        <w:tc>
          <w:tcPr>
            <w:tcW w:w="431"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110EC8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计量单位</w:t>
            </w:r>
          </w:p>
        </w:tc>
        <w:tc>
          <w:tcPr>
            <w:tcW w:w="828"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07E1F8F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暂定工程量</w:t>
            </w:r>
          </w:p>
        </w:tc>
        <w:tc>
          <w:tcPr>
            <w:tcW w:w="2746" w:type="dxa"/>
            <w:gridSpan w:val="2"/>
            <w:tcBorders>
              <w:top w:val="single" w:color="000000" w:sz="8" w:space="0"/>
              <w:left w:val="single" w:color="000000" w:sz="4" w:space="0"/>
              <w:bottom w:val="single" w:color="000000" w:sz="4" w:space="0"/>
              <w:right w:val="single" w:color="000000" w:sz="4" w:space="0"/>
            </w:tcBorders>
            <w:shd w:val="clear" w:color="FFFFFF" w:fill="FFFFFF"/>
            <w:vAlign w:val="center"/>
          </w:tcPr>
          <w:p w14:paraId="54E883D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金额（元）</w:t>
            </w:r>
          </w:p>
        </w:tc>
        <w:tc>
          <w:tcPr>
            <w:tcW w:w="905" w:type="dxa"/>
            <w:vMerge w:val="restart"/>
            <w:tcBorders>
              <w:top w:val="single" w:color="000000" w:sz="8" w:space="0"/>
              <w:left w:val="single" w:color="000000" w:sz="4" w:space="0"/>
              <w:bottom w:val="single" w:color="000000" w:sz="4" w:space="0"/>
              <w:right w:val="single" w:color="000000" w:sz="8" w:space="0"/>
            </w:tcBorders>
            <w:shd w:val="clear" w:color="FFFFFF" w:fill="FFFFFF"/>
            <w:vAlign w:val="center"/>
          </w:tcPr>
          <w:p w14:paraId="3F85ACC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备注</w:t>
            </w:r>
          </w:p>
        </w:tc>
      </w:tr>
      <w:tr w14:paraId="74DC0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72"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6869EEE6">
            <w:pPr>
              <w:jc w:val="center"/>
              <w:rPr>
                <w:rFonts w:hint="eastAsia" w:ascii="宋体" w:hAnsi="宋体" w:eastAsia="宋体" w:cs="宋体"/>
                <w:i w:val="0"/>
                <w:iCs w:val="0"/>
                <w:color w:val="auto"/>
                <w:sz w:val="20"/>
                <w:szCs w:val="20"/>
                <w:highlight w:val="none"/>
                <w:u w:val="none"/>
              </w:rPr>
            </w:pPr>
          </w:p>
        </w:tc>
        <w:tc>
          <w:tcPr>
            <w:tcW w:w="1318"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1EE8BAB0">
            <w:pPr>
              <w:jc w:val="center"/>
              <w:rPr>
                <w:rFonts w:hint="eastAsia" w:ascii="宋体" w:hAnsi="宋体" w:eastAsia="宋体" w:cs="宋体"/>
                <w:i w:val="0"/>
                <w:iCs w:val="0"/>
                <w:color w:val="auto"/>
                <w:sz w:val="20"/>
                <w:szCs w:val="20"/>
                <w:highlight w:val="none"/>
                <w:u w:val="none"/>
              </w:rPr>
            </w:pPr>
          </w:p>
        </w:tc>
        <w:tc>
          <w:tcPr>
            <w:tcW w:w="103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08051E36">
            <w:pPr>
              <w:jc w:val="center"/>
              <w:rPr>
                <w:rFonts w:hint="eastAsia" w:ascii="宋体" w:hAnsi="宋体" w:eastAsia="宋体" w:cs="宋体"/>
                <w:i w:val="0"/>
                <w:iCs w:val="0"/>
                <w:color w:val="auto"/>
                <w:sz w:val="20"/>
                <w:szCs w:val="20"/>
                <w:highlight w:val="none"/>
                <w:u w:val="none"/>
              </w:rPr>
            </w:pPr>
          </w:p>
        </w:tc>
        <w:tc>
          <w:tcPr>
            <w:tcW w:w="2403"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5A239A93">
            <w:pPr>
              <w:jc w:val="center"/>
              <w:rPr>
                <w:rFonts w:hint="eastAsia" w:ascii="宋体" w:hAnsi="宋体" w:eastAsia="宋体" w:cs="宋体"/>
                <w:i w:val="0"/>
                <w:iCs w:val="0"/>
                <w:color w:val="auto"/>
                <w:sz w:val="20"/>
                <w:szCs w:val="20"/>
                <w:highlight w:val="none"/>
                <w:u w:val="none"/>
              </w:rPr>
            </w:pPr>
          </w:p>
        </w:tc>
        <w:tc>
          <w:tcPr>
            <w:tcW w:w="431"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4227149F">
            <w:pPr>
              <w:jc w:val="center"/>
              <w:rPr>
                <w:rFonts w:hint="eastAsia" w:ascii="宋体" w:hAnsi="宋体" w:eastAsia="宋体" w:cs="宋体"/>
                <w:i w:val="0"/>
                <w:iCs w:val="0"/>
                <w:color w:val="auto"/>
                <w:sz w:val="20"/>
                <w:szCs w:val="20"/>
                <w:highlight w:val="none"/>
                <w:u w:val="none"/>
              </w:rPr>
            </w:pPr>
          </w:p>
        </w:tc>
        <w:tc>
          <w:tcPr>
            <w:tcW w:w="828"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16214945">
            <w:pPr>
              <w:jc w:val="center"/>
              <w:rPr>
                <w:rFonts w:hint="eastAsia" w:ascii="宋体" w:hAnsi="宋体" w:eastAsia="宋体" w:cs="宋体"/>
                <w:i w:val="0"/>
                <w:iCs w:val="0"/>
                <w:color w:val="auto"/>
                <w:sz w:val="20"/>
                <w:szCs w:val="20"/>
                <w:highlight w:val="none"/>
                <w:u w:val="none"/>
              </w:rPr>
            </w:pPr>
          </w:p>
        </w:tc>
        <w:tc>
          <w:tcPr>
            <w:tcW w:w="13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93BCD1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固定综合单价</w:t>
            </w:r>
          </w:p>
        </w:tc>
        <w:tc>
          <w:tcPr>
            <w:tcW w:w="14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654383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综合合价</w:t>
            </w:r>
          </w:p>
        </w:tc>
        <w:tc>
          <w:tcPr>
            <w:tcW w:w="905" w:type="dxa"/>
            <w:vMerge w:val="continue"/>
            <w:tcBorders>
              <w:top w:val="single" w:color="000000" w:sz="8" w:space="0"/>
              <w:left w:val="single" w:color="000000" w:sz="4" w:space="0"/>
              <w:bottom w:val="single" w:color="000000" w:sz="4" w:space="0"/>
              <w:right w:val="single" w:color="000000" w:sz="8" w:space="0"/>
            </w:tcBorders>
            <w:shd w:val="clear" w:color="FFFFFF" w:fill="FFFFFF"/>
            <w:vAlign w:val="center"/>
          </w:tcPr>
          <w:p w14:paraId="626DB715">
            <w:pPr>
              <w:jc w:val="center"/>
              <w:rPr>
                <w:rFonts w:hint="eastAsia" w:ascii="宋体" w:hAnsi="宋体" w:eastAsia="宋体" w:cs="宋体"/>
                <w:i w:val="0"/>
                <w:iCs w:val="0"/>
                <w:color w:val="auto"/>
                <w:sz w:val="20"/>
                <w:szCs w:val="20"/>
                <w:highlight w:val="none"/>
                <w:u w:val="none"/>
              </w:rPr>
            </w:pPr>
          </w:p>
        </w:tc>
      </w:tr>
      <w:tr w14:paraId="357DE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372"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59BE4EF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c>
          <w:tcPr>
            <w:tcW w:w="13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B56E5AC">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031208003001</w:t>
            </w:r>
          </w:p>
        </w:tc>
        <w:tc>
          <w:tcPr>
            <w:tcW w:w="10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13CBE32">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部分蒸汽管道、蓄热器更换铝皮</w:t>
            </w:r>
          </w:p>
        </w:tc>
        <w:tc>
          <w:tcPr>
            <w:tcW w:w="240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9048911">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1.材料:铝板</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2.厚度:0.6mm</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3.脚手架搭拆等措施费</w:t>
            </w:r>
          </w:p>
        </w:tc>
        <w:tc>
          <w:tcPr>
            <w:tcW w:w="4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2BF9F4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8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F10BD9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2072.08</w:t>
            </w:r>
          </w:p>
        </w:tc>
        <w:tc>
          <w:tcPr>
            <w:tcW w:w="13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27D93B9">
            <w:pPr>
              <w:jc w:val="center"/>
              <w:rPr>
                <w:rFonts w:hint="eastAsia" w:ascii="宋体" w:hAnsi="宋体" w:eastAsia="宋体" w:cs="宋体"/>
                <w:i w:val="0"/>
                <w:iCs w:val="0"/>
                <w:color w:val="auto"/>
                <w:sz w:val="20"/>
                <w:szCs w:val="20"/>
                <w:highlight w:val="none"/>
                <w:u w:val="none"/>
              </w:rPr>
            </w:pPr>
          </w:p>
        </w:tc>
        <w:tc>
          <w:tcPr>
            <w:tcW w:w="14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2B114EB">
            <w:pPr>
              <w:jc w:val="center"/>
              <w:rPr>
                <w:rFonts w:hint="eastAsia" w:ascii="宋体" w:hAnsi="宋体" w:eastAsia="宋体" w:cs="宋体"/>
                <w:i w:val="0"/>
                <w:iCs w:val="0"/>
                <w:color w:val="auto"/>
                <w:sz w:val="20"/>
                <w:szCs w:val="20"/>
                <w:highlight w:val="none"/>
                <w:u w:val="none"/>
              </w:rPr>
            </w:pPr>
          </w:p>
        </w:tc>
        <w:tc>
          <w:tcPr>
            <w:tcW w:w="90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3C09DB44">
            <w:pPr>
              <w:jc w:val="center"/>
              <w:rPr>
                <w:rFonts w:hint="eastAsia" w:ascii="宋体" w:hAnsi="宋体" w:eastAsia="宋体" w:cs="宋体"/>
                <w:i w:val="0"/>
                <w:iCs w:val="0"/>
                <w:color w:val="auto"/>
                <w:sz w:val="20"/>
                <w:szCs w:val="20"/>
                <w:highlight w:val="none"/>
                <w:u w:val="none"/>
              </w:rPr>
            </w:pPr>
          </w:p>
        </w:tc>
      </w:tr>
      <w:tr w14:paraId="4A9C46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372"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C18794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c>
          <w:tcPr>
            <w:tcW w:w="13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F04C469">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031202001001</w:t>
            </w:r>
          </w:p>
        </w:tc>
        <w:tc>
          <w:tcPr>
            <w:tcW w:w="10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84CB49E">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过热炉本体防腐</w:t>
            </w:r>
          </w:p>
        </w:tc>
        <w:tc>
          <w:tcPr>
            <w:tcW w:w="240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51DFC17">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1、结构表面除锈，防腐表面必须处理至Sa2.5级</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2、一遍底漆底漆厚度不小于50um，两遍中间漆中间漆两道厚度不低于150um、一遍面漆面漆厚度不小于70um；油漆干膜总厚度不小于270μm</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3、底漆使用云母氧化铁酚醛底漆，中间漆使用环氧云铁中间漆，面漆使用聚氨酯面漆（标示漆）</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4、脚手架搭拆等措施费</w:t>
            </w:r>
          </w:p>
        </w:tc>
        <w:tc>
          <w:tcPr>
            <w:tcW w:w="4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280A62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8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B9118F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520.5</w:t>
            </w:r>
          </w:p>
        </w:tc>
        <w:tc>
          <w:tcPr>
            <w:tcW w:w="13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BC3D22E">
            <w:pPr>
              <w:jc w:val="center"/>
              <w:rPr>
                <w:rFonts w:hint="eastAsia" w:ascii="宋体" w:hAnsi="宋体" w:eastAsia="宋体" w:cs="宋体"/>
                <w:i w:val="0"/>
                <w:iCs w:val="0"/>
                <w:color w:val="auto"/>
                <w:sz w:val="20"/>
                <w:szCs w:val="20"/>
                <w:highlight w:val="none"/>
                <w:u w:val="none"/>
              </w:rPr>
            </w:pPr>
          </w:p>
        </w:tc>
        <w:tc>
          <w:tcPr>
            <w:tcW w:w="14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31582AB">
            <w:pPr>
              <w:jc w:val="center"/>
              <w:rPr>
                <w:rFonts w:hint="eastAsia" w:ascii="宋体" w:hAnsi="宋体" w:eastAsia="宋体" w:cs="宋体"/>
                <w:i w:val="0"/>
                <w:iCs w:val="0"/>
                <w:color w:val="auto"/>
                <w:sz w:val="20"/>
                <w:szCs w:val="20"/>
                <w:highlight w:val="none"/>
                <w:u w:val="none"/>
              </w:rPr>
            </w:pPr>
          </w:p>
        </w:tc>
        <w:tc>
          <w:tcPr>
            <w:tcW w:w="90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7A1C90E8">
            <w:pPr>
              <w:jc w:val="center"/>
              <w:rPr>
                <w:rFonts w:hint="eastAsia" w:ascii="宋体" w:hAnsi="宋体" w:eastAsia="宋体" w:cs="宋体"/>
                <w:i w:val="0"/>
                <w:iCs w:val="0"/>
                <w:color w:val="auto"/>
                <w:sz w:val="16"/>
                <w:szCs w:val="16"/>
                <w:highlight w:val="none"/>
                <w:u w:val="none"/>
              </w:rPr>
            </w:pPr>
          </w:p>
        </w:tc>
      </w:tr>
      <w:tr w14:paraId="1778B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372"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E4F7BC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13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4CE5F11">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031202004001</w:t>
            </w:r>
          </w:p>
        </w:tc>
        <w:tc>
          <w:tcPr>
            <w:tcW w:w="10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FBF9133">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除氧器平台防腐</w:t>
            </w:r>
          </w:p>
        </w:tc>
        <w:tc>
          <w:tcPr>
            <w:tcW w:w="240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DF1FF2F">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1、结构表面除锈，防腐表面必须处理至Sa2.5级</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2、一遍底漆底漆厚度不小于50um，两遍中间漆中间漆两道厚度不低于150um、一遍面漆面漆厚度不小于70um；油漆干膜总厚度不小于270μm</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3、底漆使用云母氧化铁酚醛底漆，中间漆使用环氧云铁中间漆，面漆使用聚氨酯面漆（标示漆）</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4、脚手架搭拆等措施费</w:t>
            </w:r>
          </w:p>
        </w:tc>
        <w:tc>
          <w:tcPr>
            <w:tcW w:w="4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F7A8FC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8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D2F7BB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815</w:t>
            </w:r>
          </w:p>
        </w:tc>
        <w:tc>
          <w:tcPr>
            <w:tcW w:w="13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D87E8E2">
            <w:pPr>
              <w:jc w:val="center"/>
              <w:rPr>
                <w:rFonts w:hint="eastAsia" w:ascii="宋体" w:hAnsi="宋体" w:eastAsia="宋体" w:cs="宋体"/>
                <w:i w:val="0"/>
                <w:iCs w:val="0"/>
                <w:color w:val="auto"/>
                <w:sz w:val="20"/>
                <w:szCs w:val="20"/>
                <w:highlight w:val="none"/>
                <w:u w:val="none"/>
              </w:rPr>
            </w:pPr>
          </w:p>
        </w:tc>
        <w:tc>
          <w:tcPr>
            <w:tcW w:w="14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92F7F7E">
            <w:pPr>
              <w:jc w:val="center"/>
              <w:rPr>
                <w:rFonts w:hint="eastAsia" w:ascii="宋体" w:hAnsi="宋体" w:eastAsia="宋体" w:cs="宋体"/>
                <w:i w:val="0"/>
                <w:iCs w:val="0"/>
                <w:color w:val="auto"/>
                <w:sz w:val="20"/>
                <w:szCs w:val="20"/>
                <w:highlight w:val="none"/>
                <w:u w:val="none"/>
              </w:rPr>
            </w:pPr>
          </w:p>
        </w:tc>
        <w:tc>
          <w:tcPr>
            <w:tcW w:w="90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7A46535D">
            <w:pPr>
              <w:jc w:val="center"/>
              <w:rPr>
                <w:rFonts w:hint="eastAsia" w:ascii="宋体" w:hAnsi="宋体" w:eastAsia="宋体" w:cs="宋体"/>
                <w:i w:val="0"/>
                <w:iCs w:val="0"/>
                <w:color w:val="auto"/>
                <w:sz w:val="20"/>
                <w:szCs w:val="20"/>
                <w:highlight w:val="none"/>
                <w:u w:val="none"/>
              </w:rPr>
            </w:pPr>
          </w:p>
        </w:tc>
      </w:tr>
      <w:tr w14:paraId="6B426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372"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79BDE68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w:t>
            </w:r>
          </w:p>
        </w:tc>
        <w:tc>
          <w:tcPr>
            <w:tcW w:w="13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FC645D4">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031202003001</w:t>
            </w:r>
          </w:p>
        </w:tc>
        <w:tc>
          <w:tcPr>
            <w:tcW w:w="10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75C30FD">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厂房外侧蒸汽管廊架防腐</w:t>
            </w:r>
          </w:p>
        </w:tc>
        <w:tc>
          <w:tcPr>
            <w:tcW w:w="240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C5FBCF7">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1、结构表面除锈，防腐表面必须处理至Sa2.5级</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2、一遍底漆底漆厚度不小于50um，两遍中间漆中间漆两道厚度不低于150um、一遍面漆面漆厚度不小于70um；油漆干膜总厚度不小于270μm</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3、底漆使用云母氧化铁酚醛底漆，中间漆使用环氧云铁中间漆，面漆使用聚氨酯面漆（标示漆）</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4、脚手架搭拆等措施费</w:t>
            </w:r>
          </w:p>
        </w:tc>
        <w:tc>
          <w:tcPr>
            <w:tcW w:w="4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83DEE4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8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A81D86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454.5</w:t>
            </w:r>
          </w:p>
        </w:tc>
        <w:tc>
          <w:tcPr>
            <w:tcW w:w="13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F3630D0">
            <w:pPr>
              <w:jc w:val="center"/>
              <w:rPr>
                <w:rFonts w:hint="eastAsia" w:ascii="宋体" w:hAnsi="宋体" w:eastAsia="宋体" w:cs="宋体"/>
                <w:i w:val="0"/>
                <w:iCs w:val="0"/>
                <w:color w:val="auto"/>
                <w:sz w:val="20"/>
                <w:szCs w:val="20"/>
                <w:highlight w:val="none"/>
                <w:u w:val="none"/>
              </w:rPr>
            </w:pPr>
          </w:p>
        </w:tc>
        <w:tc>
          <w:tcPr>
            <w:tcW w:w="14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2757989">
            <w:pPr>
              <w:jc w:val="center"/>
              <w:rPr>
                <w:rFonts w:hint="eastAsia" w:ascii="宋体" w:hAnsi="宋体" w:eastAsia="宋体" w:cs="宋体"/>
                <w:i w:val="0"/>
                <w:iCs w:val="0"/>
                <w:color w:val="auto"/>
                <w:sz w:val="20"/>
                <w:szCs w:val="20"/>
                <w:highlight w:val="none"/>
                <w:u w:val="none"/>
              </w:rPr>
            </w:pPr>
          </w:p>
        </w:tc>
        <w:tc>
          <w:tcPr>
            <w:tcW w:w="90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7D2A608B">
            <w:pPr>
              <w:jc w:val="center"/>
              <w:rPr>
                <w:rFonts w:hint="eastAsia" w:ascii="宋体" w:hAnsi="宋体" w:eastAsia="宋体" w:cs="宋体"/>
                <w:i w:val="0"/>
                <w:iCs w:val="0"/>
                <w:color w:val="auto"/>
                <w:sz w:val="20"/>
                <w:szCs w:val="20"/>
                <w:highlight w:val="none"/>
                <w:u w:val="none"/>
              </w:rPr>
            </w:pPr>
          </w:p>
        </w:tc>
      </w:tr>
      <w:tr w14:paraId="09514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372"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9BB39E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13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3FC30F4">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031202004002</w:t>
            </w:r>
          </w:p>
        </w:tc>
        <w:tc>
          <w:tcPr>
            <w:tcW w:w="10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A3B9142">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1号蓄热器平台防腐</w:t>
            </w:r>
          </w:p>
        </w:tc>
        <w:tc>
          <w:tcPr>
            <w:tcW w:w="240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63A0E4F">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1、结构表面除锈，防腐表面必须处理至Sa2.5级</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2、一遍底漆底漆厚度不小于50um，两遍中间漆中间漆两道厚度不低于150um、一遍面漆面漆厚度不小于70um；油漆干膜总厚度不小于270μm</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3、底漆使用云母氧化铁酚醛底漆，中间漆使用环氧云铁中间漆，面漆使用聚氨酯面漆（标示漆）</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4、脚手架搭拆等措施费</w:t>
            </w:r>
          </w:p>
        </w:tc>
        <w:tc>
          <w:tcPr>
            <w:tcW w:w="4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4763A1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8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5497F6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189.7</w:t>
            </w:r>
          </w:p>
        </w:tc>
        <w:tc>
          <w:tcPr>
            <w:tcW w:w="13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9D065E9">
            <w:pPr>
              <w:jc w:val="center"/>
              <w:rPr>
                <w:rFonts w:hint="eastAsia" w:ascii="宋体" w:hAnsi="宋体" w:eastAsia="宋体" w:cs="宋体"/>
                <w:i w:val="0"/>
                <w:iCs w:val="0"/>
                <w:color w:val="auto"/>
                <w:sz w:val="20"/>
                <w:szCs w:val="20"/>
                <w:highlight w:val="none"/>
                <w:u w:val="none"/>
              </w:rPr>
            </w:pPr>
          </w:p>
        </w:tc>
        <w:tc>
          <w:tcPr>
            <w:tcW w:w="14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F044994">
            <w:pPr>
              <w:jc w:val="center"/>
              <w:rPr>
                <w:rFonts w:hint="eastAsia" w:ascii="宋体" w:hAnsi="宋体" w:eastAsia="宋体" w:cs="宋体"/>
                <w:i w:val="0"/>
                <w:iCs w:val="0"/>
                <w:color w:val="auto"/>
                <w:sz w:val="20"/>
                <w:szCs w:val="20"/>
                <w:highlight w:val="none"/>
                <w:u w:val="none"/>
              </w:rPr>
            </w:pPr>
          </w:p>
        </w:tc>
        <w:tc>
          <w:tcPr>
            <w:tcW w:w="90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3055F8B6">
            <w:pPr>
              <w:jc w:val="center"/>
              <w:rPr>
                <w:rFonts w:hint="eastAsia" w:ascii="宋体" w:hAnsi="宋体" w:eastAsia="宋体" w:cs="宋体"/>
                <w:i w:val="0"/>
                <w:iCs w:val="0"/>
                <w:color w:val="auto"/>
                <w:sz w:val="20"/>
                <w:szCs w:val="20"/>
                <w:highlight w:val="none"/>
                <w:u w:val="none"/>
              </w:rPr>
            </w:pPr>
          </w:p>
        </w:tc>
      </w:tr>
      <w:tr w14:paraId="7D873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372"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53D7F1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c>
          <w:tcPr>
            <w:tcW w:w="13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2A1ED3A">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031202004003</w:t>
            </w:r>
          </w:p>
        </w:tc>
        <w:tc>
          <w:tcPr>
            <w:tcW w:w="10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2B910C2">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环冷炉本体防腐</w:t>
            </w:r>
          </w:p>
        </w:tc>
        <w:tc>
          <w:tcPr>
            <w:tcW w:w="240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DF741AD">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1、结构表面除锈，防腐表面必须处理至Sa2.5级</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2、一遍底漆底漆厚度不小于50um，两遍中间漆中间漆两道厚度不低于150um、一遍面漆面漆厚度不小于70um；油漆干膜总厚度不小于270μm</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3、底漆使用云母氧化铁酚醛底漆，中间漆使用环氧云铁中间漆，面漆使用聚氨酯面漆（标示漆）</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4、脚手架搭拆等措施费</w:t>
            </w:r>
          </w:p>
        </w:tc>
        <w:tc>
          <w:tcPr>
            <w:tcW w:w="4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B41C66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8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AAAD70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520.4</w:t>
            </w:r>
          </w:p>
        </w:tc>
        <w:tc>
          <w:tcPr>
            <w:tcW w:w="13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5210BC0">
            <w:pPr>
              <w:jc w:val="center"/>
              <w:rPr>
                <w:rFonts w:hint="eastAsia" w:ascii="宋体" w:hAnsi="宋体" w:eastAsia="宋体" w:cs="宋体"/>
                <w:i w:val="0"/>
                <w:iCs w:val="0"/>
                <w:color w:val="auto"/>
                <w:sz w:val="20"/>
                <w:szCs w:val="20"/>
                <w:highlight w:val="none"/>
                <w:u w:val="none"/>
              </w:rPr>
            </w:pPr>
          </w:p>
        </w:tc>
        <w:tc>
          <w:tcPr>
            <w:tcW w:w="14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5287CBE">
            <w:pPr>
              <w:jc w:val="center"/>
              <w:rPr>
                <w:rFonts w:hint="eastAsia" w:ascii="宋体" w:hAnsi="宋体" w:eastAsia="宋体" w:cs="宋体"/>
                <w:i w:val="0"/>
                <w:iCs w:val="0"/>
                <w:color w:val="auto"/>
                <w:sz w:val="20"/>
                <w:szCs w:val="20"/>
                <w:highlight w:val="none"/>
                <w:u w:val="none"/>
              </w:rPr>
            </w:pPr>
          </w:p>
        </w:tc>
        <w:tc>
          <w:tcPr>
            <w:tcW w:w="90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18666A52">
            <w:pPr>
              <w:jc w:val="center"/>
              <w:rPr>
                <w:rFonts w:hint="eastAsia" w:ascii="宋体" w:hAnsi="宋体" w:eastAsia="宋体" w:cs="宋体"/>
                <w:i w:val="0"/>
                <w:iCs w:val="0"/>
                <w:color w:val="auto"/>
                <w:sz w:val="20"/>
                <w:szCs w:val="20"/>
                <w:highlight w:val="none"/>
                <w:u w:val="none"/>
              </w:rPr>
            </w:pPr>
          </w:p>
        </w:tc>
      </w:tr>
      <w:tr w14:paraId="0C9A7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372"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42FF6A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13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C9CAD2F">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031202004004</w:t>
            </w:r>
          </w:p>
        </w:tc>
        <w:tc>
          <w:tcPr>
            <w:tcW w:w="10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6150CE8">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环冷炉本体防腐</w:t>
            </w:r>
          </w:p>
        </w:tc>
        <w:tc>
          <w:tcPr>
            <w:tcW w:w="240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1411972">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1、结构表面除锈，防腐表面必须处理至Sa2.5级</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2、一遍底漆底漆厚度不小于50um，两遍中间漆中间漆两道厚度不低于150um、一遍面漆面漆厚度不小于70um；油漆干膜总厚度不小于270μm</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3、底漆使用云母氧化铁酚醛底漆，中间漆使用环氧云铁中间漆，面漆使用聚氨酯面漆（标示漆）</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4、脚手架搭拆等措施费</w:t>
            </w:r>
          </w:p>
        </w:tc>
        <w:tc>
          <w:tcPr>
            <w:tcW w:w="4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778D49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8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4CEFEA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75.6</w:t>
            </w:r>
          </w:p>
        </w:tc>
        <w:tc>
          <w:tcPr>
            <w:tcW w:w="13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1B7C901">
            <w:pPr>
              <w:jc w:val="center"/>
              <w:rPr>
                <w:rFonts w:hint="eastAsia" w:ascii="宋体" w:hAnsi="宋体" w:eastAsia="宋体" w:cs="宋体"/>
                <w:i w:val="0"/>
                <w:iCs w:val="0"/>
                <w:color w:val="auto"/>
                <w:sz w:val="20"/>
                <w:szCs w:val="20"/>
                <w:highlight w:val="none"/>
                <w:u w:val="none"/>
              </w:rPr>
            </w:pPr>
          </w:p>
        </w:tc>
        <w:tc>
          <w:tcPr>
            <w:tcW w:w="14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EDEB51A">
            <w:pPr>
              <w:jc w:val="center"/>
              <w:rPr>
                <w:rFonts w:hint="eastAsia" w:ascii="宋体" w:hAnsi="宋体" w:eastAsia="宋体" w:cs="宋体"/>
                <w:i w:val="0"/>
                <w:iCs w:val="0"/>
                <w:color w:val="auto"/>
                <w:sz w:val="20"/>
                <w:szCs w:val="20"/>
                <w:highlight w:val="none"/>
                <w:u w:val="none"/>
              </w:rPr>
            </w:pPr>
          </w:p>
        </w:tc>
        <w:tc>
          <w:tcPr>
            <w:tcW w:w="90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1C03747C">
            <w:pPr>
              <w:jc w:val="center"/>
              <w:rPr>
                <w:rFonts w:hint="eastAsia" w:ascii="宋体" w:hAnsi="宋体" w:eastAsia="宋体" w:cs="宋体"/>
                <w:i w:val="0"/>
                <w:iCs w:val="0"/>
                <w:color w:val="auto"/>
                <w:sz w:val="20"/>
                <w:szCs w:val="20"/>
                <w:highlight w:val="none"/>
                <w:u w:val="none"/>
              </w:rPr>
            </w:pPr>
          </w:p>
        </w:tc>
      </w:tr>
      <w:tr w14:paraId="27AE94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372"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E3C766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w:t>
            </w:r>
          </w:p>
        </w:tc>
        <w:tc>
          <w:tcPr>
            <w:tcW w:w="13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3581B5E">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031202004005</w:t>
            </w:r>
          </w:p>
        </w:tc>
        <w:tc>
          <w:tcPr>
            <w:tcW w:w="10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73DBD48">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烧结炉本体防腐</w:t>
            </w:r>
          </w:p>
        </w:tc>
        <w:tc>
          <w:tcPr>
            <w:tcW w:w="240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7371AAB">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1、结构表面除锈，防腐表面必须处理至Sa2.5级</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2、一遍底漆底漆厚度不小于50um，两遍中间漆中间漆两道厚度不低于150um、一遍面漆面漆厚度不小于70um；油漆干膜总厚度不小于270μm</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3、底漆使用云母氧化铁酚醛底漆，中间漆使用环氧云铁中间漆，面漆使用聚氨酯面漆（标示漆）</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4、脚手架搭拆等措施费</w:t>
            </w:r>
          </w:p>
        </w:tc>
        <w:tc>
          <w:tcPr>
            <w:tcW w:w="4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1340A5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8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F559FE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420.5</w:t>
            </w:r>
          </w:p>
        </w:tc>
        <w:tc>
          <w:tcPr>
            <w:tcW w:w="13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7ECA93D">
            <w:pPr>
              <w:jc w:val="center"/>
              <w:rPr>
                <w:rFonts w:hint="eastAsia" w:ascii="宋体" w:hAnsi="宋体" w:eastAsia="宋体" w:cs="宋体"/>
                <w:i w:val="0"/>
                <w:iCs w:val="0"/>
                <w:color w:val="auto"/>
                <w:sz w:val="20"/>
                <w:szCs w:val="20"/>
                <w:highlight w:val="none"/>
                <w:u w:val="none"/>
              </w:rPr>
            </w:pPr>
          </w:p>
        </w:tc>
        <w:tc>
          <w:tcPr>
            <w:tcW w:w="14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6F7A35F">
            <w:pPr>
              <w:jc w:val="center"/>
              <w:rPr>
                <w:rFonts w:hint="eastAsia" w:ascii="宋体" w:hAnsi="宋体" w:eastAsia="宋体" w:cs="宋体"/>
                <w:i w:val="0"/>
                <w:iCs w:val="0"/>
                <w:color w:val="auto"/>
                <w:sz w:val="20"/>
                <w:szCs w:val="20"/>
                <w:highlight w:val="none"/>
                <w:u w:val="none"/>
              </w:rPr>
            </w:pPr>
          </w:p>
        </w:tc>
        <w:tc>
          <w:tcPr>
            <w:tcW w:w="90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18CBB6BA">
            <w:pPr>
              <w:jc w:val="center"/>
              <w:rPr>
                <w:rFonts w:hint="eastAsia" w:ascii="宋体" w:hAnsi="宋体" w:eastAsia="宋体" w:cs="宋体"/>
                <w:i w:val="0"/>
                <w:iCs w:val="0"/>
                <w:color w:val="auto"/>
                <w:sz w:val="20"/>
                <w:szCs w:val="20"/>
                <w:highlight w:val="none"/>
                <w:u w:val="none"/>
              </w:rPr>
            </w:pPr>
          </w:p>
        </w:tc>
      </w:tr>
      <w:tr w14:paraId="20193D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372"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029E8CF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w:t>
            </w:r>
          </w:p>
        </w:tc>
        <w:tc>
          <w:tcPr>
            <w:tcW w:w="13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4F3AF19">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031202004006</w:t>
            </w:r>
          </w:p>
        </w:tc>
        <w:tc>
          <w:tcPr>
            <w:tcW w:w="10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0D87460">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原水箱、除盐水箱、中间水箱、软化水箱、中间水箱、浓水箱、</w:t>
            </w:r>
          </w:p>
        </w:tc>
        <w:tc>
          <w:tcPr>
            <w:tcW w:w="240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344312D">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1、结构表面除锈，防腐表面必须处理至Sa2.5级</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2、一遍底漆底漆厚度不小于50um，两遍中间漆中间漆两道厚度不低于150um、一遍面漆面漆厚度不小于70um；油漆干膜总厚度不小于270μm</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3、底漆使用云母氧化铁酚醛底漆，中间漆使用环氧云铁中间漆，面漆使用聚氨酯面漆（标示漆）</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4、脚手架搭拆等措施费</w:t>
            </w:r>
          </w:p>
        </w:tc>
        <w:tc>
          <w:tcPr>
            <w:tcW w:w="4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41D584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8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4D08D6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1895</w:t>
            </w:r>
          </w:p>
        </w:tc>
        <w:tc>
          <w:tcPr>
            <w:tcW w:w="13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7A1E229">
            <w:pPr>
              <w:jc w:val="center"/>
              <w:rPr>
                <w:rFonts w:hint="eastAsia" w:ascii="宋体" w:hAnsi="宋体" w:eastAsia="宋体" w:cs="宋体"/>
                <w:i w:val="0"/>
                <w:iCs w:val="0"/>
                <w:color w:val="auto"/>
                <w:sz w:val="20"/>
                <w:szCs w:val="20"/>
                <w:highlight w:val="none"/>
                <w:u w:val="none"/>
              </w:rPr>
            </w:pPr>
          </w:p>
        </w:tc>
        <w:tc>
          <w:tcPr>
            <w:tcW w:w="14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B54A056">
            <w:pPr>
              <w:jc w:val="center"/>
              <w:rPr>
                <w:rFonts w:hint="eastAsia" w:ascii="宋体" w:hAnsi="宋体" w:eastAsia="宋体" w:cs="宋体"/>
                <w:i w:val="0"/>
                <w:iCs w:val="0"/>
                <w:color w:val="auto"/>
                <w:sz w:val="20"/>
                <w:szCs w:val="20"/>
                <w:highlight w:val="none"/>
                <w:u w:val="none"/>
              </w:rPr>
            </w:pPr>
          </w:p>
        </w:tc>
        <w:tc>
          <w:tcPr>
            <w:tcW w:w="90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137AB4A6">
            <w:pPr>
              <w:jc w:val="center"/>
              <w:rPr>
                <w:rFonts w:hint="eastAsia" w:ascii="宋体" w:hAnsi="宋体" w:eastAsia="宋体" w:cs="宋体"/>
                <w:i w:val="0"/>
                <w:iCs w:val="0"/>
                <w:color w:val="auto"/>
                <w:sz w:val="20"/>
                <w:szCs w:val="20"/>
                <w:highlight w:val="none"/>
                <w:u w:val="none"/>
              </w:rPr>
            </w:pPr>
          </w:p>
        </w:tc>
      </w:tr>
      <w:tr w14:paraId="7C95A4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372"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8FE92B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w:t>
            </w:r>
          </w:p>
        </w:tc>
        <w:tc>
          <w:tcPr>
            <w:tcW w:w="13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F365C76">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031202004007</w:t>
            </w:r>
          </w:p>
        </w:tc>
        <w:tc>
          <w:tcPr>
            <w:tcW w:w="10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DFB74A1">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2号蓄热器平台防腐</w:t>
            </w:r>
          </w:p>
        </w:tc>
        <w:tc>
          <w:tcPr>
            <w:tcW w:w="240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FFEDD5C">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1、结构表面除锈，防腐表面必须处理至Sa2.5级</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2、一遍底漆底漆厚度不小于50um，两遍中间漆中间漆两道厚度不低于150um、一遍面漆面漆厚度不小于70um；油漆干膜总厚度不小于270μm</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3、底漆使用云母氧化铁酚醛底漆，中间漆使用环氧云铁中间漆，面漆使用聚氨酯面漆（标示漆）</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4、脚手架搭拆等措施费</w:t>
            </w:r>
          </w:p>
        </w:tc>
        <w:tc>
          <w:tcPr>
            <w:tcW w:w="4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383432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8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F0AFB0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243</w:t>
            </w:r>
          </w:p>
        </w:tc>
        <w:tc>
          <w:tcPr>
            <w:tcW w:w="13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A417DB4">
            <w:pPr>
              <w:jc w:val="center"/>
              <w:rPr>
                <w:rFonts w:hint="eastAsia" w:ascii="宋体" w:hAnsi="宋体" w:eastAsia="宋体" w:cs="宋体"/>
                <w:i w:val="0"/>
                <w:iCs w:val="0"/>
                <w:color w:val="auto"/>
                <w:sz w:val="20"/>
                <w:szCs w:val="20"/>
                <w:highlight w:val="none"/>
                <w:u w:val="none"/>
              </w:rPr>
            </w:pPr>
          </w:p>
        </w:tc>
        <w:tc>
          <w:tcPr>
            <w:tcW w:w="14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565465B">
            <w:pPr>
              <w:jc w:val="center"/>
              <w:rPr>
                <w:rFonts w:hint="eastAsia" w:ascii="宋体" w:hAnsi="宋体" w:eastAsia="宋体" w:cs="宋体"/>
                <w:i w:val="0"/>
                <w:iCs w:val="0"/>
                <w:color w:val="auto"/>
                <w:sz w:val="20"/>
                <w:szCs w:val="20"/>
                <w:highlight w:val="none"/>
                <w:u w:val="none"/>
              </w:rPr>
            </w:pPr>
          </w:p>
        </w:tc>
        <w:tc>
          <w:tcPr>
            <w:tcW w:w="90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3D315E4E">
            <w:pPr>
              <w:jc w:val="center"/>
              <w:rPr>
                <w:rFonts w:hint="eastAsia" w:ascii="宋体" w:hAnsi="宋体" w:eastAsia="宋体" w:cs="宋体"/>
                <w:i w:val="0"/>
                <w:iCs w:val="0"/>
                <w:color w:val="auto"/>
                <w:sz w:val="20"/>
                <w:szCs w:val="20"/>
                <w:highlight w:val="none"/>
                <w:u w:val="none"/>
              </w:rPr>
            </w:pPr>
          </w:p>
        </w:tc>
      </w:tr>
      <w:tr w14:paraId="34CB4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7712" w:type="dxa"/>
            <w:gridSpan w:val="7"/>
            <w:tcBorders>
              <w:top w:val="single" w:color="000000" w:sz="4" w:space="0"/>
              <w:left w:val="single" w:color="000000" w:sz="8" w:space="0"/>
              <w:bottom w:val="single" w:color="000000" w:sz="8" w:space="0"/>
              <w:right w:val="single" w:color="000000" w:sz="4" w:space="0"/>
            </w:tcBorders>
            <w:shd w:val="clear" w:color="FFFFFF" w:fill="FFFFFF"/>
            <w:vAlign w:val="center"/>
          </w:tcPr>
          <w:p w14:paraId="5916421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合   计</w:t>
            </w:r>
          </w:p>
        </w:tc>
        <w:tc>
          <w:tcPr>
            <w:tcW w:w="1420" w:type="dxa"/>
            <w:tcBorders>
              <w:top w:val="single" w:color="000000" w:sz="4" w:space="0"/>
              <w:left w:val="single" w:color="000000" w:sz="4" w:space="0"/>
              <w:bottom w:val="single" w:color="000000" w:sz="8" w:space="0"/>
              <w:right w:val="single" w:color="000000" w:sz="4" w:space="0"/>
            </w:tcBorders>
            <w:shd w:val="clear" w:color="FFFFFF" w:fill="FFFFFF"/>
            <w:vAlign w:val="center"/>
          </w:tcPr>
          <w:p w14:paraId="1EBC0B08">
            <w:pPr>
              <w:jc w:val="center"/>
              <w:rPr>
                <w:rFonts w:hint="eastAsia" w:ascii="宋体" w:hAnsi="宋体" w:eastAsia="宋体" w:cs="宋体"/>
                <w:i w:val="0"/>
                <w:iCs w:val="0"/>
                <w:color w:val="auto"/>
                <w:sz w:val="20"/>
                <w:szCs w:val="20"/>
                <w:highlight w:val="none"/>
                <w:u w:val="none"/>
              </w:rPr>
            </w:pPr>
          </w:p>
        </w:tc>
        <w:tc>
          <w:tcPr>
            <w:tcW w:w="905" w:type="dxa"/>
            <w:tcBorders>
              <w:top w:val="single" w:color="000000" w:sz="4" w:space="0"/>
              <w:left w:val="single" w:color="000000" w:sz="4" w:space="0"/>
              <w:bottom w:val="single" w:color="000000" w:sz="8" w:space="0"/>
              <w:right w:val="single" w:color="000000" w:sz="8" w:space="0"/>
            </w:tcBorders>
            <w:shd w:val="clear" w:color="FFFFFF" w:fill="FFFFFF"/>
            <w:vAlign w:val="center"/>
          </w:tcPr>
          <w:p w14:paraId="4D0B54C7">
            <w:pPr>
              <w:jc w:val="right"/>
              <w:rPr>
                <w:rFonts w:hint="eastAsia" w:ascii="宋体" w:hAnsi="宋体" w:eastAsia="宋体" w:cs="宋体"/>
                <w:i w:val="0"/>
                <w:iCs w:val="0"/>
                <w:color w:val="auto"/>
                <w:sz w:val="20"/>
                <w:szCs w:val="20"/>
                <w:highlight w:val="none"/>
                <w:u w:val="none"/>
              </w:rPr>
            </w:pPr>
          </w:p>
        </w:tc>
      </w:tr>
      <w:tr w14:paraId="0430E2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10037" w:type="dxa"/>
            <w:gridSpan w:val="9"/>
            <w:tcBorders>
              <w:top w:val="nil"/>
              <w:left w:val="nil"/>
              <w:bottom w:val="nil"/>
              <w:right w:val="nil"/>
            </w:tcBorders>
            <w:shd w:val="clear" w:color="FFFFFF" w:fill="FFFFFF"/>
            <w:vAlign w:val="top"/>
          </w:tcPr>
          <w:p w14:paraId="68012DC7">
            <w:pPr>
              <w:keepNext w:val="0"/>
              <w:keepLines w:val="0"/>
              <w:widowControl/>
              <w:suppressLineNumbers w:val="0"/>
              <w:jc w:val="left"/>
              <w:textAlignment w:val="top"/>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说明：表中综合单价包含人工、材料费、机械、管理费、利润、措施项目费、其他项目费、工作交叉及协调配合费、施工期的工料机差价、规费、税金（增值税专用发票）等其他一切费用。</w:t>
            </w:r>
          </w:p>
        </w:tc>
      </w:tr>
    </w:tbl>
    <w:p w14:paraId="6190C365">
      <w:pPr>
        <w:jc w:val="left"/>
        <w:rPr>
          <w:rFonts w:hint="eastAsia" w:eastAsia="仿宋_GB2312"/>
          <w:color w:val="auto"/>
          <w:sz w:val="32"/>
          <w:szCs w:val="32"/>
          <w:highlight w:val="none"/>
        </w:rPr>
      </w:pPr>
    </w:p>
    <w:p w14:paraId="703369F8">
      <w:pPr>
        <w:jc w:val="left"/>
        <w:rPr>
          <w:rFonts w:hint="eastAsia" w:eastAsia="仿宋_GB2312"/>
          <w:color w:val="auto"/>
          <w:sz w:val="32"/>
          <w:szCs w:val="32"/>
          <w:highlight w:val="none"/>
        </w:rPr>
      </w:pPr>
    </w:p>
    <w:p w14:paraId="06D81E07">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6BE0C40E">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49F4CEC2">
      <w:pPr>
        <w:jc w:val="left"/>
        <w:rPr>
          <w:rFonts w:eastAsia="仿宋_GB2312"/>
          <w:color w:val="auto"/>
          <w:sz w:val="32"/>
          <w:szCs w:val="32"/>
          <w:highlight w:val="none"/>
        </w:rPr>
      </w:pPr>
      <w:r>
        <w:rPr>
          <w:rFonts w:hint="eastAsia" w:eastAsia="仿宋_GB2312"/>
          <w:color w:val="auto"/>
          <w:sz w:val="32"/>
          <w:szCs w:val="32"/>
          <w:highlight w:val="none"/>
        </w:rPr>
        <w:t>联系人：</w:t>
      </w:r>
    </w:p>
    <w:p w14:paraId="3AEFB6A7">
      <w:pPr>
        <w:jc w:val="left"/>
        <w:rPr>
          <w:rFonts w:eastAsia="仿宋_GB2312"/>
          <w:color w:val="auto"/>
          <w:sz w:val="32"/>
          <w:szCs w:val="32"/>
          <w:highlight w:val="none"/>
        </w:rPr>
      </w:pPr>
      <w:r>
        <w:rPr>
          <w:rFonts w:hint="eastAsia" w:eastAsia="仿宋_GB2312"/>
          <w:color w:val="auto"/>
          <w:sz w:val="32"/>
          <w:szCs w:val="32"/>
          <w:highlight w:val="none"/>
        </w:rPr>
        <w:t>联系电话：</w:t>
      </w:r>
    </w:p>
    <w:p w14:paraId="62F8DBFA">
      <w:pPr>
        <w:jc w:val="left"/>
        <w:rPr>
          <w:rFonts w:eastAsia="仿宋_GB2312"/>
          <w:color w:val="auto"/>
          <w:sz w:val="32"/>
          <w:szCs w:val="32"/>
          <w:highlight w:val="none"/>
        </w:rPr>
      </w:pPr>
      <w:r>
        <w:rPr>
          <w:rFonts w:hint="eastAsia" w:eastAsia="仿宋_GB2312"/>
          <w:color w:val="auto"/>
          <w:sz w:val="32"/>
          <w:szCs w:val="32"/>
          <w:highlight w:val="none"/>
        </w:rPr>
        <w:t>日期：</w:t>
      </w:r>
    </w:p>
    <w:p w14:paraId="783F5655">
      <w:pPr>
        <w:pStyle w:val="22"/>
        <w:ind w:left="0" w:leftChars="0" w:firstLine="0" w:firstLineChars="0"/>
        <w:rPr>
          <w:rFonts w:eastAsia="仿宋_GB2312"/>
          <w:color w:val="auto"/>
          <w:sz w:val="32"/>
          <w:szCs w:val="32"/>
          <w:highlight w:val="none"/>
        </w:rPr>
      </w:pPr>
    </w:p>
    <w:p w14:paraId="07DDE2C8">
      <w:pPr>
        <w:pStyle w:val="22"/>
        <w:ind w:left="0" w:leftChars="0" w:firstLine="0" w:firstLineChars="0"/>
        <w:rPr>
          <w:rFonts w:eastAsia="仿宋_GB2312"/>
          <w:color w:val="auto"/>
          <w:sz w:val="32"/>
          <w:szCs w:val="32"/>
          <w:highlight w:val="none"/>
        </w:rPr>
      </w:pPr>
    </w:p>
    <w:p w14:paraId="09FC4CA0">
      <w:pPr>
        <w:pStyle w:val="22"/>
        <w:ind w:left="0" w:leftChars="0" w:firstLine="0" w:firstLineChars="0"/>
        <w:rPr>
          <w:rFonts w:eastAsia="仿宋_GB2312"/>
          <w:color w:val="auto"/>
          <w:sz w:val="32"/>
          <w:szCs w:val="32"/>
          <w:highlight w:val="none"/>
        </w:rPr>
      </w:pPr>
    </w:p>
    <w:p w14:paraId="5F36F24F">
      <w:pPr>
        <w:pStyle w:val="22"/>
        <w:ind w:left="0" w:leftChars="0" w:firstLine="0" w:firstLineChars="0"/>
        <w:rPr>
          <w:rFonts w:eastAsia="仿宋_GB2312"/>
          <w:color w:val="auto"/>
          <w:sz w:val="32"/>
          <w:szCs w:val="32"/>
          <w:highlight w:val="none"/>
        </w:rPr>
      </w:pPr>
    </w:p>
    <w:p w14:paraId="50432E47">
      <w:pPr>
        <w:pStyle w:val="22"/>
        <w:ind w:left="0" w:leftChars="0" w:firstLine="0" w:firstLineChars="0"/>
        <w:rPr>
          <w:rFonts w:eastAsia="仿宋_GB2312"/>
          <w:color w:val="auto"/>
          <w:sz w:val="32"/>
          <w:szCs w:val="32"/>
          <w:highlight w:val="none"/>
        </w:rPr>
      </w:pPr>
    </w:p>
    <w:p w14:paraId="27D20008">
      <w:pPr>
        <w:pStyle w:val="22"/>
        <w:ind w:left="0" w:leftChars="0" w:firstLine="0" w:firstLineChars="0"/>
        <w:rPr>
          <w:rFonts w:eastAsia="仿宋_GB2312"/>
          <w:color w:val="auto"/>
          <w:sz w:val="32"/>
          <w:szCs w:val="32"/>
          <w:highlight w:val="none"/>
        </w:rPr>
      </w:pPr>
    </w:p>
    <w:p w14:paraId="0D81BBAB">
      <w:pPr>
        <w:pStyle w:val="22"/>
        <w:ind w:left="0" w:leftChars="0" w:firstLine="0" w:firstLineChars="0"/>
        <w:rPr>
          <w:rFonts w:eastAsia="仿宋_GB2312"/>
          <w:color w:val="auto"/>
          <w:sz w:val="32"/>
          <w:szCs w:val="32"/>
          <w:highlight w:val="none"/>
        </w:rPr>
      </w:pPr>
    </w:p>
    <w:p w14:paraId="3E3578E9">
      <w:pPr>
        <w:pStyle w:val="22"/>
        <w:ind w:left="0" w:leftChars="0" w:firstLine="0" w:firstLineChars="0"/>
        <w:rPr>
          <w:rFonts w:eastAsia="仿宋_GB2312"/>
          <w:color w:val="auto"/>
          <w:sz w:val="32"/>
          <w:szCs w:val="32"/>
          <w:highlight w:val="none"/>
        </w:rPr>
      </w:pPr>
    </w:p>
    <w:p w14:paraId="2768FEF3">
      <w:pPr>
        <w:pStyle w:val="22"/>
        <w:ind w:left="0" w:leftChars="0" w:firstLine="0" w:firstLineChars="0"/>
        <w:rPr>
          <w:rFonts w:eastAsia="仿宋_GB2312"/>
          <w:color w:val="auto"/>
          <w:sz w:val="32"/>
          <w:szCs w:val="32"/>
          <w:highlight w:val="none"/>
        </w:rPr>
      </w:pPr>
    </w:p>
    <w:p w14:paraId="49968D67">
      <w:pPr>
        <w:pStyle w:val="22"/>
        <w:ind w:left="0" w:leftChars="0" w:firstLine="0" w:firstLineChars="0"/>
        <w:rPr>
          <w:rFonts w:eastAsia="仿宋_GB2312"/>
          <w:color w:val="auto"/>
          <w:sz w:val="32"/>
          <w:szCs w:val="32"/>
          <w:highlight w:val="none"/>
        </w:rPr>
      </w:pPr>
    </w:p>
    <w:p w14:paraId="79AFA782">
      <w:pPr>
        <w:pStyle w:val="22"/>
        <w:ind w:left="0" w:leftChars="0" w:firstLine="0" w:firstLineChars="0"/>
        <w:rPr>
          <w:rFonts w:eastAsia="仿宋_GB2312"/>
          <w:color w:val="auto"/>
          <w:sz w:val="32"/>
          <w:szCs w:val="32"/>
          <w:highlight w:val="none"/>
        </w:rPr>
      </w:pPr>
    </w:p>
    <w:p w14:paraId="6A82A814">
      <w:pPr>
        <w:pStyle w:val="46"/>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附件三法人证明</w:t>
      </w:r>
    </w:p>
    <w:p w14:paraId="76DD88C6">
      <w:pPr>
        <w:pStyle w:val="46"/>
        <w:ind w:firstLine="0" w:firstLineChars="0"/>
        <w:jc w:val="left"/>
        <w:rPr>
          <w:rFonts w:eastAsia="黑体"/>
          <w:color w:val="auto"/>
          <w:sz w:val="28"/>
          <w:szCs w:val="44"/>
          <w:highlight w:val="none"/>
        </w:rPr>
      </w:pPr>
    </w:p>
    <w:p w14:paraId="6F6A7350">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4B7B90D7">
      <w:pPr>
        <w:rPr>
          <w:rFonts w:eastAsia="仿宋_GB2312"/>
          <w:color w:val="auto"/>
          <w:sz w:val="32"/>
          <w:szCs w:val="32"/>
          <w:highlight w:val="none"/>
        </w:rPr>
      </w:pPr>
    </w:p>
    <w:p w14:paraId="32B7E38A">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4E4C4DEC">
      <w:pPr>
        <w:pStyle w:val="45"/>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422949D0">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41878BD1">
      <w:pPr>
        <w:spacing w:line="600" w:lineRule="exact"/>
        <w:rPr>
          <w:rFonts w:eastAsia="仿宋_GB2312"/>
          <w:color w:val="auto"/>
          <w:sz w:val="32"/>
          <w:szCs w:val="32"/>
          <w:highlight w:val="none"/>
        </w:rPr>
      </w:pPr>
    </w:p>
    <w:p w14:paraId="1461FFD5">
      <w:pPr>
        <w:spacing w:line="600" w:lineRule="exact"/>
        <w:rPr>
          <w:rFonts w:eastAsia="仿宋_GB2312"/>
          <w:color w:val="auto"/>
          <w:sz w:val="32"/>
          <w:szCs w:val="32"/>
          <w:highlight w:val="none"/>
        </w:rPr>
      </w:pPr>
    </w:p>
    <w:p w14:paraId="74F8BF5C">
      <w:pPr>
        <w:spacing w:line="600" w:lineRule="exact"/>
        <w:rPr>
          <w:rFonts w:eastAsia="仿宋_GB2312"/>
          <w:color w:val="auto"/>
          <w:sz w:val="32"/>
          <w:szCs w:val="32"/>
          <w:highlight w:val="none"/>
        </w:rPr>
      </w:pPr>
    </w:p>
    <w:p w14:paraId="36799C4D">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1C827834">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098839B9">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408B2CCE">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44AF7F2F">
      <w:pPr>
        <w:rPr>
          <w:rFonts w:eastAsia="仿宋_GB2312"/>
          <w:color w:val="auto"/>
          <w:sz w:val="32"/>
          <w:szCs w:val="32"/>
          <w:highlight w:val="none"/>
        </w:rPr>
      </w:pPr>
    </w:p>
    <w:p w14:paraId="704F1A1C">
      <w:pPr>
        <w:widowControl/>
        <w:rPr>
          <w:rFonts w:eastAsia="仿宋_GB2312"/>
          <w:color w:val="auto"/>
          <w:sz w:val="32"/>
          <w:szCs w:val="32"/>
          <w:highlight w:val="none"/>
        </w:rPr>
      </w:pPr>
      <w:bookmarkStart w:id="2" w:name="_Toc384752807"/>
    </w:p>
    <w:p w14:paraId="1DAB89FB">
      <w:pPr>
        <w:pStyle w:val="22"/>
        <w:rPr>
          <w:color w:val="auto"/>
          <w:highlight w:val="none"/>
        </w:rPr>
      </w:pPr>
    </w:p>
    <w:p w14:paraId="6D51D0F4">
      <w:pPr>
        <w:pStyle w:val="22"/>
        <w:rPr>
          <w:color w:val="auto"/>
          <w:highlight w:val="none"/>
        </w:rPr>
      </w:pPr>
    </w:p>
    <w:p w14:paraId="7222133F">
      <w:pPr>
        <w:pStyle w:val="22"/>
        <w:rPr>
          <w:color w:val="auto"/>
          <w:highlight w:val="none"/>
        </w:rPr>
      </w:pPr>
    </w:p>
    <w:p w14:paraId="0D405FA8">
      <w:pPr>
        <w:pStyle w:val="22"/>
        <w:rPr>
          <w:color w:val="auto"/>
          <w:highlight w:val="none"/>
        </w:rPr>
      </w:pPr>
    </w:p>
    <w:p w14:paraId="2C607804">
      <w:pPr>
        <w:pStyle w:val="22"/>
        <w:rPr>
          <w:color w:val="auto"/>
          <w:highlight w:val="none"/>
        </w:rPr>
      </w:pPr>
    </w:p>
    <w:p w14:paraId="6D9D49FD">
      <w:pPr>
        <w:pStyle w:val="22"/>
        <w:rPr>
          <w:color w:val="auto"/>
          <w:highlight w:val="none"/>
        </w:rPr>
      </w:pPr>
    </w:p>
    <w:p w14:paraId="171AEA8A">
      <w:pPr>
        <w:pStyle w:val="22"/>
        <w:rPr>
          <w:color w:val="auto"/>
          <w:highlight w:val="none"/>
        </w:rPr>
      </w:pPr>
    </w:p>
    <w:p w14:paraId="540BC94A">
      <w:pPr>
        <w:pStyle w:val="22"/>
        <w:rPr>
          <w:color w:val="auto"/>
          <w:highlight w:val="none"/>
        </w:rPr>
      </w:pPr>
    </w:p>
    <w:p w14:paraId="3E144956">
      <w:pPr>
        <w:pStyle w:val="22"/>
        <w:rPr>
          <w:color w:val="auto"/>
          <w:highlight w:val="none"/>
        </w:rPr>
      </w:pPr>
    </w:p>
    <w:p w14:paraId="1E5D1A96">
      <w:pPr>
        <w:pStyle w:val="22"/>
        <w:rPr>
          <w:color w:val="auto"/>
          <w:highlight w:val="none"/>
        </w:rPr>
      </w:pPr>
    </w:p>
    <w:p w14:paraId="34DA71D0">
      <w:pPr>
        <w:pStyle w:val="22"/>
        <w:rPr>
          <w:color w:val="auto"/>
          <w:highlight w:val="none"/>
        </w:rPr>
      </w:pPr>
    </w:p>
    <w:p w14:paraId="60BAA404">
      <w:pPr>
        <w:pStyle w:val="46"/>
        <w:ind w:firstLine="0" w:firstLineChars="0"/>
        <w:jc w:val="left"/>
        <w:outlineLvl w:val="1"/>
        <w:rPr>
          <w:rFonts w:eastAsia="仿宋_GB2312"/>
          <w:b/>
          <w:color w:val="auto"/>
          <w:sz w:val="32"/>
          <w:szCs w:val="32"/>
          <w:highlight w:val="none"/>
        </w:rPr>
      </w:pPr>
      <w:bookmarkStart w:id="3" w:name="_Hlk40704362"/>
      <w:r>
        <w:rPr>
          <w:rFonts w:hint="eastAsia" w:eastAsia="黑体"/>
          <w:color w:val="auto"/>
          <w:sz w:val="28"/>
          <w:szCs w:val="44"/>
          <w:highlight w:val="none"/>
        </w:rPr>
        <w:t>附件四法人授权书</w:t>
      </w:r>
    </w:p>
    <w:p w14:paraId="347BD808">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2"/>
    </w:p>
    <w:p w14:paraId="707C4D09">
      <w:pPr>
        <w:pStyle w:val="45"/>
        <w:ind w:firstLine="0" w:firstLineChars="0"/>
        <w:rPr>
          <w:rFonts w:ascii="Times New Roman" w:hAnsi="Times New Roman"/>
          <w:color w:val="auto"/>
          <w:sz w:val="32"/>
          <w:szCs w:val="32"/>
          <w:highlight w:val="none"/>
        </w:rPr>
      </w:pPr>
    </w:p>
    <w:p w14:paraId="1C6D3254">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671604DD">
      <w:pPr>
        <w:pStyle w:val="45"/>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ascii="Times New Roman" w:hAnsi="Times New Roman"/>
          <w:color w:val="auto"/>
          <w:sz w:val="32"/>
          <w:szCs w:val="32"/>
          <w:highlight w:val="none"/>
          <w:u w:val="single"/>
          <w:lang w:val="en-US" w:eastAsia="zh-CN"/>
        </w:rPr>
        <w:t>阳江开能环保能源有限公司2025年度安全隐患整改项目-防腐刷漆及保温工程（重新采购）</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6C60DA59">
      <w:pPr>
        <w:pStyle w:val="45"/>
        <w:ind w:firstLine="659"/>
        <w:rPr>
          <w:rFonts w:ascii="Times New Roman" w:hAnsi="Times New Roman"/>
          <w:color w:val="auto"/>
          <w:sz w:val="32"/>
          <w:szCs w:val="32"/>
          <w:highlight w:val="none"/>
        </w:rPr>
      </w:pPr>
    </w:p>
    <w:p w14:paraId="2E07D065">
      <w:pPr>
        <w:pStyle w:val="45"/>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   年   月   日至   年   月  日签字生效，有效期与询价有效期一致，特此声明。</w:t>
      </w:r>
    </w:p>
    <w:p w14:paraId="093E43E6">
      <w:pPr>
        <w:pStyle w:val="45"/>
        <w:ind w:firstLine="659"/>
        <w:rPr>
          <w:rFonts w:ascii="Times New Roman" w:hAnsi="Times New Roman"/>
          <w:color w:val="auto"/>
          <w:sz w:val="32"/>
          <w:szCs w:val="32"/>
          <w:highlight w:val="none"/>
        </w:rPr>
      </w:pPr>
    </w:p>
    <w:p w14:paraId="42F6C887">
      <w:pPr>
        <w:pStyle w:val="45"/>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22A45F47">
      <w:pPr>
        <w:pStyle w:val="45"/>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52F8BAC5">
      <w:pPr>
        <w:pStyle w:val="45"/>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7D52992F">
      <w:pPr>
        <w:pStyle w:val="45"/>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4A088D7E">
      <w:pPr>
        <w:pStyle w:val="45"/>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54B44051">
      <w:pPr>
        <w:pStyle w:val="45"/>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1574D78B">
      <w:pPr>
        <w:pStyle w:val="45"/>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3"/>
    <w:p w14:paraId="2E56A4F6">
      <w:pPr>
        <w:pStyle w:val="46"/>
        <w:ind w:firstLine="0" w:firstLineChars="0"/>
        <w:jc w:val="left"/>
        <w:outlineLvl w:val="1"/>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附件五承诺函</w:t>
      </w:r>
    </w:p>
    <w:p w14:paraId="0B315A8C">
      <w:pPr>
        <w:pStyle w:val="46"/>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560DC607">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5166D76C">
      <w:pPr>
        <w:pStyle w:val="45"/>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color w:val="auto"/>
          <w:sz w:val="32"/>
          <w:szCs w:val="32"/>
          <w:highlight w:val="none"/>
          <w:u w:val="single"/>
        </w:rPr>
        <w:t xml:space="preserve"> </w:t>
      </w:r>
      <w:r>
        <w:rPr>
          <w:rFonts w:hint="eastAsia"/>
          <w:color w:val="auto"/>
          <w:sz w:val="32"/>
          <w:szCs w:val="32"/>
          <w:highlight w:val="none"/>
          <w:u w:val="single"/>
        </w:rPr>
        <w:t>阳江开能环保能源有限公司2025年度安全隐患整改项目-防腐刷漆及保温工程</w:t>
      </w:r>
      <w:r>
        <w:rPr>
          <w:rFonts w:hint="eastAsia"/>
          <w:color w:val="auto"/>
          <w:sz w:val="32"/>
          <w:szCs w:val="32"/>
          <w:highlight w:val="none"/>
          <w:u w:val="single"/>
          <w:lang w:eastAsia="zh-CN"/>
        </w:rPr>
        <w:t>（</w:t>
      </w:r>
      <w:r>
        <w:rPr>
          <w:rFonts w:hint="eastAsia"/>
          <w:color w:val="auto"/>
          <w:sz w:val="32"/>
          <w:szCs w:val="32"/>
          <w:highlight w:val="none"/>
          <w:u w:val="single"/>
          <w:lang w:val="en-US" w:eastAsia="zh-CN"/>
        </w:rPr>
        <w:t>重新采购</w:t>
      </w:r>
      <w:r>
        <w:rPr>
          <w:rFonts w:hint="eastAsia"/>
          <w:color w:val="auto"/>
          <w:sz w:val="32"/>
          <w:szCs w:val="32"/>
          <w:highlight w:val="none"/>
          <w:u w:val="single"/>
          <w:lang w:eastAsia="zh-CN"/>
        </w:rPr>
        <w:t>）</w:t>
      </w:r>
      <w:r>
        <w:rPr>
          <w:rFonts w:hint="eastAsia" w:ascii="Times New Roman" w:hAnsi="Times New Roman"/>
          <w:color w:val="auto"/>
          <w:sz w:val="32"/>
          <w:szCs w:val="32"/>
          <w:highlight w:val="none"/>
        </w:rPr>
        <w:t>投标工作，作出以下承诺：</w:t>
      </w:r>
    </w:p>
    <w:p w14:paraId="6AF58383">
      <w:pPr>
        <w:pStyle w:val="45"/>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color w:val="auto"/>
          <w:sz w:val="32"/>
          <w:szCs w:val="32"/>
          <w:highlight w:val="none"/>
          <w:u w:val="single"/>
        </w:rPr>
        <w:t xml:space="preserve">  </w:t>
      </w:r>
      <w:r>
        <w:rPr>
          <w:rFonts w:hint="eastAsia"/>
          <w:color w:val="auto"/>
          <w:sz w:val="32"/>
          <w:szCs w:val="32"/>
          <w:highlight w:val="none"/>
          <w:u w:val="single"/>
        </w:rPr>
        <w:t>服务内容</w:t>
      </w:r>
      <w:r>
        <w:rPr>
          <w:rFonts w:hint="eastAsia" w:ascii="Times New Roman" w:hAnsi="Times New Roman"/>
          <w:color w:val="auto"/>
          <w:sz w:val="32"/>
          <w:szCs w:val="32"/>
          <w:highlight w:val="none"/>
        </w:rPr>
        <w:t>等于或优于采购人需求，并承诺如不满足采购人需求，采购人有权取消合同并进行违约处罚。</w:t>
      </w:r>
    </w:p>
    <w:p w14:paraId="08193E98">
      <w:pPr>
        <w:pStyle w:val="45"/>
        <w:ind w:firstLine="659"/>
        <w:rPr>
          <w:rFonts w:ascii="Times New Roman" w:hAnsi="Times New Roman"/>
          <w:color w:val="auto"/>
          <w:sz w:val="32"/>
          <w:szCs w:val="32"/>
          <w:highlight w:val="none"/>
        </w:rPr>
      </w:pPr>
    </w:p>
    <w:p w14:paraId="1BC66E08">
      <w:pPr>
        <w:pStyle w:val="45"/>
        <w:ind w:firstLine="0" w:firstLineChars="0"/>
        <w:jc w:val="left"/>
        <w:rPr>
          <w:rFonts w:ascii="Times New Roman" w:hAnsi="Times New Roman"/>
          <w:color w:val="auto"/>
          <w:sz w:val="32"/>
          <w:szCs w:val="32"/>
          <w:highlight w:val="none"/>
        </w:rPr>
      </w:pPr>
    </w:p>
    <w:p w14:paraId="1F585398">
      <w:pPr>
        <w:jc w:val="left"/>
        <w:rPr>
          <w:rFonts w:eastAsia="仿宋"/>
          <w:color w:val="auto"/>
          <w:sz w:val="32"/>
          <w:szCs w:val="32"/>
          <w:highlight w:val="none"/>
        </w:rPr>
      </w:pPr>
    </w:p>
    <w:p w14:paraId="1F30291F">
      <w:pPr>
        <w:jc w:val="left"/>
        <w:rPr>
          <w:rFonts w:eastAsia="仿宋"/>
          <w:color w:val="auto"/>
          <w:sz w:val="32"/>
          <w:szCs w:val="32"/>
          <w:highlight w:val="none"/>
        </w:rPr>
      </w:pPr>
    </w:p>
    <w:p w14:paraId="0B252488">
      <w:pPr>
        <w:jc w:val="left"/>
        <w:rPr>
          <w:rFonts w:eastAsia="仿宋"/>
          <w:color w:val="auto"/>
          <w:sz w:val="32"/>
          <w:szCs w:val="32"/>
          <w:highlight w:val="none"/>
        </w:rPr>
      </w:pPr>
    </w:p>
    <w:p w14:paraId="336DF163">
      <w:pPr>
        <w:pStyle w:val="45"/>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6F3A1562">
      <w:pPr>
        <w:pStyle w:val="45"/>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22DFC2A1">
      <w:pPr>
        <w:pStyle w:val="45"/>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346A6949">
      <w:pPr>
        <w:pStyle w:val="45"/>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04F7C813">
      <w:pPr>
        <w:pStyle w:val="45"/>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06AEFA6E">
      <w:pPr>
        <w:pStyle w:val="45"/>
        <w:ind w:firstLine="0" w:firstLineChars="0"/>
        <w:jc w:val="left"/>
        <w:rPr>
          <w:rFonts w:ascii="Times New Roman" w:hAnsi="Times New Roman"/>
          <w:color w:val="auto"/>
          <w:sz w:val="32"/>
          <w:szCs w:val="32"/>
          <w:highlight w:val="none"/>
        </w:rPr>
      </w:pPr>
    </w:p>
    <w:p w14:paraId="1A7FB924">
      <w:pPr>
        <w:pStyle w:val="45"/>
        <w:ind w:firstLine="0" w:firstLineChars="0"/>
        <w:jc w:val="left"/>
        <w:rPr>
          <w:rFonts w:ascii="Times New Roman" w:hAnsi="Times New Roman"/>
          <w:color w:val="auto"/>
          <w:sz w:val="32"/>
          <w:szCs w:val="32"/>
          <w:highlight w:val="none"/>
        </w:rPr>
      </w:pPr>
    </w:p>
    <w:p w14:paraId="6BF1EAC7">
      <w:pPr>
        <w:widowControl/>
        <w:jc w:val="left"/>
        <w:rPr>
          <w:rFonts w:eastAsia="黑体"/>
          <w:color w:val="auto"/>
          <w:sz w:val="28"/>
          <w:szCs w:val="44"/>
          <w:highlight w:val="none"/>
        </w:rPr>
      </w:pPr>
    </w:p>
    <w:p w14:paraId="05BB3938">
      <w:pPr>
        <w:pStyle w:val="10"/>
        <w:rPr>
          <w:rFonts w:eastAsia="黑体"/>
          <w:color w:val="auto"/>
          <w:sz w:val="28"/>
          <w:szCs w:val="44"/>
          <w:highlight w:val="none"/>
        </w:rPr>
      </w:pPr>
    </w:p>
    <w:p w14:paraId="4E5A5BE2">
      <w:pPr>
        <w:pStyle w:val="11"/>
        <w:ind w:firstLine="280"/>
        <w:rPr>
          <w:rFonts w:eastAsia="黑体"/>
          <w:color w:val="auto"/>
          <w:sz w:val="28"/>
          <w:szCs w:val="44"/>
          <w:highlight w:val="none"/>
        </w:rPr>
      </w:pPr>
    </w:p>
    <w:p w14:paraId="78F3B21A">
      <w:pPr>
        <w:pStyle w:val="31"/>
        <w:ind w:firstLine="560"/>
        <w:rPr>
          <w:rFonts w:eastAsia="黑体"/>
          <w:color w:val="auto"/>
          <w:sz w:val="28"/>
          <w:szCs w:val="44"/>
          <w:highlight w:val="none"/>
        </w:rPr>
      </w:pPr>
    </w:p>
    <w:p w14:paraId="18D62263">
      <w:pPr>
        <w:rPr>
          <w:rFonts w:eastAsia="黑体"/>
          <w:color w:val="auto"/>
          <w:sz w:val="28"/>
          <w:szCs w:val="44"/>
          <w:highlight w:val="none"/>
        </w:rPr>
      </w:pPr>
    </w:p>
    <w:p w14:paraId="360FC4E6">
      <w:pPr>
        <w:pStyle w:val="10"/>
        <w:rPr>
          <w:color w:val="auto"/>
          <w:highlight w:val="none"/>
        </w:rPr>
      </w:pPr>
    </w:p>
    <w:p w14:paraId="6B61C74F">
      <w:pPr>
        <w:widowControl/>
        <w:jc w:val="left"/>
        <w:rPr>
          <w:rFonts w:eastAsia="黑体"/>
          <w:color w:val="auto"/>
          <w:sz w:val="28"/>
          <w:szCs w:val="44"/>
          <w:highlight w:val="none"/>
        </w:rPr>
      </w:pPr>
    </w:p>
    <w:p w14:paraId="0E637490">
      <w:pPr>
        <w:pStyle w:val="46"/>
        <w:ind w:firstLine="0" w:firstLineChars="0"/>
        <w:jc w:val="left"/>
        <w:outlineLvl w:val="1"/>
        <w:rPr>
          <w:rFonts w:hint="default" w:eastAsia="黑体"/>
          <w:color w:val="auto"/>
          <w:sz w:val="28"/>
          <w:szCs w:val="44"/>
          <w:highlight w:val="none"/>
          <w:lang w:val="en-US" w:eastAsia="zh-CN"/>
        </w:rPr>
      </w:pPr>
      <w:bookmarkStart w:id="4" w:name="_Hlk40704598"/>
      <w:r>
        <w:rPr>
          <w:rFonts w:hint="eastAsia" w:eastAsia="黑体"/>
          <w:color w:val="auto"/>
          <w:sz w:val="28"/>
          <w:szCs w:val="44"/>
          <w:highlight w:val="none"/>
        </w:rPr>
        <w:t xml:space="preserve">附件六 </w:t>
      </w:r>
      <w:r>
        <w:rPr>
          <w:rFonts w:hint="eastAsia" w:eastAsia="黑体"/>
          <w:color w:val="auto"/>
          <w:sz w:val="28"/>
          <w:szCs w:val="44"/>
          <w:highlight w:val="none"/>
          <w:lang w:val="en-US" w:eastAsia="zh-CN"/>
        </w:rPr>
        <w:t>技术要求</w:t>
      </w:r>
    </w:p>
    <w:bookmarkEnd w:id="1"/>
    <w:bookmarkEnd w:id="4"/>
    <w:p w14:paraId="59A7CDB9">
      <w:pPr>
        <w:pStyle w:val="12"/>
        <w:ind w:left="648"/>
        <w:jc w:val="center"/>
        <w:rPr>
          <w:rFonts w:hint="eastAsia"/>
          <w:b/>
          <w:color w:val="auto"/>
          <w:sz w:val="36"/>
          <w:szCs w:val="36"/>
          <w:highlight w:val="none"/>
          <w:lang w:val="en-US" w:eastAsia="zh-CN"/>
        </w:rPr>
      </w:pPr>
      <w:bookmarkStart w:id="5" w:name="_Toc30247"/>
      <w:r>
        <w:rPr>
          <w:rFonts w:hint="eastAsia"/>
          <w:b/>
          <w:color w:val="auto"/>
          <w:sz w:val="36"/>
          <w:szCs w:val="36"/>
          <w:highlight w:val="none"/>
          <w:lang w:val="en-US" w:eastAsia="zh-CN"/>
        </w:rPr>
        <w:t>阳江开能环保能源有限公司</w:t>
      </w:r>
    </w:p>
    <w:p w14:paraId="5E687CAE">
      <w:pPr>
        <w:pStyle w:val="12"/>
        <w:ind w:left="648"/>
        <w:jc w:val="center"/>
        <w:rPr>
          <w:rFonts w:hint="eastAsia"/>
          <w:b/>
          <w:color w:val="auto"/>
          <w:sz w:val="36"/>
          <w:szCs w:val="36"/>
          <w:highlight w:val="none"/>
          <w:lang w:val="en-US" w:eastAsia="zh-CN"/>
        </w:rPr>
      </w:pPr>
      <w:r>
        <w:rPr>
          <w:rFonts w:hint="eastAsia"/>
          <w:b/>
          <w:color w:val="auto"/>
          <w:sz w:val="36"/>
          <w:szCs w:val="36"/>
          <w:highlight w:val="none"/>
          <w:lang w:val="en-US" w:eastAsia="zh-CN"/>
        </w:rPr>
        <w:t>2025年度安全隐患整改项目-防腐刷漆及保温工程技术要求</w:t>
      </w:r>
    </w:p>
    <w:bookmarkEnd w:id="5"/>
    <w:p w14:paraId="19B32C19">
      <w:pPr>
        <w:rPr>
          <w:rFonts w:hint="default"/>
          <w:color w:val="auto"/>
          <w:highlight w:val="none"/>
          <w:lang w:val="en-US" w:eastAsia="zh-CN"/>
        </w:rPr>
      </w:pPr>
    </w:p>
    <w:p w14:paraId="69C20AC0">
      <w:pPr>
        <w:jc w:val="both"/>
        <w:rPr>
          <w:rFonts w:hint="default"/>
          <w:b/>
          <w:bCs/>
          <w:color w:val="auto"/>
          <w:sz w:val="32"/>
          <w:szCs w:val="40"/>
          <w:highlight w:val="none"/>
          <w:lang w:val="en-US" w:eastAsia="zh-CN"/>
        </w:rPr>
      </w:pPr>
    </w:p>
    <w:p w14:paraId="06F58EC7">
      <w:pPr>
        <w:keepNext w:val="0"/>
        <w:keepLines w:val="0"/>
        <w:pageBreakBefore w:val="0"/>
        <w:numPr>
          <w:ilvl w:val="0"/>
          <w:numId w:val="4"/>
        </w:numPr>
        <w:kinsoku w:val="0"/>
        <w:wordWrap/>
        <w:overflowPunct w:val="0"/>
        <w:topLinePunct w:val="0"/>
        <w:autoSpaceDE w:val="0"/>
        <w:autoSpaceDN w:val="0"/>
        <w:bidi w:val="0"/>
        <w:spacing w:line="360" w:lineRule="auto"/>
        <w:ind w:left="-562" w:leftChars="0" w:right="0" w:rightChars="0" w:firstLine="562" w:firstLineChars="0"/>
        <w:textAlignment w:val="baseline"/>
        <w:rPr>
          <w:rFonts w:hint="eastAsia" w:ascii="宋体" w:hAnsi="宋体" w:eastAsia="宋体" w:cs="宋体"/>
          <w:b/>
          <w:bCs/>
          <w:color w:val="auto"/>
          <w:kern w:val="0"/>
          <w:sz w:val="28"/>
          <w:szCs w:val="28"/>
          <w:highlight w:val="none"/>
          <w:lang w:val="zh-CN" w:eastAsia="zh-CN"/>
        </w:rPr>
      </w:pPr>
      <w:r>
        <w:rPr>
          <w:rFonts w:hint="eastAsia" w:ascii="宋体" w:hAnsi="宋体" w:eastAsia="宋体" w:cs="宋体"/>
          <w:b/>
          <w:bCs/>
          <w:color w:val="auto"/>
          <w:kern w:val="0"/>
          <w:sz w:val="28"/>
          <w:szCs w:val="28"/>
          <w:highlight w:val="none"/>
          <w:lang w:val="zh-CN" w:eastAsia="zh-CN"/>
        </w:rPr>
        <w:t>工程概况</w:t>
      </w:r>
    </w:p>
    <w:p w14:paraId="69EA3882">
      <w:pPr>
        <w:keepNext w:val="0"/>
        <w:keepLines w:val="0"/>
        <w:pageBreakBefore w:val="0"/>
        <w:numPr>
          <w:ilvl w:val="0"/>
          <w:numId w:val="0"/>
        </w:numPr>
        <w:kinsoku w:val="0"/>
        <w:wordWrap/>
        <w:overflowPunct w:val="0"/>
        <w:topLinePunct w:val="0"/>
        <w:autoSpaceDE w:val="0"/>
        <w:autoSpaceDN w:val="0"/>
        <w:bidi w:val="0"/>
        <w:spacing w:line="360" w:lineRule="auto"/>
        <w:ind w:right="0" w:rightChars="0" w:firstLine="240" w:firstLineChars="100"/>
        <w:textAlignment w:val="baseline"/>
        <w:rPr>
          <w:rFonts w:hint="eastAsia" w:cs="Times New Roman"/>
          <w:color w:val="auto"/>
          <w:sz w:val="28"/>
          <w:szCs w:val="28"/>
          <w:highlight w:val="none"/>
          <w:lang w:val="en-US" w:eastAsia="zh-CN"/>
        </w:rPr>
      </w:pPr>
      <w:r>
        <w:rPr>
          <w:rFonts w:hint="eastAsia" w:ascii="宋体" w:hAnsi="宋体" w:eastAsia="宋体" w:cs="宋体"/>
          <w:color w:val="auto"/>
          <w:kern w:val="0"/>
          <w:sz w:val="24"/>
          <w:szCs w:val="24"/>
          <w:highlight w:val="none"/>
          <w:lang w:val="en-US" w:eastAsia="zh-CN"/>
        </w:rPr>
        <w:t xml:space="preserve"> </w:t>
      </w:r>
      <w:bookmarkStart w:id="6" w:name="_Toc248300313"/>
      <w:bookmarkStart w:id="7" w:name="_Toc248300398"/>
      <w:bookmarkStart w:id="8" w:name="_Toc4023"/>
      <w:bookmarkStart w:id="9" w:name="_Toc346805228"/>
      <w:bookmarkStart w:id="10" w:name="_Toc246043251"/>
      <w:r>
        <w:rPr>
          <w:rFonts w:hint="eastAsia" w:cs="Times New Roman"/>
          <w:color w:val="auto"/>
          <w:sz w:val="28"/>
          <w:szCs w:val="28"/>
          <w:highlight w:val="none"/>
          <w:lang w:val="en-US" w:eastAsia="zh-CN"/>
        </w:rPr>
        <w:t>1、</w:t>
      </w:r>
      <w:r>
        <w:rPr>
          <w:rFonts w:hint="eastAsia" w:cs="Times New Roman"/>
          <w:color w:val="auto"/>
          <w:sz w:val="28"/>
          <w:szCs w:val="28"/>
          <w:highlight w:val="none"/>
          <w:lang w:val="en-GB" w:eastAsia="zh-CN"/>
        </w:rPr>
        <w:t>工程</w:t>
      </w:r>
      <w:bookmarkEnd w:id="6"/>
      <w:bookmarkEnd w:id="7"/>
      <w:bookmarkEnd w:id="8"/>
      <w:bookmarkEnd w:id="9"/>
      <w:bookmarkEnd w:id="10"/>
      <w:r>
        <w:rPr>
          <w:rFonts w:hint="eastAsia" w:cs="Times New Roman"/>
          <w:color w:val="auto"/>
          <w:sz w:val="28"/>
          <w:szCs w:val="28"/>
          <w:highlight w:val="none"/>
          <w:lang w:val="en-GB" w:eastAsia="zh-CN"/>
        </w:rPr>
        <w:t>名称</w:t>
      </w:r>
    </w:p>
    <w:p w14:paraId="33A12588">
      <w:pPr>
        <w:numPr>
          <w:ilvl w:val="0"/>
          <w:numId w:val="0"/>
        </w:numPr>
        <w:ind w:firstLine="560" w:firstLineChars="200"/>
        <w:rPr>
          <w:rFonts w:hint="eastAsia" w:cs="Times New Roman"/>
          <w:color w:val="auto"/>
          <w:sz w:val="28"/>
          <w:szCs w:val="28"/>
          <w:highlight w:val="none"/>
          <w:lang w:val="en-GB" w:eastAsia="zh-CN"/>
        </w:rPr>
      </w:pPr>
      <w:bookmarkStart w:id="11" w:name="_Toc346805229"/>
      <w:r>
        <w:rPr>
          <w:rFonts w:hint="eastAsia" w:cs="Times New Roman"/>
          <w:color w:val="auto"/>
          <w:sz w:val="28"/>
          <w:szCs w:val="28"/>
          <w:highlight w:val="none"/>
          <w:lang w:val="en-GB" w:eastAsia="zh-CN"/>
        </w:rPr>
        <w:t>项目名称：阳江开能环保能源有限公司2025年度安全隐患整改项目-防腐刷漆及保温工程。</w:t>
      </w:r>
    </w:p>
    <w:p w14:paraId="3ED6D1EB">
      <w:pPr>
        <w:numPr>
          <w:ilvl w:val="0"/>
          <w:numId w:val="0"/>
        </w:numPr>
        <w:ind w:firstLine="560" w:firstLineChars="200"/>
        <w:rPr>
          <w:rFonts w:hint="eastAsia" w:cs="Times New Roman"/>
          <w:color w:val="auto"/>
          <w:sz w:val="28"/>
          <w:szCs w:val="28"/>
          <w:highlight w:val="none"/>
          <w:lang w:val="en-GB" w:eastAsia="zh-CN"/>
        </w:rPr>
      </w:pPr>
      <w:r>
        <w:rPr>
          <w:rFonts w:hint="eastAsia" w:cs="Times New Roman"/>
          <w:color w:val="auto"/>
          <w:sz w:val="28"/>
          <w:szCs w:val="28"/>
          <w:highlight w:val="none"/>
          <w:lang w:val="en-GB" w:eastAsia="zh-CN"/>
        </w:rPr>
        <w:t>建设地点： 广东省阳江市高新区港口工业区海港二横路一号阳江开能环保能源有限公司</w:t>
      </w:r>
      <w:r>
        <w:rPr>
          <w:rFonts w:hint="eastAsia" w:cs="Times New Roman"/>
          <w:color w:val="auto"/>
          <w:sz w:val="28"/>
          <w:szCs w:val="28"/>
          <w:highlight w:val="none"/>
          <w:lang w:val="en-US" w:eastAsia="zh-CN"/>
        </w:rPr>
        <w:t>。</w:t>
      </w:r>
    </w:p>
    <w:p w14:paraId="1574EC13">
      <w:pPr>
        <w:numPr>
          <w:ilvl w:val="0"/>
          <w:numId w:val="0"/>
        </w:numPr>
        <w:ind w:firstLine="560" w:firstLineChars="200"/>
        <w:rPr>
          <w:rFonts w:hint="eastAsia"/>
          <w:b w:val="0"/>
          <w:bCs w:val="0"/>
          <w:color w:val="auto"/>
          <w:sz w:val="28"/>
          <w:szCs w:val="28"/>
          <w:highlight w:val="none"/>
          <w:u w:val="single"/>
          <w:lang w:val="en-US" w:eastAsia="zh-CN"/>
        </w:rPr>
      </w:pPr>
      <w:r>
        <w:rPr>
          <w:rFonts w:hint="eastAsia" w:cs="Times New Roman"/>
          <w:color w:val="auto"/>
          <w:sz w:val="28"/>
          <w:szCs w:val="28"/>
          <w:highlight w:val="none"/>
          <w:lang w:val="en-US" w:eastAsia="zh-CN"/>
        </w:rPr>
        <w:t>建设</w:t>
      </w:r>
      <w:r>
        <w:rPr>
          <w:rFonts w:hint="eastAsia" w:cs="Times New Roman"/>
          <w:color w:val="auto"/>
          <w:sz w:val="28"/>
          <w:szCs w:val="28"/>
          <w:highlight w:val="none"/>
          <w:lang w:val="en-GB" w:eastAsia="zh-CN"/>
        </w:rPr>
        <w:t>单位：</w:t>
      </w:r>
      <w:r>
        <w:rPr>
          <w:rFonts w:hint="eastAsia"/>
          <w:b w:val="0"/>
          <w:bCs w:val="0"/>
          <w:color w:val="auto"/>
          <w:sz w:val="28"/>
          <w:szCs w:val="28"/>
          <w:highlight w:val="none"/>
          <w:u w:val="single"/>
          <w:lang w:val="en-US" w:eastAsia="zh-CN"/>
        </w:rPr>
        <w:t>阳江开能环保能源有限公司</w:t>
      </w:r>
    </w:p>
    <w:p w14:paraId="6A7ACADF">
      <w:pPr>
        <w:numPr>
          <w:ilvl w:val="0"/>
          <w:numId w:val="0"/>
        </w:numPr>
        <w:ind w:firstLine="280" w:firstLineChars="100"/>
        <w:rPr>
          <w:rFonts w:hint="eastAsia" w:cs="Times New Roman"/>
          <w:color w:val="auto"/>
          <w:sz w:val="28"/>
          <w:szCs w:val="28"/>
          <w:highlight w:val="none"/>
          <w:lang w:val="en-GB" w:eastAsia="zh-CN"/>
        </w:rPr>
      </w:pPr>
      <w:bookmarkStart w:id="12" w:name="_Toc16309"/>
      <w:r>
        <w:rPr>
          <w:rFonts w:hint="eastAsia" w:cs="Times New Roman"/>
          <w:color w:val="auto"/>
          <w:sz w:val="28"/>
          <w:szCs w:val="28"/>
          <w:highlight w:val="none"/>
          <w:lang w:val="en-US" w:eastAsia="zh-CN"/>
        </w:rPr>
        <w:t>2、</w:t>
      </w:r>
      <w:r>
        <w:rPr>
          <w:rFonts w:hint="eastAsia" w:cs="Times New Roman"/>
          <w:color w:val="auto"/>
          <w:sz w:val="28"/>
          <w:szCs w:val="28"/>
          <w:highlight w:val="none"/>
          <w:lang w:val="en-GB" w:eastAsia="zh-CN"/>
        </w:rPr>
        <w:t>项目概况</w:t>
      </w:r>
      <w:bookmarkEnd w:id="11"/>
      <w:bookmarkEnd w:id="12"/>
    </w:p>
    <w:p w14:paraId="55A3B1BC">
      <w:pPr>
        <w:numPr>
          <w:ilvl w:val="0"/>
          <w:numId w:val="0"/>
        </w:numPr>
        <w:ind w:firstLine="560" w:firstLineChars="200"/>
        <w:rPr>
          <w:rFonts w:hint="eastAsia" w:cs="Times New Roman"/>
          <w:color w:val="auto"/>
          <w:sz w:val="28"/>
          <w:szCs w:val="28"/>
          <w:highlight w:val="none"/>
          <w:lang w:val="en-US" w:eastAsia="zh-CN"/>
        </w:rPr>
      </w:pPr>
      <w:r>
        <w:rPr>
          <w:rFonts w:hint="eastAsia" w:cs="Times New Roman"/>
          <w:color w:val="auto"/>
          <w:sz w:val="28"/>
          <w:szCs w:val="28"/>
          <w:highlight w:val="none"/>
          <w:lang w:val="en-US" w:eastAsia="zh-CN"/>
        </w:rPr>
        <w:t>（1）余热发电过热炉、储水箱外表面防腐刷漆。</w:t>
      </w:r>
    </w:p>
    <w:p w14:paraId="746EE9ED">
      <w:pPr>
        <w:numPr>
          <w:ilvl w:val="0"/>
          <w:numId w:val="0"/>
        </w:numPr>
        <w:ind w:firstLine="560" w:firstLineChars="200"/>
        <w:rPr>
          <w:rFonts w:hint="eastAsia" w:cs="Times New Roman"/>
          <w:color w:val="auto"/>
          <w:sz w:val="28"/>
          <w:szCs w:val="28"/>
          <w:highlight w:val="none"/>
          <w:lang w:val="en-US" w:eastAsia="zh-CN"/>
        </w:rPr>
      </w:pPr>
      <w:r>
        <w:rPr>
          <w:rFonts w:hint="eastAsia" w:cs="Times New Roman"/>
          <w:color w:val="auto"/>
          <w:sz w:val="28"/>
          <w:szCs w:val="28"/>
          <w:highlight w:val="none"/>
          <w:lang w:val="en-US" w:eastAsia="zh-CN"/>
        </w:rPr>
        <w:t>（2）</w:t>
      </w:r>
      <w:bookmarkStart w:id="13" w:name="_Toc20530"/>
      <w:bookmarkStart w:id="14" w:name="_Toc346805235"/>
      <w:r>
        <w:rPr>
          <w:rFonts w:hint="eastAsia" w:cs="Times New Roman"/>
          <w:color w:val="auto"/>
          <w:sz w:val="28"/>
          <w:szCs w:val="28"/>
          <w:highlight w:val="none"/>
          <w:lang w:val="en-US" w:eastAsia="zh-CN"/>
        </w:rPr>
        <w:t>余热发电钢构防腐刷漆。</w:t>
      </w:r>
    </w:p>
    <w:p w14:paraId="65E3A05D">
      <w:pPr>
        <w:pStyle w:val="71"/>
        <w:ind w:firstLine="560" w:firstLineChars="200"/>
        <w:rPr>
          <w:rFonts w:hint="default" w:cs="Times New Roman"/>
          <w:color w:val="auto"/>
          <w:sz w:val="28"/>
          <w:szCs w:val="28"/>
          <w:highlight w:val="none"/>
          <w:lang w:val="en-US" w:eastAsia="zh-CN"/>
        </w:rPr>
      </w:pPr>
      <w:r>
        <w:rPr>
          <w:rFonts w:hint="eastAsia" w:cs="Times New Roman"/>
          <w:color w:val="auto"/>
          <w:sz w:val="28"/>
          <w:szCs w:val="28"/>
          <w:highlight w:val="none"/>
          <w:lang w:val="en-US" w:eastAsia="zh-CN"/>
        </w:rPr>
        <w:t>（3）部分蒸汽管道、蓄热器更换铝皮。</w:t>
      </w:r>
    </w:p>
    <w:p w14:paraId="02FFF538">
      <w:pPr>
        <w:numPr>
          <w:ilvl w:val="0"/>
          <w:numId w:val="0"/>
        </w:numPr>
        <w:ind w:firstLine="280" w:firstLineChars="100"/>
        <w:rPr>
          <w:rFonts w:hint="eastAsia" w:cs="Times New Roman"/>
          <w:color w:val="auto"/>
          <w:sz w:val="28"/>
          <w:szCs w:val="28"/>
          <w:highlight w:val="none"/>
          <w:lang w:val="en-GB" w:eastAsia="zh-CN"/>
        </w:rPr>
      </w:pPr>
      <w:r>
        <w:rPr>
          <w:rFonts w:hint="eastAsia" w:cs="Times New Roman"/>
          <w:color w:val="auto"/>
          <w:sz w:val="28"/>
          <w:szCs w:val="28"/>
          <w:highlight w:val="none"/>
          <w:lang w:val="en-US" w:eastAsia="zh-CN"/>
        </w:rPr>
        <w:t>3、</w:t>
      </w:r>
      <w:r>
        <w:rPr>
          <w:rFonts w:hint="eastAsia" w:cs="Times New Roman"/>
          <w:color w:val="auto"/>
          <w:sz w:val="28"/>
          <w:szCs w:val="28"/>
          <w:highlight w:val="none"/>
          <w:lang w:val="en-GB" w:eastAsia="zh-CN"/>
        </w:rPr>
        <w:t>气象条件</w:t>
      </w:r>
      <w:bookmarkEnd w:id="13"/>
      <w:bookmarkEnd w:id="14"/>
    </w:p>
    <w:p w14:paraId="529D7A2C">
      <w:pPr>
        <w:numPr>
          <w:ilvl w:val="0"/>
          <w:numId w:val="0"/>
        </w:numPr>
        <w:ind w:firstLine="560" w:firstLineChars="200"/>
        <w:rPr>
          <w:rFonts w:hint="eastAsia" w:cs="Times New Roman"/>
          <w:color w:val="auto"/>
          <w:sz w:val="28"/>
          <w:szCs w:val="28"/>
          <w:highlight w:val="none"/>
          <w:lang w:val="en-GB" w:eastAsia="zh-CN"/>
        </w:rPr>
      </w:pPr>
      <w:r>
        <w:rPr>
          <w:rFonts w:hint="eastAsia" w:cs="Times New Roman"/>
          <w:color w:val="auto"/>
          <w:sz w:val="28"/>
          <w:szCs w:val="28"/>
          <w:highlight w:val="none"/>
          <w:lang w:val="en-US" w:eastAsia="zh-CN"/>
        </w:rPr>
        <w:t>3</w:t>
      </w:r>
      <w:r>
        <w:rPr>
          <w:rFonts w:hint="eastAsia" w:cs="Times New Roman"/>
          <w:color w:val="auto"/>
          <w:sz w:val="28"/>
          <w:szCs w:val="28"/>
          <w:highlight w:val="none"/>
          <w:lang w:val="en-GB" w:eastAsia="zh-CN"/>
        </w:rPr>
        <w:t>.1气温</w:t>
      </w:r>
    </w:p>
    <w:p w14:paraId="53FB68C3">
      <w:pPr>
        <w:numPr>
          <w:ilvl w:val="0"/>
          <w:numId w:val="0"/>
        </w:numPr>
        <w:ind w:firstLine="560" w:firstLineChars="200"/>
        <w:rPr>
          <w:rFonts w:hint="eastAsia" w:cs="Times New Roman"/>
          <w:color w:val="auto"/>
          <w:sz w:val="28"/>
          <w:szCs w:val="28"/>
          <w:highlight w:val="none"/>
          <w:lang w:val="en-GB" w:eastAsia="zh-CN"/>
        </w:rPr>
      </w:pPr>
      <w:r>
        <w:rPr>
          <w:rFonts w:hint="eastAsia" w:cs="Times New Roman"/>
          <w:color w:val="auto"/>
          <w:sz w:val="28"/>
          <w:szCs w:val="28"/>
          <w:highlight w:val="none"/>
          <w:lang w:val="en-GB" w:eastAsia="zh-CN"/>
        </w:rPr>
        <w:t>年平均气温：1</w:t>
      </w:r>
      <w:r>
        <w:rPr>
          <w:rFonts w:hint="eastAsia" w:cs="Times New Roman"/>
          <w:color w:val="auto"/>
          <w:sz w:val="28"/>
          <w:szCs w:val="28"/>
          <w:highlight w:val="none"/>
          <w:lang w:val="en-US" w:eastAsia="zh-CN"/>
        </w:rPr>
        <w:t>7</w:t>
      </w:r>
      <w:r>
        <w:rPr>
          <w:rFonts w:hint="eastAsia" w:cs="Times New Roman"/>
          <w:color w:val="auto"/>
          <w:sz w:val="28"/>
          <w:szCs w:val="28"/>
          <w:highlight w:val="none"/>
          <w:lang w:val="en-GB" w:eastAsia="zh-CN"/>
        </w:rPr>
        <w:t>.</w:t>
      </w:r>
      <w:r>
        <w:rPr>
          <w:rFonts w:hint="eastAsia" w:cs="Times New Roman"/>
          <w:color w:val="auto"/>
          <w:sz w:val="28"/>
          <w:szCs w:val="28"/>
          <w:highlight w:val="none"/>
          <w:lang w:val="en-US" w:eastAsia="zh-CN"/>
        </w:rPr>
        <w:t>4</w:t>
      </w:r>
      <w:r>
        <w:rPr>
          <w:rFonts w:hint="eastAsia" w:cs="Times New Roman"/>
          <w:color w:val="auto"/>
          <w:sz w:val="28"/>
          <w:szCs w:val="28"/>
          <w:highlight w:val="none"/>
          <w:lang w:val="en-GB" w:eastAsia="zh-CN"/>
        </w:rPr>
        <w:t>℃</w:t>
      </w:r>
      <w:r>
        <w:rPr>
          <w:rFonts w:hint="eastAsia" w:cs="Times New Roman"/>
          <w:color w:val="auto"/>
          <w:sz w:val="28"/>
          <w:szCs w:val="28"/>
          <w:highlight w:val="none"/>
          <w:lang w:val="en-US" w:eastAsia="zh-CN"/>
        </w:rPr>
        <w:t xml:space="preserve">    </w:t>
      </w:r>
      <w:r>
        <w:rPr>
          <w:rFonts w:hint="eastAsia" w:cs="Times New Roman"/>
          <w:color w:val="auto"/>
          <w:sz w:val="28"/>
          <w:szCs w:val="28"/>
          <w:highlight w:val="none"/>
          <w:lang w:val="en-GB" w:eastAsia="zh-CN"/>
        </w:rPr>
        <w:t>一月平均气温：</w:t>
      </w:r>
      <w:r>
        <w:rPr>
          <w:rFonts w:hint="eastAsia" w:cs="Times New Roman"/>
          <w:color w:val="auto"/>
          <w:sz w:val="28"/>
          <w:szCs w:val="28"/>
          <w:highlight w:val="none"/>
          <w:lang w:val="en-US" w:eastAsia="zh-CN"/>
        </w:rPr>
        <w:t>5.7</w:t>
      </w:r>
      <w:r>
        <w:rPr>
          <w:rFonts w:hint="eastAsia" w:cs="Times New Roman"/>
          <w:color w:val="auto"/>
          <w:sz w:val="28"/>
          <w:szCs w:val="28"/>
          <w:highlight w:val="none"/>
          <w:lang w:val="en-GB" w:eastAsia="zh-CN"/>
        </w:rPr>
        <w:t>℃</w:t>
      </w:r>
    </w:p>
    <w:p w14:paraId="662463EE">
      <w:pPr>
        <w:numPr>
          <w:ilvl w:val="0"/>
          <w:numId w:val="0"/>
        </w:numPr>
        <w:ind w:firstLine="560" w:firstLineChars="200"/>
        <w:rPr>
          <w:rFonts w:hint="eastAsia" w:cs="Times New Roman"/>
          <w:color w:val="auto"/>
          <w:sz w:val="28"/>
          <w:szCs w:val="28"/>
          <w:highlight w:val="none"/>
          <w:lang w:val="en-GB" w:eastAsia="zh-CN"/>
        </w:rPr>
      </w:pPr>
      <w:r>
        <w:rPr>
          <w:rFonts w:hint="eastAsia" w:cs="Times New Roman"/>
          <w:color w:val="auto"/>
          <w:sz w:val="28"/>
          <w:szCs w:val="28"/>
          <w:highlight w:val="none"/>
          <w:lang w:val="en-GB" w:eastAsia="zh-CN"/>
        </w:rPr>
        <w:t>七月平均气温：</w:t>
      </w:r>
      <w:r>
        <w:rPr>
          <w:rFonts w:hint="eastAsia" w:cs="Times New Roman"/>
          <w:color w:val="auto"/>
          <w:sz w:val="28"/>
          <w:szCs w:val="28"/>
          <w:highlight w:val="none"/>
          <w:lang w:val="en-US" w:eastAsia="zh-CN"/>
        </w:rPr>
        <w:t>29</w:t>
      </w:r>
      <w:r>
        <w:rPr>
          <w:rFonts w:hint="eastAsia" w:cs="Times New Roman"/>
          <w:color w:val="auto"/>
          <w:sz w:val="28"/>
          <w:szCs w:val="28"/>
          <w:highlight w:val="none"/>
          <w:lang w:val="en-GB" w:eastAsia="zh-CN"/>
        </w:rPr>
        <w:t>℃</w:t>
      </w:r>
      <w:r>
        <w:rPr>
          <w:rFonts w:hint="eastAsia" w:cs="Times New Roman"/>
          <w:color w:val="auto"/>
          <w:sz w:val="28"/>
          <w:szCs w:val="28"/>
          <w:highlight w:val="none"/>
          <w:lang w:val="en-US" w:eastAsia="zh-CN"/>
        </w:rPr>
        <w:t xml:space="preserve">    </w:t>
      </w:r>
      <w:r>
        <w:rPr>
          <w:rFonts w:hint="eastAsia" w:cs="Times New Roman"/>
          <w:color w:val="auto"/>
          <w:sz w:val="28"/>
          <w:szCs w:val="28"/>
          <w:highlight w:val="none"/>
          <w:lang w:val="en-GB" w:eastAsia="zh-CN"/>
        </w:rPr>
        <w:t>历史最高气温：</w:t>
      </w:r>
      <w:r>
        <w:rPr>
          <w:rFonts w:hint="eastAsia" w:cs="Times New Roman"/>
          <w:color w:val="auto"/>
          <w:sz w:val="28"/>
          <w:szCs w:val="28"/>
          <w:highlight w:val="none"/>
          <w:lang w:val="en-US" w:eastAsia="zh-CN"/>
        </w:rPr>
        <w:t>38.9</w:t>
      </w:r>
      <w:r>
        <w:rPr>
          <w:rFonts w:hint="eastAsia" w:cs="Times New Roman"/>
          <w:color w:val="auto"/>
          <w:sz w:val="28"/>
          <w:szCs w:val="28"/>
          <w:highlight w:val="none"/>
          <w:lang w:val="en-GB" w:eastAsia="zh-CN"/>
        </w:rPr>
        <w:t>℃</w:t>
      </w:r>
    </w:p>
    <w:p w14:paraId="5C468AE1">
      <w:pPr>
        <w:numPr>
          <w:ilvl w:val="0"/>
          <w:numId w:val="0"/>
        </w:numPr>
        <w:ind w:firstLine="560" w:firstLineChars="200"/>
        <w:rPr>
          <w:rFonts w:hint="eastAsia" w:cs="Times New Roman"/>
          <w:color w:val="auto"/>
          <w:sz w:val="28"/>
          <w:szCs w:val="28"/>
          <w:highlight w:val="none"/>
          <w:lang w:val="en-GB" w:eastAsia="zh-CN"/>
        </w:rPr>
      </w:pPr>
      <w:r>
        <w:rPr>
          <w:rFonts w:hint="eastAsia" w:cs="Times New Roman"/>
          <w:color w:val="auto"/>
          <w:sz w:val="28"/>
          <w:szCs w:val="28"/>
          <w:highlight w:val="none"/>
          <w:lang w:val="en-US" w:eastAsia="zh-CN"/>
        </w:rPr>
        <w:t>3</w:t>
      </w:r>
      <w:r>
        <w:rPr>
          <w:rFonts w:hint="eastAsia" w:cs="Times New Roman"/>
          <w:color w:val="auto"/>
          <w:sz w:val="28"/>
          <w:szCs w:val="28"/>
          <w:highlight w:val="none"/>
          <w:lang w:val="en-GB" w:eastAsia="zh-CN"/>
        </w:rPr>
        <w:t>.</w:t>
      </w:r>
      <w:r>
        <w:rPr>
          <w:rFonts w:hint="eastAsia" w:cs="Times New Roman"/>
          <w:color w:val="auto"/>
          <w:sz w:val="28"/>
          <w:szCs w:val="28"/>
          <w:highlight w:val="none"/>
          <w:lang w:val="en-US" w:eastAsia="zh-CN"/>
        </w:rPr>
        <w:t>2</w:t>
      </w:r>
      <w:r>
        <w:rPr>
          <w:rFonts w:hint="eastAsia" w:cs="Times New Roman"/>
          <w:color w:val="auto"/>
          <w:sz w:val="28"/>
          <w:szCs w:val="28"/>
          <w:highlight w:val="none"/>
          <w:lang w:val="en-GB" w:eastAsia="zh-CN"/>
        </w:rPr>
        <w:t>降雨量</w:t>
      </w:r>
    </w:p>
    <w:p w14:paraId="7B328EA2">
      <w:pPr>
        <w:numPr>
          <w:ilvl w:val="0"/>
          <w:numId w:val="0"/>
        </w:numPr>
        <w:ind w:firstLine="560" w:firstLineChars="200"/>
        <w:rPr>
          <w:rFonts w:hint="eastAsia" w:cs="Times New Roman"/>
          <w:color w:val="auto"/>
          <w:sz w:val="28"/>
          <w:szCs w:val="28"/>
          <w:highlight w:val="none"/>
          <w:lang w:val="en-GB" w:eastAsia="zh-CN"/>
        </w:rPr>
      </w:pPr>
      <w:r>
        <w:rPr>
          <w:rFonts w:hint="eastAsia" w:cs="Times New Roman"/>
          <w:color w:val="auto"/>
          <w:sz w:val="28"/>
          <w:szCs w:val="28"/>
          <w:highlight w:val="none"/>
          <w:lang w:val="en-GB" w:eastAsia="zh-CN"/>
        </w:rPr>
        <w:t>年平均降雨量：</w:t>
      </w:r>
      <w:r>
        <w:rPr>
          <w:rFonts w:hint="eastAsia" w:cs="Times New Roman"/>
          <w:color w:val="auto"/>
          <w:sz w:val="28"/>
          <w:szCs w:val="28"/>
          <w:highlight w:val="none"/>
          <w:lang w:val="en-US" w:eastAsia="zh-CN"/>
        </w:rPr>
        <w:t>1154</w:t>
      </w:r>
      <w:r>
        <w:rPr>
          <w:rFonts w:hint="eastAsia" w:cs="Times New Roman"/>
          <w:color w:val="auto"/>
          <w:sz w:val="28"/>
          <w:szCs w:val="28"/>
          <w:highlight w:val="none"/>
          <w:lang w:val="en-GB" w:eastAsia="zh-CN"/>
        </w:rPr>
        <w:t>mm</w:t>
      </w:r>
    </w:p>
    <w:p w14:paraId="75BAC6A0">
      <w:pPr>
        <w:numPr>
          <w:ilvl w:val="0"/>
          <w:numId w:val="0"/>
        </w:numPr>
        <w:ind w:firstLine="560" w:firstLineChars="200"/>
        <w:rPr>
          <w:rFonts w:hint="eastAsia" w:cs="Times New Roman"/>
          <w:color w:val="auto"/>
          <w:sz w:val="28"/>
          <w:szCs w:val="28"/>
          <w:highlight w:val="none"/>
          <w:lang w:val="en-GB" w:eastAsia="zh-CN"/>
        </w:rPr>
      </w:pPr>
      <w:r>
        <w:rPr>
          <w:rFonts w:hint="eastAsia" w:cs="Times New Roman"/>
          <w:color w:val="auto"/>
          <w:sz w:val="28"/>
          <w:szCs w:val="28"/>
          <w:highlight w:val="none"/>
          <w:lang w:val="en-US" w:eastAsia="zh-CN"/>
        </w:rPr>
        <w:t>3.3</w:t>
      </w:r>
      <w:r>
        <w:rPr>
          <w:rFonts w:hint="eastAsia" w:cs="Times New Roman"/>
          <w:color w:val="auto"/>
          <w:sz w:val="28"/>
          <w:szCs w:val="28"/>
          <w:highlight w:val="none"/>
          <w:lang w:val="en-GB" w:eastAsia="zh-CN"/>
        </w:rPr>
        <w:t>相对湿度</w:t>
      </w:r>
    </w:p>
    <w:p w14:paraId="3C69BED5">
      <w:pPr>
        <w:numPr>
          <w:ilvl w:val="0"/>
          <w:numId w:val="0"/>
        </w:numPr>
        <w:ind w:firstLine="560" w:firstLineChars="200"/>
        <w:rPr>
          <w:rFonts w:hint="eastAsia" w:cs="Times New Roman"/>
          <w:color w:val="auto"/>
          <w:sz w:val="28"/>
          <w:szCs w:val="28"/>
          <w:highlight w:val="none"/>
          <w:lang w:val="en-GB" w:eastAsia="zh-CN"/>
        </w:rPr>
      </w:pPr>
      <w:r>
        <w:rPr>
          <w:rFonts w:hint="eastAsia" w:cs="Times New Roman"/>
          <w:color w:val="auto"/>
          <w:sz w:val="28"/>
          <w:szCs w:val="28"/>
          <w:highlight w:val="none"/>
          <w:lang w:val="en-GB" w:eastAsia="zh-CN"/>
        </w:rPr>
        <w:t>年平均相对湿度：</w:t>
      </w:r>
      <w:r>
        <w:rPr>
          <w:rFonts w:hint="eastAsia" w:cs="Times New Roman"/>
          <w:color w:val="auto"/>
          <w:sz w:val="28"/>
          <w:szCs w:val="28"/>
          <w:highlight w:val="none"/>
          <w:lang w:val="en-US" w:eastAsia="zh-CN"/>
        </w:rPr>
        <w:t>81</w:t>
      </w:r>
      <w:r>
        <w:rPr>
          <w:rFonts w:hint="eastAsia" w:cs="Times New Roman"/>
          <w:color w:val="auto"/>
          <w:sz w:val="28"/>
          <w:szCs w:val="28"/>
          <w:highlight w:val="none"/>
          <w:lang w:val="en-GB" w:eastAsia="zh-CN"/>
        </w:rPr>
        <w:t>%</w:t>
      </w:r>
    </w:p>
    <w:p w14:paraId="68006C97">
      <w:pPr>
        <w:numPr>
          <w:ilvl w:val="0"/>
          <w:numId w:val="0"/>
        </w:numPr>
        <w:ind w:firstLine="560" w:firstLineChars="200"/>
        <w:rPr>
          <w:rFonts w:hint="eastAsia" w:cs="Times New Roman"/>
          <w:color w:val="auto"/>
          <w:sz w:val="28"/>
          <w:szCs w:val="28"/>
          <w:highlight w:val="none"/>
          <w:lang w:val="en-GB" w:eastAsia="zh-CN"/>
        </w:rPr>
      </w:pPr>
      <w:r>
        <w:rPr>
          <w:rFonts w:hint="eastAsia" w:cs="Times New Roman"/>
          <w:color w:val="auto"/>
          <w:sz w:val="28"/>
          <w:szCs w:val="28"/>
          <w:highlight w:val="none"/>
          <w:lang w:val="en-US" w:eastAsia="zh-CN"/>
        </w:rPr>
        <w:t>3.</w:t>
      </w:r>
      <w:r>
        <w:rPr>
          <w:rFonts w:hint="eastAsia" w:cs="Times New Roman"/>
          <w:color w:val="auto"/>
          <w:sz w:val="28"/>
          <w:szCs w:val="28"/>
          <w:highlight w:val="none"/>
          <w:lang w:val="en-GB" w:eastAsia="zh-CN"/>
        </w:rPr>
        <w:t>4风</w:t>
      </w:r>
    </w:p>
    <w:p w14:paraId="1F1B4704">
      <w:pPr>
        <w:numPr>
          <w:ilvl w:val="0"/>
          <w:numId w:val="0"/>
        </w:numPr>
        <w:ind w:firstLine="560" w:firstLineChars="200"/>
        <w:rPr>
          <w:rFonts w:hint="eastAsia" w:cs="Times New Roman"/>
          <w:color w:val="auto"/>
          <w:sz w:val="28"/>
          <w:szCs w:val="28"/>
          <w:highlight w:val="none"/>
          <w:lang w:val="en-GB" w:eastAsia="zh-CN"/>
        </w:rPr>
      </w:pPr>
      <w:r>
        <w:rPr>
          <w:rFonts w:hint="eastAsia" w:cs="Times New Roman"/>
          <w:color w:val="auto"/>
          <w:sz w:val="28"/>
          <w:szCs w:val="28"/>
          <w:highlight w:val="none"/>
          <w:lang w:val="en-GB" w:eastAsia="zh-CN"/>
        </w:rPr>
        <w:t>最大风速：</w:t>
      </w:r>
      <w:r>
        <w:rPr>
          <w:rFonts w:hint="eastAsia" w:cs="Times New Roman"/>
          <w:color w:val="auto"/>
          <w:sz w:val="28"/>
          <w:szCs w:val="28"/>
          <w:highlight w:val="none"/>
          <w:lang w:val="en-US" w:eastAsia="zh-CN"/>
        </w:rPr>
        <w:t xml:space="preserve">28m/s     </w:t>
      </w:r>
      <w:r>
        <w:rPr>
          <w:rFonts w:hint="eastAsia" w:cs="Times New Roman"/>
          <w:color w:val="auto"/>
          <w:sz w:val="28"/>
          <w:szCs w:val="28"/>
          <w:highlight w:val="none"/>
          <w:lang w:val="en-GB" w:eastAsia="zh-CN"/>
        </w:rPr>
        <w:t>全年主导风向：</w:t>
      </w:r>
      <w:r>
        <w:rPr>
          <w:rFonts w:hint="eastAsia" w:cs="Times New Roman"/>
          <w:color w:val="auto"/>
          <w:sz w:val="28"/>
          <w:szCs w:val="28"/>
          <w:highlight w:val="none"/>
          <w:lang w:val="en-US" w:eastAsia="zh-CN"/>
        </w:rPr>
        <w:t>北风</w:t>
      </w:r>
    </w:p>
    <w:p w14:paraId="26E7457A">
      <w:pPr>
        <w:numPr>
          <w:ilvl w:val="0"/>
          <w:numId w:val="0"/>
        </w:numPr>
        <w:ind w:firstLine="560" w:firstLineChars="200"/>
        <w:rPr>
          <w:rFonts w:hint="eastAsia" w:cs="Times New Roman"/>
          <w:color w:val="auto"/>
          <w:sz w:val="28"/>
          <w:szCs w:val="28"/>
          <w:highlight w:val="none"/>
          <w:lang w:val="en-GB" w:eastAsia="zh-CN"/>
        </w:rPr>
      </w:pPr>
      <w:r>
        <w:rPr>
          <w:rFonts w:hint="eastAsia" w:cs="Times New Roman"/>
          <w:color w:val="auto"/>
          <w:sz w:val="28"/>
          <w:szCs w:val="28"/>
          <w:highlight w:val="none"/>
          <w:lang w:val="en-US" w:eastAsia="zh-CN"/>
        </w:rPr>
        <w:t>3</w:t>
      </w:r>
      <w:r>
        <w:rPr>
          <w:rFonts w:hint="eastAsia" w:cs="Times New Roman"/>
          <w:color w:val="auto"/>
          <w:sz w:val="28"/>
          <w:szCs w:val="28"/>
          <w:highlight w:val="none"/>
          <w:lang w:val="en-GB" w:eastAsia="zh-CN"/>
        </w:rPr>
        <w:t>.5海拔</w:t>
      </w:r>
    </w:p>
    <w:p w14:paraId="58EAC118">
      <w:pPr>
        <w:numPr>
          <w:ilvl w:val="0"/>
          <w:numId w:val="0"/>
        </w:numPr>
        <w:ind w:firstLine="560" w:firstLineChars="200"/>
        <w:rPr>
          <w:rFonts w:hint="eastAsia" w:cs="Times New Roman"/>
          <w:color w:val="auto"/>
          <w:sz w:val="28"/>
          <w:szCs w:val="28"/>
          <w:highlight w:val="none"/>
          <w:lang w:val="en-US" w:eastAsia="zh-CN"/>
        </w:rPr>
      </w:pPr>
      <w:r>
        <w:rPr>
          <w:rFonts w:hint="eastAsia" w:cs="Times New Roman"/>
          <w:color w:val="auto"/>
          <w:sz w:val="28"/>
          <w:szCs w:val="28"/>
          <w:highlight w:val="none"/>
          <w:lang w:val="en-GB" w:eastAsia="zh-CN"/>
        </w:rPr>
        <w:t>海拔高度</w:t>
      </w:r>
      <w:bookmarkStart w:id="15" w:name="_Toc31550"/>
      <w:bookmarkStart w:id="16" w:name="_Toc418067453"/>
      <w:bookmarkStart w:id="17" w:name="OLE_LINK4"/>
      <w:bookmarkStart w:id="18" w:name="_Toc251225988"/>
      <w:bookmarkStart w:id="19" w:name="_Toc292019620"/>
      <w:bookmarkStart w:id="20" w:name="_Toc253047130"/>
      <w:bookmarkStart w:id="21" w:name="_Toc251226102"/>
      <w:bookmarkStart w:id="22" w:name="_Toc406136365"/>
      <w:bookmarkStart w:id="23" w:name="_Toc253058797"/>
      <w:r>
        <w:rPr>
          <w:rFonts w:hint="eastAsia" w:cs="Times New Roman"/>
          <w:color w:val="auto"/>
          <w:sz w:val="28"/>
          <w:szCs w:val="28"/>
          <w:highlight w:val="none"/>
          <w:lang w:val="en-GB" w:eastAsia="zh-CN"/>
        </w:rPr>
        <w:t>：</w:t>
      </w:r>
      <w:r>
        <w:rPr>
          <w:rFonts w:hint="eastAsia" w:cs="Times New Roman"/>
          <w:color w:val="auto"/>
          <w:sz w:val="28"/>
          <w:szCs w:val="28"/>
          <w:highlight w:val="none"/>
          <w:lang w:val="en-US" w:eastAsia="zh-CN"/>
        </w:rPr>
        <w:t>5.1m</w:t>
      </w:r>
    </w:p>
    <w:p w14:paraId="0D347D35">
      <w:pPr>
        <w:numPr>
          <w:ilvl w:val="0"/>
          <w:numId w:val="0"/>
        </w:numPr>
        <w:ind w:firstLine="560" w:firstLineChars="200"/>
        <w:rPr>
          <w:rFonts w:hint="eastAsia" w:cs="Times New Roman"/>
          <w:color w:val="auto"/>
          <w:sz w:val="28"/>
          <w:szCs w:val="28"/>
          <w:highlight w:val="none"/>
          <w:lang w:val="en-GB" w:eastAsia="zh-CN"/>
        </w:rPr>
      </w:pPr>
      <w:r>
        <w:rPr>
          <w:rFonts w:hint="eastAsia" w:cs="Times New Roman"/>
          <w:color w:val="auto"/>
          <w:sz w:val="28"/>
          <w:szCs w:val="28"/>
          <w:highlight w:val="none"/>
          <w:lang w:val="en-US" w:eastAsia="zh-CN"/>
        </w:rPr>
        <w:t>3.6</w:t>
      </w:r>
      <w:r>
        <w:rPr>
          <w:rFonts w:hint="eastAsia" w:cs="Times New Roman"/>
          <w:color w:val="auto"/>
          <w:sz w:val="28"/>
          <w:szCs w:val="28"/>
          <w:highlight w:val="none"/>
          <w:lang w:val="en-GB" w:eastAsia="zh-CN"/>
        </w:rPr>
        <w:t>基本地震烈度</w:t>
      </w:r>
      <w:bookmarkEnd w:id="15"/>
    </w:p>
    <w:bookmarkEnd w:id="16"/>
    <w:bookmarkEnd w:id="17"/>
    <w:bookmarkEnd w:id="18"/>
    <w:bookmarkEnd w:id="19"/>
    <w:bookmarkEnd w:id="20"/>
    <w:bookmarkEnd w:id="21"/>
    <w:bookmarkEnd w:id="22"/>
    <w:bookmarkEnd w:id="23"/>
    <w:p w14:paraId="3ED2FE88">
      <w:pPr>
        <w:keepNext w:val="0"/>
        <w:keepLines w:val="0"/>
        <w:pageBreakBefore w:val="0"/>
        <w:kinsoku w:val="0"/>
        <w:wordWrap/>
        <w:overflowPunct w:val="0"/>
        <w:topLinePunct w:val="0"/>
        <w:autoSpaceDE w:val="0"/>
        <w:autoSpaceDN w:val="0"/>
        <w:bidi w:val="0"/>
        <w:spacing w:line="360" w:lineRule="auto"/>
        <w:ind w:right="0" w:rightChars="0"/>
        <w:textAlignment w:val="baseline"/>
        <w:rPr>
          <w:rFonts w:hint="eastAsia" w:ascii="宋体" w:hAnsi="宋体" w:eastAsia="宋体" w:cs="宋体"/>
          <w:color w:val="auto"/>
          <w:kern w:val="0"/>
          <w:sz w:val="28"/>
          <w:szCs w:val="28"/>
          <w:highlight w:val="none"/>
          <w:lang w:val="en-US" w:eastAsia="zh-CN"/>
        </w:rPr>
      </w:pPr>
      <w:r>
        <w:rPr>
          <w:rFonts w:hint="eastAsia" w:ascii="宋体" w:hAnsi="宋体"/>
          <w:color w:val="auto"/>
          <w:sz w:val="28"/>
          <w:szCs w:val="28"/>
          <w:highlight w:val="none"/>
        </w:rPr>
        <w:t>该建设区域的抗震设防烈度为7度，设计基本地震加速度值为0.1g</w:t>
      </w:r>
      <w:r>
        <w:rPr>
          <w:rFonts w:hint="eastAsia" w:ascii="宋体" w:hAnsi="宋体" w:eastAsia="宋体" w:cs="宋体"/>
          <w:color w:val="auto"/>
          <w:kern w:val="0"/>
          <w:sz w:val="28"/>
          <w:szCs w:val="28"/>
          <w:highlight w:val="none"/>
          <w:lang w:val="en-US" w:eastAsia="zh-CN"/>
        </w:rPr>
        <w:t>。</w:t>
      </w:r>
    </w:p>
    <w:p w14:paraId="1672C65B">
      <w:pPr>
        <w:numPr>
          <w:ilvl w:val="0"/>
          <w:numId w:val="0"/>
        </w:numPr>
        <w:ind w:firstLine="560" w:firstLineChars="200"/>
        <w:rPr>
          <w:rFonts w:hint="eastAsia"/>
          <w:b w:val="0"/>
          <w:bCs w:val="0"/>
          <w:color w:val="auto"/>
          <w:sz w:val="28"/>
          <w:szCs w:val="28"/>
          <w:highlight w:val="none"/>
          <w:u w:val="none"/>
          <w:lang w:val="en-US" w:eastAsia="zh-CN"/>
        </w:rPr>
      </w:pPr>
      <w:r>
        <w:rPr>
          <w:rFonts w:hint="eastAsia" w:cs="宋体"/>
          <w:color w:val="auto"/>
          <w:kern w:val="0"/>
          <w:sz w:val="28"/>
          <w:szCs w:val="28"/>
          <w:highlight w:val="none"/>
          <w:lang w:val="en-US" w:eastAsia="zh-CN"/>
        </w:rPr>
        <w:t>4、</w:t>
      </w:r>
      <w:r>
        <w:rPr>
          <w:rFonts w:hint="eastAsia"/>
          <w:b w:val="0"/>
          <w:bCs w:val="0"/>
          <w:color w:val="auto"/>
          <w:sz w:val="28"/>
          <w:szCs w:val="28"/>
          <w:highlight w:val="none"/>
          <w:u w:val="none"/>
          <w:lang w:val="en-US" w:eastAsia="zh-CN"/>
        </w:rPr>
        <w:t>工作量（见下表）：</w:t>
      </w:r>
    </w:p>
    <w:tbl>
      <w:tblPr>
        <w:tblStyle w:val="23"/>
        <w:tblW w:w="9735" w:type="dxa"/>
        <w:tblInd w:w="-10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2"/>
        <w:gridCol w:w="3117"/>
        <w:gridCol w:w="456"/>
        <w:gridCol w:w="913"/>
        <w:gridCol w:w="182"/>
        <w:gridCol w:w="1095"/>
        <w:gridCol w:w="92"/>
        <w:gridCol w:w="3286"/>
        <w:gridCol w:w="392"/>
      </w:tblGrid>
      <w:tr w14:paraId="5AED28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9735" w:type="dxa"/>
            <w:gridSpan w:val="9"/>
            <w:tcBorders>
              <w:top w:val="single" w:color="000000" w:sz="4" w:space="0"/>
              <w:left w:val="single" w:color="000000" w:sz="4" w:space="0"/>
              <w:bottom w:val="single" w:color="000000" w:sz="4" w:space="0"/>
              <w:right w:val="single" w:color="000000" w:sz="4" w:space="0"/>
            </w:tcBorders>
            <w:noWrap/>
            <w:vAlign w:val="bottom"/>
          </w:tcPr>
          <w:p w14:paraId="50731309">
            <w:pPr>
              <w:keepNext w:val="0"/>
              <w:keepLines w:val="0"/>
              <w:widowControl/>
              <w:suppressLineNumbers w:val="0"/>
              <w:jc w:val="center"/>
              <w:textAlignment w:val="bottom"/>
              <w:rPr>
                <w:rFonts w:hint="eastAsia" w:ascii="宋体" w:hAnsi="宋体" w:eastAsia="宋体" w:cs="宋体"/>
                <w:i w:val="0"/>
                <w:iCs w:val="0"/>
                <w:color w:val="auto"/>
                <w:sz w:val="40"/>
                <w:szCs w:val="40"/>
                <w:highlight w:val="none"/>
                <w:u w:val="none"/>
              </w:rPr>
            </w:pPr>
            <w:r>
              <w:rPr>
                <w:rFonts w:hint="eastAsia" w:ascii="宋体" w:hAnsi="宋体" w:eastAsia="宋体" w:cs="宋体"/>
                <w:i w:val="0"/>
                <w:iCs w:val="0"/>
                <w:color w:val="auto"/>
                <w:kern w:val="0"/>
                <w:sz w:val="32"/>
                <w:szCs w:val="32"/>
                <w:highlight w:val="none"/>
                <w:u w:val="none"/>
                <w:lang w:val="en-US" w:eastAsia="zh-CN" w:bidi="ar"/>
              </w:rPr>
              <w:t>阳江开能环保能源有限公司2025年度</w:t>
            </w:r>
            <w:r>
              <w:rPr>
                <w:rFonts w:hint="eastAsia" w:ascii="宋体" w:hAnsi="宋体" w:cs="宋体"/>
                <w:i w:val="0"/>
                <w:iCs w:val="0"/>
                <w:color w:val="auto"/>
                <w:kern w:val="0"/>
                <w:sz w:val="32"/>
                <w:szCs w:val="32"/>
                <w:highlight w:val="none"/>
                <w:u w:val="none"/>
                <w:lang w:val="en-US" w:eastAsia="zh-CN" w:bidi="ar"/>
              </w:rPr>
              <w:t>安全整改（</w:t>
            </w:r>
            <w:r>
              <w:rPr>
                <w:rFonts w:hint="eastAsia" w:ascii="宋体" w:hAnsi="宋体" w:eastAsia="宋体" w:cs="宋体"/>
                <w:i w:val="0"/>
                <w:iCs w:val="0"/>
                <w:color w:val="auto"/>
                <w:kern w:val="0"/>
                <w:sz w:val="32"/>
                <w:szCs w:val="32"/>
                <w:highlight w:val="none"/>
                <w:u w:val="none"/>
                <w:lang w:val="en-US" w:eastAsia="zh-CN" w:bidi="ar"/>
              </w:rPr>
              <w:t>保温</w:t>
            </w:r>
            <w:r>
              <w:rPr>
                <w:rFonts w:hint="eastAsia" w:ascii="宋体" w:hAnsi="宋体" w:cs="宋体"/>
                <w:i w:val="0"/>
                <w:iCs w:val="0"/>
                <w:color w:val="auto"/>
                <w:kern w:val="0"/>
                <w:sz w:val="32"/>
                <w:szCs w:val="32"/>
                <w:highlight w:val="none"/>
                <w:u w:val="none"/>
                <w:lang w:val="en-US" w:eastAsia="zh-CN" w:bidi="ar"/>
              </w:rPr>
              <w:t>）</w:t>
            </w:r>
            <w:r>
              <w:rPr>
                <w:rFonts w:hint="eastAsia" w:ascii="宋体" w:hAnsi="宋体" w:eastAsia="宋体" w:cs="宋体"/>
                <w:i w:val="0"/>
                <w:iCs w:val="0"/>
                <w:color w:val="auto"/>
                <w:kern w:val="0"/>
                <w:sz w:val="32"/>
                <w:szCs w:val="32"/>
                <w:highlight w:val="none"/>
                <w:u w:val="none"/>
                <w:lang w:val="en-US" w:eastAsia="zh-CN" w:bidi="ar"/>
              </w:rPr>
              <w:t>工程</w:t>
            </w:r>
          </w:p>
        </w:tc>
      </w:tr>
      <w:tr w14:paraId="59D306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33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9FE69E">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项目</w:t>
            </w:r>
          </w:p>
        </w:tc>
        <w:tc>
          <w:tcPr>
            <w:tcW w:w="1369" w:type="dxa"/>
            <w:gridSpan w:val="2"/>
            <w:vMerge w:val="restart"/>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5833346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计量单位</w:t>
            </w:r>
          </w:p>
        </w:tc>
        <w:tc>
          <w:tcPr>
            <w:tcW w:w="1369" w:type="dxa"/>
            <w:gridSpan w:val="3"/>
            <w:vMerge w:val="restart"/>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75DAE40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工程量</w:t>
            </w:r>
          </w:p>
        </w:tc>
        <w:tc>
          <w:tcPr>
            <w:tcW w:w="367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FD8131C">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备注</w:t>
            </w:r>
          </w:p>
        </w:tc>
      </w:tr>
      <w:tr w14:paraId="61036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33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C77FEB">
            <w:pPr>
              <w:jc w:val="center"/>
              <w:rPr>
                <w:rFonts w:hint="eastAsia" w:ascii="宋体" w:hAnsi="宋体" w:eastAsia="宋体" w:cs="宋体"/>
                <w:b/>
                <w:bCs/>
                <w:i w:val="0"/>
                <w:iCs w:val="0"/>
                <w:color w:val="auto"/>
                <w:sz w:val="24"/>
                <w:szCs w:val="24"/>
                <w:highlight w:val="none"/>
                <w:u w:val="none"/>
              </w:rPr>
            </w:pPr>
          </w:p>
        </w:tc>
        <w:tc>
          <w:tcPr>
            <w:tcW w:w="1369" w:type="dxa"/>
            <w:gridSpan w:val="2"/>
            <w:vMerge w:val="continue"/>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1BC8C99D">
            <w:pPr>
              <w:jc w:val="center"/>
              <w:rPr>
                <w:rFonts w:hint="eastAsia" w:ascii="宋体" w:hAnsi="宋体" w:eastAsia="宋体" w:cs="宋体"/>
                <w:i w:val="0"/>
                <w:iCs w:val="0"/>
                <w:color w:val="auto"/>
                <w:sz w:val="20"/>
                <w:szCs w:val="20"/>
                <w:highlight w:val="none"/>
                <w:u w:val="none"/>
              </w:rPr>
            </w:pPr>
          </w:p>
        </w:tc>
        <w:tc>
          <w:tcPr>
            <w:tcW w:w="1369" w:type="dxa"/>
            <w:gridSpan w:val="3"/>
            <w:vMerge w:val="continue"/>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211E7917">
            <w:pPr>
              <w:jc w:val="center"/>
              <w:rPr>
                <w:rFonts w:hint="eastAsia" w:ascii="宋体" w:hAnsi="宋体" w:eastAsia="宋体" w:cs="宋体"/>
                <w:i w:val="0"/>
                <w:iCs w:val="0"/>
                <w:color w:val="auto"/>
                <w:sz w:val="20"/>
                <w:szCs w:val="20"/>
                <w:highlight w:val="none"/>
                <w:u w:val="none"/>
              </w:rPr>
            </w:pPr>
          </w:p>
        </w:tc>
        <w:tc>
          <w:tcPr>
            <w:tcW w:w="367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4BE7214">
            <w:pPr>
              <w:jc w:val="center"/>
              <w:rPr>
                <w:rFonts w:hint="eastAsia" w:ascii="宋体" w:hAnsi="宋体" w:eastAsia="宋体" w:cs="宋体"/>
                <w:b/>
                <w:bCs/>
                <w:i w:val="0"/>
                <w:iCs w:val="0"/>
                <w:color w:val="auto"/>
                <w:sz w:val="24"/>
                <w:szCs w:val="24"/>
                <w:highlight w:val="none"/>
                <w:u w:val="none"/>
              </w:rPr>
            </w:pPr>
          </w:p>
        </w:tc>
      </w:tr>
      <w:tr w14:paraId="4173C8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3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CECAC">
            <w:pPr>
              <w:keepNext w:val="0"/>
              <w:keepLines w:val="0"/>
              <w:widowControl/>
              <w:suppressLineNumbers w:val="0"/>
              <w:jc w:val="center"/>
              <w:textAlignment w:val="center"/>
              <w:rPr>
                <w:rFonts w:ascii="??" w:hAnsi="??" w:eastAsia="??" w:cs="??"/>
                <w:i w:val="0"/>
                <w:iCs w:val="0"/>
                <w:color w:val="auto"/>
                <w:sz w:val="24"/>
                <w:szCs w:val="24"/>
                <w:highlight w:val="none"/>
                <w:u w:val="none"/>
              </w:rPr>
            </w:pPr>
            <w:r>
              <w:rPr>
                <w:rFonts w:hint="default" w:ascii="??" w:hAnsi="??" w:eastAsia="??" w:cs="??"/>
                <w:i w:val="0"/>
                <w:iCs w:val="0"/>
                <w:color w:val="auto"/>
                <w:kern w:val="0"/>
                <w:sz w:val="24"/>
                <w:szCs w:val="24"/>
                <w:highlight w:val="none"/>
                <w:u w:val="none"/>
                <w:lang w:val="en-US" w:eastAsia="zh-CN" w:bidi="ar"/>
              </w:rPr>
              <w:t>1号蓄热器入口管</w:t>
            </w:r>
          </w:p>
        </w:tc>
        <w:tc>
          <w:tcPr>
            <w:tcW w:w="1369"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0222D13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1369" w:type="dxa"/>
            <w:gridSpan w:val="3"/>
            <w:tcBorders>
              <w:top w:val="single" w:color="000000" w:sz="4" w:space="0"/>
              <w:left w:val="single" w:color="000000" w:sz="4" w:space="0"/>
              <w:bottom w:val="single" w:color="000000" w:sz="4" w:space="0"/>
              <w:right w:val="single" w:color="000000" w:sz="4" w:space="0"/>
            </w:tcBorders>
            <w:noWrap/>
            <w:vAlign w:val="center"/>
          </w:tcPr>
          <w:p w14:paraId="689C56C4">
            <w:pPr>
              <w:keepNext w:val="0"/>
              <w:keepLines w:val="0"/>
              <w:widowControl/>
              <w:suppressLineNumbers w:val="0"/>
              <w:jc w:val="center"/>
              <w:textAlignment w:val="center"/>
              <w:rPr>
                <w:rFonts w:hint="default" w:ascii="??" w:hAnsi="??" w:eastAsia="??" w:cs="??"/>
                <w:i w:val="0"/>
                <w:iCs w:val="0"/>
                <w:color w:val="auto"/>
                <w:sz w:val="24"/>
                <w:szCs w:val="24"/>
                <w:highlight w:val="none"/>
                <w:u w:val="none"/>
              </w:rPr>
            </w:pPr>
            <w:r>
              <w:rPr>
                <w:rFonts w:hint="default" w:ascii="??" w:hAnsi="??" w:eastAsia="??" w:cs="??"/>
                <w:i w:val="0"/>
                <w:iCs w:val="0"/>
                <w:color w:val="auto"/>
                <w:kern w:val="0"/>
                <w:sz w:val="24"/>
                <w:szCs w:val="24"/>
                <w:highlight w:val="none"/>
                <w:u w:val="none"/>
                <w:lang w:val="en-US" w:eastAsia="zh-CN" w:bidi="ar"/>
              </w:rPr>
              <w:t>216</w:t>
            </w:r>
          </w:p>
        </w:tc>
        <w:tc>
          <w:tcPr>
            <w:tcW w:w="3678" w:type="dxa"/>
            <w:gridSpan w:val="2"/>
            <w:tcBorders>
              <w:top w:val="single" w:color="000000" w:sz="4" w:space="0"/>
              <w:left w:val="single" w:color="000000" w:sz="4" w:space="0"/>
              <w:bottom w:val="single" w:color="000000" w:sz="4" w:space="0"/>
              <w:right w:val="single" w:color="000000" w:sz="4" w:space="0"/>
            </w:tcBorders>
            <w:noWrap w:val="0"/>
            <w:vAlign w:val="center"/>
          </w:tcPr>
          <w:p w14:paraId="1FDEC094">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1.材料:铝板</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2.厚度:0.6mm</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3.脚手架搭拆等措施费</w:t>
            </w:r>
          </w:p>
        </w:tc>
      </w:tr>
      <w:tr w14:paraId="65F687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3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B2CF9">
            <w:pPr>
              <w:keepNext w:val="0"/>
              <w:keepLines w:val="0"/>
              <w:widowControl/>
              <w:suppressLineNumbers w:val="0"/>
              <w:jc w:val="center"/>
              <w:textAlignment w:val="center"/>
              <w:rPr>
                <w:rFonts w:hint="default" w:ascii="??" w:hAnsi="??" w:eastAsia="??" w:cs="??"/>
                <w:i w:val="0"/>
                <w:iCs w:val="0"/>
                <w:color w:val="auto"/>
                <w:sz w:val="24"/>
                <w:szCs w:val="24"/>
                <w:highlight w:val="none"/>
                <w:u w:val="none"/>
              </w:rPr>
            </w:pPr>
            <w:r>
              <w:rPr>
                <w:rFonts w:hint="default" w:ascii="??" w:hAnsi="??" w:eastAsia="??" w:cs="??"/>
                <w:i w:val="0"/>
                <w:iCs w:val="0"/>
                <w:color w:val="auto"/>
                <w:kern w:val="0"/>
                <w:sz w:val="24"/>
                <w:szCs w:val="24"/>
                <w:highlight w:val="none"/>
                <w:u w:val="none"/>
                <w:lang w:val="en-US" w:eastAsia="zh-CN" w:bidi="ar"/>
              </w:rPr>
              <w:t>1号蓄热器出口管</w:t>
            </w:r>
          </w:p>
        </w:tc>
        <w:tc>
          <w:tcPr>
            <w:tcW w:w="1369"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33A1F4E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1369" w:type="dxa"/>
            <w:gridSpan w:val="3"/>
            <w:tcBorders>
              <w:top w:val="single" w:color="000000" w:sz="4" w:space="0"/>
              <w:left w:val="single" w:color="000000" w:sz="4" w:space="0"/>
              <w:bottom w:val="single" w:color="000000" w:sz="4" w:space="0"/>
              <w:right w:val="single" w:color="000000" w:sz="4" w:space="0"/>
            </w:tcBorders>
            <w:noWrap/>
            <w:vAlign w:val="center"/>
          </w:tcPr>
          <w:p w14:paraId="287C39CB">
            <w:pPr>
              <w:keepNext w:val="0"/>
              <w:keepLines w:val="0"/>
              <w:widowControl/>
              <w:suppressLineNumbers w:val="0"/>
              <w:jc w:val="center"/>
              <w:textAlignment w:val="center"/>
              <w:rPr>
                <w:rFonts w:hint="default" w:ascii="??" w:hAnsi="??" w:eastAsia="??" w:cs="??"/>
                <w:i w:val="0"/>
                <w:iCs w:val="0"/>
                <w:color w:val="auto"/>
                <w:sz w:val="24"/>
                <w:szCs w:val="24"/>
                <w:highlight w:val="none"/>
                <w:u w:val="none"/>
              </w:rPr>
            </w:pPr>
            <w:r>
              <w:rPr>
                <w:rFonts w:hint="default" w:ascii="??" w:hAnsi="??" w:eastAsia="??" w:cs="??"/>
                <w:i w:val="0"/>
                <w:iCs w:val="0"/>
                <w:color w:val="auto"/>
                <w:kern w:val="0"/>
                <w:sz w:val="24"/>
                <w:szCs w:val="24"/>
                <w:highlight w:val="none"/>
                <w:u w:val="none"/>
                <w:lang w:val="en-US" w:eastAsia="zh-CN" w:bidi="ar"/>
              </w:rPr>
              <w:t>256</w:t>
            </w:r>
          </w:p>
        </w:tc>
        <w:tc>
          <w:tcPr>
            <w:tcW w:w="3678" w:type="dxa"/>
            <w:gridSpan w:val="2"/>
            <w:tcBorders>
              <w:top w:val="single" w:color="000000" w:sz="4" w:space="0"/>
              <w:left w:val="single" w:color="000000" w:sz="4" w:space="0"/>
              <w:bottom w:val="single" w:color="000000" w:sz="4" w:space="0"/>
              <w:right w:val="single" w:color="000000" w:sz="4" w:space="0"/>
            </w:tcBorders>
            <w:noWrap w:val="0"/>
            <w:vAlign w:val="center"/>
          </w:tcPr>
          <w:p w14:paraId="016F267F">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1.材料:铝板</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2.厚度:0.6mm</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3.脚手架搭拆等措施费</w:t>
            </w:r>
          </w:p>
        </w:tc>
      </w:tr>
      <w:tr w14:paraId="15D9B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3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A7B98">
            <w:pPr>
              <w:keepNext w:val="0"/>
              <w:keepLines w:val="0"/>
              <w:widowControl/>
              <w:suppressLineNumbers w:val="0"/>
              <w:jc w:val="center"/>
              <w:textAlignment w:val="center"/>
              <w:rPr>
                <w:rFonts w:hint="default" w:ascii="??" w:hAnsi="??" w:eastAsia="??" w:cs="??"/>
                <w:i w:val="0"/>
                <w:iCs w:val="0"/>
                <w:color w:val="auto"/>
                <w:sz w:val="24"/>
                <w:szCs w:val="24"/>
                <w:highlight w:val="none"/>
                <w:u w:val="none"/>
              </w:rPr>
            </w:pPr>
            <w:r>
              <w:rPr>
                <w:rFonts w:hint="default" w:ascii="??" w:hAnsi="??" w:eastAsia="??" w:cs="??"/>
                <w:i w:val="0"/>
                <w:iCs w:val="0"/>
                <w:color w:val="auto"/>
                <w:kern w:val="0"/>
                <w:sz w:val="24"/>
                <w:szCs w:val="24"/>
                <w:highlight w:val="none"/>
                <w:u w:val="none"/>
                <w:lang w:val="en-US" w:eastAsia="zh-CN" w:bidi="ar"/>
              </w:rPr>
              <w:t>1号蓄热器本体</w:t>
            </w:r>
          </w:p>
        </w:tc>
        <w:tc>
          <w:tcPr>
            <w:tcW w:w="1369"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2A2024A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1369" w:type="dxa"/>
            <w:gridSpan w:val="3"/>
            <w:tcBorders>
              <w:top w:val="single" w:color="000000" w:sz="4" w:space="0"/>
              <w:left w:val="single" w:color="000000" w:sz="4" w:space="0"/>
              <w:bottom w:val="single" w:color="000000" w:sz="4" w:space="0"/>
              <w:right w:val="single" w:color="000000" w:sz="4" w:space="0"/>
            </w:tcBorders>
            <w:noWrap/>
            <w:vAlign w:val="center"/>
          </w:tcPr>
          <w:p w14:paraId="27C60BD3">
            <w:pPr>
              <w:keepNext w:val="0"/>
              <w:keepLines w:val="0"/>
              <w:widowControl/>
              <w:suppressLineNumbers w:val="0"/>
              <w:jc w:val="center"/>
              <w:textAlignment w:val="center"/>
              <w:rPr>
                <w:rFonts w:hint="default" w:ascii="??" w:hAnsi="??" w:eastAsia="??" w:cs="??"/>
                <w:i w:val="0"/>
                <w:iCs w:val="0"/>
                <w:color w:val="auto"/>
                <w:sz w:val="24"/>
                <w:szCs w:val="24"/>
                <w:highlight w:val="none"/>
                <w:u w:val="none"/>
              </w:rPr>
            </w:pPr>
            <w:r>
              <w:rPr>
                <w:rFonts w:hint="default" w:ascii="??" w:hAnsi="??" w:eastAsia="??" w:cs="??"/>
                <w:i w:val="0"/>
                <w:iCs w:val="0"/>
                <w:color w:val="auto"/>
                <w:kern w:val="0"/>
                <w:sz w:val="24"/>
                <w:szCs w:val="24"/>
                <w:highlight w:val="none"/>
                <w:u w:val="none"/>
                <w:lang w:val="en-US" w:eastAsia="zh-CN" w:bidi="ar"/>
              </w:rPr>
              <w:t>80</w:t>
            </w:r>
          </w:p>
        </w:tc>
        <w:tc>
          <w:tcPr>
            <w:tcW w:w="3678" w:type="dxa"/>
            <w:gridSpan w:val="2"/>
            <w:tcBorders>
              <w:top w:val="single" w:color="000000" w:sz="4" w:space="0"/>
              <w:left w:val="single" w:color="000000" w:sz="4" w:space="0"/>
              <w:bottom w:val="single" w:color="000000" w:sz="4" w:space="0"/>
              <w:right w:val="single" w:color="000000" w:sz="4" w:space="0"/>
            </w:tcBorders>
            <w:noWrap w:val="0"/>
            <w:vAlign w:val="center"/>
          </w:tcPr>
          <w:p w14:paraId="7DC65DCB">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1.材料:铝板</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2.厚度:0.6mm</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3.脚手架搭拆等措施费</w:t>
            </w:r>
          </w:p>
        </w:tc>
      </w:tr>
      <w:tr w14:paraId="3EF12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3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B8A33">
            <w:pPr>
              <w:keepNext w:val="0"/>
              <w:keepLines w:val="0"/>
              <w:widowControl/>
              <w:suppressLineNumbers w:val="0"/>
              <w:jc w:val="center"/>
              <w:textAlignment w:val="center"/>
              <w:rPr>
                <w:rFonts w:hint="default" w:ascii="??" w:hAnsi="??" w:eastAsia="??" w:cs="??"/>
                <w:i w:val="0"/>
                <w:iCs w:val="0"/>
                <w:color w:val="auto"/>
                <w:sz w:val="24"/>
                <w:szCs w:val="24"/>
                <w:highlight w:val="none"/>
                <w:u w:val="none"/>
              </w:rPr>
            </w:pPr>
            <w:r>
              <w:rPr>
                <w:rFonts w:hint="default" w:ascii="??" w:hAnsi="??" w:eastAsia="??" w:cs="??"/>
                <w:i w:val="0"/>
                <w:iCs w:val="0"/>
                <w:color w:val="auto"/>
                <w:kern w:val="0"/>
                <w:sz w:val="24"/>
                <w:szCs w:val="24"/>
                <w:highlight w:val="none"/>
                <w:u w:val="none"/>
                <w:lang w:val="en-US" w:eastAsia="zh-CN" w:bidi="ar"/>
              </w:rPr>
              <w:t>2号蓄热器本体</w:t>
            </w:r>
          </w:p>
        </w:tc>
        <w:tc>
          <w:tcPr>
            <w:tcW w:w="1369"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5F576AF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1369" w:type="dxa"/>
            <w:gridSpan w:val="3"/>
            <w:tcBorders>
              <w:top w:val="single" w:color="000000" w:sz="4" w:space="0"/>
              <w:left w:val="single" w:color="000000" w:sz="4" w:space="0"/>
              <w:bottom w:val="single" w:color="000000" w:sz="4" w:space="0"/>
              <w:right w:val="single" w:color="000000" w:sz="4" w:space="0"/>
            </w:tcBorders>
            <w:noWrap/>
            <w:vAlign w:val="center"/>
          </w:tcPr>
          <w:p w14:paraId="718C497B">
            <w:pPr>
              <w:keepNext w:val="0"/>
              <w:keepLines w:val="0"/>
              <w:widowControl/>
              <w:suppressLineNumbers w:val="0"/>
              <w:jc w:val="center"/>
              <w:textAlignment w:val="center"/>
              <w:rPr>
                <w:rFonts w:hint="default" w:ascii="??" w:hAnsi="??" w:eastAsia="??" w:cs="??"/>
                <w:i w:val="0"/>
                <w:iCs w:val="0"/>
                <w:color w:val="auto"/>
                <w:sz w:val="24"/>
                <w:szCs w:val="24"/>
                <w:highlight w:val="none"/>
                <w:u w:val="none"/>
              </w:rPr>
            </w:pPr>
            <w:r>
              <w:rPr>
                <w:rFonts w:hint="default" w:ascii="??" w:hAnsi="??" w:eastAsia="??" w:cs="??"/>
                <w:i w:val="0"/>
                <w:iCs w:val="0"/>
                <w:color w:val="auto"/>
                <w:kern w:val="0"/>
                <w:sz w:val="24"/>
                <w:szCs w:val="24"/>
                <w:highlight w:val="none"/>
                <w:u w:val="none"/>
                <w:lang w:val="en-US" w:eastAsia="zh-CN" w:bidi="ar"/>
              </w:rPr>
              <w:t>120</w:t>
            </w:r>
          </w:p>
        </w:tc>
        <w:tc>
          <w:tcPr>
            <w:tcW w:w="3678" w:type="dxa"/>
            <w:gridSpan w:val="2"/>
            <w:tcBorders>
              <w:top w:val="single" w:color="000000" w:sz="4" w:space="0"/>
              <w:left w:val="single" w:color="000000" w:sz="4" w:space="0"/>
              <w:bottom w:val="single" w:color="000000" w:sz="4" w:space="0"/>
              <w:right w:val="single" w:color="000000" w:sz="4" w:space="0"/>
            </w:tcBorders>
            <w:noWrap w:val="0"/>
            <w:vAlign w:val="center"/>
          </w:tcPr>
          <w:p w14:paraId="58F3972E">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1.材料:铝板</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2.厚度:0.6mm</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3.脚手架搭拆等措施费</w:t>
            </w:r>
          </w:p>
        </w:tc>
      </w:tr>
      <w:tr w14:paraId="78BD8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3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0E592">
            <w:pPr>
              <w:keepNext w:val="0"/>
              <w:keepLines w:val="0"/>
              <w:widowControl/>
              <w:suppressLineNumbers w:val="0"/>
              <w:jc w:val="center"/>
              <w:textAlignment w:val="center"/>
              <w:rPr>
                <w:rFonts w:hint="default" w:ascii="??" w:hAnsi="??" w:eastAsia="??" w:cs="??"/>
                <w:i w:val="0"/>
                <w:iCs w:val="0"/>
                <w:color w:val="auto"/>
                <w:sz w:val="24"/>
                <w:szCs w:val="24"/>
                <w:highlight w:val="none"/>
                <w:u w:val="none"/>
              </w:rPr>
            </w:pPr>
            <w:r>
              <w:rPr>
                <w:rFonts w:hint="default" w:ascii="??" w:hAnsi="??" w:eastAsia="??" w:cs="??"/>
                <w:i w:val="0"/>
                <w:iCs w:val="0"/>
                <w:color w:val="auto"/>
                <w:kern w:val="0"/>
                <w:sz w:val="24"/>
                <w:szCs w:val="24"/>
                <w:highlight w:val="none"/>
                <w:u w:val="none"/>
                <w:lang w:val="en-US" w:eastAsia="zh-CN" w:bidi="ar"/>
              </w:rPr>
              <w:t>环冷炉本体</w:t>
            </w:r>
          </w:p>
        </w:tc>
        <w:tc>
          <w:tcPr>
            <w:tcW w:w="1369"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1021A00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1369" w:type="dxa"/>
            <w:gridSpan w:val="3"/>
            <w:tcBorders>
              <w:top w:val="single" w:color="000000" w:sz="4" w:space="0"/>
              <w:left w:val="single" w:color="000000" w:sz="4" w:space="0"/>
              <w:bottom w:val="single" w:color="000000" w:sz="4" w:space="0"/>
              <w:right w:val="single" w:color="000000" w:sz="4" w:space="0"/>
            </w:tcBorders>
            <w:noWrap/>
            <w:vAlign w:val="center"/>
          </w:tcPr>
          <w:p w14:paraId="131D0285">
            <w:pPr>
              <w:keepNext w:val="0"/>
              <w:keepLines w:val="0"/>
              <w:widowControl/>
              <w:suppressLineNumbers w:val="0"/>
              <w:jc w:val="center"/>
              <w:textAlignment w:val="center"/>
              <w:rPr>
                <w:rFonts w:hint="default" w:ascii="??" w:hAnsi="??" w:eastAsia="??" w:cs="??"/>
                <w:i w:val="0"/>
                <w:iCs w:val="0"/>
                <w:color w:val="auto"/>
                <w:sz w:val="24"/>
                <w:szCs w:val="24"/>
                <w:highlight w:val="none"/>
                <w:u w:val="none"/>
              </w:rPr>
            </w:pPr>
            <w:r>
              <w:rPr>
                <w:rFonts w:hint="default" w:ascii="??" w:hAnsi="??" w:eastAsia="??" w:cs="??"/>
                <w:i w:val="0"/>
                <w:iCs w:val="0"/>
                <w:color w:val="auto"/>
                <w:kern w:val="0"/>
                <w:sz w:val="24"/>
                <w:szCs w:val="24"/>
                <w:highlight w:val="none"/>
                <w:u w:val="none"/>
                <w:lang w:val="en-US" w:eastAsia="zh-CN" w:bidi="ar"/>
              </w:rPr>
              <w:t>400</w:t>
            </w:r>
          </w:p>
        </w:tc>
        <w:tc>
          <w:tcPr>
            <w:tcW w:w="3678" w:type="dxa"/>
            <w:gridSpan w:val="2"/>
            <w:tcBorders>
              <w:top w:val="single" w:color="000000" w:sz="4" w:space="0"/>
              <w:left w:val="single" w:color="000000" w:sz="4" w:space="0"/>
              <w:bottom w:val="single" w:color="000000" w:sz="4" w:space="0"/>
              <w:right w:val="single" w:color="000000" w:sz="4" w:space="0"/>
            </w:tcBorders>
            <w:noWrap w:val="0"/>
            <w:vAlign w:val="center"/>
          </w:tcPr>
          <w:p w14:paraId="2A60C497">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1.材料:铝板</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2.厚度:0.6mm</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3.脚手架搭拆等措施费</w:t>
            </w:r>
          </w:p>
        </w:tc>
      </w:tr>
      <w:tr w14:paraId="6D221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3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94A47">
            <w:pPr>
              <w:keepNext w:val="0"/>
              <w:keepLines w:val="0"/>
              <w:widowControl/>
              <w:suppressLineNumbers w:val="0"/>
              <w:jc w:val="center"/>
              <w:textAlignment w:val="center"/>
              <w:rPr>
                <w:rFonts w:hint="default" w:ascii="??" w:hAnsi="??" w:eastAsia="??" w:cs="??"/>
                <w:i w:val="0"/>
                <w:iCs w:val="0"/>
                <w:color w:val="auto"/>
                <w:sz w:val="24"/>
                <w:szCs w:val="24"/>
                <w:highlight w:val="none"/>
                <w:u w:val="none"/>
              </w:rPr>
            </w:pPr>
            <w:r>
              <w:rPr>
                <w:rFonts w:hint="default" w:ascii="??" w:hAnsi="??" w:eastAsia="??" w:cs="??"/>
                <w:i w:val="0"/>
                <w:iCs w:val="0"/>
                <w:color w:val="auto"/>
                <w:kern w:val="0"/>
                <w:sz w:val="24"/>
                <w:szCs w:val="24"/>
                <w:highlight w:val="none"/>
                <w:u w:val="none"/>
                <w:lang w:val="en-US" w:eastAsia="zh-CN" w:bidi="ar"/>
              </w:rPr>
              <w:t>烧结炉本体</w:t>
            </w:r>
          </w:p>
        </w:tc>
        <w:tc>
          <w:tcPr>
            <w:tcW w:w="1369"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5EFF4C4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1369" w:type="dxa"/>
            <w:gridSpan w:val="3"/>
            <w:tcBorders>
              <w:top w:val="single" w:color="000000" w:sz="4" w:space="0"/>
              <w:left w:val="single" w:color="000000" w:sz="4" w:space="0"/>
              <w:bottom w:val="single" w:color="000000" w:sz="4" w:space="0"/>
              <w:right w:val="single" w:color="000000" w:sz="4" w:space="0"/>
            </w:tcBorders>
            <w:noWrap/>
            <w:vAlign w:val="center"/>
          </w:tcPr>
          <w:p w14:paraId="278F92F3">
            <w:pPr>
              <w:keepNext w:val="0"/>
              <w:keepLines w:val="0"/>
              <w:widowControl/>
              <w:suppressLineNumbers w:val="0"/>
              <w:jc w:val="center"/>
              <w:textAlignment w:val="center"/>
              <w:rPr>
                <w:rFonts w:hint="default" w:ascii="??" w:hAnsi="??" w:eastAsia="??" w:cs="??"/>
                <w:i w:val="0"/>
                <w:iCs w:val="0"/>
                <w:color w:val="auto"/>
                <w:sz w:val="24"/>
                <w:szCs w:val="24"/>
                <w:highlight w:val="none"/>
                <w:u w:val="none"/>
              </w:rPr>
            </w:pPr>
            <w:r>
              <w:rPr>
                <w:rFonts w:hint="default" w:ascii="??" w:hAnsi="??" w:eastAsia="??" w:cs="??"/>
                <w:i w:val="0"/>
                <w:iCs w:val="0"/>
                <w:color w:val="auto"/>
                <w:kern w:val="0"/>
                <w:sz w:val="24"/>
                <w:szCs w:val="24"/>
                <w:highlight w:val="none"/>
                <w:u w:val="none"/>
                <w:lang w:val="en-US" w:eastAsia="zh-CN" w:bidi="ar"/>
              </w:rPr>
              <w:t>218</w:t>
            </w:r>
          </w:p>
        </w:tc>
        <w:tc>
          <w:tcPr>
            <w:tcW w:w="3678" w:type="dxa"/>
            <w:gridSpan w:val="2"/>
            <w:tcBorders>
              <w:top w:val="single" w:color="000000" w:sz="4" w:space="0"/>
              <w:left w:val="single" w:color="000000" w:sz="4" w:space="0"/>
              <w:bottom w:val="single" w:color="000000" w:sz="4" w:space="0"/>
              <w:right w:val="single" w:color="000000" w:sz="4" w:space="0"/>
            </w:tcBorders>
            <w:noWrap w:val="0"/>
            <w:vAlign w:val="center"/>
          </w:tcPr>
          <w:p w14:paraId="7348D0D4">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1.材料:铝板</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2.厚度:0.6mm</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3.脚手架搭拆等措施费</w:t>
            </w:r>
          </w:p>
        </w:tc>
      </w:tr>
      <w:tr w14:paraId="21AB6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3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1CA88">
            <w:pPr>
              <w:keepNext w:val="0"/>
              <w:keepLines w:val="0"/>
              <w:widowControl/>
              <w:suppressLineNumbers w:val="0"/>
              <w:jc w:val="center"/>
              <w:textAlignment w:val="center"/>
              <w:rPr>
                <w:rFonts w:hint="default" w:ascii="??" w:hAnsi="??" w:eastAsia="??" w:cs="??"/>
                <w:i w:val="0"/>
                <w:iCs w:val="0"/>
                <w:color w:val="auto"/>
                <w:sz w:val="24"/>
                <w:szCs w:val="24"/>
                <w:highlight w:val="none"/>
                <w:u w:val="none"/>
              </w:rPr>
            </w:pPr>
            <w:r>
              <w:rPr>
                <w:rFonts w:hint="default" w:ascii="??" w:hAnsi="??" w:eastAsia="??" w:cs="??"/>
                <w:i w:val="0"/>
                <w:iCs w:val="0"/>
                <w:color w:val="auto"/>
                <w:kern w:val="0"/>
                <w:sz w:val="24"/>
                <w:szCs w:val="24"/>
                <w:highlight w:val="none"/>
                <w:u w:val="none"/>
                <w:lang w:val="en-US" w:eastAsia="zh-CN" w:bidi="ar"/>
              </w:rPr>
              <w:t>过热炉本体</w:t>
            </w:r>
          </w:p>
        </w:tc>
        <w:tc>
          <w:tcPr>
            <w:tcW w:w="1369"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2D63914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1369" w:type="dxa"/>
            <w:gridSpan w:val="3"/>
            <w:tcBorders>
              <w:top w:val="single" w:color="000000" w:sz="4" w:space="0"/>
              <w:left w:val="single" w:color="000000" w:sz="4" w:space="0"/>
              <w:bottom w:val="single" w:color="000000" w:sz="4" w:space="0"/>
              <w:right w:val="single" w:color="000000" w:sz="4" w:space="0"/>
            </w:tcBorders>
            <w:noWrap/>
            <w:vAlign w:val="center"/>
          </w:tcPr>
          <w:p w14:paraId="38555392">
            <w:pPr>
              <w:keepNext w:val="0"/>
              <w:keepLines w:val="0"/>
              <w:widowControl/>
              <w:suppressLineNumbers w:val="0"/>
              <w:jc w:val="center"/>
              <w:textAlignment w:val="center"/>
              <w:rPr>
                <w:rFonts w:hint="default" w:ascii="??" w:hAnsi="??" w:eastAsia="??" w:cs="??"/>
                <w:i w:val="0"/>
                <w:iCs w:val="0"/>
                <w:color w:val="auto"/>
                <w:sz w:val="24"/>
                <w:szCs w:val="24"/>
                <w:highlight w:val="none"/>
                <w:u w:val="none"/>
              </w:rPr>
            </w:pPr>
            <w:r>
              <w:rPr>
                <w:rFonts w:hint="default" w:ascii="??" w:hAnsi="??" w:eastAsia="??" w:cs="??"/>
                <w:i w:val="0"/>
                <w:iCs w:val="0"/>
                <w:color w:val="auto"/>
                <w:kern w:val="0"/>
                <w:sz w:val="24"/>
                <w:szCs w:val="24"/>
                <w:highlight w:val="none"/>
                <w:u w:val="none"/>
                <w:lang w:val="en-US" w:eastAsia="zh-CN" w:bidi="ar"/>
              </w:rPr>
              <w:t>526</w:t>
            </w:r>
          </w:p>
        </w:tc>
        <w:tc>
          <w:tcPr>
            <w:tcW w:w="3678" w:type="dxa"/>
            <w:gridSpan w:val="2"/>
            <w:tcBorders>
              <w:top w:val="single" w:color="000000" w:sz="4" w:space="0"/>
              <w:left w:val="single" w:color="000000" w:sz="4" w:space="0"/>
              <w:bottom w:val="single" w:color="000000" w:sz="4" w:space="0"/>
              <w:right w:val="single" w:color="000000" w:sz="4" w:space="0"/>
            </w:tcBorders>
            <w:noWrap w:val="0"/>
            <w:vAlign w:val="center"/>
          </w:tcPr>
          <w:p w14:paraId="685758FD">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1.材料:铝板</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2.厚度:0.6mm</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3.脚手架搭拆等措施费</w:t>
            </w:r>
          </w:p>
        </w:tc>
      </w:tr>
      <w:tr w14:paraId="48FE8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33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7491F">
            <w:pPr>
              <w:keepNext w:val="0"/>
              <w:keepLines w:val="0"/>
              <w:widowControl/>
              <w:suppressLineNumbers w:val="0"/>
              <w:jc w:val="center"/>
              <w:textAlignment w:val="center"/>
              <w:rPr>
                <w:rFonts w:hint="default" w:ascii="??" w:hAnsi="??" w:eastAsia="??" w:cs="??"/>
                <w:i w:val="0"/>
                <w:iCs w:val="0"/>
                <w:color w:val="auto"/>
                <w:sz w:val="24"/>
                <w:szCs w:val="24"/>
                <w:highlight w:val="none"/>
                <w:u w:val="none"/>
              </w:rPr>
            </w:pPr>
            <w:r>
              <w:rPr>
                <w:rFonts w:hint="default" w:ascii="??" w:hAnsi="??" w:eastAsia="??" w:cs="??"/>
                <w:i w:val="0"/>
                <w:iCs w:val="0"/>
                <w:color w:val="auto"/>
                <w:kern w:val="0"/>
                <w:sz w:val="24"/>
                <w:szCs w:val="24"/>
                <w:highlight w:val="none"/>
                <w:u w:val="none"/>
                <w:lang w:val="en-US" w:eastAsia="zh-CN" w:bidi="ar"/>
              </w:rPr>
              <w:t>过热炉至汽机主蒸汽管</w:t>
            </w:r>
          </w:p>
        </w:tc>
        <w:tc>
          <w:tcPr>
            <w:tcW w:w="1369"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32A8796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1369" w:type="dxa"/>
            <w:gridSpan w:val="3"/>
            <w:tcBorders>
              <w:top w:val="single" w:color="000000" w:sz="4" w:space="0"/>
              <w:left w:val="single" w:color="000000" w:sz="4" w:space="0"/>
              <w:bottom w:val="single" w:color="000000" w:sz="4" w:space="0"/>
              <w:right w:val="single" w:color="000000" w:sz="4" w:space="0"/>
            </w:tcBorders>
            <w:noWrap/>
            <w:vAlign w:val="center"/>
          </w:tcPr>
          <w:p w14:paraId="16938025">
            <w:pPr>
              <w:keepNext w:val="0"/>
              <w:keepLines w:val="0"/>
              <w:widowControl/>
              <w:suppressLineNumbers w:val="0"/>
              <w:jc w:val="center"/>
              <w:textAlignment w:val="center"/>
              <w:rPr>
                <w:rFonts w:hint="default" w:ascii="??" w:hAnsi="??" w:eastAsia="??" w:cs="??"/>
                <w:i w:val="0"/>
                <w:iCs w:val="0"/>
                <w:color w:val="auto"/>
                <w:sz w:val="24"/>
                <w:szCs w:val="24"/>
                <w:highlight w:val="none"/>
                <w:u w:val="none"/>
              </w:rPr>
            </w:pPr>
            <w:r>
              <w:rPr>
                <w:rFonts w:hint="default" w:ascii="??" w:hAnsi="??" w:eastAsia="??" w:cs="??"/>
                <w:i w:val="0"/>
                <w:iCs w:val="0"/>
                <w:color w:val="auto"/>
                <w:kern w:val="0"/>
                <w:sz w:val="24"/>
                <w:szCs w:val="24"/>
                <w:highlight w:val="none"/>
                <w:u w:val="none"/>
                <w:lang w:val="en-US" w:eastAsia="zh-CN" w:bidi="ar"/>
              </w:rPr>
              <w:t>256.08</w:t>
            </w:r>
          </w:p>
        </w:tc>
        <w:tc>
          <w:tcPr>
            <w:tcW w:w="3678" w:type="dxa"/>
            <w:gridSpan w:val="2"/>
            <w:tcBorders>
              <w:top w:val="single" w:color="000000" w:sz="4" w:space="0"/>
              <w:left w:val="single" w:color="000000" w:sz="4" w:space="0"/>
              <w:bottom w:val="single" w:color="000000" w:sz="4" w:space="0"/>
              <w:right w:val="single" w:color="000000" w:sz="4" w:space="0"/>
            </w:tcBorders>
            <w:noWrap w:val="0"/>
            <w:vAlign w:val="center"/>
          </w:tcPr>
          <w:p w14:paraId="473B8708">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1.材料:铝板</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2.厚度:0.6mm</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3.脚手架搭拆等措施费</w:t>
            </w:r>
          </w:p>
        </w:tc>
      </w:tr>
      <w:tr w14:paraId="6EB05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4688" w:type="dxa"/>
            <w:gridSpan w:val="4"/>
            <w:tcBorders>
              <w:top w:val="nil"/>
              <w:left w:val="single" w:color="000000" w:sz="8" w:space="0"/>
              <w:bottom w:val="single" w:color="000000" w:sz="8" w:space="0"/>
              <w:right w:val="single" w:color="000000" w:sz="4" w:space="0"/>
            </w:tcBorders>
            <w:shd w:val="clear" w:color="FFFFFF" w:fill="FFFFFF"/>
            <w:noWrap w:val="0"/>
            <w:vAlign w:val="center"/>
          </w:tcPr>
          <w:p w14:paraId="355E6DB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合计</w:t>
            </w:r>
          </w:p>
        </w:tc>
        <w:tc>
          <w:tcPr>
            <w:tcW w:w="1369" w:type="dxa"/>
            <w:gridSpan w:val="3"/>
            <w:tcBorders>
              <w:top w:val="nil"/>
              <w:left w:val="single" w:color="000000" w:sz="4" w:space="0"/>
              <w:bottom w:val="single" w:color="000000" w:sz="8" w:space="0"/>
              <w:right w:val="single" w:color="000000" w:sz="4" w:space="0"/>
            </w:tcBorders>
            <w:shd w:val="clear" w:color="FFFFFF" w:fill="FFFFFF"/>
            <w:noWrap w:val="0"/>
            <w:vAlign w:val="center"/>
          </w:tcPr>
          <w:p w14:paraId="4DF24DAA">
            <w:pPr>
              <w:keepNext w:val="0"/>
              <w:keepLines w:val="0"/>
              <w:widowControl/>
              <w:suppressLineNumbers w:val="0"/>
              <w:jc w:val="righ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2072.08</w:t>
            </w:r>
          </w:p>
        </w:tc>
        <w:tc>
          <w:tcPr>
            <w:tcW w:w="3678" w:type="dxa"/>
            <w:gridSpan w:val="2"/>
            <w:tcBorders>
              <w:top w:val="nil"/>
              <w:left w:val="nil"/>
              <w:bottom w:val="single" w:color="000000" w:sz="8" w:space="0"/>
              <w:right w:val="single" w:color="000000" w:sz="8" w:space="0"/>
            </w:tcBorders>
            <w:noWrap w:val="0"/>
            <w:vAlign w:val="center"/>
          </w:tcPr>
          <w:p w14:paraId="0C1E117B">
            <w:pPr>
              <w:jc w:val="center"/>
              <w:rPr>
                <w:rFonts w:hint="eastAsia" w:ascii="宋体" w:hAnsi="宋体" w:eastAsia="宋体" w:cs="宋体"/>
                <w:i w:val="0"/>
                <w:iCs w:val="0"/>
                <w:color w:val="auto"/>
                <w:sz w:val="24"/>
                <w:szCs w:val="24"/>
                <w:highlight w:val="none"/>
                <w:u w:val="none"/>
              </w:rPr>
            </w:pPr>
          </w:p>
        </w:tc>
      </w:tr>
      <w:tr w14:paraId="3B029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4688" w:type="dxa"/>
            <w:gridSpan w:val="4"/>
            <w:tcBorders>
              <w:top w:val="nil"/>
              <w:left w:val="single" w:color="000000" w:sz="8" w:space="0"/>
              <w:bottom w:val="single" w:color="000000" w:sz="8" w:space="0"/>
              <w:right w:val="single" w:color="000000" w:sz="4" w:space="0"/>
            </w:tcBorders>
            <w:shd w:val="clear" w:color="FFFFFF" w:fill="FFFFFF"/>
            <w:noWrap w:val="0"/>
            <w:vAlign w:val="center"/>
          </w:tcPr>
          <w:p w14:paraId="07809678">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p>
        </w:tc>
        <w:tc>
          <w:tcPr>
            <w:tcW w:w="1369" w:type="dxa"/>
            <w:gridSpan w:val="3"/>
            <w:tcBorders>
              <w:top w:val="nil"/>
              <w:left w:val="single" w:color="000000" w:sz="4" w:space="0"/>
              <w:bottom w:val="single" w:color="000000" w:sz="8" w:space="0"/>
              <w:right w:val="single" w:color="000000" w:sz="4" w:space="0"/>
            </w:tcBorders>
            <w:shd w:val="clear" w:color="FFFFFF" w:fill="FFFFFF"/>
            <w:noWrap w:val="0"/>
            <w:vAlign w:val="center"/>
          </w:tcPr>
          <w:p w14:paraId="4FC74857">
            <w:pPr>
              <w:keepNext w:val="0"/>
              <w:keepLines w:val="0"/>
              <w:widowControl/>
              <w:suppressLineNumbers w:val="0"/>
              <w:jc w:val="right"/>
              <w:textAlignment w:val="center"/>
              <w:rPr>
                <w:rFonts w:hint="eastAsia" w:ascii="宋体" w:hAnsi="宋体" w:eastAsia="宋体" w:cs="宋体"/>
                <w:i w:val="0"/>
                <w:iCs w:val="0"/>
                <w:color w:val="auto"/>
                <w:kern w:val="0"/>
                <w:sz w:val="20"/>
                <w:szCs w:val="20"/>
                <w:highlight w:val="none"/>
                <w:u w:val="none"/>
                <w:lang w:val="en-US" w:eastAsia="zh-CN" w:bidi="ar"/>
              </w:rPr>
            </w:pPr>
          </w:p>
        </w:tc>
        <w:tc>
          <w:tcPr>
            <w:tcW w:w="3678" w:type="dxa"/>
            <w:gridSpan w:val="2"/>
            <w:tcBorders>
              <w:top w:val="nil"/>
              <w:left w:val="nil"/>
              <w:bottom w:val="single" w:color="000000" w:sz="8" w:space="0"/>
              <w:right w:val="single" w:color="000000" w:sz="8" w:space="0"/>
            </w:tcBorders>
            <w:noWrap w:val="0"/>
            <w:vAlign w:val="center"/>
          </w:tcPr>
          <w:p w14:paraId="60E7B0CE">
            <w:pPr>
              <w:jc w:val="center"/>
              <w:rPr>
                <w:rFonts w:hint="eastAsia" w:ascii="宋体" w:hAnsi="宋体" w:eastAsia="宋体" w:cs="宋体"/>
                <w:i w:val="0"/>
                <w:iCs w:val="0"/>
                <w:color w:val="auto"/>
                <w:sz w:val="24"/>
                <w:szCs w:val="24"/>
                <w:highlight w:val="none"/>
                <w:u w:val="none"/>
              </w:rPr>
            </w:pPr>
          </w:p>
        </w:tc>
      </w:tr>
      <w:tr w14:paraId="6D5A4F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02" w:type="dxa"/>
          <w:wAfter w:w="392" w:type="dxa"/>
          <w:trHeight w:val="1040" w:hRule="atLeast"/>
        </w:trPr>
        <w:tc>
          <w:tcPr>
            <w:tcW w:w="9141" w:type="dxa"/>
            <w:gridSpan w:val="7"/>
            <w:tcBorders>
              <w:top w:val="single" w:color="000000" w:sz="8" w:space="0"/>
              <w:left w:val="single" w:color="000000" w:sz="8" w:space="0"/>
              <w:bottom w:val="single" w:color="000000" w:sz="4" w:space="0"/>
              <w:right w:val="single" w:color="000000" w:sz="8" w:space="0"/>
            </w:tcBorders>
            <w:noWrap/>
            <w:vAlign w:val="bottom"/>
          </w:tcPr>
          <w:p w14:paraId="18A3BC86">
            <w:pPr>
              <w:keepNext w:val="0"/>
              <w:keepLines w:val="0"/>
              <w:widowControl/>
              <w:suppressLineNumbers w:val="0"/>
              <w:jc w:val="center"/>
              <w:textAlignment w:val="bottom"/>
              <w:rPr>
                <w:rFonts w:hint="eastAsia" w:ascii="宋体" w:hAnsi="宋体" w:eastAsia="宋体" w:cs="宋体"/>
                <w:b/>
                <w:bCs/>
                <w:i w:val="0"/>
                <w:iCs w:val="0"/>
                <w:color w:val="auto"/>
                <w:sz w:val="40"/>
                <w:szCs w:val="40"/>
                <w:highlight w:val="none"/>
                <w:u w:val="none"/>
              </w:rPr>
            </w:pPr>
            <w:r>
              <w:rPr>
                <w:rFonts w:hint="eastAsia" w:ascii="宋体" w:hAnsi="宋体" w:eastAsia="宋体" w:cs="宋体"/>
                <w:b/>
                <w:bCs/>
                <w:i w:val="0"/>
                <w:iCs w:val="0"/>
                <w:color w:val="auto"/>
                <w:kern w:val="0"/>
                <w:sz w:val="28"/>
                <w:szCs w:val="28"/>
                <w:highlight w:val="none"/>
                <w:u w:val="none"/>
                <w:lang w:val="en-US" w:eastAsia="zh-CN" w:bidi="ar"/>
              </w:rPr>
              <w:t>阳江开能环保能源有限公司2025年度</w:t>
            </w:r>
            <w:r>
              <w:rPr>
                <w:rFonts w:hint="eastAsia" w:ascii="宋体" w:hAnsi="宋体" w:cs="宋体"/>
                <w:b/>
                <w:bCs/>
                <w:i w:val="0"/>
                <w:iCs w:val="0"/>
                <w:color w:val="auto"/>
                <w:kern w:val="0"/>
                <w:sz w:val="28"/>
                <w:szCs w:val="28"/>
                <w:highlight w:val="none"/>
                <w:u w:val="none"/>
                <w:lang w:val="en-US" w:eastAsia="zh-CN" w:bidi="ar"/>
              </w:rPr>
              <w:t>安全整改（</w:t>
            </w:r>
            <w:r>
              <w:rPr>
                <w:rFonts w:hint="eastAsia" w:ascii="宋体" w:hAnsi="宋体" w:eastAsia="宋体" w:cs="宋体"/>
                <w:b/>
                <w:bCs/>
                <w:i w:val="0"/>
                <w:iCs w:val="0"/>
                <w:color w:val="auto"/>
                <w:kern w:val="0"/>
                <w:sz w:val="28"/>
                <w:szCs w:val="28"/>
                <w:highlight w:val="none"/>
                <w:u w:val="none"/>
                <w:lang w:val="en-US" w:eastAsia="zh-CN" w:bidi="ar"/>
              </w:rPr>
              <w:t>防腐刷漆</w:t>
            </w:r>
            <w:r>
              <w:rPr>
                <w:rFonts w:hint="eastAsia" w:ascii="宋体" w:hAnsi="宋体" w:cs="宋体"/>
                <w:b/>
                <w:bCs/>
                <w:i w:val="0"/>
                <w:iCs w:val="0"/>
                <w:color w:val="auto"/>
                <w:kern w:val="0"/>
                <w:sz w:val="28"/>
                <w:szCs w:val="28"/>
                <w:highlight w:val="none"/>
                <w:u w:val="none"/>
                <w:lang w:val="en-US" w:eastAsia="zh-CN" w:bidi="ar"/>
              </w:rPr>
              <w:t>）</w:t>
            </w:r>
            <w:r>
              <w:rPr>
                <w:rFonts w:hint="eastAsia" w:ascii="宋体" w:hAnsi="宋体" w:eastAsia="宋体" w:cs="宋体"/>
                <w:b/>
                <w:bCs/>
                <w:i w:val="0"/>
                <w:iCs w:val="0"/>
                <w:color w:val="auto"/>
                <w:kern w:val="0"/>
                <w:sz w:val="28"/>
                <w:szCs w:val="28"/>
                <w:highlight w:val="none"/>
                <w:u w:val="none"/>
                <w:lang w:val="en-US" w:eastAsia="zh-CN" w:bidi="ar"/>
              </w:rPr>
              <w:t>工程</w:t>
            </w:r>
          </w:p>
        </w:tc>
      </w:tr>
      <w:tr w14:paraId="7F03B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02" w:type="dxa"/>
          <w:wAfter w:w="392" w:type="dxa"/>
          <w:trHeight w:val="240" w:hRule="atLeast"/>
        </w:trPr>
        <w:tc>
          <w:tcPr>
            <w:tcW w:w="3573" w:type="dxa"/>
            <w:gridSpan w:val="2"/>
            <w:vMerge w:val="restart"/>
            <w:tcBorders>
              <w:top w:val="single" w:color="000000" w:sz="4" w:space="0"/>
              <w:left w:val="single" w:color="000000" w:sz="8" w:space="0"/>
              <w:bottom w:val="single" w:color="000000" w:sz="4" w:space="0"/>
              <w:right w:val="single" w:color="000000" w:sz="4" w:space="0"/>
            </w:tcBorders>
            <w:shd w:val="clear" w:color="auto" w:fill="auto"/>
            <w:noWrap w:val="0"/>
            <w:vAlign w:val="center"/>
          </w:tcPr>
          <w:p w14:paraId="2F12956B">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项目</w:t>
            </w:r>
          </w:p>
        </w:tc>
        <w:tc>
          <w:tcPr>
            <w:tcW w:w="1095" w:type="dxa"/>
            <w:gridSpan w:val="2"/>
            <w:vMerge w:val="restart"/>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5DE3C5E4">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计量单位</w:t>
            </w:r>
          </w:p>
        </w:tc>
        <w:tc>
          <w:tcPr>
            <w:tcW w:w="1095" w:type="dxa"/>
            <w:vMerge w:val="restart"/>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5A4D1433">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工程量</w:t>
            </w:r>
          </w:p>
        </w:tc>
        <w:tc>
          <w:tcPr>
            <w:tcW w:w="3378" w:type="dxa"/>
            <w:gridSpan w:val="2"/>
            <w:vMerge w:val="restart"/>
            <w:tcBorders>
              <w:top w:val="single" w:color="000000" w:sz="4" w:space="0"/>
              <w:left w:val="single" w:color="000000" w:sz="4" w:space="0"/>
              <w:bottom w:val="single" w:color="000000" w:sz="4" w:space="0"/>
              <w:right w:val="single" w:color="000000" w:sz="8" w:space="0"/>
            </w:tcBorders>
            <w:noWrap w:val="0"/>
            <w:vAlign w:val="center"/>
          </w:tcPr>
          <w:p w14:paraId="5E4FC587">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备注</w:t>
            </w:r>
          </w:p>
        </w:tc>
      </w:tr>
      <w:tr w14:paraId="233CF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02" w:type="dxa"/>
          <w:wAfter w:w="392" w:type="dxa"/>
          <w:trHeight w:val="240" w:hRule="atLeast"/>
        </w:trPr>
        <w:tc>
          <w:tcPr>
            <w:tcW w:w="3573"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noWrap w:val="0"/>
            <w:vAlign w:val="center"/>
          </w:tcPr>
          <w:p w14:paraId="33F3B757">
            <w:pPr>
              <w:jc w:val="center"/>
              <w:rPr>
                <w:rFonts w:hint="eastAsia" w:ascii="宋体" w:hAnsi="宋体" w:eastAsia="宋体" w:cs="宋体"/>
                <w:b/>
                <w:bCs/>
                <w:i w:val="0"/>
                <w:iCs w:val="0"/>
                <w:color w:val="auto"/>
                <w:sz w:val="24"/>
                <w:szCs w:val="24"/>
                <w:highlight w:val="none"/>
                <w:u w:val="none"/>
              </w:rPr>
            </w:pPr>
          </w:p>
        </w:tc>
        <w:tc>
          <w:tcPr>
            <w:tcW w:w="1095" w:type="dxa"/>
            <w:gridSpan w:val="2"/>
            <w:vMerge w:val="continue"/>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6C3831A3">
            <w:pPr>
              <w:jc w:val="center"/>
              <w:rPr>
                <w:rFonts w:hint="eastAsia" w:ascii="宋体" w:hAnsi="宋体" w:eastAsia="宋体" w:cs="宋体"/>
                <w:i w:val="0"/>
                <w:iCs w:val="0"/>
                <w:color w:val="auto"/>
                <w:sz w:val="20"/>
                <w:szCs w:val="20"/>
                <w:highlight w:val="none"/>
                <w:u w:val="none"/>
              </w:rPr>
            </w:pPr>
          </w:p>
        </w:tc>
        <w:tc>
          <w:tcPr>
            <w:tcW w:w="1095" w:type="dxa"/>
            <w:vMerge w:val="continue"/>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6D0EF15F">
            <w:pPr>
              <w:jc w:val="center"/>
              <w:rPr>
                <w:rFonts w:hint="eastAsia" w:ascii="宋体" w:hAnsi="宋体" w:eastAsia="宋体" w:cs="宋体"/>
                <w:i w:val="0"/>
                <w:iCs w:val="0"/>
                <w:color w:val="auto"/>
                <w:sz w:val="20"/>
                <w:szCs w:val="20"/>
                <w:highlight w:val="none"/>
                <w:u w:val="none"/>
              </w:rPr>
            </w:pPr>
          </w:p>
        </w:tc>
        <w:tc>
          <w:tcPr>
            <w:tcW w:w="3378" w:type="dxa"/>
            <w:gridSpan w:val="2"/>
            <w:vMerge w:val="continue"/>
            <w:tcBorders>
              <w:top w:val="single" w:color="000000" w:sz="4" w:space="0"/>
              <w:left w:val="single" w:color="000000" w:sz="4" w:space="0"/>
              <w:bottom w:val="single" w:color="000000" w:sz="4" w:space="0"/>
              <w:right w:val="single" w:color="000000" w:sz="8" w:space="0"/>
            </w:tcBorders>
            <w:noWrap w:val="0"/>
            <w:vAlign w:val="center"/>
          </w:tcPr>
          <w:p w14:paraId="5F7D92BE">
            <w:pPr>
              <w:jc w:val="center"/>
              <w:rPr>
                <w:rFonts w:hint="eastAsia" w:ascii="宋体" w:hAnsi="宋体" w:eastAsia="宋体" w:cs="宋体"/>
                <w:b/>
                <w:bCs/>
                <w:i w:val="0"/>
                <w:iCs w:val="0"/>
                <w:color w:val="auto"/>
                <w:sz w:val="24"/>
                <w:szCs w:val="24"/>
                <w:highlight w:val="none"/>
                <w:u w:val="none"/>
              </w:rPr>
            </w:pPr>
          </w:p>
        </w:tc>
      </w:tr>
      <w:tr w14:paraId="388EC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02" w:type="dxa"/>
          <w:wAfter w:w="392" w:type="dxa"/>
          <w:trHeight w:val="900" w:hRule="atLeast"/>
        </w:trPr>
        <w:tc>
          <w:tcPr>
            <w:tcW w:w="3573"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280D3F87">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过热炉本体防腐</w:t>
            </w:r>
          </w:p>
        </w:tc>
        <w:tc>
          <w:tcPr>
            <w:tcW w:w="1095"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400753D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m2</w:t>
            </w:r>
          </w:p>
        </w:tc>
        <w:tc>
          <w:tcPr>
            <w:tcW w:w="1095"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1AE3FE40">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520.5</w:t>
            </w:r>
          </w:p>
        </w:tc>
        <w:tc>
          <w:tcPr>
            <w:tcW w:w="3378" w:type="dxa"/>
            <w:gridSpan w:val="2"/>
            <w:tcBorders>
              <w:top w:val="single" w:color="000000" w:sz="4" w:space="0"/>
              <w:left w:val="single" w:color="000000" w:sz="4" w:space="0"/>
              <w:bottom w:val="single" w:color="000000" w:sz="4" w:space="0"/>
              <w:right w:val="single" w:color="000000" w:sz="4" w:space="0"/>
            </w:tcBorders>
            <w:noWrap w:val="0"/>
            <w:vAlign w:val="center"/>
          </w:tcPr>
          <w:p w14:paraId="7EA682E0">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ascii="宋体" w:hAnsi="宋体" w:cs="宋体"/>
                <w:i w:val="0"/>
                <w:iCs w:val="0"/>
                <w:color w:val="auto"/>
                <w:kern w:val="0"/>
                <w:sz w:val="24"/>
                <w:szCs w:val="24"/>
                <w:highlight w:val="none"/>
                <w:u w:val="none"/>
                <w:lang w:val="en-US" w:eastAsia="zh-CN" w:bidi="ar"/>
              </w:rPr>
              <w:t>1、</w:t>
            </w:r>
            <w:r>
              <w:rPr>
                <w:rFonts w:hint="eastAsia" w:ascii="宋体" w:hAnsi="宋体" w:eastAsia="宋体" w:cs="宋体"/>
                <w:i w:val="0"/>
                <w:iCs w:val="0"/>
                <w:color w:val="auto"/>
                <w:kern w:val="0"/>
                <w:sz w:val="24"/>
                <w:szCs w:val="24"/>
                <w:highlight w:val="none"/>
                <w:u w:val="none"/>
                <w:lang w:val="en-US" w:eastAsia="zh-CN" w:bidi="ar"/>
              </w:rPr>
              <w:t>一遍底漆、两遍中间漆、一遍面漆</w:t>
            </w:r>
            <w:r>
              <w:rPr>
                <w:rFonts w:hint="eastAsia" w:ascii="宋体" w:hAnsi="宋体" w:cs="宋体"/>
                <w:i w:val="0"/>
                <w:iCs w:val="0"/>
                <w:color w:val="auto"/>
                <w:kern w:val="0"/>
                <w:sz w:val="24"/>
                <w:szCs w:val="24"/>
                <w:highlight w:val="none"/>
                <w:u w:val="none"/>
                <w:lang w:val="en-US" w:eastAsia="zh-CN" w:bidi="ar"/>
              </w:rPr>
              <w:t>；2、</w:t>
            </w:r>
            <w:r>
              <w:rPr>
                <w:rFonts w:hint="eastAsia" w:ascii="宋体" w:hAnsi="宋体" w:eastAsia="宋体" w:cs="宋体"/>
                <w:i w:val="0"/>
                <w:iCs w:val="0"/>
                <w:color w:val="auto"/>
                <w:kern w:val="0"/>
                <w:sz w:val="24"/>
                <w:szCs w:val="24"/>
                <w:highlight w:val="none"/>
                <w:u w:val="none"/>
                <w:lang w:val="en-US" w:eastAsia="zh-CN" w:bidi="ar"/>
              </w:rPr>
              <w:t>脚手架搭拆等措施费</w:t>
            </w:r>
          </w:p>
        </w:tc>
      </w:tr>
      <w:tr w14:paraId="4803A4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02" w:type="dxa"/>
          <w:wAfter w:w="392" w:type="dxa"/>
          <w:trHeight w:val="900" w:hRule="atLeast"/>
        </w:trPr>
        <w:tc>
          <w:tcPr>
            <w:tcW w:w="3573"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5A839CF7">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除氧器平台防腐</w:t>
            </w:r>
          </w:p>
        </w:tc>
        <w:tc>
          <w:tcPr>
            <w:tcW w:w="1095"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72CB727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m2</w:t>
            </w:r>
          </w:p>
        </w:tc>
        <w:tc>
          <w:tcPr>
            <w:tcW w:w="1095"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41DEDC80">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815</w:t>
            </w:r>
          </w:p>
        </w:tc>
        <w:tc>
          <w:tcPr>
            <w:tcW w:w="3378" w:type="dxa"/>
            <w:gridSpan w:val="2"/>
            <w:tcBorders>
              <w:top w:val="single" w:color="000000" w:sz="4" w:space="0"/>
              <w:left w:val="single" w:color="000000" w:sz="4" w:space="0"/>
              <w:bottom w:val="single" w:color="000000" w:sz="4" w:space="0"/>
              <w:right w:val="single" w:color="000000" w:sz="4" w:space="0"/>
            </w:tcBorders>
            <w:noWrap w:val="0"/>
            <w:vAlign w:val="center"/>
          </w:tcPr>
          <w:p w14:paraId="0D20CE4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cs="宋体"/>
                <w:i w:val="0"/>
                <w:iCs w:val="0"/>
                <w:color w:val="auto"/>
                <w:kern w:val="0"/>
                <w:sz w:val="24"/>
                <w:szCs w:val="24"/>
                <w:highlight w:val="none"/>
                <w:u w:val="none"/>
                <w:lang w:val="en-US" w:eastAsia="zh-CN" w:bidi="ar"/>
              </w:rPr>
              <w:t>1、</w:t>
            </w:r>
            <w:r>
              <w:rPr>
                <w:rFonts w:hint="eastAsia" w:ascii="宋体" w:hAnsi="宋体" w:eastAsia="宋体" w:cs="宋体"/>
                <w:i w:val="0"/>
                <w:iCs w:val="0"/>
                <w:color w:val="auto"/>
                <w:kern w:val="0"/>
                <w:sz w:val="24"/>
                <w:szCs w:val="24"/>
                <w:highlight w:val="none"/>
                <w:u w:val="none"/>
                <w:lang w:val="en-US" w:eastAsia="zh-CN" w:bidi="ar"/>
              </w:rPr>
              <w:t>一遍底漆、两遍中间漆、一遍面漆</w:t>
            </w:r>
            <w:r>
              <w:rPr>
                <w:rFonts w:hint="eastAsia" w:ascii="宋体" w:hAnsi="宋体" w:cs="宋体"/>
                <w:i w:val="0"/>
                <w:iCs w:val="0"/>
                <w:color w:val="auto"/>
                <w:kern w:val="0"/>
                <w:sz w:val="24"/>
                <w:szCs w:val="24"/>
                <w:highlight w:val="none"/>
                <w:u w:val="none"/>
                <w:lang w:val="en-US" w:eastAsia="zh-CN" w:bidi="ar"/>
              </w:rPr>
              <w:t>；2、</w:t>
            </w:r>
            <w:r>
              <w:rPr>
                <w:rFonts w:hint="eastAsia" w:ascii="宋体" w:hAnsi="宋体" w:eastAsia="宋体" w:cs="宋体"/>
                <w:i w:val="0"/>
                <w:iCs w:val="0"/>
                <w:color w:val="auto"/>
                <w:kern w:val="0"/>
                <w:sz w:val="24"/>
                <w:szCs w:val="24"/>
                <w:highlight w:val="none"/>
                <w:u w:val="none"/>
                <w:lang w:val="en-US" w:eastAsia="zh-CN" w:bidi="ar"/>
              </w:rPr>
              <w:t>脚手架搭拆等措施费</w:t>
            </w:r>
          </w:p>
        </w:tc>
      </w:tr>
      <w:tr w14:paraId="3BB9E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02" w:type="dxa"/>
          <w:wAfter w:w="392" w:type="dxa"/>
          <w:trHeight w:val="900" w:hRule="atLeast"/>
        </w:trPr>
        <w:tc>
          <w:tcPr>
            <w:tcW w:w="3573"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531F84AF">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厂房外侧蒸汽管廊架防腐</w:t>
            </w:r>
          </w:p>
        </w:tc>
        <w:tc>
          <w:tcPr>
            <w:tcW w:w="1095"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742F343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m2</w:t>
            </w:r>
          </w:p>
        </w:tc>
        <w:tc>
          <w:tcPr>
            <w:tcW w:w="1095"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62B41B2E">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454.5</w:t>
            </w:r>
          </w:p>
        </w:tc>
        <w:tc>
          <w:tcPr>
            <w:tcW w:w="3378" w:type="dxa"/>
            <w:gridSpan w:val="2"/>
            <w:tcBorders>
              <w:top w:val="single" w:color="000000" w:sz="4" w:space="0"/>
              <w:left w:val="single" w:color="000000" w:sz="4" w:space="0"/>
              <w:bottom w:val="single" w:color="000000" w:sz="4" w:space="0"/>
              <w:right w:val="single" w:color="000000" w:sz="4" w:space="0"/>
            </w:tcBorders>
            <w:noWrap w:val="0"/>
            <w:vAlign w:val="center"/>
          </w:tcPr>
          <w:p w14:paraId="0A3685E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cs="宋体"/>
                <w:i w:val="0"/>
                <w:iCs w:val="0"/>
                <w:color w:val="auto"/>
                <w:kern w:val="0"/>
                <w:sz w:val="24"/>
                <w:szCs w:val="24"/>
                <w:highlight w:val="none"/>
                <w:u w:val="none"/>
                <w:lang w:val="en-US" w:eastAsia="zh-CN" w:bidi="ar"/>
              </w:rPr>
              <w:t>1、</w:t>
            </w:r>
            <w:r>
              <w:rPr>
                <w:rFonts w:hint="eastAsia" w:ascii="宋体" w:hAnsi="宋体" w:eastAsia="宋体" w:cs="宋体"/>
                <w:i w:val="0"/>
                <w:iCs w:val="0"/>
                <w:color w:val="auto"/>
                <w:kern w:val="0"/>
                <w:sz w:val="24"/>
                <w:szCs w:val="24"/>
                <w:highlight w:val="none"/>
                <w:u w:val="none"/>
                <w:lang w:val="en-US" w:eastAsia="zh-CN" w:bidi="ar"/>
              </w:rPr>
              <w:t>一遍底漆、两遍中间漆、一遍面漆</w:t>
            </w:r>
            <w:r>
              <w:rPr>
                <w:rFonts w:hint="eastAsia" w:ascii="宋体" w:hAnsi="宋体" w:cs="宋体"/>
                <w:i w:val="0"/>
                <w:iCs w:val="0"/>
                <w:color w:val="auto"/>
                <w:kern w:val="0"/>
                <w:sz w:val="24"/>
                <w:szCs w:val="24"/>
                <w:highlight w:val="none"/>
                <w:u w:val="none"/>
                <w:lang w:val="en-US" w:eastAsia="zh-CN" w:bidi="ar"/>
              </w:rPr>
              <w:t>；2、</w:t>
            </w:r>
            <w:r>
              <w:rPr>
                <w:rFonts w:hint="eastAsia" w:ascii="宋体" w:hAnsi="宋体" w:eastAsia="宋体" w:cs="宋体"/>
                <w:i w:val="0"/>
                <w:iCs w:val="0"/>
                <w:color w:val="auto"/>
                <w:kern w:val="0"/>
                <w:sz w:val="24"/>
                <w:szCs w:val="24"/>
                <w:highlight w:val="none"/>
                <w:u w:val="none"/>
                <w:lang w:val="en-US" w:eastAsia="zh-CN" w:bidi="ar"/>
              </w:rPr>
              <w:t>脚手架搭拆等措施费</w:t>
            </w:r>
          </w:p>
        </w:tc>
      </w:tr>
      <w:tr w14:paraId="6B22B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02" w:type="dxa"/>
          <w:wAfter w:w="392" w:type="dxa"/>
          <w:trHeight w:val="900" w:hRule="atLeast"/>
        </w:trPr>
        <w:tc>
          <w:tcPr>
            <w:tcW w:w="3573"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6D591AB0">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1号蓄热器平台防腐</w:t>
            </w:r>
          </w:p>
        </w:tc>
        <w:tc>
          <w:tcPr>
            <w:tcW w:w="1095"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376FB5C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m2</w:t>
            </w:r>
          </w:p>
        </w:tc>
        <w:tc>
          <w:tcPr>
            <w:tcW w:w="1095"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14A82D9E">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189.7</w:t>
            </w:r>
          </w:p>
        </w:tc>
        <w:tc>
          <w:tcPr>
            <w:tcW w:w="3378" w:type="dxa"/>
            <w:gridSpan w:val="2"/>
            <w:tcBorders>
              <w:top w:val="single" w:color="000000" w:sz="4" w:space="0"/>
              <w:left w:val="single" w:color="000000" w:sz="4" w:space="0"/>
              <w:bottom w:val="single" w:color="000000" w:sz="4" w:space="0"/>
              <w:right w:val="single" w:color="000000" w:sz="4" w:space="0"/>
            </w:tcBorders>
            <w:noWrap w:val="0"/>
            <w:vAlign w:val="center"/>
          </w:tcPr>
          <w:p w14:paraId="6FEE00E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一遍底漆、两遍中间漆、一遍面漆</w:t>
            </w:r>
          </w:p>
        </w:tc>
      </w:tr>
      <w:tr w14:paraId="12E91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02" w:type="dxa"/>
          <w:wAfter w:w="392" w:type="dxa"/>
          <w:trHeight w:val="900" w:hRule="atLeast"/>
        </w:trPr>
        <w:tc>
          <w:tcPr>
            <w:tcW w:w="3573"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63E1F1DC">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环冷炉本体防腐</w:t>
            </w:r>
          </w:p>
        </w:tc>
        <w:tc>
          <w:tcPr>
            <w:tcW w:w="1095"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2161E9C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m2</w:t>
            </w:r>
          </w:p>
        </w:tc>
        <w:tc>
          <w:tcPr>
            <w:tcW w:w="1095"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0FA8D628">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520.4</w:t>
            </w:r>
          </w:p>
        </w:tc>
        <w:tc>
          <w:tcPr>
            <w:tcW w:w="3378" w:type="dxa"/>
            <w:gridSpan w:val="2"/>
            <w:tcBorders>
              <w:top w:val="single" w:color="000000" w:sz="4" w:space="0"/>
              <w:left w:val="single" w:color="000000" w:sz="4" w:space="0"/>
              <w:bottom w:val="single" w:color="000000" w:sz="4" w:space="0"/>
              <w:right w:val="single" w:color="000000" w:sz="4" w:space="0"/>
            </w:tcBorders>
            <w:noWrap w:val="0"/>
            <w:vAlign w:val="center"/>
          </w:tcPr>
          <w:p w14:paraId="5599DEE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cs="宋体"/>
                <w:i w:val="0"/>
                <w:iCs w:val="0"/>
                <w:color w:val="auto"/>
                <w:kern w:val="0"/>
                <w:sz w:val="24"/>
                <w:szCs w:val="24"/>
                <w:highlight w:val="none"/>
                <w:u w:val="none"/>
                <w:lang w:val="en-US" w:eastAsia="zh-CN" w:bidi="ar"/>
              </w:rPr>
              <w:t>1、</w:t>
            </w:r>
            <w:r>
              <w:rPr>
                <w:rFonts w:hint="eastAsia" w:ascii="宋体" w:hAnsi="宋体" w:eastAsia="宋体" w:cs="宋体"/>
                <w:i w:val="0"/>
                <w:iCs w:val="0"/>
                <w:color w:val="auto"/>
                <w:kern w:val="0"/>
                <w:sz w:val="24"/>
                <w:szCs w:val="24"/>
                <w:highlight w:val="none"/>
                <w:u w:val="none"/>
                <w:lang w:val="en-US" w:eastAsia="zh-CN" w:bidi="ar"/>
              </w:rPr>
              <w:t>一遍底漆、两遍中间漆、一遍面漆</w:t>
            </w:r>
            <w:r>
              <w:rPr>
                <w:rFonts w:hint="eastAsia" w:ascii="宋体" w:hAnsi="宋体" w:cs="宋体"/>
                <w:i w:val="0"/>
                <w:iCs w:val="0"/>
                <w:color w:val="auto"/>
                <w:kern w:val="0"/>
                <w:sz w:val="24"/>
                <w:szCs w:val="24"/>
                <w:highlight w:val="none"/>
                <w:u w:val="none"/>
                <w:lang w:val="en-US" w:eastAsia="zh-CN" w:bidi="ar"/>
              </w:rPr>
              <w:t>；2、</w:t>
            </w:r>
            <w:r>
              <w:rPr>
                <w:rFonts w:hint="eastAsia" w:ascii="宋体" w:hAnsi="宋体" w:eastAsia="宋体" w:cs="宋体"/>
                <w:i w:val="0"/>
                <w:iCs w:val="0"/>
                <w:color w:val="auto"/>
                <w:kern w:val="0"/>
                <w:sz w:val="24"/>
                <w:szCs w:val="24"/>
                <w:highlight w:val="none"/>
                <w:u w:val="none"/>
                <w:lang w:val="en-US" w:eastAsia="zh-CN" w:bidi="ar"/>
              </w:rPr>
              <w:t>脚手架搭拆等措施费</w:t>
            </w:r>
          </w:p>
        </w:tc>
      </w:tr>
      <w:tr w14:paraId="40351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02" w:type="dxa"/>
          <w:wAfter w:w="392" w:type="dxa"/>
          <w:trHeight w:val="900" w:hRule="atLeast"/>
        </w:trPr>
        <w:tc>
          <w:tcPr>
            <w:tcW w:w="3573"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3026DF01">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循环水泵房钢架防腐</w:t>
            </w:r>
          </w:p>
        </w:tc>
        <w:tc>
          <w:tcPr>
            <w:tcW w:w="1095"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2B0953B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m2</w:t>
            </w:r>
          </w:p>
        </w:tc>
        <w:tc>
          <w:tcPr>
            <w:tcW w:w="1095"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7A0687B0">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75.6</w:t>
            </w:r>
          </w:p>
        </w:tc>
        <w:tc>
          <w:tcPr>
            <w:tcW w:w="3378" w:type="dxa"/>
            <w:gridSpan w:val="2"/>
            <w:tcBorders>
              <w:top w:val="single" w:color="000000" w:sz="4" w:space="0"/>
              <w:left w:val="single" w:color="000000" w:sz="4" w:space="0"/>
              <w:bottom w:val="single" w:color="000000" w:sz="4" w:space="0"/>
              <w:right w:val="single" w:color="000000" w:sz="4" w:space="0"/>
            </w:tcBorders>
            <w:noWrap w:val="0"/>
            <w:vAlign w:val="center"/>
          </w:tcPr>
          <w:p w14:paraId="5C32C39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cs="宋体"/>
                <w:i w:val="0"/>
                <w:iCs w:val="0"/>
                <w:color w:val="auto"/>
                <w:kern w:val="0"/>
                <w:sz w:val="24"/>
                <w:szCs w:val="24"/>
                <w:highlight w:val="none"/>
                <w:u w:val="none"/>
                <w:lang w:val="en-US" w:eastAsia="zh-CN" w:bidi="ar"/>
              </w:rPr>
              <w:t>1、</w:t>
            </w:r>
            <w:r>
              <w:rPr>
                <w:rFonts w:hint="eastAsia" w:ascii="宋体" w:hAnsi="宋体" w:eastAsia="宋体" w:cs="宋体"/>
                <w:i w:val="0"/>
                <w:iCs w:val="0"/>
                <w:color w:val="auto"/>
                <w:kern w:val="0"/>
                <w:sz w:val="24"/>
                <w:szCs w:val="24"/>
                <w:highlight w:val="none"/>
                <w:u w:val="none"/>
                <w:lang w:val="en-US" w:eastAsia="zh-CN" w:bidi="ar"/>
              </w:rPr>
              <w:t>一遍底漆、两遍中间漆、一遍面漆</w:t>
            </w:r>
            <w:r>
              <w:rPr>
                <w:rFonts w:hint="eastAsia" w:ascii="宋体" w:hAnsi="宋体" w:cs="宋体"/>
                <w:i w:val="0"/>
                <w:iCs w:val="0"/>
                <w:color w:val="auto"/>
                <w:kern w:val="0"/>
                <w:sz w:val="24"/>
                <w:szCs w:val="24"/>
                <w:highlight w:val="none"/>
                <w:u w:val="none"/>
                <w:lang w:val="en-US" w:eastAsia="zh-CN" w:bidi="ar"/>
              </w:rPr>
              <w:t>；2、</w:t>
            </w:r>
            <w:r>
              <w:rPr>
                <w:rFonts w:hint="eastAsia" w:ascii="宋体" w:hAnsi="宋体" w:eastAsia="宋体" w:cs="宋体"/>
                <w:i w:val="0"/>
                <w:iCs w:val="0"/>
                <w:color w:val="auto"/>
                <w:kern w:val="0"/>
                <w:sz w:val="24"/>
                <w:szCs w:val="24"/>
                <w:highlight w:val="none"/>
                <w:u w:val="none"/>
                <w:lang w:val="en-US" w:eastAsia="zh-CN" w:bidi="ar"/>
              </w:rPr>
              <w:t>脚手架搭拆等措施费</w:t>
            </w:r>
          </w:p>
        </w:tc>
      </w:tr>
      <w:tr w14:paraId="474942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02" w:type="dxa"/>
          <w:wAfter w:w="392" w:type="dxa"/>
          <w:trHeight w:val="900" w:hRule="atLeast"/>
        </w:trPr>
        <w:tc>
          <w:tcPr>
            <w:tcW w:w="3573"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6CAC4B6A">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烧结炉本体防腐</w:t>
            </w:r>
          </w:p>
        </w:tc>
        <w:tc>
          <w:tcPr>
            <w:tcW w:w="1095"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4651826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m2</w:t>
            </w:r>
          </w:p>
        </w:tc>
        <w:tc>
          <w:tcPr>
            <w:tcW w:w="1095"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4AC05086">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420.5</w:t>
            </w:r>
          </w:p>
        </w:tc>
        <w:tc>
          <w:tcPr>
            <w:tcW w:w="3378" w:type="dxa"/>
            <w:gridSpan w:val="2"/>
            <w:tcBorders>
              <w:top w:val="single" w:color="000000" w:sz="4" w:space="0"/>
              <w:left w:val="single" w:color="000000" w:sz="4" w:space="0"/>
              <w:bottom w:val="single" w:color="000000" w:sz="4" w:space="0"/>
              <w:right w:val="single" w:color="000000" w:sz="4" w:space="0"/>
            </w:tcBorders>
            <w:noWrap w:val="0"/>
            <w:vAlign w:val="center"/>
          </w:tcPr>
          <w:p w14:paraId="7F3FCFC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cs="宋体"/>
                <w:i w:val="0"/>
                <w:iCs w:val="0"/>
                <w:color w:val="auto"/>
                <w:kern w:val="0"/>
                <w:sz w:val="24"/>
                <w:szCs w:val="24"/>
                <w:highlight w:val="none"/>
                <w:u w:val="none"/>
                <w:lang w:val="en-US" w:eastAsia="zh-CN" w:bidi="ar"/>
              </w:rPr>
              <w:t>1、</w:t>
            </w:r>
            <w:r>
              <w:rPr>
                <w:rFonts w:hint="eastAsia" w:ascii="宋体" w:hAnsi="宋体" w:eastAsia="宋体" w:cs="宋体"/>
                <w:i w:val="0"/>
                <w:iCs w:val="0"/>
                <w:color w:val="auto"/>
                <w:kern w:val="0"/>
                <w:sz w:val="24"/>
                <w:szCs w:val="24"/>
                <w:highlight w:val="none"/>
                <w:u w:val="none"/>
                <w:lang w:val="en-US" w:eastAsia="zh-CN" w:bidi="ar"/>
              </w:rPr>
              <w:t>一遍底漆、两遍中间漆、一遍面漆</w:t>
            </w:r>
            <w:r>
              <w:rPr>
                <w:rFonts w:hint="eastAsia" w:ascii="宋体" w:hAnsi="宋体" w:cs="宋体"/>
                <w:i w:val="0"/>
                <w:iCs w:val="0"/>
                <w:color w:val="auto"/>
                <w:kern w:val="0"/>
                <w:sz w:val="24"/>
                <w:szCs w:val="24"/>
                <w:highlight w:val="none"/>
                <w:u w:val="none"/>
                <w:lang w:val="en-US" w:eastAsia="zh-CN" w:bidi="ar"/>
              </w:rPr>
              <w:t>；2、</w:t>
            </w:r>
            <w:r>
              <w:rPr>
                <w:rFonts w:hint="eastAsia" w:ascii="宋体" w:hAnsi="宋体" w:eastAsia="宋体" w:cs="宋体"/>
                <w:i w:val="0"/>
                <w:iCs w:val="0"/>
                <w:color w:val="auto"/>
                <w:kern w:val="0"/>
                <w:sz w:val="24"/>
                <w:szCs w:val="24"/>
                <w:highlight w:val="none"/>
                <w:u w:val="none"/>
                <w:lang w:val="en-US" w:eastAsia="zh-CN" w:bidi="ar"/>
              </w:rPr>
              <w:t>脚手架搭拆等措施费</w:t>
            </w:r>
          </w:p>
        </w:tc>
      </w:tr>
      <w:tr w14:paraId="75E32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02" w:type="dxa"/>
          <w:wAfter w:w="392" w:type="dxa"/>
          <w:trHeight w:val="900" w:hRule="atLeast"/>
        </w:trPr>
        <w:tc>
          <w:tcPr>
            <w:tcW w:w="3573"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2B98D528">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原水箱、除盐水箱、中间水箱、软化水箱、中间水箱、浓水箱、</w:t>
            </w:r>
          </w:p>
        </w:tc>
        <w:tc>
          <w:tcPr>
            <w:tcW w:w="1095"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6953567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m2</w:t>
            </w:r>
          </w:p>
        </w:tc>
        <w:tc>
          <w:tcPr>
            <w:tcW w:w="1095"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35AC2019">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1895</w:t>
            </w:r>
          </w:p>
        </w:tc>
        <w:tc>
          <w:tcPr>
            <w:tcW w:w="3378" w:type="dxa"/>
            <w:gridSpan w:val="2"/>
            <w:tcBorders>
              <w:top w:val="single" w:color="000000" w:sz="4" w:space="0"/>
              <w:left w:val="single" w:color="000000" w:sz="4" w:space="0"/>
              <w:bottom w:val="single" w:color="000000" w:sz="4" w:space="0"/>
              <w:right w:val="single" w:color="000000" w:sz="4" w:space="0"/>
            </w:tcBorders>
            <w:noWrap w:val="0"/>
            <w:vAlign w:val="center"/>
          </w:tcPr>
          <w:p w14:paraId="145B6CB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cs="宋体"/>
                <w:i w:val="0"/>
                <w:iCs w:val="0"/>
                <w:color w:val="auto"/>
                <w:kern w:val="0"/>
                <w:sz w:val="24"/>
                <w:szCs w:val="24"/>
                <w:highlight w:val="none"/>
                <w:u w:val="none"/>
                <w:lang w:val="en-US" w:eastAsia="zh-CN" w:bidi="ar"/>
              </w:rPr>
              <w:t>1、</w:t>
            </w:r>
            <w:r>
              <w:rPr>
                <w:rFonts w:hint="eastAsia" w:ascii="宋体" w:hAnsi="宋体" w:eastAsia="宋体" w:cs="宋体"/>
                <w:i w:val="0"/>
                <w:iCs w:val="0"/>
                <w:color w:val="auto"/>
                <w:kern w:val="0"/>
                <w:sz w:val="24"/>
                <w:szCs w:val="24"/>
                <w:highlight w:val="none"/>
                <w:u w:val="none"/>
                <w:lang w:val="en-US" w:eastAsia="zh-CN" w:bidi="ar"/>
              </w:rPr>
              <w:t>一遍底漆、两遍中间漆、一遍面漆</w:t>
            </w:r>
            <w:r>
              <w:rPr>
                <w:rFonts w:hint="eastAsia" w:ascii="宋体" w:hAnsi="宋体" w:cs="宋体"/>
                <w:i w:val="0"/>
                <w:iCs w:val="0"/>
                <w:color w:val="auto"/>
                <w:kern w:val="0"/>
                <w:sz w:val="24"/>
                <w:szCs w:val="24"/>
                <w:highlight w:val="none"/>
                <w:u w:val="none"/>
                <w:lang w:val="en-US" w:eastAsia="zh-CN" w:bidi="ar"/>
              </w:rPr>
              <w:t>；2、</w:t>
            </w:r>
            <w:r>
              <w:rPr>
                <w:rFonts w:hint="eastAsia" w:ascii="宋体" w:hAnsi="宋体" w:eastAsia="宋体" w:cs="宋体"/>
                <w:i w:val="0"/>
                <w:iCs w:val="0"/>
                <w:color w:val="auto"/>
                <w:kern w:val="0"/>
                <w:sz w:val="24"/>
                <w:szCs w:val="24"/>
                <w:highlight w:val="none"/>
                <w:u w:val="none"/>
                <w:lang w:val="en-US" w:eastAsia="zh-CN" w:bidi="ar"/>
              </w:rPr>
              <w:t>脚手架搭拆等措施费</w:t>
            </w:r>
          </w:p>
        </w:tc>
      </w:tr>
      <w:tr w14:paraId="79D49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02" w:type="dxa"/>
          <w:wAfter w:w="392" w:type="dxa"/>
          <w:trHeight w:val="585" w:hRule="atLeast"/>
        </w:trPr>
        <w:tc>
          <w:tcPr>
            <w:tcW w:w="3573"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1CEEE74E">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2号蓄热器平台防腐</w:t>
            </w:r>
          </w:p>
        </w:tc>
        <w:tc>
          <w:tcPr>
            <w:tcW w:w="1095" w:type="dxa"/>
            <w:gridSpan w:val="2"/>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4D2A713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m2</w:t>
            </w:r>
          </w:p>
        </w:tc>
        <w:tc>
          <w:tcPr>
            <w:tcW w:w="1095"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14:paraId="27E82BB2">
            <w:pPr>
              <w:keepNext w:val="0"/>
              <w:keepLines w:val="0"/>
              <w:widowControl/>
              <w:suppressLineNumbers w:val="0"/>
              <w:jc w:val="righ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243</w:t>
            </w:r>
          </w:p>
        </w:tc>
        <w:tc>
          <w:tcPr>
            <w:tcW w:w="3378" w:type="dxa"/>
            <w:gridSpan w:val="2"/>
            <w:tcBorders>
              <w:top w:val="single" w:color="000000" w:sz="4" w:space="0"/>
              <w:left w:val="single" w:color="000000" w:sz="4" w:space="0"/>
              <w:bottom w:val="single" w:color="000000" w:sz="4" w:space="0"/>
              <w:right w:val="single" w:color="000000" w:sz="4" w:space="0"/>
            </w:tcBorders>
            <w:noWrap w:val="0"/>
            <w:vAlign w:val="center"/>
          </w:tcPr>
          <w:p w14:paraId="1F5C7D8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cs="宋体"/>
                <w:i w:val="0"/>
                <w:iCs w:val="0"/>
                <w:color w:val="auto"/>
                <w:kern w:val="0"/>
                <w:sz w:val="24"/>
                <w:szCs w:val="24"/>
                <w:highlight w:val="none"/>
                <w:u w:val="none"/>
                <w:lang w:val="en-US" w:eastAsia="zh-CN" w:bidi="ar"/>
              </w:rPr>
              <w:t>1、</w:t>
            </w:r>
            <w:r>
              <w:rPr>
                <w:rFonts w:hint="eastAsia" w:ascii="宋体" w:hAnsi="宋体" w:eastAsia="宋体" w:cs="宋体"/>
                <w:i w:val="0"/>
                <w:iCs w:val="0"/>
                <w:color w:val="auto"/>
                <w:kern w:val="0"/>
                <w:sz w:val="24"/>
                <w:szCs w:val="24"/>
                <w:highlight w:val="none"/>
                <w:u w:val="none"/>
                <w:lang w:val="en-US" w:eastAsia="zh-CN" w:bidi="ar"/>
              </w:rPr>
              <w:t>一遍底漆、两遍中间漆、一遍面漆</w:t>
            </w:r>
            <w:r>
              <w:rPr>
                <w:rFonts w:hint="eastAsia" w:ascii="宋体" w:hAnsi="宋体" w:cs="宋体"/>
                <w:i w:val="0"/>
                <w:iCs w:val="0"/>
                <w:color w:val="auto"/>
                <w:kern w:val="0"/>
                <w:sz w:val="24"/>
                <w:szCs w:val="24"/>
                <w:highlight w:val="none"/>
                <w:u w:val="none"/>
                <w:lang w:val="en-US" w:eastAsia="zh-CN" w:bidi="ar"/>
              </w:rPr>
              <w:t>；2、</w:t>
            </w:r>
            <w:r>
              <w:rPr>
                <w:rFonts w:hint="eastAsia" w:ascii="宋体" w:hAnsi="宋体" w:eastAsia="宋体" w:cs="宋体"/>
                <w:i w:val="0"/>
                <w:iCs w:val="0"/>
                <w:color w:val="auto"/>
                <w:kern w:val="0"/>
                <w:sz w:val="24"/>
                <w:szCs w:val="24"/>
                <w:highlight w:val="none"/>
                <w:u w:val="none"/>
                <w:lang w:val="en-US" w:eastAsia="zh-CN" w:bidi="ar"/>
              </w:rPr>
              <w:t>脚手架搭拆等措施费</w:t>
            </w:r>
          </w:p>
        </w:tc>
      </w:tr>
      <w:tr w14:paraId="11AB2C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02" w:type="dxa"/>
          <w:wAfter w:w="392" w:type="dxa"/>
          <w:trHeight w:val="560" w:hRule="atLeast"/>
        </w:trPr>
        <w:tc>
          <w:tcPr>
            <w:tcW w:w="4668" w:type="dxa"/>
            <w:gridSpan w:val="4"/>
            <w:tcBorders>
              <w:top w:val="single" w:color="000000" w:sz="4" w:space="0"/>
              <w:left w:val="single" w:color="000000" w:sz="4" w:space="0"/>
              <w:bottom w:val="single" w:color="000000" w:sz="4" w:space="0"/>
              <w:right w:val="single" w:color="000000" w:sz="4" w:space="0"/>
            </w:tcBorders>
            <w:noWrap/>
            <w:vAlign w:val="center"/>
          </w:tcPr>
          <w:p w14:paraId="650CCBFF">
            <w:pPr>
              <w:keepNext w:val="0"/>
              <w:keepLines w:val="0"/>
              <w:widowControl/>
              <w:suppressLineNumbers w:val="0"/>
              <w:jc w:val="center"/>
              <w:textAlignment w:val="center"/>
              <w:rPr>
                <w:rFonts w:ascii="??" w:hAnsi="??" w:eastAsia="??" w:cs="??"/>
                <w:i w:val="0"/>
                <w:iCs w:val="0"/>
                <w:color w:val="auto"/>
                <w:sz w:val="18"/>
                <w:szCs w:val="18"/>
                <w:highlight w:val="none"/>
                <w:u w:val="none"/>
              </w:rPr>
            </w:pPr>
            <w:r>
              <w:rPr>
                <w:rFonts w:hint="default" w:ascii="??" w:hAnsi="??" w:eastAsia="??" w:cs="??"/>
                <w:i w:val="0"/>
                <w:iCs w:val="0"/>
                <w:color w:val="auto"/>
                <w:kern w:val="0"/>
                <w:sz w:val="18"/>
                <w:szCs w:val="18"/>
                <w:highlight w:val="none"/>
                <w:u w:val="none"/>
                <w:lang w:val="en-US" w:eastAsia="zh-CN" w:bidi="ar"/>
              </w:rPr>
              <w:t>合计</w:t>
            </w:r>
          </w:p>
        </w:tc>
        <w:tc>
          <w:tcPr>
            <w:tcW w:w="1095" w:type="dxa"/>
            <w:tcBorders>
              <w:top w:val="single" w:color="000000" w:sz="4" w:space="0"/>
              <w:left w:val="single" w:color="000000" w:sz="4" w:space="0"/>
              <w:bottom w:val="single" w:color="000000" w:sz="4" w:space="0"/>
              <w:right w:val="single" w:color="000000" w:sz="4" w:space="0"/>
            </w:tcBorders>
            <w:noWrap/>
            <w:vAlign w:val="bottom"/>
          </w:tcPr>
          <w:p w14:paraId="01B617CD">
            <w:pPr>
              <w:keepNext w:val="0"/>
              <w:keepLines w:val="0"/>
              <w:widowControl/>
              <w:suppressLineNumbers w:val="0"/>
              <w:jc w:val="right"/>
              <w:textAlignment w:val="bottom"/>
              <w:rPr>
                <w:rFonts w:hint="default" w:ascii="??" w:hAnsi="??" w:eastAsia="??" w:cs="??"/>
                <w:i w:val="0"/>
                <w:iCs w:val="0"/>
                <w:color w:val="auto"/>
                <w:sz w:val="18"/>
                <w:szCs w:val="18"/>
                <w:highlight w:val="none"/>
                <w:u w:val="none"/>
              </w:rPr>
            </w:pPr>
            <w:r>
              <w:rPr>
                <w:rFonts w:hint="default" w:ascii="??" w:hAnsi="??" w:eastAsia="??" w:cs="??"/>
                <w:i w:val="0"/>
                <w:iCs w:val="0"/>
                <w:color w:val="auto"/>
                <w:kern w:val="0"/>
                <w:sz w:val="18"/>
                <w:szCs w:val="18"/>
                <w:highlight w:val="none"/>
                <w:u w:val="none"/>
                <w:lang w:val="en-US" w:eastAsia="zh-CN" w:bidi="ar"/>
              </w:rPr>
              <w:t>5134.2</w:t>
            </w:r>
          </w:p>
        </w:tc>
        <w:tc>
          <w:tcPr>
            <w:tcW w:w="3378" w:type="dxa"/>
            <w:gridSpan w:val="2"/>
            <w:tcBorders>
              <w:top w:val="single" w:color="000000" w:sz="4" w:space="0"/>
              <w:left w:val="single" w:color="000000" w:sz="4" w:space="0"/>
              <w:bottom w:val="single" w:color="000000" w:sz="4" w:space="0"/>
              <w:right w:val="single" w:color="000000" w:sz="4" w:space="0"/>
            </w:tcBorders>
            <w:noWrap/>
            <w:vAlign w:val="bottom"/>
          </w:tcPr>
          <w:p w14:paraId="672C1555">
            <w:pPr>
              <w:rPr>
                <w:rFonts w:hint="default" w:ascii="??" w:hAnsi="??" w:eastAsia="??" w:cs="??"/>
                <w:i w:val="0"/>
                <w:iCs w:val="0"/>
                <w:color w:val="auto"/>
                <w:sz w:val="18"/>
                <w:szCs w:val="18"/>
                <w:highlight w:val="none"/>
                <w:u w:val="none"/>
              </w:rPr>
            </w:pPr>
          </w:p>
        </w:tc>
      </w:tr>
    </w:tbl>
    <w:p w14:paraId="0B6F3C0C">
      <w:pPr>
        <w:pStyle w:val="2"/>
        <w:rPr>
          <w:rFonts w:hint="default"/>
          <w:color w:val="auto"/>
          <w:highlight w:val="none"/>
          <w:lang w:val="en-US" w:eastAsia="zh-CN"/>
        </w:rPr>
      </w:pPr>
    </w:p>
    <w:p w14:paraId="5DB1C4B8">
      <w:pPr>
        <w:rPr>
          <w:rFonts w:hint="default"/>
          <w:color w:val="auto"/>
          <w:highlight w:val="none"/>
          <w:lang w:val="en-US" w:eastAsia="zh-CN"/>
        </w:rPr>
      </w:pPr>
    </w:p>
    <w:p w14:paraId="31F6CCB1">
      <w:pPr>
        <w:numPr>
          <w:ilvl w:val="0"/>
          <w:numId w:val="4"/>
        </w:numPr>
        <w:ind w:left="-562" w:leftChars="0" w:firstLine="562" w:firstLineChars="0"/>
        <w:rPr>
          <w:rFonts w:hint="default" w:cs="Times New Roman"/>
          <w:b/>
          <w:bCs/>
          <w:color w:val="auto"/>
          <w:sz w:val="28"/>
          <w:szCs w:val="28"/>
          <w:highlight w:val="none"/>
          <w:lang w:val="en-US" w:eastAsia="zh-CN"/>
        </w:rPr>
      </w:pPr>
      <w:r>
        <w:rPr>
          <w:rFonts w:hint="eastAsia"/>
          <w:b/>
          <w:bCs/>
          <w:color w:val="auto"/>
          <w:sz w:val="28"/>
          <w:szCs w:val="28"/>
          <w:highlight w:val="none"/>
          <w:lang w:val="en-US" w:eastAsia="zh-CN"/>
        </w:rPr>
        <w:t>储水箱防腐技术要求</w:t>
      </w:r>
    </w:p>
    <w:p w14:paraId="5ED20DC0">
      <w:pPr>
        <w:rPr>
          <w:color w:val="auto"/>
          <w:sz w:val="28"/>
          <w:szCs w:val="28"/>
          <w:highlight w:val="none"/>
        </w:rPr>
      </w:pPr>
      <w:r>
        <w:rPr>
          <w:color w:val="auto"/>
          <w:sz w:val="28"/>
          <w:szCs w:val="28"/>
          <w:highlight w:val="none"/>
          <w:lang w:val="en-US"/>
        </w:rPr>
        <w:t>1、</w:t>
      </w:r>
      <w:r>
        <w:rPr>
          <w:rFonts w:hint="eastAsia"/>
          <w:color w:val="auto"/>
          <w:sz w:val="28"/>
          <w:szCs w:val="28"/>
          <w:highlight w:val="none"/>
          <w:lang w:val="en-US" w:eastAsia="zh-CN"/>
        </w:rPr>
        <w:t>储水箱</w:t>
      </w:r>
      <w:r>
        <w:rPr>
          <w:color w:val="auto"/>
          <w:sz w:val="28"/>
          <w:szCs w:val="28"/>
          <w:highlight w:val="none"/>
          <w:lang w:val="en-US"/>
        </w:rPr>
        <w:t>表面清理除锈</w:t>
      </w:r>
    </w:p>
    <w:p w14:paraId="4AE5422A">
      <w:pPr>
        <w:numPr>
          <w:ilvl w:val="0"/>
          <w:numId w:val="0"/>
        </w:numPr>
        <w:spacing w:line="360" w:lineRule="auto"/>
        <w:rPr>
          <w:rFonts w:hint="eastAsia" w:cs="Times New Roman"/>
          <w:color w:val="auto"/>
          <w:sz w:val="28"/>
          <w:szCs w:val="28"/>
          <w:highlight w:val="none"/>
          <w:lang w:val="en-US" w:eastAsia="zh-CN"/>
        </w:rPr>
      </w:pPr>
      <w:r>
        <w:rPr>
          <w:color w:val="auto"/>
          <w:sz w:val="28"/>
          <w:szCs w:val="28"/>
          <w:highlight w:val="none"/>
          <w:lang w:val="en-US"/>
        </w:rPr>
        <w:t>1.1表面除锈</w:t>
      </w:r>
      <w:r>
        <w:rPr>
          <w:rFonts w:hint="eastAsia" w:cs="Times New Roman"/>
          <w:color w:val="auto"/>
          <w:sz w:val="28"/>
          <w:szCs w:val="28"/>
          <w:highlight w:val="none"/>
          <w:lang w:val="en-US" w:eastAsia="zh-CN"/>
        </w:rPr>
        <w:t>采用人工除锈结合水喷砂除锈的方式除去表面的锈层，必须达到钢材表面无可见油脂和污垢，无附着不牢氧化皮、铁锈和油漆；</w:t>
      </w:r>
    </w:p>
    <w:p w14:paraId="2E9CD9DC">
      <w:pPr>
        <w:rPr>
          <w:color w:val="auto"/>
          <w:sz w:val="28"/>
          <w:szCs w:val="28"/>
          <w:highlight w:val="none"/>
        </w:rPr>
      </w:pPr>
      <w:r>
        <w:rPr>
          <w:color w:val="auto"/>
          <w:sz w:val="28"/>
          <w:szCs w:val="28"/>
          <w:highlight w:val="none"/>
          <w:lang w:val="en-US"/>
        </w:rPr>
        <w:t>1.2</w:t>
      </w:r>
      <w:r>
        <w:rPr>
          <w:rFonts w:hint="eastAsia"/>
          <w:color w:val="auto"/>
          <w:sz w:val="28"/>
          <w:szCs w:val="28"/>
          <w:highlight w:val="none"/>
          <w:lang w:val="en-US" w:eastAsia="zh-CN"/>
        </w:rPr>
        <w:t>储水箱</w:t>
      </w:r>
      <w:r>
        <w:rPr>
          <w:color w:val="auto"/>
          <w:sz w:val="28"/>
          <w:szCs w:val="28"/>
          <w:highlight w:val="none"/>
          <w:lang w:val="en-US"/>
        </w:rPr>
        <w:t>防腐表面必须</w:t>
      </w:r>
      <w:r>
        <w:rPr>
          <w:rFonts w:hint="eastAsia"/>
          <w:color w:val="auto"/>
          <w:sz w:val="28"/>
          <w:szCs w:val="28"/>
          <w:highlight w:val="none"/>
          <w:lang w:val="en-US" w:eastAsia="zh-CN"/>
        </w:rPr>
        <w:t>处理</w:t>
      </w:r>
      <w:r>
        <w:rPr>
          <w:color w:val="auto"/>
          <w:sz w:val="28"/>
          <w:szCs w:val="28"/>
          <w:highlight w:val="none"/>
          <w:lang w:val="en-US"/>
        </w:rPr>
        <w:t>至S</w:t>
      </w:r>
      <w:r>
        <w:rPr>
          <w:rFonts w:hint="eastAsia"/>
          <w:color w:val="auto"/>
          <w:sz w:val="28"/>
          <w:szCs w:val="28"/>
          <w:highlight w:val="none"/>
          <w:lang w:val="en-US" w:eastAsia="zh-CN"/>
        </w:rPr>
        <w:t>a2.5</w:t>
      </w:r>
      <w:r>
        <w:rPr>
          <w:color w:val="auto"/>
          <w:sz w:val="28"/>
          <w:szCs w:val="28"/>
          <w:highlight w:val="none"/>
          <w:lang w:val="en-US"/>
        </w:rPr>
        <w:t>级及以上标准，以便新的油漆涂装后更好的咬合。</w:t>
      </w:r>
    </w:p>
    <w:p w14:paraId="348C2F44">
      <w:pPr>
        <w:rPr>
          <w:color w:val="auto"/>
          <w:sz w:val="28"/>
          <w:szCs w:val="28"/>
          <w:highlight w:val="none"/>
        </w:rPr>
      </w:pPr>
      <w:r>
        <w:rPr>
          <w:color w:val="auto"/>
          <w:sz w:val="28"/>
          <w:szCs w:val="28"/>
          <w:highlight w:val="none"/>
          <w:lang w:val="en-US"/>
        </w:rPr>
        <w:t>1.3</w:t>
      </w:r>
      <w:r>
        <w:rPr>
          <w:rFonts w:hint="eastAsia"/>
          <w:color w:val="auto"/>
          <w:sz w:val="28"/>
          <w:szCs w:val="28"/>
          <w:highlight w:val="none"/>
          <w:lang w:val="en-US" w:eastAsia="zh-CN"/>
        </w:rPr>
        <w:t>储水箱</w:t>
      </w:r>
      <w:r>
        <w:rPr>
          <w:color w:val="auto"/>
          <w:sz w:val="28"/>
          <w:szCs w:val="28"/>
          <w:highlight w:val="none"/>
          <w:lang w:val="en-US"/>
        </w:rPr>
        <w:t>本体表面除锈后要及时用吸尘器、毛刷等工具进行清理，验收合格后才能进行底漆涂装，验收不合格的地方必须重新打磨除锈达到规定标准方可涂漆。</w:t>
      </w:r>
    </w:p>
    <w:p w14:paraId="47934708">
      <w:pPr>
        <w:rPr>
          <w:color w:val="auto"/>
          <w:sz w:val="28"/>
          <w:szCs w:val="28"/>
          <w:highlight w:val="none"/>
        </w:rPr>
      </w:pPr>
      <w:r>
        <w:rPr>
          <w:color w:val="auto"/>
          <w:sz w:val="28"/>
          <w:szCs w:val="28"/>
          <w:highlight w:val="none"/>
          <w:lang w:val="en-US"/>
        </w:rPr>
        <w:t>2、油漆选用及漆膜厚度</w:t>
      </w:r>
    </w:p>
    <w:p w14:paraId="69736D78">
      <w:pPr>
        <w:rPr>
          <w:color w:val="auto"/>
          <w:sz w:val="28"/>
          <w:szCs w:val="28"/>
          <w:highlight w:val="none"/>
        </w:rPr>
      </w:pPr>
      <w:r>
        <w:rPr>
          <w:color w:val="auto"/>
          <w:sz w:val="28"/>
          <w:szCs w:val="28"/>
          <w:highlight w:val="none"/>
          <w:lang w:val="en-US"/>
        </w:rPr>
        <w:t>2.1为保证防腐质量，建议选用</w:t>
      </w:r>
      <w:r>
        <w:rPr>
          <w:rFonts w:hint="eastAsia"/>
          <w:color w:val="auto"/>
          <w:sz w:val="28"/>
          <w:szCs w:val="28"/>
          <w:highlight w:val="none"/>
          <w:lang w:val="en-US" w:eastAsia="zh-CN"/>
        </w:rPr>
        <w:t>电视塔牌、海虹老人牌、佐敦牌</w:t>
      </w:r>
      <w:r>
        <w:rPr>
          <w:color w:val="auto"/>
          <w:sz w:val="28"/>
          <w:szCs w:val="28"/>
          <w:highlight w:val="none"/>
          <w:lang w:val="en-US"/>
        </w:rPr>
        <w:t>品牌油漆</w:t>
      </w:r>
      <w:r>
        <w:rPr>
          <w:rFonts w:hint="eastAsia"/>
          <w:color w:val="auto"/>
          <w:sz w:val="28"/>
          <w:szCs w:val="28"/>
          <w:highlight w:val="none"/>
          <w:lang w:val="en-US" w:eastAsia="zh-CN"/>
        </w:rPr>
        <w:t>，油漆耐温不小于150℃</w:t>
      </w:r>
      <w:r>
        <w:rPr>
          <w:color w:val="auto"/>
          <w:sz w:val="28"/>
          <w:szCs w:val="28"/>
          <w:highlight w:val="none"/>
          <w:lang w:val="en-US"/>
        </w:rPr>
        <w:t>。</w:t>
      </w:r>
    </w:p>
    <w:p w14:paraId="5847B958">
      <w:pPr>
        <w:rPr>
          <w:color w:val="auto"/>
          <w:sz w:val="28"/>
          <w:szCs w:val="28"/>
          <w:highlight w:val="none"/>
          <w:lang w:val="en-US"/>
        </w:rPr>
      </w:pPr>
      <w:r>
        <w:rPr>
          <w:color w:val="auto"/>
          <w:sz w:val="28"/>
          <w:szCs w:val="28"/>
          <w:highlight w:val="none"/>
          <w:lang w:val="en-US"/>
        </w:rPr>
        <w:t>2.2设备防腐油漆喷涂需按照</w:t>
      </w:r>
      <w:r>
        <w:rPr>
          <w:rFonts w:hint="eastAsia"/>
          <w:color w:val="auto"/>
          <w:sz w:val="28"/>
          <w:szCs w:val="28"/>
          <w:highlight w:val="none"/>
          <w:lang w:val="en-US" w:eastAsia="zh-CN"/>
        </w:rPr>
        <w:t>4遍喷涂</w:t>
      </w:r>
      <w:r>
        <w:rPr>
          <w:color w:val="auto"/>
          <w:sz w:val="28"/>
          <w:szCs w:val="28"/>
          <w:highlight w:val="none"/>
          <w:lang w:val="en-US"/>
        </w:rPr>
        <w:t>，</w:t>
      </w:r>
      <w:r>
        <w:rPr>
          <w:color w:val="auto"/>
          <w:sz w:val="28"/>
          <w:szCs w:val="28"/>
          <w:highlight w:val="none"/>
          <w:lang w:val="en-US"/>
        </w:rPr>
        <w:t>每层油漆干膜厚度</w:t>
      </w:r>
      <w:r>
        <w:rPr>
          <w:rFonts w:hint="eastAsia"/>
          <w:color w:val="auto"/>
          <w:sz w:val="28"/>
          <w:szCs w:val="28"/>
          <w:highlight w:val="none"/>
          <w:lang w:val="en-US" w:eastAsia="zh-CN"/>
        </w:rPr>
        <w:t>：</w:t>
      </w:r>
      <w:r>
        <w:rPr>
          <w:rFonts w:hint="eastAsia" w:cs="Times New Roman"/>
          <w:color w:val="auto"/>
          <w:sz w:val="28"/>
          <w:szCs w:val="28"/>
          <w:highlight w:val="none"/>
          <w:lang w:val="en-US" w:eastAsia="zh-CN"/>
        </w:rPr>
        <w:t>底漆不小于50um，中间漆两道不低于150um，面漆不小于70um，</w:t>
      </w:r>
      <w:r>
        <w:rPr>
          <w:color w:val="auto"/>
          <w:sz w:val="28"/>
          <w:szCs w:val="28"/>
          <w:highlight w:val="none"/>
          <w:lang w:val="en-US"/>
        </w:rPr>
        <w:t>油漆干膜总厚度不小于</w:t>
      </w:r>
      <w:r>
        <w:rPr>
          <w:rFonts w:hint="eastAsia"/>
          <w:color w:val="auto"/>
          <w:sz w:val="28"/>
          <w:szCs w:val="28"/>
          <w:highlight w:val="none"/>
          <w:lang w:val="en-US" w:eastAsia="zh-CN"/>
        </w:rPr>
        <w:t>270</w:t>
      </w:r>
      <w:r>
        <w:rPr>
          <w:color w:val="auto"/>
          <w:sz w:val="28"/>
          <w:szCs w:val="28"/>
          <w:highlight w:val="none"/>
          <w:lang w:val="en-US"/>
        </w:rPr>
        <w:t>μm。</w:t>
      </w:r>
    </w:p>
    <w:p w14:paraId="3141E848">
      <w:pPr>
        <w:pStyle w:val="71"/>
        <w:rPr>
          <w:rFonts w:hint="default" w:eastAsia="宋体"/>
          <w:color w:val="auto"/>
          <w:highlight w:val="none"/>
          <w:lang w:val="en-US" w:eastAsia="zh-CN"/>
        </w:rPr>
      </w:pPr>
      <w:r>
        <w:rPr>
          <w:rFonts w:hint="eastAsia"/>
          <w:color w:val="auto"/>
          <w:sz w:val="28"/>
          <w:szCs w:val="28"/>
          <w:highlight w:val="none"/>
          <w:lang w:val="en-US" w:eastAsia="zh-CN"/>
        </w:rPr>
        <w:t>2.3涂层：底漆使用环氧富锌底漆，中间漆使用环氧云铁中间漆，面漆使用聚氨酯面漆（标示漆）</w:t>
      </w:r>
    </w:p>
    <w:p w14:paraId="49294125">
      <w:pPr>
        <w:rPr>
          <w:color w:val="auto"/>
          <w:sz w:val="28"/>
          <w:szCs w:val="28"/>
          <w:highlight w:val="none"/>
        </w:rPr>
      </w:pPr>
      <w:r>
        <w:rPr>
          <w:color w:val="auto"/>
          <w:sz w:val="28"/>
          <w:szCs w:val="28"/>
          <w:highlight w:val="none"/>
          <w:lang w:val="en-US"/>
        </w:rPr>
        <w:t>3、油漆涂装</w:t>
      </w:r>
    </w:p>
    <w:p w14:paraId="31034D1C">
      <w:pPr>
        <w:rPr>
          <w:color w:val="auto"/>
          <w:sz w:val="28"/>
          <w:szCs w:val="28"/>
          <w:highlight w:val="none"/>
        </w:rPr>
      </w:pPr>
      <w:r>
        <w:rPr>
          <w:color w:val="auto"/>
          <w:sz w:val="28"/>
          <w:szCs w:val="28"/>
          <w:highlight w:val="none"/>
          <w:lang w:val="en-US"/>
        </w:rPr>
        <w:t>3.1油漆领用需核实颜色与原设备一致，施工前进行试刷确认。</w:t>
      </w:r>
    </w:p>
    <w:p w14:paraId="58E74C65">
      <w:pPr>
        <w:rPr>
          <w:color w:val="auto"/>
          <w:sz w:val="28"/>
          <w:szCs w:val="28"/>
          <w:highlight w:val="none"/>
        </w:rPr>
      </w:pPr>
      <w:r>
        <w:rPr>
          <w:color w:val="auto"/>
          <w:sz w:val="28"/>
          <w:szCs w:val="28"/>
          <w:highlight w:val="none"/>
          <w:lang w:val="en-US"/>
        </w:rPr>
        <w:t>3.2表面处理验收合格后，室外设备需在6小时内，室内需在8小时内进行底漆涂装，以免设备返锈。如有返锈需重新打磨除后方可施工。</w:t>
      </w:r>
    </w:p>
    <w:p w14:paraId="02DBD53A">
      <w:pPr>
        <w:rPr>
          <w:color w:val="auto"/>
          <w:sz w:val="28"/>
          <w:szCs w:val="28"/>
          <w:highlight w:val="none"/>
        </w:rPr>
      </w:pPr>
      <w:r>
        <w:rPr>
          <w:color w:val="auto"/>
          <w:sz w:val="28"/>
          <w:szCs w:val="28"/>
          <w:highlight w:val="none"/>
          <w:lang w:val="en-US"/>
        </w:rPr>
        <w:t>3.3油漆稀释剂配兑严格按照产品说明书要求配制，根据工程量配料。</w:t>
      </w:r>
    </w:p>
    <w:p w14:paraId="736FB329">
      <w:pPr>
        <w:rPr>
          <w:color w:val="auto"/>
          <w:sz w:val="28"/>
          <w:szCs w:val="28"/>
          <w:highlight w:val="none"/>
        </w:rPr>
      </w:pPr>
      <w:r>
        <w:rPr>
          <w:color w:val="auto"/>
          <w:sz w:val="28"/>
          <w:szCs w:val="28"/>
          <w:highlight w:val="none"/>
          <w:lang w:val="en-US"/>
        </w:rPr>
        <w:t>3.4涂装前要做好其他设备的保护，以免造成油漆滴、溅。</w:t>
      </w:r>
    </w:p>
    <w:p w14:paraId="79BA34A1">
      <w:pPr>
        <w:rPr>
          <w:color w:val="auto"/>
          <w:sz w:val="28"/>
          <w:szCs w:val="28"/>
          <w:highlight w:val="none"/>
        </w:rPr>
      </w:pPr>
      <w:r>
        <w:rPr>
          <w:color w:val="auto"/>
          <w:sz w:val="28"/>
          <w:szCs w:val="28"/>
          <w:highlight w:val="none"/>
          <w:lang w:val="en-US"/>
        </w:rPr>
        <w:t>3.5涂装可采用人工手刷和机器喷涂方式，人工手刷时，将刷子或滚筒的2／3沾上油漆，拿出时，有油漆的一边向上进行涂刷。死角位置涂漆时，用刷或滚筒尖沾上油漆作来回弹拍涂装。使用后的漆刷或滚筒要及时用稀料洗干净，以免刷毛变硬，刷柄要保持清洁。</w:t>
      </w:r>
    </w:p>
    <w:p w14:paraId="280C0C1A">
      <w:pPr>
        <w:rPr>
          <w:color w:val="auto"/>
          <w:sz w:val="28"/>
          <w:szCs w:val="28"/>
          <w:highlight w:val="none"/>
        </w:rPr>
      </w:pPr>
      <w:r>
        <w:rPr>
          <w:color w:val="auto"/>
          <w:sz w:val="28"/>
          <w:szCs w:val="28"/>
          <w:highlight w:val="none"/>
          <w:lang w:val="en-US"/>
        </w:rPr>
        <w:t>3.6涂装按自上而下，先里后外的顺序进行，涂装时应精心操作，涂层均匀一致，不允许有针孔、气泡、裂纹、脱落、流挂、漏涂等缺陷，面漆要求均匀、光亮、完整。</w:t>
      </w:r>
    </w:p>
    <w:p w14:paraId="2AFE46B1">
      <w:pPr>
        <w:rPr>
          <w:color w:val="auto"/>
          <w:sz w:val="28"/>
          <w:szCs w:val="28"/>
          <w:highlight w:val="none"/>
        </w:rPr>
      </w:pPr>
      <w:r>
        <w:rPr>
          <w:color w:val="auto"/>
          <w:sz w:val="28"/>
          <w:szCs w:val="28"/>
          <w:highlight w:val="none"/>
          <w:lang w:val="en-US"/>
        </w:rPr>
        <w:t>3.7涂刷施工的适宜温度应在5-35℃之间，相对湿度须小于85％，露点温度3℃以上。风、雨、雾和较大风尘天气环境，杜绝施工。</w:t>
      </w:r>
    </w:p>
    <w:p w14:paraId="3706213C">
      <w:pPr>
        <w:rPr>
          <w:color w:val="auto"/>
          <w:sz w:val="28"/>
          <w:szCs w:val="28"/>
          <w:highlight w:val="none"/>
        </w:rPr>
      </w:pPr>
      <w:r>
        <w:rPr>
          <w:color w:val="auto"/>
          <w:sz w:val="28"/>
          <w:szCs w:val="28"/>
          <w:highlight w:val="none"/>
          <w:lang w:val="en-US"/>
        </w:rPr>
        <w:t>3.8进行每一道涂装工序时，需待上道漆达到表干后，再进行下道涂料的涂装，以防止出现漆膜起皱、桔皮等质量缺陷。出现质量问题后应先查明原因，再根据质量问题种类进行修补，修补完工合格后，再进行下道工序。</w:t>
      </w:r>
    </w:p>
    <w:p w14:paraId="7CF4ABBC">
      <w:pPr>
        <w:rPr>
          <w:color w:val="auto"/>
          <w:sz w:val="28"/>
          <w:szCs w:val="28"/>
          <w:highlight w:val="none"/>
        </w:rPr>
      </w:pPr>
      <w:r>
        <w:rPr>
          <w:color w:val="auto"/>
          <w:sz w:val="28"/>
          <w:szCs w:val="28"/>
          <w:highlight w:val="none"/>
          <w:lang w:val="en-US"/>
        </w:rPr>
        <w:t>3.9最后一道面漆涂装应按顺光方向涂装，涂装后4小时内应有保护措施，防止灰尘污染、雨淋等情况的发生。</w:t>
      </w:r>
    </w:p>
    <w:p w14:paraId="21823B64">
      <w:pPr>
        <w:rPr>
          <w:color w:val="auto"/>
          <w:sz w:val="28"/>
          <w:szCs w:val="28"/>
          <w:highlight w:val="none"/>
          <w:lang w:val="en-US"/>
        </w:rPr>
      </w:pPr>
      <w:r>
        <w:rPr>
          <w:color w:val="auto"/>
          <w:sz w:val="28"/>
          <w:szCs w:val="28"/>
          <w:highlight w:val="none"/>
          <w:lang w:val="en-US"/>
        </w:rPr>
        <w:t>3.10施工过程中，每道工序完工都需进行验收合格后方可进行下一道工序，并做好验收记录。</w:t>
      </w:r>
    </w:p>
    <w:p w14:paraId="62ABB69C">
      <w:pPr>
        <w:pStyle w:val="2"/>
        <w:rPr>
          <w:rFonts w:hint="default" w:eastAsia="宋体"/>
          <w:b w:val="0"/>
          <w:bCs/>
          <w:color w:val="auto"/>
          <w:highlight w:val="none"/>
          <w:lang w:val="en-US" w:eastAsia="zh-CN"/>
        </w:rPr>
      </w:pPr>
      <w:r>
        <w:rPr>
          <w:rFonts w:hint="eastAsia"/>
          <w:b w:val="0"/>
          <w:bCs/>
          <w:color w:val="auto"/>
          <w:sz w:val="28"/>
          <w:szCs w:val="28"/>
          <w:highlight w:val="none"/>
          <w:lang w:val="en-US" w:eastAsia="zh-CN"/>
        </w:rPr>
        <w:t>3.11 按相关要求做航标漆。</w:t>
      </w:r>
    </w:p>
    <w:p w14:paraId="179BF8F5">
      <w:pPr>
        <w:rPr>
          <w:color w:val="auto"/>
          <w:sz w:val="28"/>
          <w:szCs w:val="28"/>
          <w:highlight w:val="none"/>
        </w:rPr>
      </w:pPr>
      <w:r>
        <w:rPr>
          <w:rFonts w:hint="eastAsia"/>
          <w:color w:val="auto"/>
          <w:sz w:val="28"/>
          <w:szCs w:val="28"/>
          <w:highlight w:val="none"/>
          <w:lang w:val="en-US" w:eastAsia="zh-CN"/>
        </w:rPr>
        <w:t>4</w:t>
      </w:r>
      <w:r>
        <w:rPr>
          <w:color w:val="auto"/>
          <w:sz w:val="28"/>
          <w:szCs w:val="28"/>
          <w:highlight w:val="none"/>
          <w:lang w:val="en-US"/>
        </w:rPr>
        <w:t>、验收标准</w:t>
      </w:r>
    </w:p>
    <w:p w14:paraId="3DD8C141">
      <w:pPr>
        <w:rPr>
          <w:color w:val="auto"/>
          <w:sz w:val="28"/>
          <w:szCs w:val="28"/>
          <w:highlight w:val="none"/>
        </w:rPr>
      </w:pPr>
      <w:r>
        <w:rPr>
          <w:color w:val="auto"/>
          <w:sz w:val="28"/>
          <w:szCs w:val="28"/>
          <w:highlight w:val="none"/>
          <w:lang w:val="en-US"/>
        </w:rPr>
        <w:t>1、外观检查，漆膜成型良好，无流挂、无龟裂、无橘皮，色泽均匀。</w:t>
      </w:r>
    </w:p>
    <w:p w14:paraId="42CEFB89">
      <w:pPr>
        <w:rPr>
          <w:color w:val="auto"/>
          <w:sz w:val="28"/>
          <w:szCs w:val="28"/>
          <w:highlight w:val="none"/>
        </w:rPr>
      </w:pPr>
      <w:r>
        <w:rPr>
          <w:color w:val="auto"/>
          <w:sz w:val="28"/>
          <w:szCs w:val="28"/>
          <w:highlight w:val="none"/>
          <w:lang w:val="en-US"/>
        </w:rPr>
        <w:t>2、漆膜厚度使用磁性测厚仪进行检测，检测抽查点不少于总面积的20％。</w:t>
      </w:r>
    </w:p>
    <w:p w14:paraId="49760EF2">
      <w:pPr>
        <w:rPr>
          <w:color w:val="auto"/>
          <w:sz w:val="28"/>
          <w:szCs w:val="28"/>
          <w:highlight w:val="none"/>
        </w:rPr>
      </w:pPr>
      <w:r>
        <w:rPr>
          <w:color w:val="auto"/>
          <w:sz w:val="28"/>
          <w:szCs w:val="28"/>
          <w:highlight w:val="none"/>
          <w:lang w:val="en-US"/>
        </w:rPr>
        <w:t>3、测定干膜厚度应在每一涂层干燥后进行检测，全部完成后再进行总厚度检测。</w:t>
      </w:r>
    </w:p>
    <w:p w14:paraId="235F2171">
      <w:pPr>
        <w:rPr>
          <w:rFonts w:hint="eastAsia"/>
          <w:color w:val="auto"/>
          <w:sz w:val="28"/>
          <w:szCs w:val="28"/>
          <w:highlight w:val="none"/>
        </w:rPr>
      </w:pPr>
      <w:r>
        <w:rPr>
          <w:color w:val="auto"/>
          <w:sz w:val="28"/>
          <w:szCs w:val="28"/>
          <w:highlight w:val="none"/>
          <w:lang w:val="en-US"/>
        </w:rPr>
        <w:t>4、高偏远及隐蔽工程施工及验收必须影像资料。</w:t>
      </w:r>
    </w:p>
    <w:p w14:paraId="382690C4">
      <w:pPr>
        <w:numPr>
          <w:ilvl w:val="0"/>
          <w:numId w:val="4"/>
        </w:numPr>
        <w:ind w:left="-562" w:leftChars="0" w:firstLine="562" w:firstLineChars="0"/>
        <w:rPr>
          <w:rFonts w:hint="eastAsia" w:cs="Times New Roman"/>
          <w:color w:val="auto"/>
          <w:sz w:val="28"/>
          <w:szCs w:val="28"/>
          <w:highlight w:val="none"/>
          <w:lang w:val="en-US" w:eastAsia="zh-CN"/>
        </w:rPr>
      </w:pPr>
      <w:r>
        <w:rPr>
          <w:rFonts w:hint="eastAsia"/>
          <w:b/>
          <w:bCs/>
          <w:color w:val="auto"/>
          <w:sz w:val="28"/>
          <w:szCs w:val="28"/>
          <w:highlight w:val="none"/>
          <w:lang w:val="en-US" w:eastAsia="zh-CN"/>
        </w:rPr>
        <w:t>其他钢构防腐技术要求</w:t>
      </w:r>
    </w:p>
    <w:p w14:paraId="71333A06">
      <w:pPr>
        <w:rPr>
          <w:b/>
          <w:bCs/>
          <w:color w:val="auto"/>
          <w:sz w:val="28"/>
          <w:szCs w:val="28"/>
          <w:highlight w:val="none"/>
        </w:rPr>
      </w:pPr>
      <w:r>
        <w:rPr>
          <w:b/>
          <w:bCs/>
          <w:color w:val="auto"/>
          <w:sz w:val="28"/>
          <w:szCs w:val="28"/>
          <w:highlight w:val="none"/>
          <w:lang w:val="en-US"/>
        </w:rPr>
        <w:t>1、钢结构表面清理除锈</w:t>
      </w:r>
    </w:p>
    <w:p w14:paraId="7C06FA2F">
      <w:pPr>
        <w:rPr>
          <w:color w:val="auto"/>
          <w:sz w:val="28"/>
          <w:szCs w:val="28"/>
          <w:highlight w:val="none"/>
        </w:rPr>
      </w:pPr>
      <w:r>
        <w:rPr>
          <w:color w:val="auto"/>
          <w:sz w:val="28"/>
          <w:szCs w:val="28"/>
          <w:highlight w:val="none"/>
          <w:lang w:val="en-US"/>
        </w:rPr>
        <w:t>1.1表面除锈</w:t>
      </w:r>
      <w:r>
        <w:rPr>
          <w:rFonts w:hint="eastAsia" w:cs="Times New Roman"/>
          <w:color w:val="auto"/>
          <w:sz w:val="28"/>
          <w:szCs w:val="28"/>
          <w:highlight w:val="none"/>
          <w:lang w:val="en-US" w:eastAsia="zh-CN"/>
        </w:rPr>
        <w:t>采用人工除锈结合水喷砂除锈的方式除去表面的锈层，必须达到钢材表面无可见油脂和污垢，无附着不牢氧化皮、铁锈和油漆</w:t>
      </w:r>
      <w:r>
        <w:rPr>
          <w:color w:val="auto"/>
          <w:sz w:val="28"/>
          <w:szCs w:val="28"/>
          <w:highlight w:val="none"/>
          <w:lang w:val="en-US"/>
        </w:rPr>
        <w:t>。</w:t>
      </w:r>
    </w:p>
    <w:p w14:paraId="351C39EC">
      <w:pPr>
        <w:pStyle w:val="8"/>
        <w:bidi w:val="0"/>
        <w:rPr>
          <w:color w:val="auto"/>
          <w:highlight w:val="none"/>
        </w:rPr>
      </w:pPr>
      <w:r>
        <w:rPr>
          <w:color w:val="auto"/>
          <w:highlight w:val="none"/>
          <w:lang w:val="en-US"/>
        </w:rPr>
        <w:t>1.2钢结构防腐表面必须</w:t>
      </w:r>
      <w:r>
        <w:rPr>
          <w:rFonts w:hint="eastAsia"/>
          <w:color w:val="auto"/>
          <w:highlight w:val="none"/>
          <w:lang w:val="en-US" w:eastAsia="zh-CN"/>
        </w:rPr>
        <w:t>处理</w:t>
      </w:r>
      <w:r>
        <w:rPr>
          <w:color w:val="auto"/>
          <w:highlight w:val="none"/>
          <w:lang w:val="en-US"/>
        </w:rPr>
        <w:t>至S</w:t>
      </w:r>
      <w:r>
        <w:rPr>
          <w:rFonts w:hint="eastAsia"/>
          <w:color w:val="auto"/>
          <w:highlight w:val="none"/>
          <w:lang w:val="en-US" w:eastAsia="zh-CN"/>
        </w:rPr>
        <w:t>a2.5</w:t>
      </w:r>
      <w:r>
        <w:rPr>
          <w:color w:val="auto"/>
          <w:highlight w:val="none"/>
          <w:lang w:val="en-US"/>
        </w:rPr>
        <w:t>级及以上标准，以便新的油漆涂装后更好的咬合。</w:t>
      </w:r>
    </w:p>
    <w:p w14:paraId="1FF2003D">
      <w:pPr>
        <w:rPr>
          <w:color w:val="auto"/>
          <w:highlight w:val="none"/>
        </w:rPr>
      </w:pPr>
      <w:r>
        <w:rPr>
          <w:color w:val="auto"/>
          <w:sz w:val="28"/>
          <w:szCs w:val="28"/>
          <w:highlight w:val="none"/>
          <w:lang w:val="en-US"/>
        </w:rPr>
        <w:t>1.3钢结构本体表面除锈后要及时用吸尘器、毛刷等工具进行清理，验收合格后才能进行底漆涂装，验收不合格的地方必须重新打磨除锈达到规定标准方可涂漆。</w:t>
      </w:r>
    </w:p>
    <w:p w14:paraId="1F3E4DD2">
      <w:pPr>
        <w:rPr>
          <w:b/>
          <w:bCs/>
          <w:color w:val="auto"/>
          <w:sz w:val="28"/>
          <w:szCs w:val="28"/>
          <w:highlight w:val="none"/>
        </w:rPr>
      </w:pPr>
      <w:r>
        <w:rPr>
          <w:b/>
          <w:bCs/>
          <w:color w:val="auto"/>
          <w:sz w:val="28"/>
          <w:szCs w:val="28"/>
          <w:highlight w:val="none"/>
          <w:lang w:val="en-US"/>
        </w:rPr>
        <w:t>2、油漆选用及漆膜厚度</w:t>
      </w:r>
    </w:p>
    <w:p w14:paraId="495B2801">
      <w:pPr>
        <w:rPr>
          <w:color w:val="auto"/>
          <w:sz w:val="28"/>
          <w:szCs w:val="28"/>
          <w:highlight w:val="none"/>
        </w:rPr>
      </w:pPr>
      <w:r>
        <w:rPr>
          <w:color w:val="auto"/>
          <w:sz w:val="28"/>
          <w:szCs w:val="28"/>
          <w:highlight w:val="none"/>
          <w:lang w:val="en-US"/>
        </w:rPr>
        <w:t>2.1</w:t>
      </w:r>
      <w:r>
        <w:rPr>
          <w:color w:val="auto"/>
          <w:sz w:val="28"/>
          <w:szCs w:val="28"/>
          <w:highlight w:val="none"/>
          <w:lang w:val="en-US"/>
        </w:rPr>
        <w:t>为保证防腐质量，建议选用</w:t>
      </w:r>
      <w:r>
        <w:rPr>
          <w:rFonts w:hint="eastAsia"/>
          <w:color w:val="auto"/>
          <w:sz w:val="28"/>
          <w:szCs w:val="28"/>
          <w:highlight w:val="none"/>
          <w:lang w:val="en-US" w:eastAsia="zh-CN"/>
        </w:rPr>
        <w:t>电视塔牌、海虹老人牌、佐敦牌</w:t>
      </w:r>
      <w:r>
        <w:rPr>
          <w:color w:val="auto"/>
          <w:sz w:val="28"/>
          <w:szCs w:val="28"/>
          <w:highlight w:val="none"/>
          <w:lang w:val="en-US"/>
        </w:rPr>
        <w:t>品牌油漆。</w:t>
      </w:r>
    </w:p>
    <w:p w14:paraId="07A3D4E5">
      <w:pPr>
        <w:rPr>
          <w:rFonts w:hint="eastAsia"/>
          <w:color w:val="auto"/>
          <w:sz w:val="28"/>
          <w:szCs w:val="28"/>
          <w:highlight w:val="none"/>
          <w:lang w:val="en-US" w:eastAsia="zh-CN"/>
        </w:rPr>
      </w:pPr>
      <w:r>
        <w:rPr>
          <w:color w:val="auto"/>
          <w:sz w:val="28"/>
          <w:szCs w:val="28"/>
          <w:highlight w:val="none"/>
          <w:lang w:val="en-US"/>
        </w:rPr>
        <w:t>2.2设备防腐油漆喷涂需按照</w:t>
      </w:r>
      <w:r>
        <w:rPr>
          <w:rFonts w:hint="eastAsia"/>
          <w:color w:val="auto"/>
          <w:sz w:val="28"/>
          <w:szCs w:val="28"/>
          <w:highlight w:val="none"/>
          <w:lang w:val="en-US" w:eastAsia="zh-CN"/>
        </w:rPr>
        <w:t>4遍喷涂</w:t>
      </w:r>
      <w:r>
        <w:rPr>
          <w:color w:val="auto"/>
          <w:sz w:val="28"/>
          <w:szCs w:val="28"/>
          <w:highlight w:val="none"/>
          <w:lang w:val="en-US"/>
        </w:rPr>
        <w:t>，</w:t>
      </w:r>
      <w:r>
        <w:rPr>
          <w:rFonts w:hint="eastAsia"/>
          <w:color w:val="auto"/>
          <w:sz w:val="28"/>
          <w:szCs w:val="28"/>
          <w:highlight w:val="none"/>
          <w:lang w:val="en-US" w:eastAsia="zh-CN"/>
        </w:rPr>
        <w:t>颜色与原有颜色保持一致。</w:t>
      </w:r>
    </w:p>
    <w:p w14:paraId="13DCC0A2">
      <w:pPr>
        <w:rPr>
          <w:color w:val="auto"/>
          <w:sz w:val="28"/>
          <w:szCs w:val="28"/>
          <w:highlight w:val="none"/>
          <w:lang w:val="en-US"/>
        </w:rPr>
      </w:pPr>
      <w:r>
        <w:rPr>
          <w:rFonts w:hint="eastAsia"/>
          <w:color w:val="auto"/>
          <w:sz w:val="28"/>
          <w:szCs w:val="28"/>
          <w:highlight w:val="none"/>
          <w:lang w:val="en-US" w:eastAsia="zh-CN"/>
        </w:rPr>
        <w:t>2.3</w:t>
      </w:r>
      <w:r>
        <w:rPr>
          <w:color w:val="auto"/>
          <w:sz w:val="28"/>
          <w:szCs w:val="28"/>
          <w:highlight w:val="none"/>
          <w:lang w:val="en-US"/>
        </w:rPr>
        <w:t>每层油漆干膜厚度</w:t>
      </w:r>
      <w:r>
        <w:rPr>
          <w:rFonts w:hint="eastAsia"/>
          <w:color w:val="auto"/>
          <w:sz w:val="28"/>
          <w:szCs w:val="28"/>
          <w:highlight w:val="none"/>
          <w:lang w:val="en-US" w:eastAsia="zh-CN"/>
        </w:rPr>
        <w:t>：</w:t>
      </w:r>
      <w:r>
        <w:rPr>
          <w:color w:val="auto"/>
          <w:sz w:val="28"/>
          <w:szCs w:val="28"/>
          <w:highlight w:val="none"/>
          <w:lang w:val="en-US"/>
        </w:rPr>
        <w:t>设备防腐油漆喷涂需按照</w:t>
      </w:r>
      <w:r>
        <w:rPr>
          <w:rFonts w:hint="eastAsia"/>
          <w:color w:val="auto"/>
          <w:sz w:val="28"/>
          <w:szCs w:val="28"/>
          <w:highlight w:val="none"/>
          <w:lang w:val="en-US" w:eastAsia="zh-CN"/>
        </w:rPr>
        <w:t>4遍喷涂</w:t>
      </w:r>
      <w:r>
        <w:rPr>
          <w:color w:val="auto"/>
          <w:sz w:val="28"/>
          <w:szCs w:val="28"/>
          <w:highlight w:val="none"/>
          <w:lang w:val="en-US"/>
        </w:rPr>
        <w:t>，每层油</w:t>
      </w:r>
      <w:r>
        <w:rPr>
          <w:color w:val="auto"/>
          <w:sz w:val="28"/>
          <w:szCs w:val="28"/>
          <w:highlight w:val="none"/>
          <w:lang w:val="en-US"/>
        </w:rPr>
        <w:t>漆干膜厚度</w:t>
      </w:r>
      <w:r>
        <w:rPr>
          <w:rFonts w:hint="eastAsia"/>
          <w:color w:val="auto"/>
          <w:sz w:val="28"/>
          <w:szCs w:val="28"/>
          <w:highlight w:val="none"/>
          <w:lang w:val="en-US" w:eastAsia="zh-CN"/>
        </w:rPr>
        <w:t>：</w:t>
      </w:r>
      <w:r>
        <w:rPr>
          <w:rFonts w:hint="eastAsia" w:cs="Times New Roman"/>
          <w:color w:val="auto"/>
          <w:sz w:val="28"/>
          <w:szCs w:val="28"/>
          <w:highlight w:val="none"/>
          <w:lang w:val="en-US" w:eastAsia="zh-CN"/>
        </w:rPr>
        <w:t>底漆不小于50um，中间漆两道不低于150um，面漆不小于70um，</w:t>
      </w:r>
      <w:r>
        <w:rPr>
          <w:color w:val="auto"/>
          <w:sz w:val="28"/>
          <w:szCs w:val="28"/>
          <w:highlight w:val="none"/>
          <w:lang w:val="en-US"/>
        </w:rPr>
        <w:t>油漆干膜总厚度不小于</w:t>
      </w:r>
      <w:r>
        <w:rPr>
          <w:rFonts w:hint="eastAsia"/>
          <w:color w:val="auto"/>
          <w:sz w:val="28"/>
          <w:szCs w:val="28"/>
          <w:highlight w:val="none"/>
          <w:lang w:val="en-US" w:eastAsia="zh-CN"/>
        </w:rPr>
        <w:t>270</w:t>
      </w:r>
      <w:r>
        <w:rPr>
          <w:color w:val="auto"/>
          <w:sz w:val="28"/>
          <w:szCs w:val="28"/>
          <w:highlight w:val="none"/>
          <w:lang w:val="en-US"/>
        </w:rPr>
        <w:t>μm。</w:t>
      </w:r>
    </w:p>
    <w:p w14:paraId="6DCEAE27">
      <w:pPr>
        <w:pStyle w:val="71"/>
        <w:rPr>
          <w:rFonts w:hint="default"/>
          <w:color w:val="auto"/>
          <w:sz w:val="28"/>
          <w:szCs w:val="28"/>
          <w:highlight w:val="none"/>
          <w:lang w:val="en-US" w:eastAsia="zh-CN"/>
        </w:rPr>
      </w:pPr>
      <w:r>
        <w:rPr>
          <w:rFonts w:hint="eastAsia"/>
          <w:color w:val="auto"/>
          <w:sz w:val="28"/>
          <w:szCs w:val="28"/>
          <w:highlight w:val="none"/>
          <w:lang w:val="en-US" w:eastAsia="zh-CN"/>
        </w:rPr>
        <w:t>2.4涂层：底漆使用云母氧化铁酚醛底漆，中间漆使用环氧云铁中间漆，面漆使用聚氨酯面漆（标示漆）</w:t>
      </w:r>
    </w:p>
    <w:p w14:paraId="201F7C64">
      <w:pPr>
        <w:rPr>
          <w:b/>
          <w:bCs/>
          <w:color w:val="auto"/>
          <w:sz w:val="28"/>
          <w:szCs w:val="28"/>
          <w:highlight w:val="none"/>
        </w:rPr>
      </w:pPr>
      <w:r>
        <w:rPr>
          <w:b/>
          <w:bCs/>
          <w:color w:val="auto"/>
          <w:sz w:val="28"/>
          <w:szCs w:val="28"/>
          <w:highlight w:val="none"/>
          <w:lang w:val="en-US"/>
        </w:rPr>
        <w:t>3、油漆涂装</w:t>
      </w:r>
    </w:p>
    <w:p w14:paraId="7249E920">
      <w:pPr>
        <w:rPr>
          <w:color w:val="auto"/>
          <w:sz w:val="28"/>
          <w:szCs w:val="28"/>
          <w:highlight w:val="none"/>
        </w:rPr>
      </w:pPr>
      <w:r>
        <w:rPr>
          <w:color w:val="auto"/>
          <w:sz w:val="28"/>
          <w:szCs w:val="28"/>
          <w:highlight w:val="none"/>
          <w:lang w:val="en-US"/>
        </w:rPr>
        <w:t>3.1油漆领用需核实颜色与原设备一致，施工前进行试刷确认。</w:t>
      </w:r>
    </w:p>
    <w:p w14:paraId="0BB8D72F">
      <w:pPr>
        <w:rPr>
          <w:color w:val="auto"/>
          <w:sz w:val="28"/>
          <w:szCs w:val="28"/>
          <w:highlight w:val="none"/>
        </w:rPr>
      </w:pPr>
      <w:r>
        <w:rPr>
          <w:color w:val="auto"/>
          <w:sz w:val="28"/>
          <w:szCs w:val="28"/>
          <w:highlight w:val="none"/>
          <w:lang w:val="en-US"/>
        </w:rPr>
        <w:t>3.2表面处理验收合格后，室外设备需在6小时内，室内需在8小时内进行底漆涂装，以免设备返锈。如有返锈需重新打磨除后方可施工。</w:t>
      </w:r>
    </w:p>
    <w:p w14:paraId="193CF55F">
      <w:pPr>
        <w:rPr>
          <w:color w:val="auto"/>
          <w:sz w:val="28"/>
          <w:szCs w:val="28"/>
          <w:highlight w:val="none"/>
        </w:rPr>
      </w:pPr>
      <w:r>
        <w:rPr>
          <w:color w:val="auto"/>
          <w:sz w:val="28"/>
          <w:szCs w:val="28"/>
          <w:highlight w:val="none"/>
          <w:lang w:val="en-US"/>
        </w:rPr>
        <w:t>3.3油漆稀释剂配兑严格按照产品说明书要求配制，根据工程量配料。</w:t>
      </w:r>
    </w:p>
    <w:p w14:paraId="3B65E5D6">
      <w:pPr>
        <w:rPr>
          <w:color w:val="auto"/>
          <w:sz w:val="28"/>
          <w:szCs w:val="28"/>
          <w:highlight w:val="none"/>
        </w:rPr>
      </w:pPr>
      <w:r>
        <w:rPr>
          <w:color w:val="auto"/>
          <w:sz w:val="28"/>
          <w:szCs w:val="28"/>
          <w:highlight w:val="none"/>
          <w:lang w:val="en-US"/>
        </w:rPr>
        <w:t>3.4涂装前要做好其他设备的保护，以免造成油漆滴、溅。</w:t>
      </w:r>
    </w:p>
    <w:p w14:paraId="69D6EC1A">
      <w:pPr>
        <w:rPr>
          <w:color w:val="auto"/>
          <w:sz w:val="28"/>
          <w:szCs w:val="28"/>
          <w:highlight w:val="none"/>
        </w:rPr>
      </w:pPr>
      <w:r>
        <w:rPr>
          <w:color w:val="auto"/>
          <w:sz w:val="28"/>
          <w:szCs w:val="28"/>
          <w:highlight w:val="none"/>
          <w:lang w:val="en-US"/>
        </w:rPr>
        <w:t>3.5涂装可采用人工手刷和机器喷涂方式，人工手刷时，将刷子或滚筒的2／3沾上油漆，拿出时，有油漆的一边向上进行涂刷。死角位置涂漆时，用刷或滚筒尖沾上油漆作来回弹拍涂装。使用后的漆刷或滚筒要及时用稀料洗干净，以免刷毛变硬，刷柄要保持清洁。</w:t>
      </w:r>
    </w:p>
    <w:p w14:paraId="1B3FE108">
      <w:pPr>
        <w:rPr>
          <w:color w:val="auto"/>
          <w:sz w:val="28"/>
          <w:szCs w:val="28"/>
          <w:highlight w:val="none"/>
        </w:rPr>
      </w:pPr>
      <w:r>
        <w:rPr>
          <w:color w:val="auto"/>
          <w:sz w:val="28"/>
          <w:szCs w:val="28"/>
          <w:highlight w:val="none"/>
          <w:lang w:val="en-US"/>
        </w:rPr>
        <w:t>3.6涂装按自上而下，先里后外的顺序进行，涂装时应精心操作，涂层均匀一致，不允许有针孔、气泡、裂纹、脱落、流挂、漏涂等缺陷，面漆要求均匀、光亮、完整。</w:t>
      </w:r>
    </w:p>
    <w:p w14:paraId="10C60CD6">
      <w:pPr>
        <w:rPr>
          <w:color w:val="auto"/>
          <w:sz w:val="28"/>
          <w:szCs w:val="28"/>
          <w:highlight w:val="none"/>
        </w:rPr>
      </w:pPr>
      <w:r>
        <w:rPr>
          <w:color w:val="auto"/>
          <w:sz w:val="28"/>
          <w:szCs w:val="28"/>
          <w:highlight w:val="none"/>
          <w:lang w:val="en-US"/>
        </w:rPr>
        <w:t>3.7涂刷施工的适宜温度应在5-35℃之间，相对湿度须小于85％，露点温度3℃以上。风、雨、雾和较大风尘天气环境，杜绝施工。</w:t>
      </w:r>
    </w:p>
    <w:p w14:paraId="6FAAA5AB">
      <w:pPr>
        <w:rPr>
          <w:color w:val="auto"/>
          <w:sz w:val="28"/>
          <w:szCs w:val="28"/>
          <w:highlight w:val="none"/>
        </w:rPr>
      </w:pPr>
      <w:r>
        <w:rPr>
          <w:color w:val="auto"/>
          <w:sz w:val="28"/>
          <w:szCs w:val="28"/>
          <w:highlight w:val="none"/>
          <w:lang w:val="en-US"/>
        </w:rPr>
        <w:t>3.8进行每一道涂装工序时，需待上道漆达到表干后，再进行下道涂料的涂装，以防止出现漆膜起皱、桔皮等质量缺陷。出现质量问题后应先查明原因，再根据质量问题种类进行修补，修补完工合格后，再进行下道工序。</w:t>
      </w:r>
    </w:p>
    <w:p w14:paraId="208E66E4">
      <w:pPr>
        <w:rPr>
          <w:color w:val="auto"/>
          <w:sz w:val="28"/>
          <w:szCs w:val="28"/>
          <w:highlight w:val="none"/>
        </w:rPr>
      </w:pPr>
      <w:r>
        <w:rPr>
          <w:color w:val="auto"/>
          <w:sz w:val="28"/>
          <w:szCs w:val="28"/>
          <w:highlight w:val="none"/>
          <w:lang w:val="en-US"/>
        </w:rPr>
        <w:t>3.9最后一道面漆涂装应按顺光方向涂装，涂装后4小时内应有保护措施，防止灰尘污染、雨淋等情况的发生。</w:t>
      </w:r>
    </w:p>
    <w:p w14:paraId="313A9791">
      <w:pPr>
        <w:rPr>
          <w:color w:val="auto"/>
          <w:sz w:val="28"/>
          <w:szCs w:val="28"/>
          <w:highlight w:val="none"/>
        </w:rPr>
      </w:pPr>
      <w:r>
        <w:rPr>
          <w:color w:val="auto"/>
          <w:sz w:val="28"/>
          <w:szCs w:val="28"/>
          <w:highlight w:val="none"/>
          <w:lang w:val="en-US"/>
        </w:rPr>
        <w:t>3.10施工过程中，每道工序完工都需进行验收合格后方可进行下一道工序，并做好验收记录。</w:t>
      </w:r>
    </w:p>
    <w:p w14:paraId="51D49F07">
      <w:pPr>
        <w:rPr>
          <w:b/>
          <w:bCs/>
          <w:color w:val="auto"/>
          <w:sz w:val="28"/>
          <w:szCs w:val="28"/>
          <w:highlight w:val="none"/>
        </w:rPr>
      </w:pPr>
      <w:r>
        <w:rPr>
          <w:rFonts w:hint="eastAsia"/>
          <w:b/>
          <w:bCs/>
          <w:color w:val="auto"/>
          <w:sz w:val="28"/>
          <w:szCs w:val="28"/>
          <w:highlight w:val="none"/>
          <w:lang w:val="en-US" w:eastAsia="zh-CN"/>
        </w:rPr>
        <w:t>4、</w:t>
      </w:r>
      <w:r>
        <w:rPr>
          <w:b/>
          <w:bCs/>
          <w:color w:val="auto"/>
          <w:sz w:val="28"/>
          <w:szCs w:val="28"/>
          <w:highlight w:val="none"/>
          <w:lang w:val="en-US"/>
        </w:rPr>
        <w:t>验收标准</w:t>
      </w:r>
    </w:p>
    <w:p w14:paraId="57C86A12">
      <w:pPr>
        <w:rPr>
          <w:color w:val="auto"/>
          <w:sz w:val="28"/>
          <w:szCs w:val="28"/>
          <w:highlight w:val="none"/>
        </w:rPr>
      </w:pPr>
      <w:r>
        <w:rPr>
          <w:rFonts w:hint="eastAsia"/>
          <w:color w:val="auto"/>
          <w:sz w:val="28"/>
          <w:szCs w:val="28"/>
          <w:highlight w:val="none"/>
          <w:lang w:val="en-US" w:eastAsia="zh-CN"/>
        </w:rPr>
        <w:t>4.</w:t>
      </w:r>
      <w:r>
        <w:rPr>
          <w:color w:val="auto"/>
          <w:sz w:val="28"/>
          <w:szCs w:val="28"/>
          <w:highlight w:val="none"/>
          <w:lang w:val="en-US"/>
        </w:rPr>
        <w:t>1、外观检查，漆膜成型良好，无流挂、无龟裂、无橘皮，色泽均匀。</w:t>
      </w:r>
    </w:p>
    <w:p w14:paraId="6944D188">
      <w:pPr>
        <w:rPr>
          <w:color w:val="auto"/>
          <w:sz w:val="28"/>
          <w:szCs w:val="28"/>
          <w:highlight w:val="none"/>
        </w:rPr>
      </w:pPr>
      <w:r>
        <w:rPr>
          <w:rFonts w:hint="eastAsia"/>
          <w:color w:val="auto"/>
          <w:sz w:val="28"/>
          <w:szCs w:val="28"/>
          <w:highlight w:val="none"/>
          <w:lang w:val="en-US" w:eastAsia="zh-CN"/>
        </w:rPr>
        <w:t>4.</w:t>
      </w:r>
      <w:r>
        <w:rPr>
          <w:color w:val="auto"/>
          <w:sz w:val="28"/>
          <w:szCs w:val="28"/>
          <w:highlight w:val="none"/>
          <w:lang w:val="en-US"/>
        </w:rPr>
        <w:t>2、漆膜厚度使用磁性测厚仪进行检测，检测抽查点不少于总面积的20％。</w:t>
      </w:r>
    </w:p>
    <w:p w14:paraId="0BDF4AD9">
      <w:pPr>
        <w:rPr>
          <w:color w:val="auto"/>
          <w:sz w:val="28"/>
          <w:szCs w:val="28"/>
          <w:highlight w:val="none"/>
        </w:rPr>
      </w:pPr>
      <w:r>
        <w:rPr>
          <w:rFonts w:hint="eastAsia"/>
          <w:color w:val="auto"/>
          <w:sz w:val="28"/>
          <w:szCs w:val="28"/>
          <w:highlight w:val="none"/>
          <w:lang w:val="en-US" w:eastAsia="zh-CN"/>
        </w:rPr>
        <w:t>4.</w:t>
      </w:r>
      <w:r>
        <w:rPr>
          <w:color w:val="auto"/>
          <w:sz w:val="28"/>
          <w:szCs w:val="28"/>
          <w:highlight w:val="none"/>
          <w:lang w:val="en-US"/>
        </w:rPr>
        <w:t>3、测定干膜厚度应在每一涂层干燥后进行检测，全部完成后再进行总厚度检测。</w:t>
      </w:r>
    </w:p>
    <w:p w14:paraId="60DD2F0A">
      <w:pPr>
        <w:rPr>
          <w:color w:val="auto"/>
          <w:sz w:val="28"/>
          <w:szCs w:val="28"/>
          <w:highlight w:val="none"/>
          <w:lang w:val="en-US"/>
        </w:rPr>
      </w:pPr>
      <w:r>
        <w:rPr>
          <w:rFonts w:hint="eastAsia"/>
          <w:color w:val="auto"/>
          <w:sz w:val="28"/>
          <w:szCs w:val="28"/>
          <w:highlight w:val="none"/>
          <w:lang w:val="en-US" w:eastAsia="zh-CN"/>
        </w:rPr>
        <w:t>4.</w:t>
      </w:r>
      <w:r>
        <w:rPr>
          <w:color w:val="auto"/>
          <w:sz w:val="28"/>
          <w:szCs w:val="28"/>
          <w:highlight w:val="none"/>
          <w:lang w:val="en-US"/>
        </w:rPr>
        <w:t>4、高偏远及隐蔽工程施工及验收必须影像资料。</w:t>
      </w:r>
    </w:p>
    <w:p w14:paraId="7439BC3D">
      <w:pPr>
        <w:pStyle w:val="2"/>
        <w:rPr>
          <w:rFonts w:hint="default"/>
          <w:color w:val="auto"/>
          <w:highlight w:val="none"/>
          <w:lang w:val="en-US" w:eastAsia="zh-CN"/>
        </w:rPr>
      </w:pPr>
      <w:r>
        <w:rPr>
          <w:rFonts w:hint="eastAsia" w:ascii="宋体" w:hAnsi="宋体" w:eastAsia="宋体" w:cs="宋体"/>
          <w:b w:val="0"/>
          <w:bCs/>
          <w:color w:val="auto"/>
          <w:sz w:val="28"/>
          <w:szCs w:val="28"/>
          <w:highlight w:val="none"/>
          <w:lang w:val="en-US" w:eastAsia="zh-CN"/>
        </w:rPr>
        <w:t>4.5、防腐验收标准不低于《</w:t>
      </w:r>
      <w:r>
        <w:rPr>
          <w:rFonts w:hint="eastAsia" w:ascii="宋体" w:hAnsi="宋体" w:eastAsia="宋体" w:cs="宋体"/>
          <w:b w:val="0"/>
          <w:bCs/>
          <w:i w:val="0"/>
          <w:iCs w:val="0"/>
          <w:caps w:val="0"/>
          <w:color w:val="auto"/>
          <w:spacing w:val="0"/>
          <w:sz w:val="28"/>
          <w:szCs w:val="28"/>
          <w:highlight w:val="none"/>
          <w:shd w:val="clear" w:color="auto" w:fill="FFFFFF"/>
        </w:rPr>
        <w:t>工业设备及管道防腐蚀工程技术标准</w:t>
      </w:r>
      <w:r>
        <w:rPr>
          <w:rFonts w:hint="eastAsia" w:ascii="宋体" w:hAnsi="宋体" w:eastAsia="宋体" w:cs="宋体"/>
          <w:b w:val="0"/>
          <w:bCs/>
          <w:i w:val="0"/>
          <w:iCs w:val="0"/>
          <w:caps w:val="0"/>
          <w:color w:val="auto"/>
          <w:spacing w:val="0"/>
          <w:sz w:val="28"/>
          <w:szCs w:val="28"/>
          <w:highlight w:val="none"/>
          <w:shd w:val="clear" w:color="auto" w:fill="FFFFFF"/>
          <w:lang w:val="en-US" w:eastAsia="zh-CN"/>
        </w:rPr>
        <w:t xml:space="preserve"> </w:t>
      </w:r>
      <w:r>
        <w:rPr>
          <w:rFonts w:hint="eastAsia" w:ascii="宋体" w:hAnsi="宋体" w:eastAsia="宋体" w:cs="宋体"/>
          <w:b w:val="0"/>
          <w:bCs/>
          <w:i w:val="0"/>
          <w:iCs w:val="0"/>
          <w:caps w:val="0"/>
          <w:color w:val="auto"/>
          <w:spacing w:val="0"/>
          <w:sz w:val="28"/>
          <w:szCs w:val="28"/>
          <w:highlight w:val="none"/>
          <w:shd w:val="clear" w:color="auto" w:fill="FFFFFF"/>
        </w:rPr>
        <w:t>GB/T 50726-2023 </w:t>
      </w:r>
      <w:r>
        <w:rPr>
          <w:rFonts w:hint="eastAsia" w:ascii="宋体" w:hAnsi="宋体" w:eastAsia="宋体" w:cs="宋体"/>
          <w:b w:val="0"/>
          <w:bCs/>
          <w:i w:val="0"/>
          <w:iCs w:val="0"/>
          <w:caps w:val="0"/>
          <w:color w:val="auto"/>
          <w:spacing w:val="0"/>
          <w:sz w:val="28"/>
          <w:szCs w:val="28"/>
          <w:highlight w:val="none"/>
          <w:shd w:val="clear" w:color="auto" w:fill="FFFFFF"/>
          <w:lang w:eastAsia="zh-CN"/>
        </w:rPr>
        <w:t>》</w:t>
      </w:r>
      <w:r>
        <w:rPr>
          <w:rFonts w:hint="eastAsia" w:cs="宋体"/>
          <w:b w:val="0"/>
          <w:bCs/>
          <w:i w:val="0"/>
          <w:iCs w:val="0"/>
          <w:caps w:val="0"/>
          <w:color w:val="auto"/>
          <w:spacing w:val="0"/>
          <w:sz w:val="28"/>
          <w:szCs w:val="28"/>
          <w:highlight w:val="none"/>
          <w:shd w:val="clear" w:color="auto" w:fill="FFFFFF"/>
          <w:lang w:val="en-US" w:eastAsia="zh-CN"/>
        </w:rPr>
        <w:t>要求。</w:t>
      </w:r>
    </w:p>
    <w:p w14:paraId="61A1D376">
      <w:pPr>
        <w:numPr>
          <w:ilvl w:val="0"/>
          <w:numId w:val="4"/>
        </w:numPr>
        <w:ind w:left="-562" w:leftChars="0" w:firstLine="562" w:firstLineChars="0"/>
        <w:rPr>
          <w:rFonts w:hint="eastAsia"/>
          <w:b/>
          <w:bCs/>
          <w:color w:val="auto"/>
          <w:sz w:val="28"/>
          <w:szCs w:val="28"/>
          <w:highlight w:val="none"/>
          <w:lang w:val="en-US" w:eastAsia="zh-CN"/>
        </w:rPr>
      </w:pPr>
      <w:r>
        <w:rPr>
          <w:rFonts w:hint="eastAsia"/>
          <w:b/>
          <w:bCs/>
          <w:color w:val="auto"/>
          <w:sz w:val="28"/>
          <w:szCs w:val="28"/>
          <w:highlight w:val="none"/>
          <w:lang w:val="en-US" w:eastAsia="zh-CN"/>
        </w:rPr>
        <w:t>铝皮更换</w:t>
      </w:r>
    </w:p>
    <w:p w14:paraId="09057E83">
      <w:pPr>
        <w:numPr>
          <w:ilvl w:val="0"/>
          <w:numId w:val="0"/>
        </w:numPr>
        <w:spacing w:line="360" w:lineRule="auto"/>
        <w:rPr>
          <w:rFonts w:hint="eastAsia" w:cs="Times New Roman"/>
          <w:color w:val="auto"/>
          <w:sz w:val="28"/>
          <w:szCs w:val="28"/>
          <w:highlight w:val="none"/>
          <w:lang w:val="en-US" w:eastAsia="zh-CN"/>
        </w:rPr>
      </w:pPr>
      <w:r>
        <w:rPr>
          <w:rFonts w:hint="eastAsia" w:cs="Times New Roman"/>
          <w:color w:val="auto"/>
          <w:sz w:val="28"/>
          <w:szCs w:val="28"/>
          <w:highlight w:val="none"/>
          <w:lang w:val="en-US" w:eastAsia="zh-CN"/>
        </w:rPr>
        <w:t>1、材料及安装技术要求：</w:t>
      </w:r>
    </w:p>
    <w:p w14:paraId="63D2243D">
      <w:pPr>
        <w:numPr>
          <w:ilvl w:val="0"/>
          <w:numId w:val="0"/>
        </w:numPr>
        <w:spacing w:line="360" w:lineRule="auto"/>
        <w:ind w:firstLine="560" w:firstLineChars="200"/>
        <w:rPr>
          <w:rFonts w:hint="eastAsia" w:cs="Times New Roman"/>
          <w:color w:val="auto"/>
          <w:sz w:val="28"/>
          <w:szCs w:val="28"/>
          <w:highlight w:val="none"/>
          <w:lang w:val="en-US" w:eastAsia="zh-CN"/>
        </w:rPr>
      </w:pPr>
      <w:r>
        <w:rPr>
          <w:rFonts w:hint="eastAsia" w:cs="Times New Roman"/>
          <w:color w:val="auto"/>
          <w:sz w:val="28"/>
          <w:szCs w:val="28"/>
          <w:highlight w:val="none"/>
          <w:lang w:val="en-US" w:eastAsia="zh-CN"/>
        </w:rPr>
        <w:t>铝皮一律使用δ=0.6的铝板（国标），下料后根据实际情况，用压边机压边，用折边机折边，纵向搭口朝下，外壳搭接长度，环向不小于30mm，纵向不小于30mm。</w:t>
      </w:r>
    </w:p>
    <w:p w14:paraId="7A51794A">
      <w:pPr>
        <w:pStyle w:val="2"/>
        <w:numPr>
          <w:ilvl w:val="0"/>
          <w:numId w:val="5"/>
        </w:numPr>
        <w:rPr>
          <w:rFonts w:hint="eastAsia" w:cs="Times New Roman"/>
          <w:color w:val="auto"/>
          <w:sz w:val="28"/>
          <w:szCs w:val="28"/>
          <w:highlight w:val="none"/>
          <w:lang w:val="en-US" w:eastAsia="zh-CN"/>
        </w:rPr>
      </w:pPr>
      <w:r>
        <w:rPr>
          <w:rFonts w:hint="eastAsia" w:cs="Times New Roman"/>
          <w:color w:val="auto"/>
          <w:sz w:val="28"/>
          <w:szCs w:val="28"/>
          <w:highlight w:val="none"/>
          <w:lang w:val="en-US" w:eastAsia="zh-CN"/>
        </w:rPr>
        <w:t>验收要求：</w:t>
      </w:r>
    </w:p>
    <w:p w14:paraId="442A570C">
      <w:pPr>
        <w:numPr>
          <w:ilvl w:val="0"/>
          <w:numId w:val="0"/>
        </w:numPr>
        <w:spacing w:line="360" w:lineRule="auto"/>
        <w:rPr>
          <w:rFonts w:hint="eastAsia" w:cs="Times New Roman"/>
          <w:color w:val="auto"/>
          <w:sz w:val="28"/>
          <w:szCs w:val="28"/>
          <w:highlight w:val="none"/>
          <w:lang w:val="en-US" w:eastAsia="zh-CN"/>
        </w:rPr>
      </w:pPr>
      <w:r>
        <w:rPr>
          <w:rFonts w:hint="eastAsia" w:cs="Times New Roman"/>
          <w:color w:val="auto"/>
          <w:sz w:val="28"/>
          <w:szCs w:val="28"/>
          <w:highlight w:val="none"/>
          <w:lang w:val="en-US" w:eastAsia="zh-CN"/>
        </w:rPr>
        <w:t>2.1、铝皮保护层不得有松脱、翻边、豁口、翘缝和明显的凹坑；环向接缝应与纵向接缝互相垂直，并成整齐的直线。接缝搭接长度符合规定。</w:t>
      </w:r>
    </w:p>
    <w:p w14:paraId="33C16678">
      <w:pPr>
        <w:pStyle w:val="2"/>
        <w:rPr>
          <w:rFonts w:hint="eastAsia" w:ascii="宋体" w:hAnsi="宋体" w:eastAsia="宋体" w:cs="宋体"/>
          <w:b w:val="0"/>
          <w:bCs w:val="0"/>
          <w:color w:val="auto"/>
          <w:sz w:val="28"/>
          <w:szCs w:val="28"/>
          <w:highlight w:val="none"/>
          <w:lang w:val="en-US" w:eastAsia="zh-CN"/>
        </w:rPr>
      </w:pPr>
      <w:r>
        <w:rPr>
          <w:rFonts w:hint="eastAsia" w:cs="宋体"/>
          <w:b w:val="0"/>
          <w:bCs w:val="0"/>
          <w:i w:val="0"/>
          <w:iCs w:val="0"/>
          <w:caps w:val="0"/>
          <w:color w:val="auto"/>
          <w:spacing w:val="0"/>
          <w:sz w:val="28"/>
          <w:szCs w:val="28"/>
          <w:highlight w:val="none"/>
          <w:shd w:val="clear" w:color="auto" w:fill="FFFFFF"/>
          <w:lang w:val="en-US" w:eastAsia="zh-CN"/>
        </w:rPr>
        <w:t>2.</w:t>
      </w:r>
      <w:r>
        <w:rPr>
          <w:rFonts w:hint="eastAsia" w:ascii="宋体" w:hAnsi="宋体" w:eastAsia="宋体" w:cs="宋体"/>
          <w:b w:val="0"/>
          <w:bCs w:val="0"/>
          <w:i w:val="0"/>
          <w:iCs w:val="0"/>
          <w:caps w:val="0"/>
          <w:color w:val="auto"/>
          <w:spacing w:val="0"/>
          <w:sz w:val="28"/>
          <w:szCs w:val="28"/>
          <w:highlight w:val="none"/>
          <w:shd w:val="clear" w:color="auto" w:fill="FFFFFF"/>
          <w:lang w:val="en-US" w:eastAsia="zh-CN"/>
        </w:rPr>
        <w:t>2、保温施工验收标准不低于《</w:t>
      </w:r>
      <w:r>
        <w:rPr>
          <w:rFonts w:hint="eastAsia" w:ascii="宋体" w:hAnsi="宋体" w:eastAsia="宋体" w:cs="宋体"/>
          <w:b w:val="0"/>
          <w:bCs w:val="0"/>
          <w:i w:val="0"/>
          <w:iCs w:val="0"/>
          <w:caps w:val="0"/>
          <w:color w:val="auto"/>
          <w:spacing w:val="0"/>
          <w:sz w:val="28"/>
          <w:szCs w:val="28"/>
          <w:highlight w:val="none"/>
          <w:shd w:val="clear" w:color="auto" w:fill="FFFFFF"/>
        </w:rPr>
        <w:t>火力发电厂热力设备及管道保温施工工艺导则DL/T 5713-2024</w:t>
      </w:r>
      <w:r>
        <w:rPr>
          <w:rFonts w:hint="eastAsia" w:ascii="宋体" w:hAnsi="宋体" w:eastAsia="宋体" w:cs="宋体"/>
          <w:b w:val="0"/>
          <w:bCs w:val="0"/>
          <w:i w:val="0"/>
          <w:iCs w:val="0"/>
          <w:caps w:val="0"/>
          <w:color w:val="auto"/>
          <w:spacing w:val="0"/>
          <w:sz w:val="28"/>
          <w:szCs w:val="28"/>
          <w:highlight w:val="none"/>
          <w:shd w:val="clear" w:color="auto" w:fill="FFFFFF"/>
          <w:lang w:eastAsia="zh-CN"/>
        </w:rPr>
        <w:t>》</w:t>
      </w:r>
      <w:r>
        <w:rPr>
          <w:rFonts w:hint="eastAsia" w:ascii="宋体" w:hAnsi="宋体" w:eastAsia="宋体" w:cs="宋体"/>
          <w:b w:val="0"/>
          <w:bCs w:val="0"/>
          <w:i w:val="0"/>
          <w:iCs w:val="0"/>
          <w:caps w:val="0"/>
          <w:color w:val="auto"/>
          <w:spacing w:val="0"/>
          <w:sz w:val="28"/>
          <w:szCs w:val="28"/>
          <w:highlight w:val="none"/>
          <w:shd w:val="clear" w:color="auto" w:fill="FFFFFF"/>
          <w:lang w:val="en-US" w:eastAsia="zh-CN"/>
        </w:rPr>
        <w:t>要求。</w:t>
      </w:r>
    </w:p>
    <w:p w14:paraId="16EC8EB8">
      <w:pPr>
        <w:spacing w:line="360" w:lineRule="auto"/>
        <w:rPr>
          <w:rFonts w:hint="default" w:ascii="宋体" w:hAnsi="宋体"/>
          <w:b/>
          <w:bCs w:val="0"/>
          <w:color w:val="auto"/>
          <w:sz w:val="28"/>
          <w:szCs w:val="28"/>
          <w:highlight w:val="none"/>
          <w:lang w:val="en-US" w:eastAsia="zh-CN"/>
        </w:rPr>
      </w:pPr>
      <w:r>
        <w:rPr>
          <w:rFonts w:hint="eastAsia" w:ascii="宋体" w:hAnsi="宋体"/>
          <w:b/>
          <w:bCs w:val="0"/>
          <w:color w:val="auto"/>
          <w:sz w:val="28"/>
          <w:szCs w:val="28"/>
          <w:highlight w:val="none"/>
          <w:lang w:val="en-US" w:eastAsia="zh-CN"/>
        </w:rPr>
        <w:t>五、施工时间：</w:t>
      </w:r>
    </w:p>
    <w:p w14:paraId="169E4833">
      <w:pPr>
        <w:numPr>
          <w:ilvl w:val="0"/>
          <w:numId w:val="0"/>
        </w:numPr>
        <w:ind w:leftChars="0"/>
        <w:rPr>
          <w:rFonts w:hint="default" w:eastAsia="宋体"/>
          <w:b/>
          <w:bCs/>
          <w:color w:val="auto"/>
          <w:sz w:val="28"/>
          <w:szCs w:val="28"/>
          <w:highlight w:val="none"/>
          <w:lang w:val="en-US" w:eastAsia="zh-CN"/>
        </w:rPr>
      </w:pPr>
      <w:r>
        <w:rPr>
          <w:rFonts w:hint="eastAsia" w:ascii="宋体" w:hAnsi="宋体" w:cs="仿宋_GB2312"/>
          <w:color w:val="auto"/>
          <w:sz w:val="28"/>
          <w:szCs w:val="28"/>
          <w:highlight w:val="none"/>
          <w:lang w:val="en-US" w:eastAsia="zh-CN"/>
        </w:rPr>
        <w:t>合同总工期为30个自然日，具体开工时间以采购人（建设单位）发出的开工令为准。</w:t>
      </w:r>
    </w:p>
    <w:p w14:paraId="160383DE">
      <w:pPr>
        <w:numPr>
          <w:ilvl w:val="0"/>
          <w:numId w:val="0"/>
        </w:numPr>
        <w:ind w:leftChars="200"/>
        <w:rPr>
          <w:rFonts w:hint="eastAsia" w:cs="Times New Roman"/>
          <w:b/>
          <w:bCs/>
          <w:color w:val="auto"/>
          <w:sz w:val="28"/>
          <w:szCs w:val="28"/>
          <w:highlight w:val="none"/>
          <w:lang w:val="en-US" w:eastAsia="zh-CN"/>
        </w:rPr>
      </w:pPr>
    </w:p>
    <w:p w14:paraId="733C51D1">
      <w:pPr>
        <w:numPr>
          <w:ilvl w:val="0"/>
          <w:numId w:val="0"/>
        </w:numPr>
        <w:ind w:leftChars="200"/>
        <w:rPr>
          <w:rFonts w:hint="eastAsia" w:cs="Times New Roman"/>
          <w:b/>
          <w:bCs/>
          <w:color w:val="auto"/>
          <w:sz w:val="28"/>
          <w:szCs w:val="28"/>
          <w:highlight w:val="none"/>
          <w:lang w:val="en-US" w:eastAsia="zh-CN"/>
        </w:rPr>
      </w:pPr>
    </w:p>
    <w:p w14:paraId="3E532A4A">
      <w:pPr>
        <w:pStyle w:val="45"/>
        <w:wordWrap w:val="0"/>
        <w:ind w:firstLine="0" w:firstLineChars="0"/>
        <w:jc w:val="left"/>
        <w:rPr>
          <w:rFonts w:eastAsia="黑体"/>
          <w:color w:val="auto"/>
          <w:sz w:val="28"/>
          <w:szCs w:val="44"/>
          <w:highlight w:val="none"/>
        </w:rPr>
      </w:pPr>
    </w:p>
    <w:p w14:paraId="6792A581">
      <w:pPr>
        <w:rPr>
          <w:color w:val="auto"/>
          <w:highlight w:val="none"/>
        </w:rPr>
      </w:pPr>
    </w:p>
    <w:p w14:paraId="636F9957">
      <w:pPr>
        <w:pStyle w:val="45"/>
        <w:wordWrap w:val="0"/>
        <w:ind w:firstLine="0" w:firstLineChars="0"/>
        <w:jc w:val="left"/>
        <w:rPr>
          <w:rFonts w:eastAsia="黑体"/>
          <w:color w:val="auto"/>
          <w:sz w:val="28"/>
          <w:szCs w:val="44"/>
          <w:highlight w:val="none"/>
        </w:rPr>
      </w:pPr>
      <w:r>
        <w:rPr>
          <w:rFonts w:eastAsia="黑体"/>
          <w:color w:val="auto"/>
          <w:sz w:val="28"/>
          <w:szCs w:val="44"/>
          <w:highlight w:val="none"/>
        </w:rPr>
        <w:t>附件</w:t>
      </w:r>
      <w:r>
        <w:rPr>
          <w:rFonts w:hint="eastAsia" w:eastAsia="黑体"/>
          <w:color w:val="auto"/>
          <w:sz w:val="28"/>
          <w:szCs w:val="44"/>
          <w:highlight w:val="none"/>
        </w:rPr>
        <w:t>七 合同模板</w:t>
      </w:r>
    </w:p>
    <w:p w14:paraId="3FBE5DCD">
      <w:pPr>
        <w:spacing w:line="520" w:lineRule="exact"/>
        <w:jc w:val="center"/>
        <w:rPr>
          <w:rFonts w:ascii="宋体" w:hAnsi="宋体"/>
          <w:b/>
          <w:color w:val="auto"/>
          <w:sz w:val="44"/>
          <w:szCs w:val="44"/>
          <w:highlight w:val="none"/>
        </w:rPr>
      </w:pPr>
      <w:r>
        <w:rPr>
          <w:rFonts w:hint="eastAsia" w:ascii="宋体" w:hAnsi="宋体"/>
          <w:b/>
          <w:color w:val="auto"/>
          <w:sz w:val="44"/>
          <w:szCs w:val="44"/>
          <w:highlight w:val="none"/>
        </w:rPr>
        <w:t>阳江开能环保能源有限公司2025年度安全隐患整改项目-防腐刷漆及保温工程</w:t>
      </w:r>
      <w:r>
        <w:rPr>
          <w:rFonts w:hint="eastAsia" w:ascii="宋体" w:hAnsi="宋体"/>
          <w:b/>
          <w:color w:val="auto"/>
          <w:sz w:val="44"/>
          <w:szCs w:val="44"/>
          <w:highlight w:val="none"/>
          <w:lang w:val="en-US" w:eastAsia="zh-CN"/>
        </w:rPr>
        <w:t>施工</w:t>
      </w:r>
      <w:r>
        <w:rPr>
          <w:rFonts w:hint="eastAsia" w:ascii="宋体" w:hAnsi="宋体"/>
          <w:b/>
          <w:color w:val="auto"/>
          <w:sz w:val="44"/>
          <w:szCs w:val="44"/>
          <w:highlight w:val="none"/>
        </w:rPr>
        <w:t>合同</w:t>
      </w:r>
    </w:p>
    <w:p w14:paraId="03B0CD64">
      <w:pPr>
        <w:spacing w:after="240" w:afterLines="100" w:line="600" w:lineRule="auto"/>
        <w:rPr>
          <w:rFonts w:ascii="黑体" w:hAnsi="宋体" w:eastAsia="黑体"/>
          <w:color w:val="auto"/>
          <w:sz w:val="44"/>
          <w:szCs w:val="44"/>
          <w:highlight w:val="none"/>
        </w:rPr>
      </w:pPr>
    </w:p>
    <w:p w14:paraId="5D9F7820">
      <w:pPr>
        <w:spacing w:after="240" w:afterLines="100" w:line="360" w:lineRule="auto"/>
        <w:rPr>
          <w:rFonts w:ascii="宋体" w:hAnsi="宋体"/>
          <w:b/>
          <w:color w:val="auto"/>
          <w:sz w:val="44"/>
          <w:szCs w:val="44"/>
          <w:highlight w:val="none"/>
        </w:rPr>
      </w:pPr>
    </w:p>
    <w:p w14:paraId="393D8FC6">
      <w:pPr>
        <w:spacing w:after="240" w:afterLines="100" w:line="360" w:lineRule="auto"/>
        <w:rPr>
          <w:rFonts w:ascii="宋体" w:hAnsi="宋体"/>
          <w:b/>
          <w:color w:val="auto"/>
          <w:sz w:val="44"/>
          <w:szCs w:val="44"/>
          <w:highlight w:val="none"/>
        </w:rPr>
      </w:pPr>
    </w:p>
    <w:p w14:paraId="25669486">
      <w:pPr>
        <w:pStyle w:val="66"/>
        <w:spacing w:line="360" w:lineRule="auto"/>
        <w:ind w:left="0" w:firstLine="2168" w:firstLineChars="720"/>
        <w:rPr>
          <w:rFonts w:ascii="宋体" w:hAnsi="宋体"/>
          <w:b/>
          <w:bCs/>
          <w:color w:val="auto"/>
          <w:sz w:val="30"/>
          <w:szCs w:val="30"/>
          <w:highlight w:val="none"/>
        </w:rPr>
      </w:pPr>
      <w:r>
        <w:rPr>
          <w:rFonts w:hint="eastAsia" w:ascii="宋体" w:hAnsi="宋体"/>
          <w:b/>
          <w:bCs/>
          <w:color w:val="auto"/>
          <w:sz w:val="30"/>
          <w:szCs w:val="30"/>
          <w:highlight w:val="none"/>
        </w:rPr>
        <w:t>发 包 方（甲方）：阳江开能环保能源有限公司</w:t>
      </w:r>
    </w:p>
    <w:p w14:paraId="240D67AC">
      <w:pPr>
        <w:pStyle w:val="66"/>
        <w:spacing w:line="360" w:lineRule="auto"/>
        <w:ind w:left="2087" w:leftChars="994" w:firstLine="57" w:firstLineChars="19"/>
        <w:rPr>
          <w:rFonts w:ascii="宋体" w:hAnsi="宋体"/>
          <w:b/>
          <w:bCs/>
          <w:color w:val="auto"/>
          <w:sz w:val="30"/>
          <w:szCs w:val="30"/>
          <w:highlight w:val="none"/>
        </w:rPr>
      </w:pPr>
      <w:r>
        <w:rPr>
          <w:rFonts w:hint="eastAsia" w:ascii="宋体" w:hAnsi="宋体"/>
          <w:b/>
          <w:bCs/>
          <w:color w:val="auto"/>
          <w:sz w:val="30"/>
          <w:szCs w:val="30"/>
          <w:highlight w:val="none"/>
        </w:rPr>
        <w:t>承 包 方（乙方）：</w:t>
      </w:r>
    </w:p>
    <w:p w14:paraId="0B2C4FB0">
      <w:pPr>
        <w:pStyle w:val="66"/>
        <w:spacing w:line="360" w:lineRule="auto"/>
        <w:ind w:left="2087" w:leftChars="994" w:firstLine="57" w:firstLineChars="19"/>
        <w:rPr>
          <w:rFonts w:ascii="宋体" w:hAnsi="宋体"/>
          <w:b/>
          <w:bCs/>
          <w:color w:val="auto"/>
          <w:sz w:val="30"/>
          <w:szCs w:val="30"/>
          <w:highlight w:val="none"/>
        </w:rPr>
      </w:pPr>
      <w:r>
        <w:rPr>
          <w:rFonts w:hint="eastAsia" w:ascii="宋体" w:hAnsi="宋体"/>
          <w:b/>
          <w:bCs/>
          <w:color w:val="auto"/>
          <w:sz w:val="30"/>
          <w:szCs w:val="30"/>
          <w:highlight w:val="none"/>
        </w:rPr>
        <w:t>合同编号：</w:t>
      </w:r>
    </w:p>
    <w:p w14:paraId="0A083164">
      <w:pPr>
        <w:pStyle w:val="66"/>
        <w:spacing w:line="360" w:lineRule="auto"/>
        <w:ind w:left="0" w:firstLine="2168" w:firstLineChars="720"/>
        <w:rPr>
          <w:rFonts w:ascii="宋体" w:hAnsi="宋体"/>
          <w:b/>
          <w:bCs/>
          <w:color w:val="auto"/>
          <w:sz w:val="30"/>
          <w:szCs w:val="30"/>
          <w:highlight w:val="none"/>
        </w:rPr>
      </w:pPr>
      <w:r>
        <w:rPr>
          <w:rFonts w:hint="eastAsia" w:ascii="宋体" w:hAnsi="宋体"/>
          <w:b/>
          <w:bCs/>
          <w:color w:val="auto"/>
          <w:sz w:val="30"/>
          <w:szCs w:val="30"/>
          <w:highlight w:val="none"/>
        </w:rPr>
        <w:t xml:space="preserve">签约地点：广东省阳江市 </w:t>
      </w:r>
    </w:p>
    <w:p w14:paraId="2E864206">
      <w:pPr>
        <w:pStyle w:val="66"/>
        <w:spacing w:line="360" w:lineRule="auto"/>
        <w:ind w:left="0" w:firstLine="2168" w:firstLineChars="720"/>
        <w:rPr>
          <w:rFonts w:ascii="宋体" w:hAnsi="宋体"/>
          <w:bCs/>
          <w:color w:val="auto"/>
          <w:sz w:val="30"/>
          <w:szCs w:val="30"/>
          <w:highlight w:val="none"/>
        </w:rPr>
        <w:sectPr>
          <w:headerReference r:id="rId5" w:type="default"/>
          <w:footerReference r:id="rId6" w:type="default"/>
          <w:pgSz w:w="11906" w:h="16838"/>
          <w:pgMar w:top="1417" w:right="1273" w:bottom="1134" w:left="1273" w:header="1440" w:footer="1440" w:gutter="0"/>
          <w:pgNumType w:fmt="decimal"/>
          <w:cols w:space="720" w:num="1"/>
        </w:sectPr>
      </w:pPr>
      <w:r>
        <w:rPr>
          <w:rFonts w:hint="eastAsia" w:ascii="宋体" w:hAnsi="宋体"/>
          <w:b/>
          <w:bCs/>
          <w:color w:val="auto"/>
          <w:kern w:val="2"/>
          <w:sz w:val="30"/>
          <w:szCs w:val="30"/>
          <w:highlight w:val="none"/>
        </w:rPr>
        <w:t xml:space="preserve">签订日期： </w:t>
      </w:r>
      <w:r>
        <w:rPr>
          <w:rFonts w:hint="eastAsia" w:ascii="宋体" w:hAnsi="宋体"/>
          <w:b/>
          <w:bCs/>
          <w:color w:val="auto"/>
          <w:kern w:val="2"/>
          <w:sz w:val="30"/>
          <w:szCs w:val="30"/>
          <w:highlight w:val="none"/>
          <w:lang w:val="en-US" w:eastAsia="zh-CN"/>
        </w:rPr>
        <w:t xml:space="preserve">  </w:t>
      </w:r>
      <w:r>
        <w:rPr>
          <w:rFonts w:hint="eastAsia" w:ascii="宋体" w:hAnsi="宋体"/>
          <w:b/>
          <w:bCs/>
          <w:color w:val="auto"/>
          <w:kern w:val="2"/>
          <w:sz w:val="30"/>
          <w:szCs w:val="30"/>
          <w:highlight w:val="none"/>
        </w:rPr>
        <w:t xml:space="preserve"> 年  </w:t>
      </w:r>
      <w:r>
        <w:rPr>
          <w:rFonts w:hint="eastAsia" w:ascii="宋体" w:hAnsi="宋体"/>
          <w:b/>
          <w:bCs/>
          <w:color w:val="auto"/>
          <w:kern w:val="2"/>
          <w:sz w:val="30"/>
          <w:szCs w:val="30"/>
          <w:highlight w:val="none"/>
          <w:lang w:val="en-US" w:eastAsia="zh-CN"/>
        </w:rPr>
        <w:t xml:space="preserve">   </w:t>
      </w:r>
      <w:r>
        <w:rPr>
          <w:rFonts w:hint="eastAsia" w:ascii="宋体" w:hAnsi="宋体"/>
          <w:b/>
          <w:bCs/>
          <w:color w:val="auto"/>
          <w:kern w:val="2"/>
          <w:sz w:val="30"/>
          <w:szCs w:val="30"/>
          <w:highlight w:val="none"/>
        </w:rPr>
        <w:t xml:space="preserve"> </w:t>
      </w:r>
      <w:r>
        <w:rPr>
          <w:rFonts w:hint="eastAsia" w:ascii="宋体" w:hAnsi="宋体"/>
          <w:b/>
          <w:bCs/>
          <w:color w:val="auto"/>
          <w:kern w:val="2"/>
          <w:sz w:val="30"/>
          <w:szCs w:val="30"/>
          <w:highlight w:val="none"/>
          <w:lang w:val="en-US" w:eastAsia="zh-CN"/>
        </w:rPr>
        <w:t xml:space="preserve"> </w:t>
      </w:r>
      <w:r>
        <w:rPr>
          <w:rFonts w:hint="eastAsia" w:ascii="宋体" w:hAnsi="宋体"/>
          <w:b/>
          <w:bCs/>
          <w:color w:val="auto"/>
          <w:kern w:val="2"/>
          <w:sz w:val="30"/>
          <w:szCs w:val="30"/>
          <w:highlight w:val="none"/>
        </w:rPr>
        <w:t xml:space="preserve">月  </w:t>
      </w:r>
    </w:p>
    <w:p w14:paraId="6E41C85E">
      <w:pPr>
        <w:ind w:firstLine="482" w:firstLineChars="200"/>
        <w:rPr>
          <w:rFonts w:ascii="宋体" w:hAnsi="宋体"/>
          <w:b/>
          <w:color w:val="auto"/>
          <w:sz w:val="24"/>
          <w:highlight w:val="none"/>
        </w:rPr>
      </w:pPr>
      <w:r>
        <w:rPr>
          <w:rFonts w:hint="eastAsia" w:ascii="宋体" w:hAnsi="宋体"/>
          <w:b/>
          <w:color w:val="auto"/>
          <w:sz w:val="24"/>
          <w:highlight w:val="none"/>
        </w:rPr>
        <w:t>发包方（甲方）：</w:t>
      </w:r>
      <w:r>
        <w:rPr>
          <w:rFonts w:hint="eastAsia" w:ascii="宋体" w:hAnsi="宋体"/>
          <w:b/>
          <w:color w:val="auto"/>
          <w:sz w:val="24"/>
          <w:highlight w:val="none"/>
          <w:u w:val="single"/>
        </w:rPr>
        <w:t>阳江开能环保能源有限公司</w:t>
      </w:r>
    </w:p>
    <w:p w14:paraId="456286C1">
      <w:pPr>
        <w:ind w:firstLine="482" w:firstLineChars="200"/>
        <w:rPr>
          <w:rFonts w:ascii="宋体" w:hAnsi="宋体"/>
          <w:b/>
          <w:color w:val="auto"/>
          <w:sz w:val="24"/>
          <w:highlight w:val="none"/>
          <w:u w:val="single"/>
        </w:rPr>
      </w:pPr>
      <w:r>
        <w:rPr>
          <w:rFonts w:hint="eastAsia" w:ascii="宋体" w:hAnsi="宋体"/>
          <w:b/>
          <w:color w:val="auto"/>
          <w:sz w:val="24"/>
          <w:highlight w:val="none"/>
        </w:rPr>
        <w:t>承包方（乙方）：</w:t>
      </w:r>
    </w:p>
    <w:p w14:paraId="7D18B756">
      <w:pPr>
        <w:widowControl/>
        <w:spacing w:before="102" w:after="102"/>
        <w:ind w:right="-6" w:firstLine="420" w:firstLineChars="200"/>
        <w:jc w:val="left"/>
        <w:rPr>
          <w:rFonts w:ascii="宋体" w:hAnsi="宋体"/>
          <w:color w:val="auto"/>
          <w:szCs w:val="21"/>
          <w:highlight w:val="none"/>
        </w:rPr>
      </w:pPr>
      <w:r>
        <w:rPr>
          <w:rFonts w:hint="eastAsia" w:ascii="宋体" w:hAnsi="宋体"/>
          <w:color w:val="auto"/>
          <w:szCs w:val="21"/>
          <w:highlight w:val="none"/>
        </w:rPr>
        <w:t>依据《中华人民共和国民法典》、《中华人民共和国建筑法》及其他相关法律法规，遵循平等、自愿、互利互惠、公平和诚实信用的原则，发、承包方双方就本合同范围内</w:t>
      </w:r>
      <w:r>
        <w:rPr>
          <w:rFonts w:hint="eastAsia" w:cs="宋体"/>
          <w:color w:val="auto"/>
          <w:szCs w:val="21"/>
          <w:highlight w:val="none"/>
          <w:u w:val="single"/>
        </w:rPr>
        <w:t>阳江开能环保能源有限公司2025年度安全隐患整改项目-防腐刷漆及保温工程</w:t>
      </w:r>
      <w:r>
        <w:rPr>
          <w:rFonts w:hint="eastAsia" w:ascii="宋体" w:hAnsi="宋体"/>
          <w:color w:val="auto"/>
          <w:szCs w:val="21"/>
          <w:highlight w:val="none"/>
        </w:rPr>
        <w:t>事项协商一致，订本合同，合同条款如下：</w:t>
      </w:r>
    </w:p>
    <w:p w14:paraId="42F16D2E">
      <w:pPr>
        <w:ind w:firstLine="413" w:firstLineChars="196"/>
        <w:rPr>
          <w:rFonts w:ascii="宋体" w:hAnsi="宋体"/>
          <w:b/>
          <w:color w:val="auto"/>
          <w:szCs w:val="21"/>
          <w:highlight w:val="none"/>
        </w:rPr>
      </w:pPr>
      <w:r>
        <w:rPr>
          <w:rFonts w:hint="eastAsia" w:ascii="宋体" w:hAnsi="宋体"/>
          <w:b/>
          <w:color w:val="auto"/>
          <w:szCs w:val="21"/>
          <w:highlight w:val="none"/>
        </w:rPr>
        <w:t>第一条 工程概况</w:t>
      </w:r>
    </w:p>
    <w:p w14:paraId="617CAEFF">
      <w:pPr>
        <w:ind w:firstLine="420" w:firstLineChars="200"/>
        <w:jc w:val="left"/>
        <w:rPr>
          <w:rFonts w:ascii="宋体" w:hAnsi="宋体"/>
          <w:color w:val="auto"/>
          <w:szCs w:val="21"/>
          <w:highlight w:val="none"/>
          <w:u w:val="single"/>
        </w:rPr>
      </w:pPr>
      <w:r>
        <w:rPr>
          <w:rFonts w:hint="eastAsia" w:ascii="宋体" w:hAnsi="宋体"/>
          <w:color w:val="auto"/>
          <w:szCs w:val="21"/>
          <w:highlight w:val="none"/>
        </w:rPr>
        <w:t>1.1工程名称：</w:t>
      </w:r>
      <w:r>
        <w:rPr>
          <w:rFonts w:hint="eastAsia" w:ascii="宋体" w:hAnsi="宋体"/>
          <w:color w:val="auto"/>
          <w:szCs w:val="21"/>
          <w:highlight w:val="none"/>
          <w:u w:val="single"/>
        </w:rPr>
        <w:t xml:space="preserve">阳阳江开能环保能源有限公司2025年度安全隐患整改项目-防腐刷漆及保温工程；                 </w:t>
      </w:r>
      <w:r>
        <w:rPr>
          <w:rFonts w:hint="eastAsia" w:ascii="宋体" w:hAnsi="宋体"/>
          <w:color w:val="auto"/>
          <w:szCs w:val="21"/>
          <w:highlight w:val="none"/>
        </w:rPr>
        <w:t xml:space="preserve">        </w:t>
      </w:r>
    </w:p>
    <w:p w14:paraId="252C090A">
      <w:pPr>
        <w:ind w:firstLine="420" w:firstLineChars="200"/>
        <w:outlineLvl w:val="2"/>
        <w:rPr>
          <w:rFonts w:ascii="宋体" w:hAnsi="宋体"/>
          <w:color w:val="auto"/>
          <w:szCs w:val="21"/>
          <w:highlight w:val="none"/>
          <w:u w:val="single"/>
        </w:rPr>
      </w:pPr>
      <w:r>
        <w:rPr>
          <w:rFonts w:hint="eastAsia" w:ascii="宋体" w:hAnsi="宋体"/>
          <w:color w:val="auto"/>
          <w:szCs w:val="21"/>
          <w:highlight w:val="none"/>
        </w:rPr>
        <w:t xml:space="preserve">1.2工程地点: </w:t>
      </w:r>
      <w:r>
        <w:rPr>
          <w:rFonts w:hint="eastAsia" w:ascii="宋体" w:hAnsi="宋体"/>
          <w:color w:val="auto"/>
          <w:szCs w:val="21"/>
          <w:highlight w:val="none"/>
          <w:u w:val="single"/>
          <w:lang w:val="zh-CN"/>
        </w:rPr>
        <w:t>广东省阳江市高新区临港工业园海港二横路1号；</w:t>
      </w:r>
      <w:r>
        <w:rPr>
          <w:rFonts w:hint="eastAsia" w:ascii="宋体" w:hAnsi="宋体"/>
          <w:color w:val="auto"/>
          <w:szCs w:val="21"/>
          <w:highlight w:val="none"/>
          <w:u w:val="single"/>
        </w:rPr>
        <w:t xml:space="preserve">                                                </w:t>
      </w:r>
    </w:p>
    <w:p w14:paraId="733D533B">
      <w:pPr>
        <w:ind w:firstLine="420" w:firstLineChars="200"/>
        <w:outlineLvl w:val="2"/>
        <w:rPr>
          <w:rFonts w:ascii="宋体" w:hAnsi="宋体"/>
          <w:color w:val="auto"/>
          <w:szCs w:val="21"/>
          <w:highlight w:val="none"/>
          <w:u w:val="single"/>
        </w:rPr>
      </w:pPr>
      <w:r>
        <w:rPr>
          <w:rFonts w:hint="eastAsia" w:ascii="宋体" w:hAnsi="宋体"/>
          <w:color w:val="auto"/>
          <w:szCs w:val="21"/>
          <w:highlight w:val="none"/>
        </w:rPr>
        <w:t>1.3 工程内容：</w:t>
      </w:r>
      <w:r>
        <w:rPr>
          <w:rFonts w:hint="eastAsia" w:ascii="宋体" w:hAnsi="宋体"/>
          <w:color w:val="auto"/>
          <w:szCs w:val="21"/>
          <w:highlight w:val="none"/>
          <w:u w:val="single"/>
        </w:rPr>
        <w:t>阳江开能环保能源有限公司2025年度安全隐患整改项目-防腐刷漆及保温</w:t>
      </w:r>
      <w:r>
        <w:rPr>
          <w:rFonts w:hint="eastAsia" w:ascii="宋体" w:hAnsi="宋体"/>
          <w:color w:val="auto"/>
          <w:szCs w:val="21"/>
          <w:highlight w:val="none"/>
          <w:u w:val="single"/>
          <w:lang w:val="en-US" w:eastAsia="zh-CN"/>
        </w:rPr>
        <w:t>施工</w:t>
      </w:r>
      <w:r>
        <w:rPr>
          <w:rFonts w:hint="eastAsia" w:ascii="宋体" w:hAnsi="宋体"/>
          <w:color w:val="auto"/>
          <w:szCs w:val="21"/>
          <w:highlight w:val="none"/>
          <w:u w:val="single"/>
        </w:rPr>
        <w:t xml:space="preserve">。     </w:t>
      </w:r>
    </w:p>
    <w:p w14:paraId="7BDE7E1C">
      <w:pPr>
        <w:ind w:firstLine="420" w:firstLineChars="200"/>
        <w:outlineLvl w:val="2"/>
        <w:rPr>
          <w:rFonts w:ascii="宋体" w:hAnsi="宋体"/>
          <w:color w:val="auto"/>
          <w:szCs w:val="21"/>
          <w:highlight w:val="none"/>
        </w:rPr>
      </w:pPr>
      <w:r>
        <w:rPr>
          <w:rFonts w:hint="eastAsia" w:ascii="宋体" w:hAnsi="宋体"/>
          <w:color w:val="auto"/>
          <w:szCs w:val="21"/>
          <w:highlight w:val="none"/>
        </w:rPr>
        <w:t>第二条 承包范围</w:t>
      </w:r>
    </w:p>
    <w:p w14:paraId="4159EB1E">
      <w:pPr>
        <w:ind w:firstLine="411" w:firstLineChars="196"/>
        <w:rPr>
          <w:rFonts w:hint="eastAsia" w:ascii="宋体" w:hAnsi="宋体"/>
          <w:color w:val="auto"/>
          <w:szCs w:val="21"/>
          <w:highlight w:val="none"/>
          <w:u w:val="none"/>
        </w:rPr>
      </w:pPr>
      <w:r>
        <w:rPr>
          <w:rFonts w:hint="eastAsia" w:ascii="宋体" w:hAnsi="宋体"/>
          <w:color w:val="auto"/>
          <w:kern w:val="0"/>
          <w:szCs w:val="21"/>
          <w:highlight w:val="none"/>
        </w:rPr>
        <w:t>2.1承包范围：</w:t>
      </w:r>
      <w:r>
        <w:rPr>
          <w:rFonts w:hint="eastAsia" w:ascii="宋体" w:hAnsi="宋体"/>
          <w:color w:val="auto"/>
          <w:kern w:val="0"/>
          <w:szCs w:val="21"/>
          <w:highlight w:val="none"/>
        </w:rPr>
        <w:t>阳江开能环保能源有限公司</w:t>
      </w:r>
      <w:r>
        <w:rPr>
          <w:rFonts w:hint="eastAsia" w:ascii="宋体" w:hAnsi="宋体"/>
          <w:color w:val="auto"/>
          <w:kern w:val="0"/>
          <w:szCs w:val="21"/>
          <w:highlight w:val="none"/>
          <w:lang w:val="en-US" w:eastAsia="zh-CN"/>
        </w:rPr>
        <w:t>厂区余热发电过热炉、储水箱外表面防腐刷漆，余热发电钢构防腐刷漆，部分蒸汽管道、蓄热器更换铝皮</w:t>
      </w:r>
      <w:r>
        <w:rPr>
          <w:rFonts w:hint="eastAsia" w:ascii="宋体" w:hAnsi="宋体"/>
          <w:b/>
          <w:color w:val="auto"/>
          <w:kern w:val="0"/>
          <w:szCs w:val="21"/>
          <w:highlight w:val="none"/>
          <w:u w:val="none"/>
        </w:rPr>
        <w:t xml:space="preserve"> </w:t>
      </w:r>
      <w:r>
        <w:rPr>
          <w:rFonts w:hint="eastAsia" w:ascii="宋体" w:hAnsi="宋体"/>
          <w:color w:val="auto"/>
          <w:szCs w:val="21"/>
          <w:highlight w:val="none"/>
          <w:u w:val="none"/>
        </w:rPr>
        <w:t>。</w:t>
      </w:r>
    </w:p>
    <w:p w14:paraId="66AF796B">
      <w:pPr>
        <w:pStyle w:val="10"/>
        <w:rPr>
          <w:rFonts w:hint="default" w:eastAsia="宋体"/>
          <w:color w:val="auto"/>
          <w:highlight w:val="none"/>
          <w:u w:val="none"/>
          <w:lang w:val="en-US" w:eastAsia="zh-CN"/>
        </w:rPr>
      </w:pPr>
      <w:r>
        <w:rPr>
          <w:rFonts w:hint="eastAsia" w:ascii="宋体" w:hAnsi="宋体"/>
          <w:color w:val="auto"/>
          <w:szCs w:val="21"/>
          <w:highlight w:val="none"/>
          <w:u w:val="none"/>
          <w:lang w:val="en-US" w:eastAsia="zh-CN"/>
        </w:rPr>
        <w:t xml:space="preserve">    本合同的发包方式为固定总价包干的模式。</w:t>
      </w:r>
    </w:p>
    <w:p w14:paraId="748C7B4B">
      <w:pPr>
        <w:ind w:firstLine="422" w:firstLineChars="200"/>
        <w:rPr>
          <w:rFonts w:ascii="宋体" w:hAnsi="宋体"/>
          <w:b/>
          <w:color w:val="auto"/>
          <w:szCs w:val="21"/>
          <w:highlight w:val="none"/>
        </w:rPr>
      </w:pPr>
      <w:r>
        <w:rPr>
          <w:rFonts w:hint="eastAsia" w:ascii="宋体" w:hAnsi="宋体"/>
          <w:b/>
          <w:color w:val="auto"/>
          <w:szCs w:val="21"/>
          <w:highlight w:val="none"/>
        </w:rPr>
        <w:t>第二条 质量标准</w:t>
      </w:r>
    </w:p>
    <w:p w14:paraId="15A5219D">
      <w:pPr>
        <w:ind w:firstLine="420" w:firstLineChars="200"/>
        <w:rPr>
          <w:rFonts w:ascii="宋体" w:hAnsi="宋体"/>
          <w:color w:val="auto"/>
          <w:szCs w:val="21"/>
          <w:highlight w:val="none"/>
          <w:u w:val="single"/>
        </w:rPr>
      </w:pPr>
      <w:r>
        <w:rPr>
          <w:rFonts w:hint="eastAsia" w:ascii="宋体" w:hAnsi="宋体"/>
          <w:color w:val="auto"/>
          <w:szCs w:val="21"/>
          <w:highlight w:val="none"/>
        </w:rPr>
        <w:t>工程质量标准：</w:t>
      </w:r>
      <w:r>
        <w:rPr>
          <w:rFonts w:hint="eastAsia" w:ascii="宋体" w:hAnsi="宋体"/>
          <w:color w:val="auto"/>
          <w:szCs w:val="21"/>
          <w:highlight w:val="none"/>
          <w:u w:val="single"/>
        </w:rPr>
        <w:t>符合国家及有关部门的规范规定及质量验收标准，并能满足发包方的各项技术与功能要求，保证符合设计及规范要求，验收合格。</w:t>
      </w:r>
    </w:p>
    <w:p w14:paraId="6D564A44">
      <w:pPr>
        <w:ind w:firstLine="422" w:firstLineChars="200"/>
        <w:rPr>
          <w:rFonts w:ascii="宋体" w:hAnsi="宋体"/>
          <w:b/>
          <w:color w:val="auto"/>
          <w:szCs w:val="21"/>
          <w:highlight w:val="none"/>
        </w:rPr>
      </w:pPr>
      <w:r>
        <w:rPr>
          <w:rFonts w:hint="eastAsia" w:ascii="宋体" w:hAnsi="宋体"/>
          <w:b/>
          <w:color w:val="auto"/>
          <w:szCs w:val="21"/>
          <w:highlight w:val="none"/>
        </w:rPr>
        <w:t>第三条 合同价款</w:t>
      </w:r>
    </w:p>
    <w:p w14:paraId="4CE429F0">
      <w:pPr>
        <w:ind w:firstLine="420" w:firstLineChars="200"/>
        <w:rPr>
          <w:rFonts w:ascii="宋体" w:hAnsi="宋体"/>
          <w:color w:val="auto"/>
          <w:szCs w:val="21"/>
          <w:highlight w:val="none"/>
        </w:rPr>
      </w:pPr>
      <w:r>
        <w:rPr>
          <w:rFonts w:hint="eastAsia"/>
          <w:color w:val="auto"/>
          <w:szCs w:val="21"/>
          <w:highlight w:val="none"/>
        </w:rPr>
        <w:t xml:space="preserve">3.1 </w:t>
      </w:r>
      <w:r>
        <w:rPr>
          <w:rFonts w:hint="eastAsia" w:ascii="宋体" w:hAnsi="宋体"/>
          <w:color w:val="auto"/>
          <w:szCs w:val="21"/>
          <w:highlight w:val="none"/>
        </w:rPr>
        <w:t xml:space="preserve">  </w:t>
      </w:r>
      <w:r>
        <w:rPr>
          <w:rFonts w:hint="eastAsia" w:ascii="宋体" w:hAnsi="宋体"/>
          <w:color w:val="auto"/>
          <w:szCs w:val="21"/>
          <w:highlight w:val="none"/>
          <w:lang w:val="en-US" w:eastAsia="zh-CN"/>
        </w:rPr>
        <w:t>本</w:t>
      </w:r>
      <w:r>
        <w:rPr>
          <w:rFonts w:hint="eastAsia" w:hAnsi="宋体" w:eastAsia="宋体" w:cs="Times New Roman"/>
          <w:color w:val="auto"/>
          <w:sz w:val="21"/>
          <w:highlight w:val="none"/>
        </w:rPr>
        <w:t>合同价税合计</w:t>
      </w:r>
      <w:r>
        <w:rPr>
          <w:rFonts w:hint="eastAsia" w:hAnsi="宋体" w:cs="Times New Roman"/>
          <w:color w:val="auto"/>
          <w:sz w:val="21"/>
          <w:highlight w:val="none"/>
          <w:lang w:val="en-US" w:eastAsia="zh-CN"/>
        </w:rPr>
        <w:t>暂定总价</w:t>
      </w:r>
      <w:r>
        <w:rPr>
          <w:rFonts w:hint="eastAsia" w:hAnsi="宋体" w:eastAsia="宋体" w:cs="Times New Roman"/>
          <w:color w:val="auto"/>
          <w:sz w:val="21"/>
          <w:highlight w:val="none"/>
        </w:rPr>
        <w:t>为</w:t>
      </w:r>
      <w:r>
        <w:rPr>
          <w:rFonts w:hint="eastAsia" w:hAnsi="宋体" w:eastAsia="宋体" w:cs="Times New Roman"/>
          <w:color w:val="auto"/>
          <w:sz w:val="21"/>
          <w:highlight w:val="none"/>
          <w:u w:val="single"/>
        </w:rPr>
        <w:t xml:space="preserve"> </w:t>
      </w:r>
      <w:r>
        <w:rPr>
          <w:rFonts w:hint="eastAsia" w:hAnsi="宋体" w:eastAsia="宋体" w:cs="Times New Roman"/>
          <w:color w:val="auto"/>
          <w:sz w:val="21"/>
          <w:highlight w:val="none"/>
        </w:rPr>
        <w:t>元（大写人民币</w:t>
      </w:r>
      <w:r>
        <w:rPr>
          <w:rFonts w:hint="eastAsia" w:hAnsi="宋体" w:eastAsia="宋体" w:cs="Times New Roman"/>
          <w:color w:val="auto"/>
          <w:sz w:val="21"/>
          <w:highlight w:val="none"/>
          <w:u w:val="single"/>
        </w:rPr>
        <w:t xml:space="preserve"> </w:t>
      </w:r>
      <w:r>
        <w:rPr>
          <w:rFonts w:hint="eastAsia" w:hAnsi="宋体" w:cs="Times New Roman"/>
          <w:color w:val="auto"/>
          <w:sz w:val="21"/>
          <w:highlight w:val="none"/>
          <w:u w:val="single"/>
          <w:lang w:val="en-US" w:eastAsia="zh-CN"/>
        </w:rPr>
        <w:t>元整</w:t>
      </w:r>
      <w:r>
        <w:rPr>
          <w:rFonts w:hint="eastAsia" w:hAnsi="宋体" w:eastAsia="宋体" w:cs="Times New Roman"/>
          <w:color w:val="auto"/>
          <w:sz w:val="21"/>
          <w:highlight w:val="none"/>
          <w:u w:val="single"/>
        </w:rPr>
        <w:t xml:space="preserve"> </w:t>
      </w:r>
      <w:r>
        <w:rPr>
          <w:rFonts w:hint="eastAsia" w:hAnsi="宋体" w:eastAsia="宋体" w:cs="Times New Roman"/>
          <w:color w:val="auto"/>
          <w:sz w:val="21"/>
          <w:highlight w:val="none"/>
        </w:rPr>
        <w:t>）（以下简称“合同总价（含税）”），合同履行期间根据本条第1项规定调整销项税额的，结算合同价税合计对应调整。</w:t>
      </w:r>
      <w:r>
        <w:rPr>
          <w:rFonts w:hint="eastAsia" w:ascii="宋体" w:hAnsi="宋体"/>
          <w:color w:val="auto"/>
          <w:szCs w:val="21"/>
          <w:highlight w:val="none"/>
        </w:rPr>
        <w:t>。</w:t>
      </w:r>
    </w:p>
    <w:p w14:paraId="1B1C7476">
      <w:pPr>
        <w:ind w:firstLine="420" w:firstLineChars="200"/>
        <w:rPr>
          <w:rFonts w:hint="eastAsia" w:ascii="宋体" w:hAnsi="宋体"/>
          <w:color w:val="auto"/>
          <w:szCs w:val="21"/>
          <w:highlight w:val="none"/>
        </w:rPr>
      </w:pPr>
      <w:r>
        <w:rPr>
          <w:rFonts w:hint="eastAsia" w:ascii="宋体" w:hAnsi="宋体"/>
          <w:color w:val="auto"/>
          <w:szCs w:val="21"/>
          <w:highlight w:val="none"/>
        </w:rPr>
        <w:t>3.2   本合同价（不含税金额）</w:t>
      </w:r>
      <w:r>
        <w:rPr>
          <w:rFonts w:hint="eastAsia" w:ascii="宋体" w:hAnsi="宋体"/>
          <w:color w:val="auto"/>
          <w:szCs w:val="21"/>
          <w:highlight w:val="none"/>
          <w:lang w:val="en-US" w:eastAsia="zh-CN"/>
        </w:rPr>
        <w:t>暂定总价</w:t>
      </w:r>
      <w:r>
        <w:rPr>
          <w:rFonts w:hint="eastAsia" w:ascii="宋体" w:hAnsi="宋体"/>
          <w:color w:val="auto"/>
          <w:szCs w:val="21"/>
          <w:highlight w:val="none"/>
        </w:rPr>
        <w:t xml:space="preserve">为 元（大写人民币 分 ）。在本合同履行过程中，合同价（不含税金额）不随法律法规政策、物价人工、工期调整而进行调整，未经甲方书面确认，乙方无权增加任何费用。  </w:t>
      </w:r>
    </w:p>
    <w:p w14:paraId="5B2A2B35">
      <w:pPr>
        <w:ind w:firstLine="420" w:firstLineChars="200"/>
        <w:rPr>
          <w:rFonts w:ascii="宋体" w:hAnsi="宋体"/>
          <w:color w:val="auto"/>
          <w:szCs w:val="21"/>
          <w:highlight w:val="none"/>
        </w:rPr>
      </w:pPr>
      <w:r>
        <w:rPr>
          <w:rFonts w:hint="eastAsia" w:ascii="宋体" w:hAnsi="宋体"/>
          <w:color w:val="auto"/>
          <w:szCs w:val="21"/>
          <w:highlight w:val="none"/>
          <w:lang w:val="en-US" w:eastAsia="zh-CN"/>
        </w:rPr>
        <w:t>3.3</w:t>
      </w:r>
      <w:r>
        <w:rPr>
          <w:rFonts w:hint="eastAsia" w:ascii="宋体" w:hAnsi="宋体"/>
          <w:color w:val="auto"/>
          <w:szCs w:val="21"/>
          <w:highlight w:val="none"/>
        </w:rPr>
        <w:t xml:space="preserve"> </w:t>
      </w:r>
      <w:r>
        <w:rPr>
          <w:rFonts w:hint="eastAsia" w:hAnsi="宋体"/>
          <w:color w:val="auto"/>
          <w:szCs w:val="21"/>
          <w:highlight w:val="none"/>
        </w:rPr>
        <w:t>依法计算并根据本合同约定确定的税金由乙方承担。根据《中华人民共和国增值税暂行条例》（国务院令第</w:t>
      </w:r>
      <w:r>
        <w:rPr>
          <w:rFonts w:hAnsi="宋体"/>
          <w:color w:val="auto"/>
          <w:szCs w:val="21"/>
          <w:highlight w:val="none"/>
        </w:rPr>
        <w:t>691</w:t>
      </w:r>
      <w:r>
        <w:rPr>
          <w:rFonts w:hint="eastAsia" w:hAnsi="宋体"/>
          <w:color w:val="auto"/>
          <w:szCs w:val="21"/>
          <w:highlight w:val="none"/>
        </w:rPr>
        <w:t xml:space="preserve">号修订版）及当前税务部门的相关规定，本合同项目增值税税率为 </w:t>
      </w:r>
      <w:r>
        <w:rPr>
          <w:rFonts w:hint="eastAsia" w:hAnsi="宋体"/>
          <w:color w:val="auto"/>
          <w:szCs w:val="21"/>
          <w:highlight w:val="none"/>
          <w:u w:val="single"/>
        </w:rPr>
        <w:t xml:space="preserve">  </w:t>
      </w:r>
      <w:r>
        <w:rPr>
          <w:rFonts w:hint="eastAsia" w:hAnsi="宋体"/>
          <w:color w:val="auto"/>
          <w:szCs w:val="21"/>
          <w:highlight w:val="none"/>
          <w:u w:val="single"/>
          <w:lang w:val="en-US" w:eastAsia="zh-CN"/>
        </w:rPr>
        <w:t>xx%</w:t>
      </w:r>
      <w:r>
        <w:rPr>
          <w:rFonts w:hint="eastAsia" w:hAnsi="宋体"/>
          <w:color w:val="auto"/>
          <w:szCs w:val="21"/>
          <w:highlight w:val="none"/>
          <w:u w:val="single"/>
        </w:rPr>
        <w:t xml:space="preserve">  </w:t>
      </w:r>
      <w:r>
        <w:rPr>
          <w:rFonts w:hint="eastAsia" w:hAnsi="宋体"/>
          <w:color w:val="auto"/>
          <w:szCs w:val="21"/>
          <w:highlight w:val="none"/>
        </w:rPr>
        <w:t>，对应的销项税额为</w:t>
      </w:r>
      <w:r>
        <w:rPr>
          <w:rFonts w:hint="eastAsia" w:hAnsi="宋体"/>
          <w:color w:val="auto"/>
          <w:szCs w:val="21"/>
          <w:highlight w:val="none"/>
          <w:u w:val="single"/>
        </w:rPr>
        <w:t>¥ 元</w:t>
      </w:r>
      <w:r>
        <w:rPr>
          <w:rFonts w:hint="eastAsia" w:hAnsi="宋体"/>
          <w:color w:val="auto"/>
          <w:szCs w:val="21"/>
          <w:highlight w:val="none"/>
        </w:rPr>
        <w:t>（大写人民币</w:t>
      </w:r>
      <w:r>
        <w:rPr>
          <w:rFonts w:hint="eastAsia" w:hAnsi="宋体"/>
          <w:color w:val="auto"/>
          <w:szCs w:val="21"/>
          <w:highlight w:val="none"/>
          <w:u w:val="single"/>
        </w:rPr>
        <w:t xml:space="preserve">  </w:t>
      </w:r>
      <w:r>
        <w:rPr>
          <w:rFonts w:hint="eastAsia" w:hAnsi="宋体"/>
          <w:color w:val="auto"/>
          <w:szCs w:val="21"/>
          <w:highlight w:val="none"/>
        </w:rPr>
        <w:t>）；</w:t>
      </w:r>
      <w:r>
        <w:rPr>
          <w:rFonts w:hint="eastAsia" w:ascii="宋体" w:hAnsi="宋体"/>
          <w:color w:val="auto"/>
          <w:szCs w:val="21"/>
          <w:highlight w:val="none"/>
        </w:rPr>
        <w:t xml:space="preserve">                     </w:t>
      </w:r>
    </w:p>
    <w:p w14:paraId="672253D5">
      <w:pPr>
        <w:ind w:firstLine="420" w:firstLineChars="200"/>
        <w:rPr>
          <w:rFonts w:ascii="宋体" w:hAnsi="宋体"/>
          <w:color w:val="auto"/>
          <w:szCs w:val="21"/>
          <w:highlight w:val="none"/>
          <w:u w:val="single"/>
        </w:rPr>
      </w:pPr>
      <w:r>
        <w:rPr>
          <w:rFonts w:hint="eastAsia" w:ascii="宋体" w:hAnsi="宋体"/>
          <w:color w:val="auto"/>
          <w:szCs w:val="21"/>
          <w:highlight w:val="none"/>
        </w:rPr>
        <w:t>合同价款</w:t>
      </w:r>
      <w:r>
        <w:rPr>
          <w:rFonts w:hint="eastAsia" w:ascii="宋体" w:hAnsi="宋体"/>
          <w:color w:val="auto"/>
          <w:szCs w:val="21"/>
          <w:highlight w:val="none"/>
          <w:u w:val="single"/>
        </w:rPr>
        <w:t>包括但不限于：（1）人工费；（2）</w:t>
      </w:r>
      <w:r>
        <w:rPr>
          <w:rFonts w:hint="eastAsia" w:ascii="宋体" w:hAnsi="宋体"/>
          <w:color w:val="auto"/>
          <w:szCs w:val="21"/>
          <w:highlight w:val="none"/>
          <w:u w:val="single"/>
          <w:lang w:val="en-US" w:eastAsia="zh-CN"/>
        </w:rPr>
        <w:t>主材及</w:t>
      </w:r>
      <w:r>
        <w:rPr>
          <w:rFonts w:hint="eastAsia" w:ascii="宋体" w:hAnsi="宋体"/>
          <w:color w:val="auto"/>
          <w:szCs w:val="21"/>
          <w:highlight w:val="none"/>
          <w:u w:val="single"/>
        </w:rPr>
        <w:t>辅材备件费；（3）机械费；（4）管理费；（5）利润；（6）措施项目费；（7）规费；（8）报建、报验及其他项目费用；项目所需受省级或地方行业部门现场监检费用；（9）建设期的工料机差价；（10）税金（</w:t>
      </w:r>
      <w:r>
        <w:rPr>
          <w:rFonts w:hint="eastAsia" w:ascii="宋体" w:hAnsi="宋体"/>
          <w:color w:val="auto"/>
          <w:szCs w:val="21"/>
          <w:highlight w:val="none"/>
          <w:u w:val="single"/>
          <w:lang w:val="en-US" w:eastAsia="zh-CN"/>
        </w:rPr>
        <w:t>xx%</w:t>
      </w:r>
      <w:r>
        <w:rPr>
          <w:rFonts w:hint="eastAsia" w:ascii="宋体" w:hAnsi="宋体"/>
          <w:color w:val="auto"/>
          <w:szCs w:val="21"/>
          <w:highlight w:val="none"/>
          <w:u w:val="single"/>
        </w:rPr>
        <w:t>专票）；（11）在完成标区范围的工作时与其他单位或承包商（包括业主及其他安装/土建施工单位）的工作交叉及协调配合费用；（12）施工用水电费用及垃圾清理外运费用；（13）不超过八小时发包方原因引起的临时停电停水；（1</w:t>
      </w:r>
      <w:r>
        <w:rPr>
          <w:rFonts w:hint="eastAsia" w:ascii="宋体" w:hAnsi="宋体"/>
          <w:color w:val="auto"/>
          <w:szCs w:val="21"/>
          <w:highlight w:val="none"/>
          <w:u w:val="single"/>
          <w:lang w:val="en-US" w:eastAsia="zh-CN"/>
        </w:rPr>
        <w:t>4</w:t>
      </w:r>
      <w:r>
        <w:rPr>
          <w:rFonts w:hint="eastAsia" w:ascii="宋体" w:hAnsi="宋体"/>
          <w:color w:val="auto"/>
          <w:szCs w:val="21"/>
          <w:highlight w:val="none"/>
          <w:u w:val="single"/>
        </w:rPr>
        <w:t>）环境保护费；（1</w:t>
      </w:r>
      <w:r>
        <w:rPr>
          <w:rFonts w:hint="eastAsia" w:ascii="宋体" w:hAnsi="宋体"/>
          <w:color w:val="auto"/>
          <w:szCs w:val="21"/>
          <w:highlight w:val="none"/>
          <w:u w:val="single"/>
          <w:lang w:val="en-US" w:eastAsia="zh-CN"/>
        </w:rPr>
        <w:t>5</w:t>
      </w:r>
      <w:r>
        <w:rPr>
          <w:rFonts w:hint="eastAsia" w:ascii="宋体" w:hAnsi="宋体"/>
          <w:color w:val="auto"/>
          <w:szCs w:val="21"/>
          <w:highlight w:val="none"/>
          <w:u w:val="single"/>
        </w:rPr>
        <w:t>）工程相关保险；（1</w:t>
      </w:r>
      <w:r>
        <w:rPr>
          <w:rFonts w:hint="eastAsia" w:ascii="宋体" w:hAnsi="宋体"/>
          <w:color w:val="auto"/>
          <w:szCs w:val="21"/>
          <w:highlight w:val="none"/>
          <w:u w:val="single"/>
          <w:lang w:val="en-US" w:eastAsia="zh-CN"/>
        </w:rPr>
        <w:t>6</w:t>
      </w:r>
      <w:r>
        <w:rPr>
          <w:rFonts w:hint="eastAsia" w:ascii="宋体" w:hAnsi="宋体"/>
          <w:color w:val="auto"/>
          <w:szCs w:val="21"/>
          <w:highlight w:val="none"/>
          <w:u w:val="single"/>
        </w:rPr>
        <w:t>）承包商对本工程的优惠和让利；（1</w:t>
      </w:r>
      <w:r>
        <w:rPr>
          <w:rFonts w:hint="eastAsia" w:ascii="宋体" w:hAnsi="宋体"/>
          <w:color w:val="auto"/>
          <w:szCs w:val="21"/>
          <w:highlight w:val="none"/>
          <w:u w:val="single"/>
          <w:lang w:val="en-US" w:eastAsia="zh-CN"/>
        </w:rPr>
        <w:t>7</w:t>
      </w:r>
      <w:r>
        <w:rPr>
          <w:rFonts w:hint="eastAsia" w:ascii="宋体" w:hAnsi="宋体"/>
          <w:color w:val="auto"/>
          <w:szCs w:val="21"/>
          <w:highlight w:val="none"/>
          <w:u w:val="single"/>
        </w:rPr>
        <w:t>）大型机械进出场费；（1</w:t>
      </w:r>
      <w:r>
        <w:rPr>
          <w:rFonts w:hint="eastAsia" w:ascii="宋体" w:hAnsi="宋体"/>
          <w:color w:val="auto"/>
          <w:szCs w:val="21"/>
          <w:highlight w:val="none"/>
          <w:u w:val="single"/>
          <w:lang w:val="en-US" w:eastAsia="zh-CN"/>
        </w:rPr>
        <w:t>8</w:t>
      </w:r>
      <w:r>
        <w:rPr>
          <w:rFonts w:hint="eastAsia" w:ascii="宋体" w:hAnsi="宋体"/>
          <w:color w:val="auto"/>
          <w:szCs w:val="21"/>
          <w:highlight w:val="none"/>
          <w:u w:val="single"/>
        </w:rPr>
        <w:t>）本工程全部设备及材料装卸费用(包干使用)，施工材料的第三方送检、复检、检测费用 ；(</w:t>
      </w:r>
      <w:r>
        <w:rPr>
          <w:rFonts w:hint="eastAsia" w:ascii="宋体" w:hAnsi="宋体"/>
          <w:color w:val="auto"/>
          <w:szCs w:val="21"/>
          <w:highlight w:val="none"/>
          <w:u w:val="single"/>
          <w:lang w:val="en-US" w:eastAsia="zh-CN"/>
        </w:rPr>
        <w:t>19</w:t>
      </w:r>
      <w:r>
        <w:rPr>
          <w:rFonts w:hint="eastAsia" w:ascii="宋体" w:hAnsi="宋体"/>
          <w:color w:val="auto"/>
          <w:szCs w:val="21"/>
          <w:highlight w:val="none"/>
          <w:u w:val="single"/>
        </w:rPr>
        <w:t>) 易损易丢防潮设备仓库及看管费用； (</w:t>
      </w:r>
      <w:r>
        <w:rPr>
          <w:rFonts w:hint="eastAsia" w:ascii="宋体" w:hAnsi="宋体"/>
          <w:color w:val="auto"/>
          <w:szCs w:val="21"/>
          <w:highlight w:val="none"/>
          <w:u w:val="single"/>
          <w:lang w:val="en-US" w:eastAsia="zh-CN"/>
        </w:rPr>
        <w:t>20</w:t>
      </w:r>
      <w:r>
        <w:rPr>
          <w:rFonts w:hint="eastAsia" w:ascii="宋体" w:hAnsi="宋体"/>
          <w:color w:val="auto"/>
          <w:szCs w:val="21"/>
          <w:highlight w:val="none"/>
          <w:u w:val="single"/>
        </w:rPr>
        <w:t>)安全文明施工措施费用 ；（2</w:t>
      </w:r>
      <w:r>
        <w:rPr>
          <w:rFonts w:hint="eastAsia" w:ascii="宋体" w:hAnsi="宋体"/>
          <w:color w:val="auto"/>
          <w:szCs w:val="21"/>
          <w:highlight w:val="none"/>
          <w:u w:val="single"/>
          <w:lang w:val="en-US" w:eastAsia="zh-CN"/>
        </w:rPr>
        <w:t>1</w:t>
      </w:r>
      <w:r>
        <w:rPr>
          <w:rFonts w:hint="eastAsia" w:ascii="宋体" w:hAnsi="宋体"/>
          <w:color w:val="auto"/>
          <w:szCs w:val="21"/>
          <w:highlight w:val="none"/>
          <w:u w:val="single"/>
        </w:rPr>
        <w:t>）土建施工及施工开挖土方及外运费用、保温工程包工包料及施工费用；（</w:t>
      </w:r>
      <w:r>
        <w:rPr>
          <w:rFonts w:hint="eastAsia" w:ascii="宋体" w:hAnsi="宋体"/>
          <w:color w:val="auto"/>
          <w:szCs w:val="21"/>
          <w:highlight w:val="none"/>
          <w:u w:val="single"/>
          <w:lang w:val="en-US" w:eastAsia="zh-CN"/>
        </w:rPr>
        <w:t>22</w:t>
      </w:r>
      <w:r>
        <w:rPr>
          <w:rFonts w:hint="eastAsia" w:ascii="宋体" w:hAnsi="宋体"/>
          <w:color w:val="auto"/>
          <w:szCs w:val="21"/>
          <w:highlight w:val="none"/>
          <w:u w:val="single"/>
        </w:rPr>
        <w:t>）因工期要求而造成的人员加班赶工费（节假日加班费，夜间加班、倒班施工费等）；（2</w:t>
      </w:r>
      <w:r>
        <w:rPr>
          <w:rFonts w:hint="eastAsia" w:ascii="宋体" w:hAnsi="宋体"/>
          <w:color w:val="auto"/>
          <w:szCs w:val="21"/>
          <w:highlight w:val="none"/>
          <w:u w:val="single"/>
          <w:lang w:val="en-US" w:eastAsia="zh-CN"/>
        </w:rPr>
        <w:t>3</w:t>
      </w:r>
      <w:r>
        <w:rPr>
          <w:rFonts w:hint="eastAsia" w:ascii="宋体" w:hAnsi="宋体"/>
          <w:color w:val="auto"/>
          <w:szCs w:val="21"/>
          <w:highlight w:val="none"/>
          <w:u w:val="single"/>
        </w:rPr>
        <w:t>）由于无法同步施工造成的窝工费用；</w:t>
      </w:r>
    </w:p>
    <w:p w14:paraId="12F18F9B">
      <w:pPr>
        <w:ind w:left="260" w:leftChars="124" w:firstLine="226" w:firstLineChars="98"/>
        <w:rPr>
          <w:rFonts w:ascii="宋体" w:hAnsi="宋体"/>
          <w:b/>
          <w:bCs/>
          <w:color w:val="auto"/>
          <w:spacing w:val="10"/>
          <w:szCs w:val="21"/>
          <w:highlight w:val="none"/>
        </w:rPr>
      </w:pPr>
      <w:r>
        <w:rPr>
          <w:rFonts w:hint="eastAsia" w:ascii="宋体" w:hAnsi="宋体"/>
          <w:b/>
          <w:bCs/>
          <w:color w:val="auto"/>
          <w:spacing w:val="10"/>
          <w:szCs w:val="21"/>
          <w:highlight w:val="none"/>
        </w:rPr>
        <w:t>第四条</w:t>
      </w:r>
      <w:r>
        <w:rPr>
          <w:rFonts w:ascii="宋体" w:hAnsi="宋体"/>
          <w:b/>
          <w:bCs/>
          <w:color w:val="auto"/>
          <w:spacing w:val="10"/>
          <w:szCs w:val="21"/>
          <w:highlight w:val="none"/>
        </w:rPr>
        <w:t xml:space="preserve"> </w:t>
      </w:r>
      <w:r>
        <w:rPr>
          <w:rFonts w:hint="eastAsia" w:ascii="宋体" w:hAnsi="宋体"/>
          <w:b/>
          <w:bCs/>
          <w:color w:val="auto"/>
          <w:spacing w:val="10"/>
          <w:szCs w:val="21"/>
          <w:highlight w:val="none"/>
        </w:rPr>
        <w:t xml:space="preserve"> 工期：</w:t>
      </w:r>
    </w:p>
    <w:p w14:paraId="68CB7AD1">
      <w:pPr>
        <w:ind w:firstLine="420" w:firstLineChars="200"/>
        <w:rPr>
          <w:rFonts w:ascii="宋体" w:hAnsi="宋体"/>
          <w:color w:val="auto"/>
          <w:kern w:val="0"/>
          <w:szCs w:val="21"/>
          <w:highlight w:val="none"/>
        </w:rPr>
      </w:pPr>
      <w:r>
        <w:rPr>
          <w:rFonts w:hint="eastAsia" w:ascii="宋体" w:hAnsi="宋体"/>
          <w:color w:val="auto"/>
          <w:kern w:val="0"/>
          <w:szCs w:val="21"/>
          <w:highlight w:val="none"/>
        </w:rPr>
        <w:t>4.1工期：合同总工期为30个自然日，具体开工时间以</w:t>
      </w:r>
      <w:r>
        <w:rPr>
          <w:rFonts w:hint="eastAsia" w:ascii="宋体" w:hAnsi="宋体"/>
          <w:color w:val="auto"/>
          <w:kern w:val="0"/>
          <w:szCs w:val="21"/>
          <w:highlight w:val="none"/>
          <w:lang w:val="en-US" w:eastAsia="zh-CN"/>
        </w:rPr>
        <w:t>发包方</w:t>
      </w:r>
      <w:r>
        <w:rPr>
          <w:rFonts w:hint="eastAsia" w:ascii="宋体" w:hAnsi="宋体"/>
          <w:color w:val="auto"/>
          <w:kern w:val="0"/>
          <w:szCs w:val="21"/>
          <w:highlight w:val="none"/>
        </w:rPr>
        <w:t>发出的通知为准</w:t>
      </w:r>
      <w:r>
        <w:rPr>
          <w:rFonts w:hint="eastAsia" w:asciiTheme="minorEastAsia" w:hAnsiTheme="minorEastAsia" w:eastAsiaTheme="minorEastAsia"/>
          <w:color w:val="auto"/>
          <w:szCs w:val="21"/>
          <w:highlight w:val="none"/>
        </w:rPr>
        <w:t xml:space="preserve">。 </w:t>
      </w:r>
    </w:p>
    <w:p w14:paraId="52D59FE4">
      <w:pPr>
        <w:ind w:firstLine="411" w:firstLineChars="196"/>
        <w:rPr>
          <w:rFonts w:ascii="宋体" w:hAnsi="宋体"/>
          <w:color w:val="auto"/>
          <w:kern w:val="0"/>
          <w:szCs w:val="21"/>
          <w:highlight w:val="none"/>
        </w:rPr>
      </w:pPr>
      <w:r>
        <w:rPr>
          <w:rFonts w:hint="eastAsia" w:ascii="宋体" w:hAnsi="宋体"/>
          <w:color w:val="auto"/>
          <w:kern w:val="0"/>
          <w:szCs w:val="21"/>
          <w:highlight w:val="none"/>
        </w:rPr>
        <w:t>4.2承包方提交施工方案及相关资质文件资料并经业主认可后2日内，发包方向承包方发出开工通知书。</w:t>
      </w:r>
    </w:p>
    <w:p w14:paraId="3E6C97A3">
      <w:pPr>
        <w:ind w:firstLine="411" w:firstLineChars="196"/>
        <w:rPr>
          <w:rFonts w:ascii="宋体" w:hAnsi="宋体"/>
          <w:color w:val="auto"/>
          <w:kern w:val="0"/>
          <w:szCs w:val="21"/>
          <w:highlight w:val="none"/>
        </w:rPr>
      </w:pPr>
      <w:r>
        <w:rPr>
          <w:rFonts w:hint="eastAsia" w:ascii="宋体" w:hAnsi="宋体"/>
          <w:color w:val="auto"/>
          <w:kern w:val="0"/>
          <w:szCs w:val="21"/>
          <w:highlight w:val="none"/>
        </w:rPr>
        <w:t>4.3如遇下列情况，经发包方、承包方现场代表签字确认，工期相应顺延：</w:t>
      </w:r>
    </w:p>
    <w:p w14:paraId="6D7630E7">
      <w:pPr>
        <w:ind w:firstLine="411" w:firstLineChars="196"/>
        <w:rPr>
          <w:rFonts w:ascii="宋体" w:hAnsi="宋体"/>
          <w:color w:val="auto"/>
          <w:kern w:val="0"/>
          <w:szCs w:val="21"/>
          <w:highlight w:val="none"/>
        </w:rPr>
      </w:pPr>
      <w:r>
        <w:rPr>
          <w:rFonts w:hint="eastAsia" w:ascii="宋体" w:hAnsi="宋体"/>
          <w:color w:val="auto"/>
          <w:kern w:val="0"/>
          <w:szCs w:val="21"/>
          <w:highlight w:val="none"/>
        </w:rPr>
        <w:t>(1)发包方未能按约定时间具备停炉条件；</w:t>
      </w:r>
    </w:p>
    <w:p w14:paraId="73481253">
      <w:pPr>
        <w:ind w:firstLine="411" w:firstLineChars="196"/>
        <w:rPr>
          <w:rFonts w:ascii="宋体" w:hAnsi="宋体"/>
          <w:color w:val="auto"/>
          <w:kern w:val="0"/>
          <w:szCs w:val="21"/>
          <w:highlight w:val="none"/>
        </w:rPr>
      </w:pPr>
      <w:r>
        <w:rPr>
          <w:rFonts w:hint="eastAsia" w:ascii="宋体" w:hAnsi="宋体"/>
          <w:color w:val="auto"/>
          <w:kern w:val="0"/>
          <w:szCs w:val="21"/>
          <w:highlight w:val="none"/>
        </w:rPr>
        <w:t>(2)在施工中如因停电、停水24小时以上或连续间歇性停水、停电2天以上（每次连续3小时以上），影响正常施工；</w:t>
      </w:r>
    </w:p>
    <w:p w14:paraId="7F6A5724">
      <w:pPr>
        <w:ind w:firstLine="411" w:firstLineChars="196"/>
        <w:rPr>
          <w:rFonts w:ascii="宋体" w:hAnsi="宋体"/>
          <w:color w:val="auto"/>
          <w:kern w:val="0"/>
          <w:szCs w:val="21"/>
          <w:highlight w:val="none"/>
        </w:rPr>
      </w:pPr>
      <w:r>
        <w:rPr>
          <w:rFonts w:hint="eastAsia" w:ascii="宋体" w:hAnsi="宋体"/>
          <w:color w:val="auto"/>
          <w:kern w:val="0"/>
          <w:szCs w:val="21"/>
          <w:highlight w:val="none"/>
        </w:rPr>
        <w:t>(3)不可抗力因素而延误工期。</w:t>
      </w:r>
    </w:p>
    <w:p w14:paraId="74D98281">
      <w:pPr>
        <w:ind w:firstLine="420" w:firstLineChars="200"/>
        <w:rPr>
          <w:rFonts w:eastAsiaTheme="majorEastAsia"/>
          <w:color w:val="auto"/>
          <w:highlight w:val="none"/>
        </w:rPr>
      </w:pPr>
      <w:r>
        <w:rPr>
          <w:rFonts w:hint="eastAsia" w:ascii="宋体" w:hAnsi="宋体"/>
          <w:color w:val="auto"/>
          <w:kern w:val="0"/>
          <w:szCs w:val="21"/>
          <w:highlight w:val="none"/>
        </w:rPr>
        <w:t>(4)延迟违约金及投产工期延迟违约金直接从工程款里扣除。</w:t>
      </w:r>
    </w:p>
    <w:p w14:paraId="4CD76555">
      <w:pPr>
        <w:ind w:firstLine="413" w:firstLineChars="196"/>
        <w:rPr>
          <w:rFonts w:ascii="宋体" w:hAnsi="宋体"/>
          <w:b/>
          <w:bCs/>
          <w:color w:val="auto"/>
          <w:szCs w:val="21"/>
          <w:highlight w:val="none"/>
        </w:rPr>
      </w:pPr>
      <w:bookmarkStart w:id="24" w:name="材料设备供应1"/>
      <w:r>
        <w:rPr>
          <w:rFonts w:hint="eastAsia" w:ascii="宋体" w:hAnsi="宋体"/>
          <w:b/>
          <w:bCs/>
          <w:color w:val="auto"/>
          <w:szCs w:val="21"/>
          <w:highlight w:val="none"/>
        </w:rPr>
        <w:t>第五条  材料设备供应</w:t>
      </w:r>
      <w:bookmarkEnd w:id="24"/>
      <w:r>
        <w:rPr>
          <w:rFonts w:hint="eastAsia" w:ascii="宋体" w:hAnsi="宋体"/>
          <w:b/>
          <w:bCs/>
          <w:color w:val="auto"/>
          <w:szCs w:val="21"/>
          <w:highlight w:val="none"/>
        </w:rPr>
        <w:t>：</w:t>
      </w:r>
    </w:p>
    <w:p w14:paraId="0F08E014">
      <w:pPr>
        <w:ind w:firstLine="411" w:firstLineChars="196"/>
        <w:rPr>
          <w:rFonts w:ascii="宋体" w:hAnsi="宋体"/>
          <w:bCs/>
          <w:color w:val="auto"/>
          <w:szCs w:val="21"/>
          <w:highlight w:val="none"/>
        </w:rPr>
      </w:pPr>
      <w:r>
        <w:rPr>
          <w:rFonts w:hint="eastAsia" w:ascii="宋体" w:hAnsi="宋体"/>
          <w:bCs/>
          <w:color w:val="auto"/>
          <w:szCs w:val="21"/>
          <w:highlight w:val="none"/>
        </w:rPr>
        <w:t>5.1发包方供应材料设备</w:t>
      </w:r>
    </w:p>
    <w:p w14:paraId="37C44834">
      <w:pPr>
        <w:ind w:firstLine="411" w:firstLineChars="196"/>
        <w:rPr>
          <w:rFonts w:ascii="宋体" w:hAnsi="宋体"/>
          <w:color w:val="auto"/>
          <w:kern w:val="0"/>
          <w:szCs w:val="21"/>
          <w:highlight w:val="none"/>
        </w:rPr>
      </w:pPr>
      <w:r>
        <w:rPr>
          <w:rFonts w:hint="eastAsia" w:ascii="宋体" w:hAnsi="宋体"/>
          <w:color w:val="auto"/>
          <w:kern w:val="0"/>
          <w:szCs w:val="21"/>
          <w:highlight w:val="none"/>
        </w:rPr>
        <w:t>5.1.1实行发包方供应材料设备的，双方应当约定发包方供应材料设备的一览表。</w:t>
      </w:r>
    </w:p>
    <w:p w14:paraId="270D9EBB">
      <w:pPr>
        <w:ind w:firstLine="411" w:firstLineChars="196"/>
        <w:rPr>
          <w:rFonts w:ascii="宋体" w:hAnsi="宋体"/>
          <w:color w:val="auto"/>
          <w:kern w:val="0"/>
          <w:szCs w:val="21"/>
          <w:highlight w:val="none"/>
        </w:rPr>
      </w:pPr>
      <w:r>
        <w:rPr>
          <w:rFonts w:hint="eastAsia" w:ascii="宋体" w:hAnsi="宋体"/>
          <w:color w:val="auto"/>
          <w:kern w:val="0"/>
          <w:szCs w:val="21"/>
          <w:highlight w:val="none"/>
        </w:rPr>
        <w:t>5.1.2发包方按一览表约定的内容提供材料设备，并向承包方提供产品合格证明，对其质量负责。发包方在所供材料设备到货前24小时，以书面形式通知承包方，由承包方派人与发包方共同清点。</w:t>
      </w:r>
    </w:p>
    <w:p w14:paraId="29BFD00C">
      <w:pPr>
        <w:ind w:firstLine="411" w:firstLineChars="196"/>
        <w:rPr>
          <w:rFonts w:ascii="宋体" w:hAnsi="宋体"/>
          <w:color w:val="auto"/>
          <w:kern w:val="0"/>
          <w:szCs w:val="21"/>
          <w:highlight w:val="none"/>
        </w:rPr>
      </w:pPr>
      <w:r>
        <w:rPr>
          <w:rFonts w:hint="eastAsia" w:ascii="宋体" w:hAnsi="宋体"/>
          <w:color w:val="auto"/>
          <w:kern w:val="0"/>
          <w:szCs w:val="21"/>
          <w:highlight w:val="none"/>
        </w:rPr>
        <w:t>5.1.3发包方供应的材料设备，承包方派人参加清点后由承包方妥善保管。因承包方原因发生丢失损坏，由承包方负责赔偿。</w:t>
      </w:r>
    </w:p>
    <w:p w14:paraId="2A5DD6A2">
      <w:pPr>
        <w:ind w:firstLine="411" w:firstLineChars="196"/>
        <w:rPr>
          <w:rFonts w:ascii="宋体" w:hAnsi="宋体"/>
          <w:color w:val="auto"/>
          <w:kern w:val="0"/>
          <w:szCs w:val="21"/>
          <w:highlight w:val="none"/>
        </w:rPr>
      </w:pPr>
      <w:r>
        <w:rPr>
          <w:rFonts w:hint="eastAsia" w:ascii="宋体" w:hAnsi="宋体"/>
          <w:color w:val="auto"/>
          <w:kern w:val="0"/>
          <w:szCs w:val="21"/>
          <w:highlight w:val="none"/>
        </w:rPr>
        <w:t>5.2承包方采购材料设备</w:t>
      </w:r>
    </w:p>
    <w:p w14:paraId="5CBE8C4A">
      <w:pPr>
        <w:ind w:firstLine="411" w:firstLineChars="196"/>
        <w:rPr>
          <w:rFonts w:ascii="宋体" w:hAnsi="宋体"/>
          <w:color w:val="auto"/>
          <w:kern w:val="0"/>
          <w:szCs w:val="21"/>
          <w:highlight w:val="none"/>
        </w:rPr>
      </w:pPr>
      <w:r>
        <w:rPr>
          <w:rFonts w:hint="eastAsia" w:ascii="宋体" w:hAnsi="宋体"/>
          <w:color w:val="auto"/>
          <w:kern w:val="0"/>
          <w:szCs w:val="21"/>
          <w:highlight w:val="none"/>
        </w:rPr>
        <w:t>5.2.1承包方负责采购材料设备的，应按照专用条款约定及设计和有关标准要求采购，并提供产品合格证明，对材料设备质量负责。承包方在材料设备到货前24小时通知工程师清点。</w:t>
      </w:r>
    </w:p>
    <w:p w14:paraId="525E923D">
      <w:pPr>
        <w:ind w:firstLine="411" w:firstLineChars="196"/>
        <w:rPr>
          <w:rFonts w:ascii="宋体" w:hAnsi="宋体"/>
          <w:color w:val="auto"/>
          <w:kern w:val="0"/>
          <w:szCs w:val="21"/>
          <w:highlight w:val="none"/>
        </w:rPr>
      </w:pPr>
      <w:r>
        <w:rPr>
          <w:rFonts w:hint="eastAsia" w:ascii="宋体" w:hAnsi="宋体"/>
          <w:color w:val="auto"/>
          <w:kern w:val="0"/>
          <w:szCs w:val="21"/>
          <w:highlight w:val="none"/>
        </w:rPr>
        <w:t>5.2.2承包方采购的材料设备与设计或标准要求不符时，承包方应按工程师要求的时间运出施工场地，重新采购符合要求的产品，承担由此发生的费用，由此延误的工期不予顺延。</w:t>
      </w:r>
    </w:p>
    <w:p w14:paraId="38644D31">
      <w:pPr>
        <w:ind w:firstLine="411" w:firstLineChars="196"/>
        <w:rPr>
          <w:rFonts w:ascii="宋体" w:hAnsi="宋体"/>
          <w:color w:val="auto"/>
          <w:kern w:val="0"/>
          <w:szCs w:val="21"/>
          <w:highlight w:val="none"/>
        </w:rPr>
      </w:pPr>
      <w:r>
        <w:rPr>
          <w:rFonts w:hint="eastAsia" w:ascii="宋体" w:hAnsi="宋体"/>
          <w:color w:val="auto"/>
          <w:kern w:val="0"/>
          <w:szCs w:val="21"/>
          <w:highlight w:val="none"/>
        </w:rPr>
        <w:t>5.2.3承包方采购的材料设备在使用前，承包方应按工程师的要求进行检验或试验，不合格的不得使用，检验或试验费用由承包方承担。</w:t>
      </w:r>
    </w:p>
    <w:p w14:paraId="12BBA4D6">
      <w:pPr>
        <w:ind w:firstLine="411" w:firstLineChars="196"/>
        <w:rPr>
          <w:rFonts w:ascii="宋体" w:hAnsi="宋体"/>
          <w:color w:val="auto"/>
          <w:kern w:val="0"/>
          <w:szCs w:val="21"/>
          <w:highlight w:val="none"/>
        </w:rPr>
      </w:pPr>
      <w:r>
        <w:rPr>
          <w:rFonts w:hint="eastAsia" w:ascii="宋体" w:hAnsi="宋体"/>
          <w:color w:val="auto"/>
          <w:kern w:val="0"/>
          <w:szCs w:val="21"/>
          <w:highlight w:val="none"/>
        </w:rPr>
        <w:t>5.2.4工程师发现承包方采购并使用不符合设计或标准要求的材料设备时，应要求由承包方负责修复、拆除或重新采购，并承担发生的费用，由此延误的工期不予顺延。</w:t>
      </w:r>
    </w:p>
    <w:p w14:paraId="4C798D68">
      <w:pPr>
        <w:tabs>
          <w:tab w:val="left" w:pos="1281"/>
        </w:tabs>
        <w:ind w:firstLine="452" w:firstLineChars="196"/>
        <w:rPr>
          <w:rFonts w:ascii="宋体" w:hAnsi="宋体"/>
          <w:b/>
          <w:bCs/>
          <w:color w:val="auto"/>
          <w:spacing w:val="10"/>
          <w:szCs w:val="21"/>
          <w:highlight w:val="none"/>
        </w:rPr>
      </w:pPr>
      <w:r>
        <w:rPr>
          <w:rFonts w:hint="eastAsia" w:ascii="宋体" w:hAnsi="宋体"/>
          <w:b/>
          <w:bCs/>
          <w:color w:val="auto"/>
          <w:spacing w:val="10"/>
          <w:szCs w:val="21"/>
          <w:highlight w:val="none"/>
        </w:rPr>
        <w:t>第六条</w:t>
      </w:r>
      <w:r>
        <w:rPr>
          <w:rFonts w:ascii="宋体" w:hAnsi="宋体"/>
          <w:b/>
          <w:bCs/>
          <w:color w:val="auto"/>
          <w:spacing w:val="10"/>
          <w:szCs w:val="21"/>
          <w:highlight w:val="none"/>
        </w:rPr>
        <w:t>  </w:t>
      </w:r>
      <w:r>
        <w:rPr>
          <w:rFonts w:hint="eastAsia" w:ascii="宋体" w:hAnsi="宋体"/>
          <w:b/>
          <w:bCs/>
          <w:color w:val="auto"/>
          <w:spacing w:val="10"/>
          <w:szCs w:val="21"/>
          <w:highlight w:val="none"/>
        </w:rPr>
        <w:t>质量与检查</w:t>
      </w:r>
    </w:p>
    <w:p w14:paraId="05A01D93">
      <w:pPr>
        <w:tabs>
          <w:tab w:val="left" w:pos="1011"/>
        </w:tabs>
        <w:ind w:firstLine="460" w:firstLineChars="200"/>
        <w:rPr>
          <w:rFonts w:ascii="宋体" w:hAnsi="宋体"/>
          <w:color w:val="auto"/>
          <w:spacing w:val="10"/>
          <w:szCs w:val="21"/>
          <w:highlight w:val="none"/>
        </w:rPr>
      </w:pPr>
      <w:r>
        <w:rPr>
          <w:rFonts w:hint="eastAsia" w:ascii="宋体" w:hAnsi="宋体"/>
          <w:bCs/>
          <w:color w:val="auto"/>
          <w:spacing w:val="10"/>
          <w:szCs w:val="21"/>
          <w:highlight w:val="none"/>
        </w:rPr>
        <w:t>6.1</w:t>
      </w:r>
      <w:r>
        <w:rPr>
          <w:rFonts w:hint="eastAsia" w:ascii="宋体" w:hAnsi="宋体"/>
          <w:color w:val="auto"/>
          <w:spacing w:val="10"/>
          <w:szCs w:val="21"/>
          <w:highlight w:val="none"/>
        </w:rPr>
        <w:t>工程质量</w:t>
      </w:r>
    </w:p>
    <w:p w14:paraId="63CDA83D">
      <w:pPr>
        <w:ind w:firstLine="420" w:firstLineChars="200"/>
        <w:rPr>
          <w:rFonts w:ascii="宋体" w:hAnsi="宋体"/>
          <w:color w:val="auto"/>
          <w:szCs w:val="21"/>
          <w:highlight w:val="none"/>
          <w:u w:val="single"/>
        </w:rPr>
      </w:pPr>
      <w:r>
        <w:rPr>
          <w:rFonts w:hint="eastAsia" w:ascii="宋体" w:hAnsi="宋体"/>
          <w:color w:val="auto"/>
          <w:szCs w:val="21"/>
          <w:highlight w:val="none"/>
          <w:u w:val="single"/>
        </w:rPr>
        <w:t>工程质量标准的评定以现行国家或行业的质量检验评定标准为依据，并符合发包方要求。</w:t>
      </w:r>
    </w:p>
    <w:p w14:paraId="0B621581">
      <w:pPr>
        <w:tabs>
          <w:tab w:val="left" w:pos="1011"/>
        </w:tabs>
        <w:ind w:firstLine="420" w:firstLineChars="200"/>
        <w:rPr>
          <w:rFonts w:ascii="宋体" w:hAnsi="宋体"/>
          <w:color w:val="auto"/>
          <w:szCs w:val="21"/>
          <w:highlight w:val="none"/>
        </w:rPr>
      </w:pPr>
      <w:r>
        <w:rPr>
          <w:rFonts w:hint="eastAsia" w:ascii="宋体" w:hAnsi="宋体"/>
          <w:color w:val="auto"/>
          <w:szCs w:val="21"/>
          <w:highlight w:val="none"/>
        </w:rPr>
        <w:t xml:space="preserve">6.2承包方必须严格按照施工图纸、说明文件和国家颁发的建筑工程规范、规程和标准进行施工，并接受发包方的监督。 </w:t>
      </w:r>
    </w:p>
    <w:p w14:paraId="045BB0C4">
      <w:pPr>
        <w:ind w:firstLine="420" w:firstLineChars="200"/>
        <w:rPr>
          <w:rFonts w:ascii="宋体" w:hAnsi="宋体"/>
          <w:color w:val="auto"/>
          <w:szCs w:val="21"/>
          <w:highlight w:val="none"/>
        </w:rPr>
      </w:pPr>
      <w:r>
        <w:rPr>
          <w:rFonts w:hint="eastAsia" w:ascii="宋体" w:hAnsi="宋体"/>
          <w:color w:val="auto"/>
          <w:szCs w:val="21"/>
          <w:highlight w:val="none"/>
        </w:rPr>
        <w:t>6.3承包方应认真按照标准、规范和设计图纸要求以及发包方依据合同发出的指令施工，随时接受发包方的检查检验，为检验提供便利条件，并根据要求向发包方提供与工程质量有关的技术资料。</w:t>
      </w:r>
    </w:p>
    <w:p w14:paraId="5FFC9161">
      <w:pPr>
        <w:ind w:firstLine="420" w:firstLineChars="200"/>
        <w:rPr>
          <w:rFonts w:ascii="宋体" w:hAnsi="宋体"/>
          <w:color w:val="auto"/>
          <w:spacing w:val="10"/>
          <w:szCs w:val="21"/>
          <w:highlight w:val="none"/>
        </w:rPr>
      </w:pPr>
      <w:r>
        <w:rPr>
          <w:rFonts w:hint="eastAsia" w:ascii="宋体" w:hAnsi="宋体"/>
          <w:color w:val="auto"/>
          <w:szCs w:val="21"/>
          <w:highlight w:val="none"/>
        </w:rPr>
        <w:t>6.4</w:t>
      </w:r>
      <w:r>
        <w:rPr>
          <w:rFonts w:hint="eastAsia" w:ascii="宋体" w:hAnsi="宋体"/>
          <w:color w:val="auto"/>
          <w:spacing w:val="10"/>
          <w:szCs w:val="21"/>
          <w:highlight w:val="none"/>
        </w:rPr>
        <w:t>工程质量达不到约定标准的部分，发包方工程师一经发现，应要求承包方拆除和重新施工，承包方应按发包方代表人员的要求返工、修改，直到符合约定标准。因承包方原因达不到约定标准，由承包方承担返工、修改的费用，工期不予顺延。</w:t>
      </w:r>
    </w:p>
    <w:p w14:paraId="60D289BF">
      <w:pPr>
        <w:ind w:firstLine="460" w:firstLineChars="200"/>
        <w:rPr>
          <w:rFonts w:ascii="宋体" w:hAnsi="宋体"/>
          <w:color w:val="auto"/>
          <w:spacing w:val="10"/>
          <w:szCs w:val="21"/>
          <w:highlight w:val="none"/>
        </w:rPr>
      </w:pPr>
      <w:r>
        <w:rPr>
          <w:rFonts w:hint="eastAsia" w:ascii="宋体" w:hAnsi="宋体"/>
          <w:bCs/>
          <w:color w:val="auto"/>
          <w:spacing w:val="10"/>
          <w:szCs w:val="21"/>
          <w:highlight w:val="none"/>
        </w:rPr>
        <w:t>6.5</w:t>
      </w:r>
      <w:r>
        <w:rPr>
          <w:rFonts w:hint="eastAsia" w:ascii="宋体" w:hAnsi="宋体"/>
          <w:color w:val="auto"/>
          <w:spacing w:val="10"/>
          <w:szCs w:val="21"/>
          <w:highlight w:val="none"/>
        </w:rPr>
        <w:t>双方对工程质量有争议，由双方同意的工程质量检测机构鉴定，所需费用及因此造成的损失，由责任方承担。若均有责任，由双方根据其责任分别承担。</w:t>
      </w:r>
    </w:p>
    <w:p w14:paraId="1F424AE6">
      <w:pPr>
        <w:ind w:firstLine="460" w:firstLineChars="200"/>
        <w:rPr>
          <w:rFonts w:ascii="宋体" w:hAnsi="宋体"/>
          <w:color w:val="auto"/>
          <w:szCs w:val="21"/>
          <w:highlight w:val="none"/>
        </w:rPr>
      </w:pPr>
      <w:r>
        <w:rPr>
          <w:rFonts w:hint="eastAsia" w:ascii="宋体" w:hAnsi="宋体"/>
          <w:color w:val="auto"/>
          <w:spacing w:val="10"/>
          <w:szCs w:val="21"/>
          <w:highlight w:val="none"/>
        </w:rPr>
        <w:t>6.6</w:t>
      </w:r>
      <w:r>
        <w:rPr>
          <w:rFonts w:ascii="宋体" w:hAnsi="宋体"/>
          <w:color w:val="auto"/>
          <w:szCs w:val="21"/>
          <w:highlight w:val="none"/>
        </w:rPr>
        <w:t>承包方所进场的各种原材料、设备必须有出厂合格证书，试验、化验报告单，使用说明，检测、检验报告和设备验收标准。发包方或政府</w:t>
      </w:r>
      <w:r>
        <w:rPr>
          <w:rFonts w:hint="eastAsia" w:ascii="宋体" w:hAnsi="宋体"/>
          <w:color w:val="auto"/>
          <w:szCs w:val="21"/>
          <w:highlight w:val="none"/>
        </w:rPr>
        <w:t>相关</w:t>
      </w:r>
      <w:r>
        <w:rPr>
          <w:rFonts w:ascii="宋体" w:hAnsi="宋体"/>
          <w:color w:val="auto"/>
          <w:szCs w:val="21"/>
          <w:highlight w:val="none"/>
        </w:rPr>
        <w:t>主管部门可以随机抽检原材料和设备，并有权对其进行化验、检测（化验、检测的费用由承包方承担），不合格的材料、设备不允许进场使用和安装。</w:t>
      </w:r>
    </w:p>
    <w:p w14:paraId="43F7D64A">
      <w:pPr>
        <w:ind w:firstLine="420" w:firstLineChars="200"/>
        <w:rPr>
          <w:rFonts w:ascii="宋体" w:hAnsi="宋体"/>
          <w:color w:val="auto"/>
          <w:szCs w:val="21"/>
          <w:highlight w:val="none"/>
        </w:rPr>
      </w:pPr>
      <w:r>
        <w:rPr>
          <w:rFonts w:hint="eastAsia" w:ascii="宋体" w:hAnsi="宋体"/>
          <w:color w:val="auto"/>
          <w:szCs w:val="21"/>
          <w:highlight w:val="none"/>
        </w:rPr>
        <w:t>6.7</w:t>
      </w:r>
      <w:r>
        <w:rPr>
          <w:rFonts w:ascii="宋体" w:hAnsi="宋体"/>
          <w:color w:val="auto"/>
          <w:szCs w:val="21"/>
          <w:highlight w:val="none"/>
        </w:rPr>
        <w:t>承包方在组织施工中必须高度重视和认真抓好工程质量，服从发包方的质量管理体系要求，明确质量负责人（质量负责人须经发包方和监理单位审核认可，危险性大、专业性强的施工作业岗位的质量负责人必须由发包方施工人员担任），并向发包方质量管理人员通报工程质量受控情况。</w:t>
      </w:r>
    </w:p>
    <w:p w14:paraId="55F1B4B3">
      <w:pPr>
        <w:ind w:firstLine="420" w:firstLineChars="200"/>
        <w:rPr>
          <w:rFonts w:ascii="宋体" w:hAnsi="宋体"/>
          <w:color w:val="auto"/>
          <w:szCs w:val="21"/>
          <w:highlight w:val="none"/>
        </w:rPr>
      </w:pPr>
      <w:r>
        <w:rPr>
          <w:rFonts w:hint="eastAsia" w:ascii="宋体" w:hAnsi="宋体"/>
          <w:color w:val="auto"/>
          <w:szCs w:val="21"/>
          <w:highlight w:val="none"/>
        </w:rPr>
        <w:t>6.8</w:t>
      </w:r>
      <w:r>
        <w:rPr>
          <w:rFonts w:ascii="宋体" w:hAnsi="宋体"/>
          <w:color w:val="auto"/>
          <w:szCs w:val="21"/>
          <w:highlight w:val="none"/>
        </w:rPr>
        <w:t>凡质量检验及评定标准中规定发包方参加验收的项目及隐蔽工程的施工，承包方应及时通知发包方，并配合发包方做好相应的记录。</w:t>
      </w:r>
    </w:p>
    <w:p w14:paraId="62BC96C2">
      <w:pPr>
        <w:ind w:firstLine="420" w:firstLineChars="200"/>
        <w:rPr>
          <w:rFonts w:ascii="宋体" w:hAnsi="宋体"/>
          <w:color w:val="auto"/>
          <w:szCs w:val="21"/>
          <w:highlight w:val="none"/>
        </w:rPr>
      </w:pPr>
      <w:r>
        <w:rPr>
          <w:rFonts w:hint="eastAsia" w:ascii="宋体" w:hAnsi="宋体"/>
          <w:color w:val="auto"/>
          <w:szCs w:val="21"/>
          <w:highlight w:val="none"/>
        </w:rPr>
        <w:t>6.9</w:t>
      </w:r>
      <w:r>
        <w:rPr>
          <w:rFonts w:ascii="宋体" w:hAnsi="宋体"/>
          <w:color w:val="auto"/>
          <w:szCs w:val="21"/>
          <w:highlight w:val="none"/>
        </w:rPr>
        <w:t>承包方必须在工程竣工前48小时向发包方发出书面通知，协商验收时间，由发包方组织有关人员进行验收。如验收中发现不符合质量要求而需返工的工程，承包方必须在约定的时间内负责修好，再进行检验。</w:t>
      </w:r>
    </w:p>
    <w:p w14:paraId="7F5B9CA4">
      <w:pPr>
        <w:ind w:firstLine="420" w:firstLineChars="200"/>
        <w:rPr>
          <w:rFonts w:ascii="宋体" w:hAnsi="宋体"/>
          <w:color w:val="auto"/>
          <w:szCs w:val="21"/>
          <w:highlight w:val="none"/>
        </w:rPr>
      </w:pPr>
      <w:r>
        <w:rPr>
          <w:rFonts w:hint="eastAsia" w:ascii="宋体" w:hAnsi="宋体"/>
          <w:color w:val="auto"/>
          <w:szCs w:val="21"/>
          <w:highlight w:val="none"/>
        </w:rPr>
        <w:t>6.10</w:t>
      </w:r>
      <w:r>
        <w:rPr>
          <w:rFonts w:ascii="宋体" w:hAnsi="宋体"/>
          <w:color w:val="auto"/>
          <w:szCs w:val="21"/>
          <w:highlight w:val="none"/>
        </w:rPr>
        <w:t>工程竣工后，承包方必须整理并按发包方要求及时提供完整及足够数量的技术档案资料，包括施工资料、图纸、竣工报告和施工原始记录,否则发包方不予办理承包方最终合同结算。</w:t>
      </w:r>
    </w:p>
    <w:p w14:paraId="24C13B65">
      <w:pPr>
        <w:ind w:firstLine="420" w:firstLineChars="200"/>
        <w:rPr>
          <w:rFonts w:ascii="宋体" w:hAnsi="宋体"/>
          <w:color w:val="auto"/>
          <w:szCs w:val="21"/>
          <w:highlight w:val="none"/>
        </w:rPr>
      </w:pPr>
      <w:r>
        <w:rPr>
          <w:rFonts w:hint="eastAsia" w:ascii="宋体" w:hAnsi="宋体"/>
          <w:color w:val="auto"/>
          <w:szCs w:val="21"/>
          <w:highlight w:val="none"/>
        </w:rPr>
        <w:t>6.11承包方应及时进行隐蔽工程和中间过程质量的报验工作，承包方自检合格并有书面资料报发包方工程师确认，上道工序未经发包工程师验收签字，不得进入下道工序，重要工序实施停工待检，否则将视情节轻重，给予承包方书面警告或</w:t>
      </w:r>
      <w:r>
        <w:rPr>
          <w:rFonts w:ascii="宋体" w:hAnsi="宋体"/>
          <w:color w:val="auto"/>
          <w:szCs w:val="21"/>
          <w:highlight w:val="none"/>
        </w:rPr>
        <w:t>1000-3000</w:t>
      </w:r>
      <w:r>
        <w:rPr>
          <w:rFonts w:hint="eastAsia" w:ascii="宋体" w:hAnsi="宋体"/>
          <w:color w:val="auto"/>
          <w:szCs w:val="21"/>
          <w:highlight w:val="none"/>
        </w:rPr>
        <w:t>元的罚款。</w:t>
      </w:r>
    </w:p>
    <w:p w14:paraId="0D849BEC">
      <w:pPr>
        <w:tabs>
          <w:tab w:val="left" w:pos="1281"/>
        </w:tabs>
        <w:ind w:firstLine="452" w:firstLineChars="196"/>
        <w:rPr>
          <w:rFonts w:ascii="宋体" w:hAnsi="宋体"/>
          <w:b/>
          <w:bCs/>
          <w:color w:val="auto"/>
          <w:spacing w:val="10"/>
          <w:szCs w:val="21"/>
          <w:highlight w:val="none"/>
        </w:rPr>
      </w:pPr>
      <w:r>
        <w:rPr>
          <w:rFonts w:hint="eastAsia" w:ascii="宋体" w:hAnsi="宋体"/>
          <w:b/>
          <w:bCs/>
          <w:color w:val="auto"/>
          <w:spacing w:val="10"/>
          <w:szCs w:val="21"/>
          <w:highlight w:val="none"/>
        </w:rPr>
        <w:t>第七条  安全文明施工与环境保护</w:t>
      </w:r>
    </w:p>
    <w:p w14:paraId="5B6AED52">
      <w:pPr>
        <w:tabs>
          <w:tab w:val="left" w:pos="1281"/>
        </w:tabs>
        <w:ind w:firstLine="411" w:firstLineChars="196"/>
        <w:rPr>
          <w:rFonts w:ascii="宋体" w:hAnsi="宋体"/>
          <w:b/>
          <w:bCs/>
          <w:color w:val="auto"/>
          <w:spacing w:val="10"/>
          <w:szCs w:val="21"/>
          <w:highlight w:val="none"/>
        </w:rPr>
      </w:pPr>
      <w:r>
        <w:rPr>
          <w:rFonts w:hint="eastAsia" w:ascii="宋体" w:hAnsi="宋体" w:cs="仿宋_GB2312"/>
          <w:color w:val="auto"/>
          <w:kern w:val="0"/>
          <w:szCs w:val="21"/>
          <w:highlight w:val="none"/>
        </w:rPr>
        <w:t>7.1</w:t>
      </w:r>
      <w:r>
        <w:rPr>
          <w:rFonts w:hint="eastAsia" w:ascii="宋体" w:hAnsi="宋体" w:cs="仿宋_GB2312"/>
          <w:color w:val="auto"/>
          <w:kern w:val="0"/>
          <w:szCs w:val="21"/>
          <w:highlight w:val="none"/>
          <w:lang w:val="zh-CN"/>
        </w:rPr>
        <w:t>承包方必须严格贯彻国家有关安全生产的方针、政策、规定及发包方有关安全、文明施工及环境保护的规定，把“安全第一，预防为主”的安全生产方针落实到施工管理中，建立健全安全文明施工管理网络。</w:t>
      </w:r>
    </w:p>
    <w:p w14:paraId="4CD308AC">
      <w:pPr>
        <w:ind w:firstLine="420" w:firstLineChars="200"/>
        <w:rPr>
          <w:rFonts w:ascii="宋体" w:hAnsi="宋体" w:cs="仿宋_GB2312"/>
          <w:color w:val="auto"/>
          <w:kern w:val="0"/>
          <w:szCs w:val="21"/>
          <w:highlight w:val="none"/>
          <w:lang w:val="zh-CN"/>
        </w:rPr>
      </w:pPr>
      <w:r>
        <w:rPr>
          <w:rFonts w:hint="eastAsia" w:ascii="宋体" w:hAnsi="宋体" w:cs="仿宋_GB2312"/>
          <w:color w:val="auto"/>
          <w:kern w:val="0"/>
          <w:szCs w:val="21"/>
          <w:highlight w:val="none"/>
          <w:lang w:val="zh-CN"/>
        </w:rPr>
        <w:t>7.2承包方负责施工现场的安全及第三方人身安全，工程开工前按国家有关规定要求提交安全施工措施；工程开工前</w:t>
      </w:r>
      <w:r>
        <w:rPr>
          <w:rFonts w:hint="eastAsia" w:ascii="宋体" w:hAnsi="宋体" w:cs="仿宋_GB2312"/>
          <w:color w:val="auto"/>
          <w:kern w:val="0"/>
          <w:szCs w:val="21"/>
          <w:highlight w:val="none"/>
        </w:rPr>
        <w:t>3</w:t>
      </w:r>
      <w:r>
        <w:rPr>
          <w:rFonts w:hint="eastAsia" w:ascii="宋体" w:hAnsi="宋体" w:cs="仿宋_GB2312"/>
          <w:color w:val="auto"/>
          <w:kern w:val="0"/>
          <w:szCs w:val="21"/>
          <w:highlight w:val="none"/>
          <w:lang w:val="zh-CN"/>
        </w:rPr>
        <w:t>日内购买工人人身意外伤害保险，承包方与现场施工人员必须签订劳动合同，并办理工伤保险。</w:t>
      </w:r>
    </w:p>
    <w:p w14:paraId="536D9B67">
      <w:pPr>
        <w:ind w:firstLine="420" w:firstLineChars="200"/>
        <w:rPr>
          <w:rFonts w:ascii="宋体" w:hAnsi="宋体" w:cs="仿宋_GB2312"/>
          <w:color w:val="auto"/>
          <w:kern w:val="0"/>
          <w:szCs w:val="21"/>
          <w:highlight w:val="none"/>
          <w:lang w:val="zh-CN"/>
        </w:rPr>
      </w:pPr>
      <w:r>
        <w:rPr>
          <w:rFonts w:hint="eastAsia" w:ascii="宋体" w:hAnsi="宋体" w:cs="仿宋_GB2312"/>
          <w:color w:val="auto"/>
          <w:kern w:val="0"/>
          <w:szCs w:val="21"/>
          <w:highlight w:val="none"/>
          <w:lang w:val="zh-CN"/>
        </w:rPr>
        <w:t>7.3承包方须严格按安全标准组织施工，并随时接受发包方或行业安全检查人员依照法规实施的监督检查，采取必要的安全防范措施，发现隐患，及时地进行整改。由于承包方原因造成的安全事故及由此引起的经济损失，所有责任均由承包方承担；由于承包方原因造成发包方承担业主的经济损失则由全部由承包方承担。</w:t>
      </w:r>
    </w:p>
    <w:p w14:paraId="4FC6563B">
      <w:pPr>
        <w:ind w:firstLine="420" w:firstLineChars="200"/>
        <w:rPr>
          <w:rFonts w:ascii="宋体" w:hAnsi="宋体" w:cs="仿宋_GB2312"/>
          <w:color w:val="auto"/>
          <w:kern w:val="0"/>
          <w:szCs w:val="21"/>
          <w:highlight w:val="none"/>
          <w:lang w:val="zh-CN"/>
        </w:rPr>
      </w:pPr>
      <w:r>
        <w:rPr>
          <w:rFonts w:hint="eastAsia" w:ascii="宋体" w:hAnsi="宋体" w:cs="仿宋_GB2312"/>
          <w:color w:val="auto"/>
          <w:kern w:val="0"/>
          <w:szCs w:val="21"/>
          <w:highlight w:val="none"/>
          <w:lang w:val="zh-CN"/>
        </w:rPr>
        <w:t>7.4工程施工过程中，承包方应保持施工现场及周边环境的清洁，设备、材料堆放应整齐有序，做到“工完、料尽、场地清”，搞好文明施工和环境保护，已完工的施工项目在试运移交前负责成品保管。若承包方不及时清理垃圾、废料和临时设施，发包方有权委托其他方清理，费用从工程结算款中扣除。</w:t>
      </w:r>
    </w:p>
    <w:p w14:paraId="269D953F">
      <w:pPr>
        <w:ind w:firstLine="420" w:firstLineChars="200"/>
        <w:rPr>
          <w:rFonts w:ascii="宋体" w:hAnsi="宋体" w:cs="仿宋_GB2312"/>
          <w:color w:val="auto"/>
          <w:kern w:val="0"/>
          <w:szCs w:val="21"/>
          <w:highlight w:val="none"/>
          <w:lang w:val="zh-CN"/>
        </w:rPr>
      </w:pPr>
      <w:r>
        <w:rPr>
          <w:rFonts w:hint="eastAsia" w:ascii="宋体" w:hAnsi="宋体" w:cs="仿宋_GB2312"/>
          <w:color w:val="auto"/>
          <w:kern w:val="0"/>
          <w:szCs w:val="21"/>
          <w:highlight w:val="none"/>
          <w:lang w:val="zh-CN"/>
        </w:rPr>
        <w:t>7.5承包方负责人是安全施工第一责任者，对承包方人员的安全负责，承包方必须按照规定为施工人员配备应有的劳动保护用品、用具，承包方有30人及以上施工时，应设立专职安全员（具有资格证及一定的现场管理经验），少于30人时应设兼职安全员。</w:t>
      </w:r>
    </w:p>
    <w:p w14:paraId="06617E6A">
      <w:pPr>
        <w:ind w:firstLine="420" w:firstLineChars="200"/>
        <w:rPr>
          <w:rFonts w:ascii="宋体" w:hAnsi="宋体" w:cs="仿宋_GB2312"/>
          <w:color w:val="auto"/>
          <w:kern w:val="0"/>
          <w:szCs w:val="21"/>
          <w:highlight w:val="none"/>
          <w:lang w:val="zh-CN"/>
        </w:rPr>
      </w:pPr>
      <w:r>
        <w:rPr>
          <w:rFonts w:hint="eastAsia" w:ascii="宋体" w:hAnsi="宋体" w:cs="仿宋_GB2312"/>
          <w:color w:val="auto"/>
          <w:kern w:val="0"/>
          <w:szCs w:val="21"/>
          <w:highlight w:val="none"/>
          <w:lang w:val="zh-CN"/>
        </w:rPr>
        <w:t>7.6承包方必须为其现场管理人员和施工人员提供必须的、质量符合有关规定的安全防护用品和用具，确保其施工人员的人身安全和健康。</w:t>
      </w:r>
    </w:p>
    <w:p w14:paraId="4157DF27">
      <w:pPr>
        <w:ind w:firstLine="420" w:firstLineChars="200"/>
        <w:rPr>
          <w:rFonts w:ascii="宋体" w:hAnsi="宋体" w:cs="仿宋_GB2312"/>
          <w:color w:val="auto"/>
          <w:kern w:val="0"/>
          <w:szCs w:val="21"/>
          <w:highlight w:val="none"/>
          <w:lang w:val="zh-CN"/>
        </w:rPr>
      </w:pPr>
      <w:r>
        <w:rPr>
          <w:rFonts w:hint="eastAsia" w:ascii="宋体" w:hAnsi="宋体" w:cs="仿宋_GB2312"/>
          <w:color w:val="auto"/>
          <w:kern w:val="0"/>
          <w:szCs w:val="21"/>
          <w:highlight w:val="none"/>
          <w:lang w:val="zh-CN"/>
        </w:rPr>
        <w:t>7.7对由于不可抗力引起的事故或损失，根据双方各自的职责，各自承担相应的责任及损失，同时双方应尽最大的努力减少损失，由于不可抗力而不能达到合同目的或合同无法履行，双方可书面解除合同。</w:t>
      </w:r>
    </w:p>
    <w:p w14:paraId="66470742">
      <w:pPr>
        <w:ind w:firstLine="452" w:firstLineChars="196"/>
        <w:rPr>
          <w:rFonts w:ascii="宋体" w:hAnsi="宋体"/>
          <w:color w:val="auto"/>
          <w:spacing w:val="10"/>
          <w:szCs w:val="21"/>
          <w:highlight w:val="none"/>
        </w:rPr>
      </w:pPr>
      <w:r>
        <w:rPr>
          <w:rFonts w:hint="eastAsia" w:ascii="宋体" w:hAnsi="宋体"/>
          <w:b/>
          <w:bCs/>
          <w:color w:val="auto"/>
          <w:spacing w:val="10"/>
          <w:szCs w:val="21"/>
          <w:highlight w:val="none"/>
        </w:rPr>
        <w:t>第八条  工程款支付：</w:t>
      </w:r>
      <w:r>
        <w:rPr>
          <w:rFonts w:hint="eastAsia" w:ascii="宋体" w:hAnsi="宋体"/>
          <w:color w:val="auto"/>
          <w:spacing w:val="10"/>
          <w:szCs w:val="21"/>
          <w:highlight w:val="none"/>
        </w:rPr>
        <w:t>工程款支付方式为</w:t>
      </w:r>
      <w:r>
        <w:rPr>
          <w:rFonts w:hint="eastAsia" w:ascii="宋体" w:hAnsi="宋体"/>
          <w:color w:val="auto"/>
          <w:spacing w:val="10"/>
          <w:szCs w:val="21"/>
          <w:highlight w:val="none"/>
          <w:lang w:val="en-US" w:eastAsia="zh-CN"/>
        </w:rPr>
        <w:t>银行</w:t>
      </w:r>
      <w:r>
        <w:rPr>
          <w:rFonts w:hint="eastAsia" w:ascii="宋体" w:hAnsi="宋体"/>
          <w:color w:val="auto"/>
          <w:spacing w:val="10"/>
          <w:szCs w:val="21"/>
          <w:highlight w:val="none"/>
        </w:rPr>
        <w:t>转账。</w:t>
      </w:r>
    </w:p>
    <w:p w14:paraId="3516D2AF">
      <w:pPr>
        <w:ind w:firstLine="460" w:firstLineChars="200"/>
        <w:rPr>
          <w:rFonts w:ascii="宋体" w:hAnsi="宋体" w:cs="宋体"/>
          <w:color w:val="auto"/>
          <w:spacing w:val="10"/>
          <w:szCs w:val="21"/>
          <w:highlight w:val="none"/>
        </w:rPr>
      </w:pPr>
      <w:r>
        <w:rPr>
          <w:rFonts w:hint="eastAsia" w:ascii="宋体" w:hAnsi="宋体" w:cs="宋体"/>
          <w:color w:val="auto"/>
          <w:spacing w:val="10"/>
          <w:szCs w:val="21"/>
          <w:highlight w:val="none"/>
        </w:rPr>
        <w:t>8.1预付款：合同签订之后采购人支付合同总价30%的预付款；</w:t>
      </w:r>
    </w:p>
    <w:p w14:paraId="781946FE">
      <w:pPr>
        <w:ind w:firstLine="460" w:firstLineChars="200"/>
        <w:rPr>
          <w:rFonts w:ascii="宋体" w:hAnsi="宋体" w:cs="宋体"/>
          <w:color w:val="auto"/>
          <w:spacing w:val="10"/>
          <w:szCs w:val="21"/>
          <w:highlight w:val="none"/>
        </w:rPr>
      </w:pPr>
      <w:r>
        <w:rPr>
          <w:rFonts w:hint="eastAsia" w:ascii="宋体" w:hAnsi="宋体" w:cs="宋体"/>
          <w:color w:val="auto"/>
          <w:spacing w:val="10"/>
          <w:szCs w:val="21"/>
          <w:highlight w:val="none"/>
        </w:rPr>
        <w:t>8.2完工验收款：磋商项目项下所有项目完工并经采购人验收合格，支付至已完工程总价的80%；</w:t>
      </w:r>
    </w:p>
    <w:p w14:paraId="5CA3B849">
      <w:pPr>
        <w:pStyle w:val="66"/>
        <w:spacing w:before="0" w:after="0"/>
        <w:ind w:left="0" w:right="720" w:firstLine="460" w:firstLineChars="200"/>
        <w:rPr>
          <w:rFonts w:hint="eastAsia" w:ascii="宋体" w:hAnsi="宋体" w:cs="宋体"/>
          <w:color w:val="auto"/>
          <w:spacing w:val="10"/>
          <w:sz w:val="21"/>
          <w:szCs w:val="21"/>
          <w:highlight w:val="none"/>
        </w:rPr>
      </w:pPr>
      <w:r>
        <w:rPr>
          <w:rFonts w:hint="eastAsia" w:ascii="宋体" w:hAnsi="宋体" w:cs="宋体"/>
          <w:color w:val="auto"/>
          <w:spacing w:val="10"/>
          <w:sz w:val="21"/>
          <w:szCs w:val="21"/>
          <w:highlight w:val="none"/>
        </w:rPr>
        <w:t>8.3结算款：项目结算完成支付至结算总价的97%。。</w:t>
      </w:r>
    </w:p>
    <w:p w14:paraId="4DEDC13D">
      <w:pPr>
        <w:pStyle w:val="66"/>
        <w:spacing w:before="0" w:after="0"/>
        <w:ind w:left="0" w:right="720" w:firstLine="460" w:firstLineChars="200"/>
        <w:rPr>
          <w:rFonts w:hint="default" w:ascii="宋体" w:hAnsi="宋体" w:eastAsia="宋体" w:cs="宋体"/>
          <w:color w:val="auto"/>
          <w:spacing w:val="10"/>
          <w:sz w:val="21"/>
          <w:szCs w:val="21"/>
          <w:highlight w:val="none"/>
          <w:lang w:val="en-US" w:eastAsia="zh-CN"/>
        </w:rPr>
      </w:pPr>
      <w:r>
        <w:rPr>
          <w:rFonts w:hint="eastAsia" w:ascii="宋体" w:hAnsi="宋体" w:cs="宋体"/>
          <w:color w:val="auto"/>
          <w:spacing w:val="10"/>
          <w:sz w:val="21"/>
          <w:szCs w:val="21"/>
          <w:highlight w:val="none"/>
          <w:lang w:val="en-US" w:eastAsia="zh-CN"/>
        </w:rPr>
        <w:t>8.4质保金：质保期满后一个月内，采购人向中标人支付合同结算总价3%的质保金。质保期为项目验收合格满1年。</w:t>
      </w:r>
    </w:p>
    <w:p w14:paraId="4E2C01AB">
      <w:pPr>
        <w:pStyle w:val="66"/>
        <w:spacing w:before="0" w:after="0"/>
        <w:ind w:left="315" w:leftChars="150" w:right="720" w:firstLine="105" w:firstLineChars="50"/>
        <w:rPr>
          <w:rFonts w:ascii="宋体" w:hAnsi="宋体"/>
          <w:b/>
          <w:bCs/>
          <w:color w:val="auto"/>
          <w:sz w:val="21"/>
          <w:szCs w:val="21"/>
          <w:highlight w:val="none"/>
        </w:rPr>
      </w:pPr>
      <w:r>
        <w:rPr>
          <w:rFonts w:hint="eastAsia" w:ascii="宋体" w:hAnsi="宋体"/>
          <w:b/>
          <w:bCs/>
          <w:color w:val="auto"/>
          <w:sz w:val="21"/>
          <w:szCs w:val="21"/>
          <w:highlight w:val="none"/>
        </w:rPr>
        <w:t>8.4承包方收款信息（承包方已核对无误并确认）：</w:t>
      </w:r>
    </w:p>
    <w:p w14:paraId="2DB9F9E0">
      <w:pPr>
        <w:pStyle w:val="66"/>
        <w:snapToGrid w:val="0"/>
        <w:spacing w:before="0" w:after="0"/>
        <w:ind w:left="0" w:right="0" w:firstLine="480"/>
        <w:rPr>
          <w:rFonts w:ascii="宋体" w:hAnsi="宋体"/>
          <w:b/>
          <w:color w:val="auto"/>
          <w:sz w:val="21"/>
          <w:szCs w:val="21"/>
          <w:highlight w:val="none"/>
        </w:rPr>
      </w:pPr>
      <w:r>
        <w:rPr>
          <w:rFonts w:hint="eastAsia" w:ascii="宋体" w:hAnsi="宋体"/>
          <w:b/>
          <w:color w:val="auto"/>
          <w:sz w:val="21"/>
          <w:szCs w:val="21"/>
          <w:highlight w:val="none"/>
        </w:rPr>
        <w:t>收款人：</w:t>
      </w:r>
    </w:p>
    <w:p w14:paraId="01EDC81A">
      <w:pPr>
        <w:pStyle w:val="66"/>
        <w:snapToGrid w:val="0"/>
        <w:spacing w:before="0" w:after="0"/>
        <w:ind w:left="0" w:right="0" w:firstLine="480"/>
        <w:rPr>
          <w:rFonts w:ascii="宋体" w:hAnsi="宋体"/>
          <w:b/>
          <w:color w:val="auto"/>
          <w:sz w:val="21"/>
          <w:szCs w:val="21"/>
          <w:highlight w:val="none"/>
        </w:rPr>
      </w:pPr>
      <w:r>
        <w:rPr>
          <w:rFonts w:hint="eastAsia" w:ascii="宋体" w:hAnsi="宋体"/>
          <w:b/>
          <w:color w:val="auto"/>
          <w:sz w:val="21"/>
          <w:szCs w:val="21"/>
          <w:highlight w:val="none"/>
        </w:rPr>
        <w:t>开户行：</w:t>
      </w:r>
    </w:p>
    <w:p w14:paraId="29D285EC">
      <w:pPr>
        <w:pStyle w:val="66"/>
        <w:snapToGrid w:val="0"/>
        <w:spacing w:before="0" w:after="0"/>
        <w:ind w:left="0" w:right="0" w:firstLine="480"/>
        <w:rPr>
          <w:rFonts w:ascii="宋体" w:hAnsi="宋体"/>
          <w:b/>
          <w:color w:val="auto"/>
          <w:sz w:val="21"/>
          <w:szCs w:val="21"/>
          <w:highlight w:val="none"/>
        </w:rPr>
      </w:pPr>
      <w:r>
        <w:rPr>
          <w:rFonts w:hint="eastAsia" w:ascii="宋体" w:hAnsi="宋体"/>
          <w:b/>
          <w:color w:val="auto"/>
          <w:sz w:val="21"/>
          <w:szCs w:val="21"/>
          <w:highlight w:val="none"/>
        </w:rPr>
        <w:t>账号：</w:t>
      </w:r>
    </w:p>
    <w:p w14:paraId="22DA651E">
      <w:pPr>
        <w:pStyle w:val="12"/>
        <w:spacing w:after="0"/>
        <w:ind w:left="0" w:leftChars="0" w:firstLine="420" w:firstLineChars="200"/>
        <w:rPr>
          <w:rFonts w:ascii="宋体" w:hAnsi="宋体"/>
          <w:color w:val="auto"/>
          <w:szCs w:val="21"/>
          <w:highlight w:val="none"/>
        </w:rPr>
      </w:pPr>
      <w:r>
        <w:rPr>
          <w:rFonts w:hint="eastAsia" w:ascii="宋体" w:hAnsi="宋体"/>
          <w:color w:val="auto"/>
          <w:szCs w:val="21"/>
          <w:highlight w:val="none"/>
        </w:rPr>
        <w:t>8.5开具发票</w:t>
      </w:r>
    </w:p>
    <w:p w14:paraId="0DB647F8">
      <w:pPr>
        <w:pStyle w:val="12"/>
        <w:spacing w:after="0"/>
        <w:ind w:left="0" w:leftChars="0" w:firstLine="420" w:firstLineChars="200"/>
        <w:rPr>
          <w:rFonts w:hint="default" w:ascii="宋体" w:hAnsi="宋体" w:eastAsia="宋体"/>
          <w:color w:val="auto"/>
          <w:szCs w:val="21"/>
          <w:highlight w:val="none"/>
          <w:lang w:val="en-US" w:eastAsia="zh-CN"/>
        </w:rPr>
      </w:pPr>
      <w:r>
        <w:rPr>
          <w:rFonts w:hint="eastAsia" w:ascii="宋体" w:hAnsi="宋体"/>
          <w:color w:val="auto"/>
          <w:szCs w:val="21"/>
          <w:highlight w:val="none"/>
        </w:rPr>
        <w:t>承包方按发包方以及项目所在地税务局要求开具合同额</w:t>
      </w:r>
      <w:r>
        <w:rPr>
          <w:rFonts w:hint="eastAsia" w:ascii="宋体" w:hAnsi="宋体"/>
          <w:color w:val="auto"/>
          <w:szCs w:val="21"/>
          <w:highlight w:val="none"/>
          <w:lang w:val="en-US" w:eastAsia="zh-CN"/>
        </w:rPr>
        <w:t>xx%</w:t>
      </w:r>
      <w:r>
        <w:rPr>
          <w:rFonts w:hint="eastAsia" w:ascii="宋体" w:hAnsi="宋体"/>
          <w:color w:val="auto"/>
          <w:szCs w:val="21"/>
          <w:highlight w:val="none"/>
        </w:rPr>
        <w:t>增值税</w:t>
      </w:r>
      <w:r>
        <w:rPr>
          <w:rFonts w:hint="eastAsia" w:ascii="宋体" w:hAnsi="宋体"/>
          <w:color w:val="auto"/>
          <w:szCs w:val="21"/>
          <w:highlight w:val="none"/>
        </w:rPr>
        <w:t>专用发票</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每笔款项支付前，承包方必须向发包方提供等额的增值税专用发票。</w:t>
      </w:r>
    </w:p>
    <w:p w14:paraId="5889D376">
      <w:pPr>
        <w:snapToGrid w:val="0"/>
        <w:ind w:firstLine="420" w:firstLineChars="200"/>
        <w:rPr>
          <w:rFonts w:ascii="宋体" w:hAnsi="宋体"/>
          <w:color w:val="auto"/>
          <w:szCs w:val="21"/>
          <w:highlight w:val="none"/>
        </w:rPr>
      </w:pPr>
      <w:r>
        <w:rPr>
          <w:rFonts w:hint="eastAsia" w:ascii="宋体" w:hAnsi="宋体"/>
          <w:color w:val="auto"/>
          <w:szCs w:val="21"/>
          <w:highlight w:val="none"/>
        </w:rPr>
        <w:t>8</w:t>
      </w:r>
      <w:r>
        <w:rPr>
          <w:rFonts w:ascii="宋体" w:hAnsi="宋体"/>
          <w:color w:val="auto"/>
          <w:szCs w:val="21"/>
          <w:highlight w:val="none"/>
        </w:rPr>
        <w:t>.</w:t>
      </w:r>
      <w:r>
        <w:rPr>
          <w:rFonts w:hint="eastAsia" w:ascii="宋体" w:hAnsi="宋体"/>
          <w:color w:val="auto"/>
          <w:szCs w:val="21"/>
          <w:highlight w:val="none"/>
        </w:rPr>
        <w:t>6担保</w:t>
      </w:r>
    </w:p>
    <w:p w14:paraId="33BEA167">
      <w:pPr>
        <w:snapToGrid w:val="0"/>
        <w:ind w:firstLine="420" w:firstLineChars="200"/>
        <w:rPr>
          <w:rFonts w:ascii="宋体" w:hAnsi="宋体"/>
          <w:color w:val="auto"/>
          <w:szCs w:val="21"/>
          <w:highlight w:val="none"/>
          <w:u w:val="single"/>
        </w:rPr>
      </w:pPr>
      <w:r>
        <w:rPr>
          <w:rFonts w:hint="eastAsia" w:ascii="宋体" w:hAnsi="宋体"/>
          <w:color w:val="auto"/>
          <w:szCs w:val="21"/>
          <w:highlight w:val="none"/>
        </w:rPr>
        <w:t>承包方向发包方提供履约提保，担保方式为：</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履约保证金</w:t>
      </w:r>
      <w:r>
        <w:rPr>
          <w:rFonts w:ascii="宋体" w:hAnsi="宋体"/>
          <w:color w:val="auto"/>
          <w:szCs w:val="21"/>
          <w:highlight w:val="none"/>
          <w:u w:val="single"/>
        </w:rPr>
        <w:t xml:space="preserve">  </w:t>
      </w:r>
    </w:p>
    <w:p w14:paraId="0837FFA1">
      <w:pPr>
        <w:ind w:firstLine="452" w:firstLineChars="196"/>
        <w:rPr>
          <w:rFonts w:ascii="宋体" w:hAnsi="宋体"/>
          <w:b/>
          <w:bCs/>
          <w:color w:val="auto"/>
          <w:spacing w:val="10"/>
          <w:szCs w:val="21"/>
          <w:highlight w:val="none"/>
        </w:rPr>
      </w:pPr>
      <w:r>
        <w:rPr>
          <w:rFonts w:hint="eastAsia" w:ascii="宋体" w:hAnsi="宋体"/>
          <w:b/>
          <w:bCs/>
          <w:color w:val="auto"/>
          <w:spacing w:val="10"/>
          <w:szCs w:val="21"/>
          <w:highlight w:val="none"/>
        </w:rPr>
        <w:t>第九条</w:t>
      </w:r>
      <w:r>
        <w:rPr>
          <w:rFonts w:ascii="宋体" w:hAnsi="宋体"/>
          <w:b/>
          <w:bCs/>
          <w:color w:val="auto"/>
          <w:spacing w:val="10"/>
          <w:szCs w:val="21"/>
          <w:highlight w:val="none"/>
        </w:rPr>
        <w:t xml:space="preserve">  </w:t>
      </w:r>
      <w:r>
        <w:rPr>
          <w:rFonts w:hint="eastAsia" w:ascii="宋体" w:hAnsi="宋体"/>
          <w:b/>
          <w:bCs/>
          <w:color w:val="auto"/>
          <w:spacing w:val="10"/>
          <w:szCs w:val="21"/>
          <w:highlight w:val="none"/>
        </w:rPr>
        <w:t>质量保修</w:t>
      </w:r>
    </w:p>
    <w:p w14:paraId="4E6F3970">
      <w:pPr>
        <w:ind w:firstLine="411" w:firstLineChars="196"/>
        <w:rPr>
          <w:rFonts w:ascii="宋体" w:hAnsi="宋体"/>
          <w:color w:val="auto"/>
          <w:szCs w:val="21"/>
          <w:highlight w:val="none"/>
        </w:rPr>
      </w:pPr>
      <w:r>
        <w:rPr>
          <w:rFonts w:hint="eastAsia" w:ascii="宋体" w:hAnsi="宋体"/>
          <w:color w:val="auto"/>
          <w:szCs w:val="21"/>
          <w:highlight w:val="none"/>
        </w:rPr>
        <w:t>9.1</w:t>
      </w:r>
      <w:r>
        <w:rPr>
          <w:rFonts w:ascii="宋体" w:hAnsi="宋体"/>
          <w:color w:val="auto"/>
          <w:szCs w:val="21"/>
          <w:highlight w:val="none"/>
        </w:rPr>
        <w:t>承包方应按法律、行政法规或国家关于工程质量保修的有关规定，对交付发包方使用的工程在质量保修期内承担质量保修责任。</w:t>
      </w:r>
    </w:p>
    <w:p w14:paraId="2C077B6C">
      <w:pPr>
        <w:ind w:firstLine="480"/>
        <w:rPr>
          <w:rFonts w:ascii="宋体" w:hAnsi="宋体"/>
          <w:color w:val="auto"/>
          <w:szCs w:val="21"/>
          <w:highlight w:val="none"/>
        </w:rPr>
      </w:pPr>
      <w:r>
        <w:rPr>
          <w:rFonts w:hint="eastAsia" w:ascii="宋体" w:hAnsi="宋体"/>
          <w:bCs/>
          <w:color w:val="auto"/>
          <w:szCs w:val="21"/>
          <w:highlight w:val="none"/>
        </w:rPr>
        <w:t>9.2</w:t>
      </w:r>
      <w:r>
        <w:rPr>
          <w:rFonts w:ascii="宋体" w:hAnsi="宋体"/>
          <w:color w:val="auto"/>
          <w:szCs w:val="21"/>
          <w:highlight w:val="none"/>
        </w:rPr>
        <w:t>质量保修工作的实施。双方根据国家有关规定</w:t>
      </w:r>
      <w:r>
        <w:rPr>
          <w:rFonts w:hint="eastAsia" w:ascii="宋体" w:hAnsi="宋体"/>
          <w:color w:val="auto"/>
          <w:szCs w:val="21"/>
          <w:highlight w:val="none"/>
        </w:rPr>
        <w:t>执行，质量保修期自通过相关部门验收合格，取得验收合格报告之日起计算。</w:t>
      </w:r>
    </w:p>
    <w:p w14:paraId="2CF02358">
      <w:pPr>
        <w:ind w:firstLine="480"/>
        <w:rPr>
          <w:rFonts w:ascii="宋体" w:hAnsi="宋体"/>
          <w:color w:val="auto"/>
          <w:szCs w:val="21"/>
          <w:highlight w:val="none"/>
        </w:rPr>
      </w:pPr>
      <w:r>
        <w:rPr>
          <w:rFonts w:hint="eastAsia" w:ascii="宋体" w:hAnsi="宋体"/>
          <w:bCs/>
          <w:color w:val="auto"/>
          <w:szCs w:val="21"/>
          <w:highlight w:val="none"/>
        </w:rPr>
        <w:t>9.3</w:t>
      </w:r>
      <w:r>
        <w:rPr>
          <w:rFonts w:ascii="宋体" w:hAnsi="宋体"/>
          <w:color w:val="auto"/>
          <w:szCs w:val="21"/>
          <w:highlight w:val="none"/>
        </w:rPr>
        <w:t>质量保修责任</w:t>
      </w:r>
    </w:p>
    <w:p w14:paraId="597A68C0">
      <w:pPr>
        <w:ind w:firstLine="480"/>
        <w:rPr>
          <w:rFonts w:ascii="宋体" w:hAnsi="宋体"/>
          <w:color w:val="auto"/>
          <w:szCs w:val="21"/>
          <w:highlight w:val="none"/>
        </w:rPr>
      </w:pPr>
      <w:r>
        <w:rPr>
          <w:rFonts w:ascii="宋体" w:hAnsi="宋体"/>
          <w:color w:val="auto"/>
          <w:szCs w:val="21"/>
          <w:highlight w:val="none"/>
        </w:rPr>
        <w:t>属于保修范围内的项目，承包方应在接到修理通知之日后</w:t>
      </w:r>
      <w:r>
        <w:rPr>
          <w:rFonts w:hint="eastAsia" w:ascii="宋体" w:hAnsi="宋体"/>
          <w:color w:val="auto"/>
          <w:szCs w:val="21"/>
          <w:highlight w:val="none"/>
        </w:rPr>
        <w:t>7</w:t>
      </w:r>
      <w:r>
        <w:rPr>
          <w:rFonts w:ascii="宋体" w:hAnsi="宋体"/>
          <w:color w:val="auto"/>
          <w:szCs w:val="21"/>
          <w:highlight w:val="none"/>
        </w:rPr>
        <w:t>天内派人修理。承包方不在约定期限内派人修理，发包方可委托其他人员修理，保修费用</w:t>
      </w:r>
      <w:r>
        <w:rPr>
          <w:rFonts w:hint="eastAsia" w:ascii="宋体" w:hAnsi="宋体"/>
          <w:color w:val="auto"/>
          <w:szCs w:val="21"/>
          <w:highlight w:val="none"/>
        </w:rPr>
        <w:t>由承包方予以承担</w:t>
      </w:r>
      <w:r>
        <w:rPr>
          <w:rFonts w:ascii="宋体" w:hAnsi="宋体"/>
          <w:color w:val="auto"/>
          <w:szCs w:val="21"/>
          <w:highlight w:val="none"/>
        </w:rPr>
        <w:t>。</w:t>
      </w:r>
    </w:p>
    <w:p w14:paraId="1E2003F6">
      <w:pPr>
        <w:ind w:firstLine="420" w:firstLineChars="200"/>
        <w:rPr>
          <w:rFonts w:ascii="宋体" w:hAnsi="宋体"/>
          <w:color w:val="auto"/>
          <w:szCs w:val="21"/>
          <w:highlight w:val="none"/>
        </w:rPr>
      </w:pPr>
      <w:r>
        <w:rPr>
          <w:rFonts w:hint="eastAsia" w:ascii="宋体" w:hAnsi="宋体"/>
          <w:color w:val="auto"/>
          <w:szCs w:val="21"/>
          <w:highlight w:val="none"/>
        </w:rPr>
        <w:t>9.4</w:t>
      </w:r>
      <w:r>
        <w:rPr>
          <w:rFonts w:ascii="宋体" w:hAnsi="宋体"/>
          <w:color w:val="auto"/>
          <w:szCs w:val="21"/>
          <w:highlight w:val="none"/>
        </w:rPr>
        <w:t>发生须紧急抢修事故，承包方接到事故通知后，应立即到达事故现场抢修。非承包方施工质量引起的事故，抢修费用由发包方承担。</w:t>
      </w:r>
    </w:p>
    <w:p w14:paraId="6D76C2E9">
      <w:pPr>
        <w:ind w:firstLine="420" w:firstLineChars="200"/>
        <w:rPr>
          <w:rFonts w:ascii="宋体" w:hAnsi="宋体"/>
          <w:color w:val="auto"/>
          <w:szCs w:val="21"/>
          <w:highlight w:val="none"/>
        </w:rPr>
      </w:pPr>
      <w:r>
        <w:rPr>
          <w:rFonts w:hint="eastAsia" w:ascii="宋体" w:hAnsi="宋体"/>
          <w:color w:val="auto"/>
          <w:szCs w:val="21"/>
          <w:highlight w:val="none"/>
        </w:rPr>
        <w:t>9.5在质量保修期内进行返修的这部分工程按重新验收合格之日起重新计算，这部分工程的质量保修期从重新验收合格之日起顺延壹年。</w:t>
      </w:r>
    </w:p>
    <w:p w14:paraId="17254EBD">
      <w:pPr>
        <w:numPr>
          <w:ilvl w:val="0"/>
          <w:numId w:val="6"/>
        </w:numPr>
        <w:ind w:firstLine="452" w:firstLineChars="196"/>
        <w:rPr>
          <w:rFonts w:ascii="宋体" w:hAnsi="宋体"/>
          <w:b/>
          <w:bCs/>
          <w:color w:val="auto"/>
          <w:spacing w:val="10"/>
          <w:szCs w:val="21"/>
          <w:highlight w:val="none"/>
        </w:rPr>
      </w:pPr>
      <w:r>
        <w:rPr>
          <w:rFonts w:hint="eastAsia" w:ascii="宋体" w:hAnsi="宋体"/>
          <w:b/>
          <w:bCs/>
          <w:color w:val="auto"/>
          <w:spacing w:val="10"/>
          <w:szCs w:val="21"/>
          <w:highlight w:val="none"/>
        </w:rPr>
        <w:t xml:space="preserve"> 规范及报检报验</w:t>
      </w:r>
    </w:p>
    <w:p w14:paraId="18ECE22B">
      <w:pPr>
        <w:rPr>
          <w:rFonts w:ascii="宋体" w:hAnsi="宋体"/>
          <w:bCs/>
          <w:color w:val="auto"/>
          <w:spacing w:val="10"/>
          <w:szCs w:val="21"/>
          <w:highlight w:val="none"/>
        </w:rPr>
      </w:pPr>
      <w:r>
        <w:rPr>
          <w:rFonts w:hint="eastAsia" w:ascii="宋体" w:hAnsi="宋体"/>
          <w:bCs/>
          <w:color w:val="auto"/>
          <w:szCs w:val="21"/>
          <w:highlight w:val="none"/>
        </w:rPr>
        <w:t>10.1施工验收标准及报价报验要求：具体按照本合同附件</w:t>
      </w:r>
      <w:r>
        <w:rPr>
          <w:rFonts w:hint="eastAsia" w:ascii="宋体" w:hAnsi="宋体"/>
          <w:bCs/>
          <w:color w:val="auto"/>
          <w:szCs w:val="21"/>
          <w:highlight w:val="none"/>
          <w:lang w:val="en-US" w:eastAsia="zh-CN"/>
        </w:rPr>
        <w:t>2</w:t>
      </w:r>
      <w:r>
        <w:rPr>
          <w:rFonts w:hint="eastAsia" w:ascii="宋体" w:hAnsi="宋体"/>
          <w:bCs/>
          <w:color w:val="auto"/>
          <w:szCs w:val="21"/>
          <w:highlight w:val="none"/>
        </w:rPr>
        <w:t>技术规范书执行，若有新的标准则执行新标准，替代原有标准。</w:t>
      </w:r>
    </w:p>
    <w:p w14:paraId="58C9961B">
      <w:pPr>
        <w:ind w:firstLine="452" w:firstLineChars="196"/>
        <w:rPr>
          <w:rFonts w:ascii="宋体" w:hAnsi="宋体"/>
          <w:b/>
          <w:bCs/>
          <w:color w:val="auto"/>
          <w:spacing w:val="10"/>
          <w:szCs w:val="21"/>
          <w:highlight w:val="none"/>
        </w:rPr>
      </w:pPr>
      <w:r>
        <w:rPr>
          <w:rFonts w:hint="eastAsia" w:ascii="宋体" w:hAnsi="宋体"/>
          <w:b/>
          <w:bCs/>
          <w:color w:val="auto"/>
          <w:spacing w:val="10"/>
          <w:szCs w:val="21"/>
          <w:highlight w:val="none"/>
        </w:rPr>
        <w:t>第十一条</w:t>
      </w:r>
      <w:r>
        <w:rPr>
          <w:rFonts w:ascii="宋体" w:hAnsi="宋体"/>
          <w:b/>
          <w:bCs/>
          <w:color w:val="auto"/>
          <w:spacing w:val="10"/>
          <w:szCs w:val="21"/>
          <w:highlight w:val="none"/>
        </w:rPr>
        <w:t xml:space="preserve"> </w:t>
      </w:r>
      <w:r>
        <w:rPr>
          <w:rFonts w:hint="eastAsia" w:ascii="宋体" w:hAnsi="宋体"/>
          <w:b/>
          <w:bCs/>
          <w:color w:val="auto"/>
          <w:spacing w:val="10"/>
          <w:szCs w:val="21"/>
          <w:highlight w:val="none"/>
        </w:rPr>
        <w:t xml:space="preserve"> 违约</w:t>
      </w:r>
    </w:p>
    <w:p w14:paraId="2E3FF432">
      <w:pPr>
        <w:ind w:firstLine="482"/>
        <w:outlineLvl w:val="2"/>
        <w:rPr>
          <w:rFonts w:ascii="宋体" w:hAnsi="宋体"/>
          <w:bCs/>
          <w:color w:val="auto"/>
          <w:szCs w:val="21"/>
          <w:highlight w:val="none"/>
        </w:rPr>
      </w:pPr>
      <w:r>
        <w:rPr>
          <w:rFonts w:hint="eastAsia" w:ascii="宋体" w:hAnsi="宋体"/>
          <w:color w:val="auto"/>
          <w:szCs w:val="21"/>
          <w:highlight w:val="none"/>
        </w:rPr>
        <w:t>11.1</w:t>
      </w:r>
      <w:r>
        <w:rPr>
          <w:rFonts w:hint="eastAsia" w:ascii="宋体" w:hAnsi="宋体"/>
          <w:bCs/>
          <w:color w:val="auto"/>
          <w:szCs w:val="21"/>
          <w:highlight w:val="none"/>
        </w:rPr>
        <w:t>承包方严格按项目要求的工期进行施工，非发包方原因，超过</w:t>
      </w:r>
      <w:r>
        <w:rPr>
          <w:rFonts w:hint="eastAsia" w:ascii="宋体" w:hAnsi="宋体"/>
          <w:color w:val="auto"/>
          <w:szCs w:val="21"/>
          <w:highlight w:val="none"/>
        </w:rPr>
        <w:t>总工期每延迟一天承担违约金</w:t>
      </w:r>
      <w:r>
        <w:rPr>
          <w:rFonts w:hint="eastAsia" w:ascii="宋体" w:hAnsi="宋体"/>
          <w:b/>
          <w:bCs/>
          <w:color w:val="auto"/>
          <w:szCs w:val="21"/>
          <w:highlight w:val="none"/>
          <w:u w:val="single"/>
          <w:lang w:val="en-US" w:eastAsia="zh-CN"/>
        </w:rPr>
        <w:t>5</w:t>
      </w:r>
      <w:r>
        <w:rPr>
          <w:rFonts w:hint="eastAsia" w:ascii="宋体" w:hAnsi="宋体"/>
          <w:b/>
          <w:bCs/>
          <w:color w:val="auto"/>
          <w:szCs w:val="21"/>
          <w:highlight w:val="none"/>
          <w:u w:val="single"/>
        </w:rPr>
        <w:t>000元/天</w:t>
      </w:r>
      <w:r>
        <w:rPr>
          <w:rFonts w:hint="eastAsia" w:ascii="宋体" w:hAnsi="宋体"/>
          <w:color w:val="auto"/>
          <w:szCs w:val="21"/>
          <w:highlight w:val="none"/>
        </w:rPr>
        <w:t>，违约金从本合同剩余应支付价款中予以扣除，直至款项扣清</w:t>
      </w:r>
      <w:r>
        <w:rPr>
          <w:rFonts w:hint="eastAsia" w:ascii="宋体" w:hAnsi="宋体"/>
          <w:iCs/>
          <w:color w:val="auto"/>
          <w:szCs w:val="21"/>
          <w:highlight w:val="none"/>
        </w:rPr>
        <w:t>。</w:t>
      </w:r>
    </w:p>
    <w:p w14:paraId="46991E17">
      <w:pPr>
        <w:pStyle w:val="19"/>
        <w:spacing w:line="240" w:lineRule="auto"/>
        <w:ind w:firstLine="480" w:firstLineChars="0"/>
        <w:rPr>
          <w:rFonts w:ascii="宋体" w:hAnsi="宋体"/>
          <w:color w:val="auto"/>
          <w:szCs w:val="21"/>
          <w:highlight w:val="none"/>
        </w:rPr>
      </w:pPr>
      <w:r>
        <w:rPr>
          <w:rFonts w:hint="eastAsia" w:ascii="宋体" w:hAnsi="宋体"/>
          <w:color w:val="auto"/>
          <w:szCs w:val="21"/>
          <w:highlight w:val="none"/>
        </w:rPr>
        <w:t>11.2</w:t>
      </w:r>
      <w:r>
        <w:rPr>
          <w:rFonts w:ascii="宋体" w:hAnsi="宋体"/>
          <w:color w:val="auto"/>
          <w:szCs w:val="21"/>
          <w:highlight w:val="none"/>
        </w:rPr>
        <w:t>因承包方原因工程质量达不到协议书约定的质量标准</w:t>
      </w:r>
      <w:r>
        <w:rPr>
          <w:rFonts w:hint="eastAsia" w:ascii="宋体" w:hAnsi="宋体"/>
          <w:color w:val="auto"/>
          <w:szCs w:val="21"/>
          <w:highlight w:val="none"/>
        </w:rPr>
        <w:t>、验收标准、取得项目所在地</w:t>
      </w:r>
      <w:r>
        <w:rPr>
          <w:rFonts w:hint="eastAsia" w:ascii="宋体" w:hAnsi="宋体"/>
          <w:bCs/>
          <w:color w:val="auto"/>
          <w:szCs w:val="21"/>
          <w:highlight w:val="none"/>
        </w:rPr>
        <w:t>所需受省级或地方行业部门现场监检</w:t>
      </w:r>
      <w:r>
        <w:rPr>
          <w:rFonts w:hint="eastAsia" w:ascii="宋体" w:hAnsi="宋体"/>
          <w:color w:val="auto"/>
          <w:szCs w:val="21"/>
          <w:highlight w:val="none"/>
        </w:rPr>
        <w:t>，则承包方负责无条件整改直至合格，所延误工期不予顺延，并承担由此造成发包方的一切损失。</w:t>
      </w:r>
    </w:p>
    <w:p w14:paraId="4D5BA065">
      <w:pPr>
        <w:ind w:firstLine="420" w:firstLineChars="200"/>
        <w:rPr>
          <w:rFonts w:ascii="宋体" w:hAnsi="宋体"/>
          <w:bCs/>
          <w:color w:val="auto"/>
          <w:szCs w:val="21"/>
          <w:highlight w:val="none"/>
        </w:rPr>
      </w:pPr>
      <w:r>
        <w:rPr>
          <w:rFonts w:hint="eastAsia" w:ascii="宋体" w:hAnsi="宋体"/>
          <w:bCs/>
          <w:color w:val="auto"/>
          <w:szCs w:val="21"/>
          <w:highlight w:val="none"/>
        </w:rPr>
        <w:t>11.3施工过程中承包方应做好发包方设备、设施的防护工作，如保护不当或为采用保护造成损坏，因此造成的直接或间接损失承包方应予以赔偿。</w:t>
      </w:r>
    </w:p>
    <w:p w14:paraId="5E80D6A5">
      <w:pPr>
        <w:ind w:firstLine="420" w:firstLineChars="200"/>
        <w:rPr>
          <w:rFonts w:ascii="宋体" w:hAnsi="宋体"/>
          <w:bCs/>
          <w:color w:val="auto"/>
          <w:szCs w:val="21"/>
          <w:highlight w:val="none"/>
        </w:rPr>
      </w:pPr>
      <w:r>
        <w:rPr>
          <w:rFonts w:hint="eastAsia" w:ascii="宋体" w:hAnsi="宋体"/>
          <w:bCs/>
          <w:color w:val="auto"/>
          <w:szCs w:val="21"/>
          <w:highlight w:val="none"/>
        </w:rPr>
        <w:t>11.4施工过程中达不到发包方或业主有关安全文明生产规定及违章作业，产生的安全罚款以及给发包方造成所有损失由承包方自行承担，由承包方自行缴纳，如承包方拒绝缴纳，发包方有权在合同总价中予以扣除。</w:t>
      </w:r>
    </w:p>
    <w:p w14:paraId="3AB43E29">
      <w:pPr>
        <w:ind w:firstLine="420" w:firstLineChars="200"/>
        <w:rPr>
          <w:rFonts w:ascii="宋体" w:hAnsi="宋体"/>
          <w:bCs/>
          <w:color w:val="auto"/>
          <w:szCs w:val="21"/>
          <w:highlight w:val="none"/>
        </w:rPr>
      </w:pPr>
      <w:r>
        <w:rPr>
          <w:rFonts w:hint="eastAsia" w:ascii="宋体" w:hAnsi="宋体"/>
          <w:bCs/>
          <w:color w:val="auto"/>
          <w:szCs w:val="21"/>
          <w:highlight w:val="none"/>
        </w:rPr>
        <w:t>11.5施工中不按发包方管理人员要求施工，按有关规定罚款，在总价中扣除。</w:t>
      </w:r>
    </w:p>
    <w:p w14:paraId="14FE9CFF">
      <w:pPr>
        <w:pStyle w:val="12"/>
        <w:ind w:left="0" w:leftChars="0" w:firstLine="413" w:firstLineChars="197"/>
        <w:rPr>
          <w:rFonts w:ascii="宋体" w:hAnsi="宋体"/>
          <w:bCs/>
          <w:color w:val="auto"/>
          <w:szCs w:val="21"/>
          <w:highlight w:val="none"/>
        </w:rPr>
      </w:pPr>
      <w:r>
        <w:rPr>
          <w:rFonts w:hint="eastAsia" w:ascii="宋体" w:hAnsi="宋体"/>
          <w:bCs/>
          <w:color w:val="auto"/>
          <w:szCs w:val="21"/>
          <w:highlight w:val="none"/>
        </w:rPr>
        <w:t>11.6因承包方原因解除合同时，发包方对承包方处以预付款双倍的违约金，且发包方有权决定是否接受属于承包方在现场的一切设施、设备、材料使用与本工程，并有进一步要求承包方索赔的权利。</w:t>
      </w:r>
    </w:p>
    <w:p w14:paraId="5097685C">
      <w:pPr>
        <w:pStyle w:val="13"/>
        <w:ind w:firstLine="420"/>
        <w:rPr>
          <w:rFonts w:hint="default" w:ascii="宋体" w:hAnsi="宋体"/>
          <w:bCs/>
          <w:color w:val="auto"/>
          <w:szCs w:val="21"/>
          <w:highlight w:val="none"/>
        </w:rPr>
      </w:pPr>
      <w:r>
        <w:rPr>
          <w:rFonts w:ascii="宋体" w:hAnsi="宋体"/>
          <w:bCs/>
          <w:color w:val="auto"/>
          <w:szCs w:val="21"/>
          <w:highlight w:val="none"/>
        </w:rPr>
        <w:t>11.7 合同生效后，承包方无法定理由不能单方提出终止合同，否则属单方面毁约，承包方毁约将给发包方造成巨大损失，因此除赔偿发包方全部损失外，还必须支付合同总价款 20 %的违约金。</w:t>
      </w:r>
    </w:p>
    <w:p w14:paraId="47838362">
      <w:pPr>
        <w:pStyle w:val="13"/>
        <w:ind w:firstLine="420"/>
        <w:rPr>
          <w:rFonts w:hint="default" w:ascii="宋体" w:hAnsi="宋体"/>
          <w:bCs/>
          <w:color w:val="auto"/>
          <w:szCs w:val="21"/>
          <w:highlight w:val="none"/>
        </w:rPr>
      </w:pPr>
      <w:r>
        <w:rPr>
          <w:rFonts w:ascii="宋体" w:hAnsi="宋体"/>
          <w:bCs/>
          <w:color w:val="auto"/>
          <w:szCs w:val="21"/>
          <w:highlight w:val="none"/>
        </w:rPr>
        <w:t xml:space="preserve">11.8 </w:t>
      </w:r>
      <w:r>
        <w:rPr>
          <w:rFonts w:asciiTheme="minorEastAsia" w:hAnsiTheme="minorEastAsia" w:eastAsiaTheme="minorEastAsia"/>
          <w:color w:val="auto"/>
          <w:szCs w:val="21"/>
          <w:highlight w:val="none"/>
        </w:rPr>
        <w:t>承包方无正当理由单方面变更或终止合同，发包方有权按本条款约定行使留置权，接收与本工程有关的属于承包方在现场的一切设施、材料、设备和器件。</w:t>
      </w:r>
    </w:p>
    <w:p w14:paraId="765AF62E">
      <w:pPr>
        <w:spacing w:line="276" w:lineRule="auto"/>
        <w:ind w:firstLine="420" w:firstLineChars="200"/>
        <w:rPr>
          <w:rFonts w:ascii="宋体" w:hAnsi="宋体"/>
          <w:b/>
          <w:bCs/>
          <w:color w:val="auto"/>
          <w:szCs w:val="21"/>
          <w:highlight w:val="none"/>
        </w:rPr>
      </w:pPr>
      <w:r>
        <w:rPr>
          <w:rFonts w:hint="eastAsia" w:ascii="宋体" w:hAnsi="宋体"/>
          <w:bCs/>
          <w:color w:val="auto"/>
          <w:szCs w:val="21"/>
          <w:highlight w:val="none"/>
        </w:rPr>
        <w:t xml:space="preserve">11.9 </w:t>
      </w:r>
      <w:r>
        <w:rPr>
          <w:rFonts w:hint="eastAsia" w:asciiTheme="minorEastAsia" w:hAnsiTheme="minorEastAsia" w:eastAsiaTheme="minorEastAsia"/>
          <w:color w:val="auto"/>
          <w:szCs w:val="21"/>
          <w:highlight w:val="none"/>
        </w:rPr>
        <w:t>承包方应当在第一时间内支付工人工资，否则因拖欠工资引发的上访、围攻政府或企业的全部责任由承包方承担；发包方可以根据需要代发工人工资，相应款项从承包方工程款中扣除，并可每次收取合同总价款5%的违约金。具体按附件4《农民工工资及管理要求》执行。</w:t>
      </w:r>
    </w:p>
    <w:p w14:paraId="6319DCEB">
      <w:pPr>
        <w:ind w:firstLine="413" w:firstLineChars="196"/>
        <w:rPr>
          <w:rFonts w:ascii="宋体" w:hAnsi="宋体"/>
          <w:b/>
          <w:bCs/>
          <w:color w:val="auto"/>
          <w:szCs w:val="21"/>
          <w:highlight w:val="none"/>
        </w:rPr>
      </w:pPr>
      <w:r>
        <w:rPr>
          <w:rFonts w:hint="eastAsia" w:ascii="宋体" w:hAnsi="宋体"/>
          <w:b/>
          <w:bCs/>
          <w:color w:val="auto"/>
          <w:szCs w:val="21"/>
          <w:highlight w:val="none"/>
        </w:rPr>
        <w:t>第十二条  合同纠纷解决方式</w:t>
      </w:r>
    </w:p>
    <w:p w14:paraId="519324EB">
      <w:pPr>
        <w:ind w:firstLine="424" w:firstLineChars="202"/>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发、承包双方在履行合同中发生纠纷，应友好协商解决，如协商不成，双方同意在发包方所在地人民法院申请诉讼，禁止采用示威、游行等非正常手段解决。如发生此类情况，承包方支付给发包方合同总价款30%的违约金且无条件接受政府部门的处理措施，单方面无条件安抚和解决问题。</w:t>
      </w:r>
    </w:p>
    <w:p w14:paraId="2B6992DC">
      <w:pPr>
        <w:ind w:firstLine="413" w:firstLineChars="196"/>
        <w:rPr>
          <w:rFonts w:hint="default" w:eastAsia="宋体"/>
          <w:color w:val="auto"/>
          <w:highlight w:val="none"/>
          <w:lang w:val="en-US" w:eastAsia="zh-CN"/>
        </w:rPr>
      </w:pPr>
      <w:r>
        <w:rPr>
          <w:rFonts w:hint="eastAsia" w:ascii="宋体" w:hAnsi="宋体"/>
          <w:b/>
          <w:bCs/>
          <w:color w:val="auto"/>
          <w:szCs w:val="21"/>
          <w:highlight w:val="none"/>
        </w:rPr>
        <w:t>第十</w:t>
      </w:r>
      <w:r>
        <w:rPr>
          <w:rFonts w:hint="eastAsia" w:ascii="宋体" w:hAnsi="宋体"/>
          <w:b/>
          <w:bCs/>
          <w:color w:val="auto"/>
          <w:szCs w:val="21"/>
          <w:highlight w:val="none"/>
          <w:lang w:val="en-US" w:eastAsia="zh-CN"/>
        </w:rPr>
        <w:t>三</w:t>
      </w:r>
      <w:r>
        <w:rPr>
          <w:rFonts w:hint="eastAsia" w:ascii="宋体" w:hAnsi="宋体"/>
          <w:b/>
          <w:bCs/>
          <w:color w:val="auto"/>
          <w:szCs w:val="21"/>
          <w:highlight w:val="none"/>
        </w:rPr>
        <w:t xml:space="preserve">条  </w:t>
      </w:r>
      <w:r>
        <w:rPr>
          <w:rFonts w:hint="eastAsia" w:ascii="宋体" w:hAnsi="宋体"/>
          <w:b/>
          <w:bCs/>
          <w:color w:val="auto"/>
          <w:szCs w:val="21"/>
          <w:highlight w:val="none"/>
          <w:lang w:val="en-US" w:eastAsia="zh-CN"/>
        </w:rPr>
        <w:t>履约担保</w:t>
      </w:r>
    </w:p>
    <w:p w14:paraId="5698E7F1">
      <w:pPr>
        <w:ind w:firstLine="371" w:firstLineChars="177"/>
        <w:rPr>
          <w:rFonts w:hint="eastAsia" w:asciiTheme="minorEastAsia" w:hAnsiTheme="minorEastAsia" w:eastAsiaTheme="minorEastAsia"/>
          <w:color w:val="auto"/>
          <w:szCs w:val="21"/>
          <w:highlight w:val="none"/>
        </w:rPr>
      </w:pPr>
      <w:r>
        <w:rPr>
          <w:rFonts w:hint="eastAsia" w:ascii="宋体" w:hAnsi="宋体"/>
          <w:color w:val="auto"/>
          <w:szCs w:val="21"/>
          <w:highlight w:val="none"/>
        </w:rPr>
        <w:t xml:space="preserve">本合同的履约担保金额为人民币￥ </w:t>
      </w:r>
      <w:r>
        <w:rPr>
          <w:rFonts w:hint="eastAsia" w:ascii="宋体" w:hAnsi="宋体"/>
          <w:color w:val="auto"/>
          <w:szCs w:val="21"/>
          <w:highlight w:val="none"/>
          <w:lang w:val="en-US" w:eastAsia="zh-CN"/>
        </w:rPr>
        <w:t>13000</w:t>
      </w:r>
      <w:r>
        <w:rPr>
          <w:rFonts w:hint="eastAsia" w:ascii="宋体" w:hAnsi="宋体"/>
          <w:color w:val="auto"/>
          <w:szCs w:val="21"/>
          <w:highlight w:val="none"/>
        </w:rPr>
        <w:t>元 （大写：</w:t>
      </w:r>
      <w:r>
        <w:rPr>
          <w:rFonts w:hint="eastAsia" w:ascii="宋体" w:hAnsi="宋体"/>
          <w:color w:val="auto"/>
          <w:szCs w:val="21"/>
          <w:highlight w:val="none"/>
          <w:lang w:val="en-US" w:eastAsia="zh-CN"/>
        </w:rPr>
        <w:t>壹万叁仟</w:t>
      </w:r>
      <w:r>
        <w:rPr>
          <w:rFonts w:hint="eastAsia" w:ascii="宋体" w:hAnsi="宋体"/>
          <w:color w:val="auto"/>
          <w:szCs w:val="21"/>
          <w:highlight w:val="none"/>
        </w:rPr>
        <w:t>元整），由</w:t>
      </w:r>
      <w:r>
        <w:rPr>
          <w:rFonts w:hint="eastAsia" w:ascii="宋体" w:hAnsi="宋体"/>
          <w:color w:val="auto"/>
          <w:szCs w:val="21"/>
          <w:highlight w:val="none"/>
          <w:lang w:val="en-US" w:eastAsia="zh-CN"/>
        </w:rPr>
        <w:t>承包</w:t>
      </w:r>
      <w:r>
        <w:rPr>
          <w:rFonts w:hint="eastAsia" w:ascii="宋体" w:hAnsi="宋体"/>
          <w:color w:val="auto"/>
          <w:szCs w:val="21"/>
          <w:highlight w:val="none"/>
        </w:rPr>
        <w:t>方所缴纳的响应保证金转化。履约担保期限从合同签订之日起至项目竣工验收合格后一个月后保持有效；</w:t>
      </w:r>
      <w:r>
        <w:rPr>
          <w:rFonts w:hint="eastAsia" w:ascii="宋体" w:hAnsi="宋体"/>
          <w:color w:val="auto"/>
          <w:szCs w:val="21"/>
          <w:highlight w:val="none"/>
          <w:lang w:val="en-US" w:eastAsia="zh-CN"/>
        </w:rPr>
        <w:t>承包方</w:t>
      </w:r>
      <w:r>
        <w:rPr>
          <w:rFonts w:hint="eastAsia" w:ascii="宋体" w:hAnsi="宋体"/>
          <w:color w:val="auto"/>
          <w:szCs w:val="21"/>
          <w:highlight w:val="none"/>
        </w:rPr>
        <w:t>在本合同项下的义务全部履行完毕，且经</w:t>
      </w:r>
      <w:r>
        <w:rPr>
          <w:rFonts w:hint="eastAsia" w:ascii="宋体" w:hAnsi="宋体"/>
          <w:color w:val="auto"/>
          <w:szCs w:val="21"/>
          <w:highlight w:val="none"/>
          <w:lang w:val="en-US" w:eastAsia="zh-CN"/>
        </w:rPr>
        <w:t>发包方</w:t>
      </w:r>
      <w:r>
        <w:rPr>
          <w:rFonts w:hint="eastAsia" w:ascii="宋体" w:hAnsi="宋体"/>
          <w:color w:val="auto"/>
          <w:szCs w:val="21"/>
          <w:highlight w:val="none"/>
        </w:rPr>
        <w:t>验收合格（或者视同验收合格），</w:t>
      </w:r>
      <w:r>
        <w:rPr>
          <w:rFonts w:hint="eastAsia" w:ascii="宋体" w:hAnsi="宋体"/>
          <w:color w:val="auto"/>
          <w:szCs w:val="21"/>
          <w:highlight w:val="none"/>
          <w:lang w:val="en-US" w:eastAsia="zh-CN"/>
        </w:rPr>
        <w:t>承包方</w:t>
      </w:r>
      <w:r>
        <w:rPr>
          <w:rFonts w:hint="eastAsia" w:ascii="宋体" w:hAnsi="宋体"/>
          <w:color w:val="auto"/>
          <w:szCs w:val="21"/>
          <w:highlight w:val="none"/>
        </w:rPr>
        <w:t>向</w:t>
      </w:r>
      <w:r>
        <w:rPr>
          <w:rFonts w:hint="eastAsia" w:ascii="宋体" w:hAnsi="宋体"/>
          <w:color w:val="auto"/>
          <w:szCs w:val="21"/>
          <w:highlight w:val="none"/>
          <w:lang w:val="en-US" w:eastAsia="zh-CN"/>
        </w:rPr>
        <w:t>发包方</w:t>
      </w:r>
      <w:r>
        <w:rPr>
          <w:rFonts w:hint="eastAsia" w:ascii="宋体" w:hAnsi="宋体"/>
          <w:color w:val="auto"/>
          <w:szCs w:val="21"/>
          <w:highlight w:val="none"/>
        </w:rPr>
        <w:t>提供履约保证金退还申请书，</w:t>
      </w:r>
      <w:r>
        <w:rPr>
          <w:rFonts w:hint="eastAsia" w:ascii="宋体" w:hAnsi="宋体"/>
          <w:color w:val="auto"/>
          <w:szCs w:val="21"/>
          <w:highlight w:val="none"/>
          <w:lang w:val="en-US" w:eastAsia="zh-CN"/>
        </w:rPr>
        <w:t>发包方</w:t>
      </w:r>
      <w:r>
        <w:rPr>
          <w:rFonts w:hint="eastAsia" w:ascii="宋体" w:hAnsi="宋体"/>
          <w:color w:val="auto"/>
          <w:szCs w:val="21"/>
          <w:highlight w:val="none"/>
        </w:rPr>
        <w:t>审核无误后五个工作日内无息退还。若</w:t>
      </w:r>
      <w:r>
        <w:rPr>
          <w:rFonts w:hint="eastAsia" w:ascii="宋体" w:hAnsi="宋体"/>
          <w:color w:val="auto"/>
          <w:szCs w:val="21"/>
          <w:highlight w:val="none"/>
          <w:lang w:val="en-US" w:eastAsia="zh-CN"/>
        </w:rPr>
        <w:t>承包方</w:t>
      </w:r>
      <w:r>
        <w:rPr>
          <w:rFonts w:hint="eastAsia" w:ascii="宋体" w:hAnsi="宋体"/>
          <w:color w:val="auto"/>
          <w:szCs w:val="21"/>
          <w:highlight w:val="none"/>
        </w:rPr>
        <w:t>不履行合同或者履行不符合合同约定或者有任何其他违约行为，</w:t>
      </w:r>
      <w:r>
        <w:rPr>
          <w:rFonts w:hint="eastAsia" w:ascii="宋体" w:hAnsi="宋体"/>
          <w:color w:val="auto"/>
          <w:szCs w:val="21"/>
          <w:highlight w:val="none"/>
          <w:lang w:val="en-US" w:eastAsia="zh-CN"/>
        </w:rPr>
        <w:t>发包方</w:t>
      </w:r>
      <w:r>
        <w:rPr>
          <w:rFonts w:hint="eastAsia" w:ascii="宋体" w:hAnsi="宋体"/>
          <w:color w:val="auto"/>
          <w:szCs w:val="21"/>
          <w:highlight w:val="none"/>
        </w:rPr>
        <w:t>有权扣除</w:t>
      </w:r>
      <w:r>
        <w:rPr>
          <w:rFonts w:hint="eastAsia" w:ascii="宋体" w:hAnsi="宋体"/>
          <w:color w:val="auto"/>
          <w:szCs w:val="21"/>
          <w:highlight w:val="none"/>
          <w:lang w:val="en-US" w:eastAsia="zh-CN"/>
        </w:rPr>
        <w:t>承包方</w:t>
      </w:r>
      <w:r>
        <w:rPr>
          <w:rFonts w:hint="eastAsia" w:ascii="宋体" w:hAnsi="宋体"/>
          <w:color w:val="auto"/>
          <w:szCs w:val="21"/>
          <w:highlight w:val="none"/>
        </w:rPr>
        <w:t>履约保证金，</w:t>
      </w:r>
      <w:r>
        <w:rPr>
          <w:rFonts w:hint="eastAsia" w:ascii="宋体" w:hAnsi="宋体"/>
          <w:color w:val="auto"/>
          <w:szCs w:val="21"/>
          <w:highlight w:val="none"/>
          <w:lang w:val="en-US" w:eastAsia="zh-CN"/>
        </w:rPr>
        <w:t>发包方</w:t>
      </w:r>
      <w:r>
        <w:rPr>
          <w:rFonts w:hint="eastAsia" w:ascii="宋体" w:hAnsi="宋体"/>
          <w:color w:val="auto"/>
          <w:szCs w:val="21"/>
          <w:highlight w:val="none"/>
        </w:rPr>
        <w:t>暂扣的履约保证金金额不足以扣除违约赔偿费用的，</w:t>
      </w:r>
      <w:r>
        <w:rPr>
          <w:rFonts w:hint="eastAsia" w:ascii="宋体" w:hAnsi="宋体"/>
          <w:color w:val="auto"/>
          <w:szCs w:val="21"/>
          <w:highlight w:val="none"/>
          <w:lang w:val="en-US" w:eastAsia="zh-CN"/>
        </w:rPr>
        <w:t>发包方</w:t>
      </w:r>
      <w:r>
        <w:rPr>
          <w:rFonts w:hint="eastAsia" w:ascii="宋体" w:hAnsi="宋体"/>
          <w:color w:val="auto"/>
          <w:szCs w:val="21"/>
          <w:highlight w:val="none"/>
        </w:rPr>
        <w:t>有权在</w:t>
      </w:r>
      <w:r>
        <w:rPr>
          <w:rFonts w:hint="eastAsia" w:ascii="宋体" w:hAnsi="宋体"/>
          <w:color w:val="auto"/>
          <w:szCs w:val="21"/>
          <w:highlight w:val="none"/>
          <w:lang w:val="en-US" w:eastAsia="zh-CN"/>
        </w:rPr>
        <w:t>承包方</w:t>
      </w:r>
      <w:r>
        <w:rPr>
          <w:rFonts w:hint="eastAsia" w:ascii="宋体" w:hAnsi="宋体"/>
          <w:color w:val="auto"/>
          <w:szCs w:val="21"/>
          <w:highlight w:val="none"/>
        </w:rPr>
        <w:t>的结算款中扣除或由</w:t>
      </w:r>
      <w:r>
        <w:rPr>
          <w:rFonts w:hint="eastAsia" w:ascii="宋体" w:hAnsi="宋体"/>
          <w:color w:val="auto"/>
          <w:szCs w:val="21"/>
          <w:highlight w:val="none"/>
          <w:lang w:val="en-US" w:eastAsia="zh-CN"/>
        </w:rPr>
        <w:t>承包方</w:t>
      </w:r>
      <w:r>
        <w:rPr>
          <w:rFonts w:hint="eastAsia" w:ascii="宋体" w:hAnsi="宋体"/>
          <w:color w:val="auto"/>
          <w:szCs w:val="21"/>
          <w:highlight w:val="none"/>
        </w:rPr>
        <w:t>自行补足，</w:t>
      </w:r>
      <w:r>
        <w:rPr>
          <w:rFonts w:hint="eastAsia" w:ascii="宋体" w:hAnsi="宋体"/>
          <w:color w:val="auto"/>
          <w:szCs w:val="21"/>
          <w:highlight w:val="none"/>
          <w:lang w:val="en-US" w:eastAsia="zh-CN"/>
        </w:rPr>
        <w:t>发包方</w:t>
      </w:r>
      <w:r>
        <w:rPr>
          <w:rFonts w:hint="eastAsia" w:ascii="宋体" w:hAnsi="宋体"/>
          <w:color w:val="auto"/>
          <w:szCs w:val="21"/>
          <w:highlight w:val="none"/>
        </w:rPr>
        <w:t>在扣除该笔违约赔偿费用前书面通知</w:t>
      </w:r>
      <w:r>
        <w:rPr>
          <w:rFonts w:hint="eastAsia" w:ascii="宋体" w:hAnsi="宋体"/>
          <w:color w:val="auto"/>
          <w:szCs w:val="21"/>
          <w:highlight w:val="none"/>
          <w:lang w:val="en-US" w:eastAsia="zh-CN"/>
        </w:rPr>
        <w:t>承包方</w:t>
      </w:r>
      <w:r>
        <w:rPr>
          <w:rFonts w:hint="eastAsia" w:ascii="宋体" w:hAnsi="宋体"/>
          <w:color w:val="auto"/>
          <w:szCs w:val="21"/>
          <w:highlight w:val="none"/>
        </w:rPr>
        <w:t>。</w:t>
      </w:r>
    </w:p>
    <w:p w14:paraId="062DE70D">
      <w:pPr>
        <w:ind w:firstLine="422" w:firstLineChars="200"/>
        <w:rPr>
          <w:rFonts w:ascii="宋体" w:hAnsi="宋体"/>
          <w:bCs/>
          <w:color w:val="auto"/>
          <w:szCs w:val="21"/>
          <w:highlight w:val="none"/>
          <w:u w:val="single"/>
        </w:rPr>
      </w:pPr>
      <w:r>
        <w:rPr>
          <w:rFonts w:hint="eastAsia" w:ascii="宋体" w:hAnsi="宋体"/>
          <w:b/>
          <w:bCs/>
          <w:color w:val="auto"/>
          <w:szCs w:val="21"/>
          <w:highlight w:val="none"/>
        </w:rPr>
        <w:t>第十</w:t>
      </w:r>
      <w:r>
        <w:rPr>
          <w:rFonts w:hint="eastAsia" w:ascii="宋体" w:hAnsi="宋体"/>
          <w:b/>
          <w:bCs/>
          <w:color w:val="auto"/>
          <w:szCs w:val="21"/>
          <w:highlight w:val="none"/>
          <w:lang w:val="en-US" w:eastAsia="zh-CN"/>
        </w:rPr>
        <w:t>四</w:t>
      </w:r>
      <w:r>
        <w:rPr>
          <w:rFonts w:hint="eastAsia" w:ascii="宋体" w:hAnsi="宋体"/>
          <w:b/>
          <w:bCs/>
          <w:color w:val="auto"/>
          <w:szCs w:val="21"/>
          <w:highlight w:val="none"/>
        </w:rPr>
        <w:t xml:space="preserve">条  </w:t>
      </w:r>
      <w:r>
        <w:rPr>
          <w:rFonts w:hint="eastAsia" w:ascii="宋体" w:hAnsi="宋体"/>
          <w:b/>
          <w:bCs/>
          <w:color w:val="auto"/>
          <w:spacing w:val="10"/>
          <w:szCs w:val="21"/>
          <w:highlight w:val="none"/>
        </w:rPr>
        <w:t>其他事宜</w:t>
      </w:r>
    </w:p>
    <w:p w14:paraId="3CA75167">
      <w:pPr>
        <w:pStyle w:val="66"/>
        <w:spacing w:before="0" w:after="0"/>
        <w:ind w:left="359" w:leftChars="171" w:right="45" w:firstLine="105" w:firstLineChars="50"/>
        <w:rPr>
          <w:rFonts w:ascii="宋体" w:hAnsi="宋体"/>
          <w:bCs/>
          <w:color w:val="auto"/>
          <w:sz w:val="21"/>
          <w:szCs w:val="21"/>
          <w:highlight w:val="none"/>
        </w:rPr>
      </w:pPr>
      <w:r>
        <w:rPr>
          <w:rFonts w:hint="eastAsia" w:ascii="宋体" w:hAnsi="宋体"/>
          <w:bCs/>
          <w:color w:val="auto"/>
          <w:sz w:val="21"/>
          <w:szCs w:val="21"/>
          <w:highlight w:val="none"/>
        </w:rPr>
        <w:t>1</w:t>
      </w:r>
      <w:r>
        <w:rPr>
          <w:rFonts w:hint="eastAsia" w:ascii="宋体" w:hAnsi="宋体"/>
          <w:bCs/>
          <w:color w:val="auto"/>
          <w:sz w:val="21"/>
          <w:szCs w:val="21"/>
          <w:highlight w:val="none"/>
          <w:lang w:val="en-US" w:eastAsia="zh-CN"/>
        </w:rPr>
        <w:t>4</w:t>
      </w:r>
      <w:r>
        <w:rPr>
          <w:rFonts w:hint="eastAsia" w:ascii="宋体" w:hAnsi="宋体"/>
          <w:bCs/>
          <w:color w:val="auto"/>
          <w:sz w:val="21"/>
          <w:szCs w:val="21"/>
          <w:highlight w:val="none"/>
        </w:rPr>
        <w:t>.1发包方向承包方提供的有关现场的资料和数据，是发包方现有的能使承包方利用的资料，发包方对承包方由此而作出的推论、理解和结论概不负责。</w:t>
      </w:r>
    </w:p>
    <w:p w14:paraId="56448BE1">
      <w:pPr>
        <w:pStyle w:val="66"/>
        <w:spacing w:before="0" w:after="0"/>
        <w:ind w:left="359" w:leftChars="171" w:right="45" w:firstLine="105" w:firstLineChars="50"/>
        <w:rPr>
          <w:rFonts w:ascii="宋体" w:hAnsi="宋体" w:eastAsiaTheme="minorEastAsia"/>
          <w:bCs/>
          <w:color w:val="auto"/>
          <w:sz w:val="21"/>
          <w:szCs w:val="21"/>
          <w:highlight w:val="none"/>
        </w:rPr>
      </w:pPr>
      <w:r>
        <w:rPr>
          <w:rFonts w:hint="eastAsia" w:ascii="宋体" w:hAnsi="宋体"/>
          <w:bCs/>
          <w:color w:val="auto"/>
          <w:sz w:val="21"/>
          <w:szCs w:val="21"/>
          <w:highlight w:val="none"/>
        </w:rPr>
        <w:t>1</w:t>
      </w:r>
      <w:r>
        <w:rPr>
          <w:rFonts w:hint="eastAsia" w:ascii="宋体" w:hAnsi="宋体"/>
          <w:bCs/>
          <w:color w:val="auto"/>
          <w:sz w:val="21"/>
          <w:szCs w:val="21"/>
          <w:highlight w:val="none"/>
          <w:lang w:val="en-US" w:eastAsia="zh-CN"/>
        </w:rPr>
        <w:t>4</w:t>
      </w:r>
      <w:r>
        <w:rPr>
          <w:rFonts w:hint="eastAsia" w:ascii="宋体" w:hAnsi="宋体"/>
          <w:bCs/>
          <w:color w:val="auto"/>
          <w:sz w:val="21"/>
          <w:szCs w:val="21"/>
          <w:highlight w:val="none"/>
        </w:rPr>
        <w:t>.2</w:t>
      </w:r>
      <w:r>
        <w:rPr>
          <w:rFonts w:hint="eastAsia" w:asciiTheme="minorEastAsia" w:hAnsiTheme="minorEastAsia" w:eastAsiaTheme="minorEastAsia"/>
          <w:color w:val="auto"/>
          <w:sz w:val="21"/>
          <w:szCs w:val="21"/>
          <w:highlight w:val="none"/>
        </w:rPr>
        <w:t>承包方应在踏勘工程现场时，熟悉施工现场及周围交通道路等情况，仔细检查现有的建筑物以及可作为储存和施工用途的空间，以获得一切可能影响投标报价的直接资料。成交后，不得以不完全了解现场情况为理由而提出额外付款或延长竣工日期等索赔的要求。对此类要求，发包方将不作任何答复与考虑。</w:t>
      </w:r>
    </w:p>
    <w:p w14:paraId="1F88A6A1">
      <w:pPr>
        <w:pStyle w:val="66"/>
        <w:spacing w:before="0" w:after="0"/>
        <w:ind w:left="359" w:leftChars="171" w:right="45" w:firstLine="105" w:firstLineChars="50"/>
        <w:rPr>
          <w:rFonts w:ascii="宋体" w:hAnsi="宋体"/>
          <w:i/>
          <w:color w:val="auto"/>
          <w:spacing w:val="10"/>
          <w:sz w:val="24"/>
          <w:highlight w:val="none"/>
        </w:rPr>
      </w:pPr>
      <w:r>
        <w:rPr>
          <w:rFonts w:hint="eastAsia" w:ascii="宋体" w:hAnsi="宋体"/>
          <w:bCs/>
          <w:color w:val="auto"/>
          <w:sz w:val="21"/>
          <w:szCs w:val="21"/>
          <w:highlight w:val="none"/>
        </w:rPr>
        <w:t>1</w:t>
      </w:r>
      <w:r>
        <w:rPr>
          <w:rFonts w:hint="eastAsia" w:ascii="宋体" w:hAnsi="宋体"/>
          <w:bCs/>
          <w:color w:val="auto"/>
          <w:sz w:val="21"/>
          <w:szCs w:val="21"/>
          <w:highlight w:val="none"/>
          <w:lang w:val="en-US" w:eastAsia="zh-CN"/>
        </w:rPr>
        <w:t>4</w:t>
      </w:r>
      <w:r>
        <w:rPr>
          <w:rFonts w:hint="eastAsia" w:ascii="宋体" w:hAnsi="宋体"/>
          <w:bCs/>
          <w:color w:val="auto"/>
          <w:sz w:val="21"/>
          <w:szCs w:val="21"/>
          <w:highlight w:val="none"/>
        </w:rPr>
        <w:t>.3本合同自双方签字盖章后生效。</w:t>
      </w:r>
      <w:r>
        <w:rPr>
          <w:rFonts w:hint="eastAsia" w:ascii="宋体" w:hAnsi="宋体"/>
          <w:color w:val="auto"/>
          <w:sz w:val="21"/>
          <w:szCs w:val="21"/>
          <w:highlight w:val="none"/>
        </w:rPr>
        <w:t>本合同一式</w:t>
      </w:r>
      <w:r>
        <w:rPr>
          <w:rFonts w:hint="eastAsia" w:ascii="宋体" w:hAnsi="宋体"/>
          <w:color w:val="auto"/>
          <w:sz w:val="21"/>
          <w:szCs w:val="21"/>
          <w:highlight w:val="none"/>
          <w:u w:val="single"/>
        </w:rPr>
        <w:t>四</w:t>
      </w:r>
      <w:r>
        <w:rPr>
          <w:rFonts w:hint="eastAsia" w:ascii="宋体" w:hAnsi="宋体"/>
          <w:color w:val="auto"/>
          <w:sz w:val="21"/>
          <w:szCs w:val="21"/>
          <w:highlight w:val="none"/>
        </w:rPr>
        <w:t>份，双方各执</w:t>
      </w:r>
      <w:r>
        <w:rPr>
          <w:rFonts w:hint="eastAsia" w:ascii="宋体" w:hAnsi="宋体"/>
          <w:color w:val="auto"/>
          <w:sz w:val="21"/>
          <w:szCs w:val="21"/>
          <w:highlight w:val="none"/>
          <w:u w:val="single"/>
        </w:rPr>
        <w:t>两</w:t>
      </w:r>
      <w:r>
        <w:rPr>
          <w:rFonts w:hint="eastAsia" w:ascii="宋体" w:hAnsi="宋体"/>
          <w:color w:val="auto"/>
          <w:sz w:val="21"/>
          <w:szCs w:val="21"/>
          <w:highlight w:val="none"/>
        </w:rPr>
        <w:t>份</w:t>
      </w:r>
      <w:r>
        <w:rPr>
          <w:rFonts w:hint="eastAsia" w:ascii="宋体" w:hAnsi="宋体"/>
          <w:color w:val="auto"/>
          <w:spacing w:val="10"/>
          <w:sz w:val="21"/>
          <w:szCs w:val="21"/>
          <w:highlight w:val="none"/>
        </w:rPr>
        <w:t>。</w:t>
      </w:r>
      <w:r>
        <w:rPr>
          <w:rFonts w:ascii="宋体" w:hAnsi="宋体"/>
          <w:color w:val="auto"/>
          <w:spacing w:val="10"/>
          <w:sz w:val="21"/>
          <w:szCs w:val="21"/>
          <w:highlight w:val="none"/>
        </w:rPr>
        <w:t>  </w:t>
      </w:r>
      <w:r>
        <w:rPr>
          <w:rFonts w:ascii="宋体" w:hAnsi="宋体"/>
          <w:color w:val="auto"/>
          <w:spacing w:val="10"/>
          <w:highlight w:val="none"/>
        </w:rPr>
        <w:t xml:space="preserve"> </w:t>
      </w:r>
    </w:p>
    <w:p w14:paraId="69F075A2">
      <w:pPr>
        <w:spacing w:line="360" w:lineRule="auto"/>
        <w:ind w:firstLine="520" w:firstLineChars="200"/>
        <w:rPr>
          <w:rFonts w:hint="eastAsia" w:ascii="宋体" w:hAnsi="宋体"/>
          <w:i/>
          <w:color w:val="auto"/>
          <w:spacing w:val="10"/>
          <w:sz w:val="24"/>
          <w:highlight w:val="none"/>
        </w:rPr>
      </w:pPr>
    </w:p>
    <w:p w14:paraId="25D61850">
      <w:pPr>
        <w:spacing w:line="360" w:lineRule="auto"/>
        <w:ind w:firstLine="520" w:firstLineChars="200"/>
        <w:rPr>
          <w:rFonts w:hint="eastAsia" w:ascii="宋体" w:hAnsi="宋体"/>
          <w:i/>
          <w:color w:val="auto"/>
          <w:spacing w:val="10"/>
          <w:sz w:val="24"/>
          <w:highlight w:val="none"/>
        </w:rPr>
      </w:pPr>
    </w:p>
    <w:p w14:paraId="2E627410">
      <w:pPr>
        <w:spacing w:line="360" w:lineRule="auto"/>
        <w:ind w:firstLine="520" w:firstLineChars="200"/>
        <w:rPr>
          <w:rFonts w:hint="eastAsia" w:ascii="宋体" w:hAnsi="宋体"/>
          <w:i/>
          <w:color w:val="auto"/>
          <w:spacing w:val="10"/>
          <w:sz w:val="24"/>
          <w:highlight w:val="none"/>
        </w:rPr>
      </w:pPr>
    </w:p>
    <w:p w14:paraId="3E6EBBFF">
      <w:pPr>
        <w:spacing w:line="360" w:lineRule="auto"/>
        <w:ind w:firstLine="520" w:firstLineChars="200"/>
        <w:rPr>
          <w:rFonts w:hint="eastAsia" w:ascii="宋体" w:hAnsi="宋体"/>
          <w:i/>
          <w:color w:val="auto"/>
          <w:spacing w:val="10"/>
          <w:sz w:val="24"/>
          <w:highlight w:val="none"/>
        </w:rPr>
      </w:pPr>
    </w:p>
    <w:p w14:paraId="5C6FB5BE">
      <w:pPr>
        <w:pStyle w:val="10"/>
        <w:rPr>
          <w:rFonts w:hint="eastAsia"/>
          <w:color w:val="auto"/>
          <w:highlight w:val="none"/>
        </w:rPr>
      </w:pPr>
    </w:p>
    <w:p w14:paraId="62D29868">
      <w:pPr>
        <w:spacing w:line="360" w:lineRule="auto"/>
        <w:ind w:firstLine="520" w:firstLineChars="200"/>
        <w:rPr>
          <w:rFonts w:hint="eastAsia" w:ascii="宋体" w:hAnsi="宋体"/>
          <w:i/>
          <w:color w:val="auto"/>
          <w:spacing w:val="10"/>
          <w:sz w:val="24"/>
          <w:highlight w:val="none"/>
        </w:rPr>
      </w:pPr>
    </w:p>
    <w:p w14:paraId="4E71DBAB">
      <w:pPr>
        <w:spacing w:line="360" w:lineRule="auto"/>
        <w:ind w:firstLine="520" w:firstLineChars="200"/>
        <w:rPr>
          <w:rFonts w:hint="eastAsia" w:ascii="宋体" w:hAnsi="宋体"/>
          <w:i/>
          <w:color w:val="auto"/>
          <w:spacing w:val="10"/>
          <w:sz w:val="24"/>
          <w:highlight w:val="none"/>
        </w:rPr>
      </w:pPr>
    </w:p>
    <w:p w14:paraId="6F0FA461">
      <w:pPr>
        <w:spacing w:line="360" w:lineRule="auto"/>
        <w:ind w:firstLine="520" w:firstLineChars="200"/>
        <w:rPr>
          <w:rFonts w:ascii="宋体" w:hAnsi="宋体"/>
          <w:i/>
          <w:color w:val="auto"/>
          <w:spacing w:val="10"/>
          <w:sz w:val="24"/>
          <w:highlight w:val="none"/>
        </w:rPr>
      </w:pPr>
      <w:r>
        <w:rPr>
          <w:rFonts w:hint="eastAsia" w:ascii="宋体" w:hAnsi="宋体"/>
          <w:i/>
          <w:color w:val="auto"/>
          <w:spacing w:val="10"/>
          <w:sz w:val="24"/>
          <w:highlight w:val="none"/>
        </w:rPr>
        <w:t>（本页为签字页无正文）</w:t>
      </w:r>
    </w:p>
    <w:p w14:paraId="111B4888">
      <w:pPr>
        <w:spacing w:line="360" w:lineRule="auto"/>
        <w:rPr>
          <w:rFonts w:ascii="宋体" w:hAnsi="宋体"/>
          <w:color w:val="auto"/>
          <w:spacing w:val="10"/>
          <w:sz w:val="24"/>
          <w:highlight w:val="none"/>
        </w:rPr>
      </w:pPr>
    </w:p>
    <w:p w14:paraId="1973FCA5">
      <w:pPr>
        <w:snapToGrid w:val="0"/>
        <w:spacing w:after="314" w:afterLines="100"/>
        <w:ind w:firstLine="331" w:firstLineChars="150"/>
        <w:rPr>
          <w:rFonts w:ascii="宋体" w:hAnsi="宋体"/>
          <w:b/>
          <w:color w:val="auto"/>
          <w:sz w:val="22"/>
          <w:szCs w:val="22"/>
          <w:highlight w:val="none"/>
        </w:rPr>
      </w:pPr>
      <w:r>
        <w:rPr>
          <w:rFonts w:hint="eastAsia" w:ascii="宋体" w:hAnsi="宋体"/>
          <w:b/>
          <w:color w:val="auto"/>
          <w:sz w:val="22"/>
          <w:szCs w:val="22"/>
          <w:highlight w:val="none"/>
        </w:rPr>
        <w:t xml:space="preserve">发包方: 阳江开能环保能源有限公司        承包方: </w:t>
      </w:r>
    </w:p>
    <w:p w14:paraId="13664181">
      <w:pPr>
        <w:snapToGrid w:val="0"/>
        <w:spacing w:after="314" w:afterLines="100"/>
        <w:ind w:left="4965" w:leftChars="208" w:hanging="4528" w:hangingChars="2050"/>
        <w:rPr>
          <w:rFonts w:ascii="宋体" w:hAnsi="宋体"/>
          <w:b/>
          <w:color w:val="auto"/>
          <w:sz w:val="22"/>
          <w:szCs w:val="22"/>
          <w:highlight w:val="none"/>
        </w:rPr>
      </w:pPr>
      <w:r>
        <w:rPr>
          <w:rFonts w:hint="eastAsia" w:ascii="宋体" w:hAnsi="宋体"/>
          <w:b/>
          <w:color w:val="auto"/>
          <w:sz w:val="22"/>
          <w:szCs w:val="22"/>
          <w:highlight w:val="none"/>
        </w:rPr>
        <w:t>地址：阳江高新区港口工业园海港二横路1号 地址：</w:t>
      </w:r>
    </w:p>
    <w:p w14:paraId="19D9F441">
      <w:pPr>
        <w:snapToGrid w:val="0"/>
        <w:spacing w:after="314" w:afterLines="100"/>
        <w:ind w:firstLine="331" w:firstLineChars="150"/>
        <w:rPr>
          <w:rFonts w:ascii="宋体" w:hAnsi="宋体"/>
          <w:b/>
          <w:color w:val="auto"/>
          <w:sz w:val="22"/>
          <w:szCs w:val="22"/>
          <w:highlight w:val="none"/>
        </w:rPr>
      </w:pPr>
      <w:r>
        <w:rPr>
          <w:rFonts w:hint="eastAsia" w:ascii="宋体" w:hAnsi="宋体"/>
          <w:b/>
          <w:color w:val="auto"/>
          <w:sz w:val="22"/>
          <w:szCs w:val="22"/>
          <w:highlight w:val="none"/>
        </w:rPr>
        <w:t>法定代表人或                           法定代表人或</w:t>
      </w:r>
    </w:p>
    <w:p w14:paraId="34DFC196">
      <w:pPr>
        <w:snapToGrid w:val="0"/>
        <w:spacing w:after="314" w:afterLines="100"/>
        <w:ind w:firstLine="331" w:firstLineChars="150"/>
        <w:rPr>
          <w:rFonts w:ascii="宋体" w:hAnsi="宋体"/>
          <w:b/>
          <w:color w:val="auto"/>
          <w:sz w:val="22"/>
          <w:szCs w:val="22"/>
          <w:highlight w:val="none"/>
        </w:rPr>
      </w:pPr>
      <w:r>
        <w:rPr>
          <w:rFonts w:hint="eastAsia" w:ascii="宋体" w:hAnsi="宋体"/>
          <w:b/>
          <w:color w:val="auto"/>
          <w:sz w:val="22"/>
          <w:szCs w:val="22"/>
          <w:highlight w:val="none"/>
        </w:rPr>
        <w:t>委托代表人：                           委托代表人：</w:t>
      </w:r>
    </w:p>
    <w:p w14:paraId="79B1AE49">
      <w:pPr>
        <w:pStyle w:val="10"/>
        <w:rPr>
          <w:rFonts w:ascii="宋体" w:hAnsi="宋体"/>
          <w:b/>
          <w:color w:val="auto"/>
          <w:sz w:val="22"/>
          <w:szCs w:val="22"/>
          <w:highlight w:val="none"/>
        </w:rPr>
      </w:pPr>
    </w:p>
    <w:p w14:paraId="4D5E7C17">
      <w:pPr>
        <w:pStyle w:val="11"/>
        <w:ind w:firstLine="221"/>
        <w:rPr>
          <w:rFonts w:hint="eastAsia" w:ascii="宋体" w:hAnsi="宋体"/>
          <w:b/>
          <w:color w:val="auto"/>
          <w:sz w:val="22"/>
          <w:highlight w:val="none"/>
        </w:rPr>
      </w:pPr>
      <w:r>
        <w:rPr>
          <w:rFonts w:hint="eastAsia" w:ascii="宋体" w:hAnsi="宋体"/>
          <w:b/>
          <w:color w:val="auto"/>
          <w:sz w:val="22"/>
          <w:highlight w:val="none"/>
        </w:rPr>
        <w:t xml:space="preserve">签订日期：    年     月      日         签订日期：     年     月      日 </w:t>
      </w:r>
    </w:p>
    <w:p w14:paraId="43748ECA">
      <w:pPr>
        <w:pStyle w:val="31"/>
        <w:rPr>
          <w:rFonts w:hint="eastAsia" w:ascii="宋体" w:hAnsi="宋体"/>
          <w:b/>
          <w:color w:val="auto"/>
          <w:sz w:val="22"/>
          <w:highlight w:val="none"/>
        </w:rPr>
      </w:pPr>
    </w:p>
    <w:p w14:paraId="27FB239A">
      <w:pPr>
        <w:rPr>
          <w:rFonts w:hint="eastAsia" w:ascii="宋体" w:hAnsi="宋体"/>
          <w:b/>
          <w:color w:val="auto"/>
          <w:sz w:val="22"/>
          <w:highlight w:val="none"/>
        </w:rPr>
      </w:pPr>
    </w:p>
    <w:p w14:paraId="15C446CC">
      <w:pPr>
        <w:pStyle w:val="10"/>
        <w:rPr>
          <w:rFonts w:hint="eastAsia" w:ascii="宋体" w:hAnsi="宋体"/>
          <w:b/>
          <w:color w:val="auto"/>
          <w:sz w:val="22"/>
          <w:highlight w:val="none"/>
        </w:rPr>
      </w:pPr>
    </w:p>
    <w:p w14:paraId="79EA7AE2">
      <w:pPr>
        <w:jc w:val="left"/>
        <w:rPr>
          <w:rFonts w:hint="default" w:ascii="宋体" w:hAnsi="宋体" w:eastAsia="宋体"/>
          <w:b/>
          <w:color w:val="auto"/>
          <w:sz w:val="28"/>
          <w:szCs w:val="28"/>
          <w:highlight w:val="none"/>
          <w:lang w:val="en-US" w:eastAsia="zh-CN"/>
        </w:rPr>
      </w:pPr>
      <w:r>
        <w:rPr>
          <w:rFonts w:hint="eastAsia" w:ascii="宋体" w:hAnsi="宋体"/>
          <w:b/>
          <w:color w:val="auto"/>
          <w:sz w:val="28"/>
          <w:szCs w:val="28"/>
          <w:highlight w:val="none"/>
        </w:rPr>
        <w:t>附件</w:t>
      </w:r>
      <w:r>
        <w:rPr>
          <w:rFonts w:hint="eastAsia" w:ascii="宋体" w:hAnsi="宋体"/>
          <w:b/>
          <w:color w:val="auto"/>
          <w:sz w:val="28"/>
          <w:szCs w:val="28"/>
          <w:highlight w:val="none"/>
          <w:lang w:val="en-US" w:eastAsia="zh-CN"/>
        </w:rPr>
        <w:t>1</w:t>
      </w:r>
      <w:r>
        <w:rPr>
          <w:rFonts w:hint="eastAsia" w:ascii="宋体" w:hAnsi="宋体"/>
          <w:b/>
          <w:color w:val="auto"/>
          <w:sz w:val="28"/>
          <w:szCs w:val="28"/>
          <w:highlight w:val="none"/>
        </w:rPr>
        <w:t xml:space="preserve"> </w:t>
      </w:r>
      <w:r>
        <w:rPr>
          <w:rFonts w:hint="eastAsia" w:ascii="宋体" w:hAnsi="宋体"/>
          <w:b/>
          <w:color w:val="auto"/>
          <w:sz w:val="28"/>
          <w:szCs w:val="28"/>
          <w:highlight w:val="none"/>
          <w:lang w:val="en-US" w:eastAsia="zh-CN"/>
        </w:rPr>
        <w:t>价格清单</w:t>
      </w:r>
    </w:p>
    <w:p w14:paraId="3A22A5CB">
      <w:pPr>
        <w:pStyle w:val="31"/>
        <w:ind w:left="0" w:leftChars="0" w:firstLine="0" w:firstLineChars="0"/>
        <w:rPr>
          <w:color w:val="auto"/>
          <w:highlight w:val="none"/>
        </w:rPr>
      </w:pPr>
    </w:p>
    <w:tbl>
      <w:tblPr>
        <w:tblStyle w:val="23"/>
        <w:tblW w:w="10037"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6"/>
        <w:gridCol w:w="1416"/>
        <w:gridCol w:w="1011"/>
        <w:gridCol w:w="2327"/>
        <w:gridCol w:w="430"/>
        <w:gridCol w:w="916"/>
        <w:gridCol w:w="1276"/>
        <w:gridCol w:w="1366"/>
        <w:gridCol w:w="879"/>
      </w:tblGrid>
      <w:tr w14:paraId="52A7B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372"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56C9917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序号</w:t>
            </w:r>
          </w:p>
        </w:tc>
        <w:tc>
          <w:tcPr>
            <w:tcW w:w="1318"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315B15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项目编码</w:t>
            </w:r>
          </w:p>
        </w:tc>
        <w:tc>
          <w:tcPr>
            <w:tcW w:w="1034"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629BA93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项目名称</w:t>
            </w:r>
          </w:p>
        </w:tc>
        <w:tc>
          <w:tcPr>
            <w:tcW w:w="2403"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39A01A0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项目特征描述</w:t>
            </w:r>
          </w:p>
        </w:tc>
        <w:tc>
          <w:tcPr>
            <w:tcW w:w="431"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09DE928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计量单位</w:t>
            </w:r>
          </w:p>
        </w:tc>
        <w:tc>
          <w:tcPr>
            <w:tcW w:w="828"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905F08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暂定工程量</w:t>
            </w:r>
          </w:p>
        </w:tc>
        <w:tc>
          <w:tcPr>
            <w:tcW w:w="2746" w:type="dxa"/>
            <w:gridSpan w:val="2"/>
            <w:tcBorders>
              <w:top w:val="single" w:color="000000" w:sz="8" w:space="0"/>
              <w:left w:val="single" w:color="000000" w:sz="4" w:space="0"/>
              <w:bottom w:val="single" w:color="000000" w:sz="4" w:space="0"/>
              <w:right w:val="single" w:color="000000" w:sz="4" w:space="0"/>
            </w:tcBorders>
            <w:shd w:val="clear" w:color="FFFFFF" w:fill="FFFFFF"/>
            <w:vAlign w:val="center"/>
          </w:tcPr>
          <w:p w14:paraId="404E690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金额（元）</w:t>
            </w:r>
          </w:p>
        </w:tc>
        <w:tc>
          <w:tcPr>
            <w:tcW w:w="905" w:type="dxa"/>
            <w:vMerge w:val="restart"/>
            <w:tcBorders>
              <w:top w:val="single" w:color="000000" w:sz="8" w:space="0"/>
              <w:left w:val="single" w:color="000000" w:sz="4" w:space="0"/>
              <w:bottom w:val="single" w:color="000000" w:sz="4" w:space="0"/>
              <w:right w:val="single" w:color="000000" w:sz="8" w:space="0"/>
            </w:tcBorders>
            <w:shd w:val="clear" w:color="FFFFFF" w:fill="FFFFFF"/>
            <w:vAlign w:val="center"/>
          </w:tcPr>
          <w:p w14:paraId="244469D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备注</w:t>
            </w:r>
          </w:p>
        </w:tc>
      </w:tr>
      <w:tr w14:paraId="40596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72"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5045DBE1">
            <w:pPr>
              <w:jc w:val="center"/>
              <w:rPr>
                <w:rFonts w:hint="eastAsia" w:ascii="宋体" w:hAnsi="宋体" w:eastAsia="宋体" w:cs="宋体"/>
                <w:i w:val="0"/>
                <w:iCs w:val="0"/>
                <w:color w:val="auto"/>
                <w:sz w:val="20"/>
                <w:szCs w:val="20"/>
                <w:highlight w:val="none"/>
                <w:u w:val="none"/>
              </w:rPr>
            </w:pPr>
          </w:p>
        </w:tc>
        <w:tc>
          <w:tcPr>
            <w:tcW w:w="1318"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1DB76D34">
            <w:pPr>
              <w:jc w:val="center"/>
              <w:rPr>
                <w:rFonts w:hint="eastAsia" w:ascii="宋体" w:hAnsi="宋体" w:eastAsia="宋体" w:cs="宋体"/>
                <w:i w:val="0"/>
                <w:iCs w:val="0"/>
                <w:color w:val="auto"/>
                <w:sz w:val="20"/>
                <w:szCs w:val="20"/>
                <w:highlight w:val="none"/>
                <w:u w:val="none"/>
              </w:rPr>
            </w:pPr>
          </w:p>
        </w:tc>
        <w:tc>
          <w:tcPr>
            <w:tcW w:w="103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081EB618">
            <w:pPr>
              <w:jc w:val="center"/>
              <w:rPr>
                <w:rFonts w:hint="eastAsia" w:ascii="宋体" w:hAnsi="宋体" w:eastAsia="宋体" w:cs="宋体"/>
                <w:i w:val="0"/>
                <w:iCs w:val="0"/>
                <w:color w:val="auto"/>
                <w:sz w:val="20"/>
                <w:szCs w:val="20"/>
                <w:highlight w:val="none"/>
                <w:u w:val="none"/>
              </w:rPr>
            </w:pPr>
          </w:p>
        </w:tc>
        <w:tc>
          <w:tcPr>
            <w:tcW w:w="2403"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45AD4CB6">
            <w:pPr>
              <w:jc w:val="center"/>
              <w:rPr>
                <w:rFonts w:hint="eastAsia" w:ascii="宋体" w:hAnsi="宋体" w:eastAsia="宋体" w:cs="宋体"/>
                <w:i w:val="0"/>
                <w:iCs w:val="0"/>
                <w:color w:val="auto"/>
                <w:sz w:val="20"/>
                <w:szCs w:val="20"/>
                <w:highlight w:val="none"/>
                <w:u w:val="none"/>
              </w:rPr>
            </w:pPr>
          </w:p>
        </w:tc>
        <w:tc>
          <w:tcPr>
            <w:tcW w:w="431"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76C2B830">
            <w:pPr>
              <w:jc w:val="center"/>
              <w:rPr>
                <w:rFonts w:hint="eastAsia" w:ascii="宋体" w:hAnsi="宋体" w:eastAsia="宋体" w:cs="宋体"/>
                <w:i w:val="0"/>
                <w:iCs w:val="0"/>
                <w:color w:val="auto"/>
                <w:sz w:val="20"/>
                <w:szCs w:val="20"/>
                <w:highlight w:val="none"/>
                <w:u w:val="none"/>
              </w:rPr>
            </w:pPr>
          </w:p>
        </w:tc>
        <w:tc>
          <w:tcPr>
            <w:tcW w:w="828"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77AF650D">
            <w:pPr>
              <w:jc w:val="center"/>
              <w:rPr>
                <w:rFonts w:hint="eastAsia" w:ascii="宋体" w:hAnsi="宋体" w:eastAsia="宋体" w:cs="宋体"/>
                <w:i w:val="0"/>
                <w:iCs w:val="0"/>
                <w:color w:val="auto"/>
                <w:sz w:val="20"/>
                <w:szCs w:val="20"/>
                <w:highlight w:val="none"/>
                <w:u w:val="none"/>
              </w:rPr>
            </w:pPr>
          </w:p>
        </w:tc>
        <w:tc>
          <w:tcPr>
            <w:tcW w:w="13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E6AA89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固定综合单价</w:t>
            </w:r>
          </w:p>
        </w:tc>
        <w:tc>
          <w:tcPr>
            <w:tcW w:w="14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81425E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综合合价</w:t>
            </w:r>
          </w:p>
        </w:tc>
        <w:tc>
          <w:tcPr>
            <w:tcW w:w="905" w:type="dxa"/>
            <w:vMerge w:val="continue"/>
            <w:tcBorders>
              <w:top w:val="single" w:color="000000" w:sz="8" w:space="0"/>
              <w:left w:val="single" w:color="000000" w:sz="4" w:space="0"/>
              <w:bottom w:val="single" w:color="000000" w:sz="4" w:space="0"/>
              <w:right w:val="single" w:color="000000" w:sz="8" w:space="0"/>
            </w:tcBorders>
            <w:shd w:val="clear" w:color="FFFFFF" w:fill="FFFFFF"/>
            <w:vAlign w:val="center"/>
          </w:tcPr>
          <w:p w14:paraId="2F1660A5">
            <w:pPr>
              <w:jc w:val="center"/>
              <w:rPr>
                <w:rFonts w:hint="eastAsia" w:ascii="宋体" w:hAnsi="宋体" w:eastAsia="宋体" w:cs="宋体"/>
                <w:i w:val="0"/>
                <w:iCs w:val="0"/>
                <w:color w:val="auto"/>
                <w:sz w:val="20"/>
                <w:szCs w:val="20"/>
                <w:highlight w:val="none"/>
                <w:u w:val="none"/>
              </w:rPr>
            </w:pPr>
          </w:p>
        </w:tc>
      </w:tr>
      <w:tr w14:paraId="5B7E9B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372"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45E928E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c>
          <w:tcPr>
            <w:tcW w:w="13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27AA832">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031208003001</w:t>
            </w:r>
          </w:p>
        </w:tc>
        <w:tc>
          <w:tcPr>
            <w:tcW w:w="10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DC0B6E5">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部分蒸汽管道、蓄热器更换铝皮</w:t>
            </w:r>
          </w:p>
        </w:tc>
        <w:tc>
          <w:tcPr>
            <w:tcW w:w="240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1BA8D27">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1.材料:铝板</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2.厚度:0.6mm</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3.脚手架搭拆等措施费</w:t>
            </w:r>
          </w:p>
        </w:tc>
        <w:tc>
          <w:tcPr>
            <w:tcW w:w="4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FB6932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8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70FFA3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2072.08</w:t>
            </w:r>
          </w:p>
        </w:tc>
        <w:tc>
          <w:tcPr>
            <w:tcW w:w="13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E3E50AB">
            <w:pPr>
              <w:jc w:val="center"/>
              <w:rPr>
                <w:rFonts w:hint="eastAsia" w:ascii="宋体" w:hAnsi="宋体" w:eastAsia="宋体" w:cs="宋体"/>
                <w:i w:val="0"/>
                <w:iCs w:val="0"/>
                <w:color w:val="auto"/>
                <w:sz w:val="20"/>
                <w:szCs w:val="20"/>
                <w:highlight w:val="none"/>
                <w:u w:val="none"/>
              </w:rPr>
            </w:pPr>
          </w:p>
        </w:tc>
        <w:tc>
          <w:tcPr>
            <w:tcW w:w="14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75AEA4D">
            <w:pPr>
              <w:jc w:val="center"/>
              <w:rPr>
                <w:rFonts w:hint="eastAsia" w:ascii="宋体" w:hAnsi="宋体" w:eastAsia="宋体" w:cs="宋体"/>
                <w:i w:val="0"/>
                <w:iCs w:val="0"/>
                <w:color w:val="auto"/>
                <w:sz w:val="20"/>
                <w:szCs w:val="20"/>
                <w:highlight w:val="none"/>
                <w:u w:val="none"/>
              </w:rPr>
            </w:pPr>
          </w:p>
        </w:tc>
        <w:tc>
          <w:tcPr>
            <w:tcW w:w="90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3E8516C1">
            <w:pPr>
              <w:jc w:val="center"/>
              <w:rPr>
                <w:rFonts w:hint="eastAsia" w:ascii="宋体" w:hAnsi="宋体" w:eastAsia="宋体" w:cs="宋体"/>
                <w:i w:val="0"/>
                <w:iCs w:val="0"/>
                <w:color w:val="auto"/>
                <w:sz w:val="20"/>
                <w:szCs w:val="20"/>
                <w:highlight w:val="none"/>
                <w:u w:val="none"/>
              </w:rPr>
            </w:pPr>
          </w:p>
        </w:tc>
      </w:tr>
      <w:tr w14:paraId="6D783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372"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5B3563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w:t>
            </w:r>
          </w:p>
        </w:tc>
        <w:tc>
          <w:tcPr>
            <w:tcW w:w="13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2684475">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031202001001</w:t>
            </w:r>
          </w:p>
        </w:tc>
        <w:tc>
          <w:tcPr>
            <w:tcW w:w="10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8DB4FBD">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过热炉本体防腐</w:t>
            </w:r>
          </w:p>
        </w:tc>
        <w:tc>
          <w:tcPr>
            <w:tcW w:w="240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1FCA8F3">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1、结构表面除锈，防腐表面必须处理至Sa2.5级</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2、一遍底漆底漆厚度不小于50um，两遍中间漆中间漆两道厚度不低于150um、一遍面漆面漆厚度不小于70um；油漆干膜总厚度不小于270μm</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3、底漆使用云母氧化铁酚醛底漆，中间漆使用环氧云铁中间漆，面漆使用聚氨酯面漆（标示漆）</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4、脚手架搭拆等措施费</w:t>
            </w:r>
          </w:p>
        </w:tc>
        <w:tc>
          <w:tcPr>
            <w:tcW w:w="4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9D819C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8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9B8D50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520.5</w:t>
            </w:r>
          </w:p>
        </w:tc>
        <w:tc>
          <w:tcPr>
            <w:tcW w:w="13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1D0A076">
            <w:pPr>
              <w:jc w:val="center"/>
              <w:rPr>
                <w:rFonts w:hint="eastAsia" w:ascii="宋体" w:hAnsi="宋体" w:eastAsia="宋体" w:cs="宋体"/>
                <w:i w:val="0"/>
                <w:iCs w:val="0"/>
                <w:color w:val="auto"/>
                <w:sz w:val="20"/>
                <w:szCs w:val="20"/>
                <w:highlight w:val="none"/>
                <w:u w:val="none"/>
              </w:rPr>
            </w:pPr>
          </w:p>
        </w:tc>
        <w:tc>
          <w:tcPr>
            <w:tcW w:w="14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CCE1266">
            <w:pPr>
              <w:jc w:val="center"/>
              <w:rPr>
                <w:rFonts w:hint="eastAsia" w:ascii="宋体" w:hAnsi="宋体" w:eastAsia="宋体" w:cs="宋体"/>
                <w:i w:val="0"/>
                <w:iCs w:val="0"/>
                <w:color w:val="auto"/>
                <w:sz w:val="20"/>
                <w:szCs w:val="20"/>
                <w:highlight w:val="none"/>
                <w:u w:val="none"/>
              </w:rPr>
            </w:pPr>
          </w:p>
        </w:tc>
        <w:tc>
          <w:tcPr>
            <w:tcW w:w="90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5CA36646">
            <w:pPr>
              <w:jc w:val="center"/>
              <w:rPr>
                <w:rFonts w:hint="eastAsia" w:ascii="宋体" w:hAnsi="宋体" w:eastAsia="宋体" w:cs="宋体"/>
                <w:i w:val="0"/>
                <w:iCs w:val="0"/>
                <w:color w:val="auto"/>
                <w:sz w:val="16"/>
                <w:szCs w:val="16"/>
                <w:highlight w:val="none"/>
                <w:u w:val="none"/>
              </w:rPr>
            </w:pPr>
          </w:p>
        </w:tc>
      </w:tr>
      <w:tr w14:paraId="74E352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372"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0B0871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w:t>
            </w:r>
          </w:p>
        </w:tc>
        <w:tc>
          <w:tcPr>
            <w:tcW w:w="13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487F474">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031202004001</w:t>
            </w:r>
          </w:p>
        </w:tc>
        <w:tc>
          <w:tcPr>
            <w:tcW w:w="10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2A226CE">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除氧器平台防腐</w:t>
            </w:r>
          </w:p>
        </w:tc>
        <w:tc>
          <w:tcPr>
            <w:tcW w:w="240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B8CE946">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1、结构表面除锈，防腐表面必须处理至Sa2.5级</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2、一遍底漆底漆厚度不小于50um，两遍中间漆中间漆两道厚度不低于150um、一遍面漆面漆厚度不小于70um；油漆干膜总厚度不小于270μm</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3、底漆使用云母氧化铁酚醛底漆，中间漆使用环氧云铁中间漆，面漆使用聚氨酯面漆（标示漆）</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4、脚手架搭拆等措施费</w:t>
            </w:r>
          </w:p>
        </w:tc>
        <w:tc>
          <w:tcPr>
            <w:tcW w:w="4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129851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8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F343E8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815</w:t>
            </w:r>
          </w:p>
        </w:tc>
        <w:tc>
          <w:tcPr>
            <w:tcW w:w="13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B85BBE8">
            <w:pPr>
              <w:jc w:val="center"/>
              <w:rPr>
                <w:rFonts w:hint="eastAsia" w:ascii="宋体" w:hAnsi="宋体" w:eastAsia="宋体" w:cs="宋体"/>
                <w:i w:val="0"/>
                <w:iCs w:val="0"/>
                <w:color w:val="auto"/>
                <w:sz w:val="20"/>
                <w:szCs w:val="20"/>
                <w:highlight w:val="none"/>
                <w:u w:val="none"/>
              </w:rPr>
            </w:pPr>
          </w:p>
        </w:tc>
        <w:tc>
          <w:tcPr>
            <w:tcW w:w="14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09DDBA4">
            <w:pPr>
              <w:jc w:val="center"/>
              <w:rPr>
                <w:rFonts w:hint="eastAsia" w:ascii="宋体" w:hAnsi="宋体" w:eastAsia="宋体" w:cs="宋体"/>
                <w:i w:val="0"/>
                <w:iCs w:val="0"/>
                <w:color w:val="auto"/>
                <w:sz w:val="20"/>
                <w:szCs w:val="20"/>
                <w:highlight w:val="none"/>
                <w:u w:val="none"/>
              </w:rPr>
            </w:pPr>
          </w:p>
        </w:tc>
        <w:tc>
          <w:tcPr>
            <w:tcW w:w="90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57CC6E65">
            <w:pPr>
              <w:jc w:val="center"/>
              <w:rPr>
                <w:rFonts w:hint="eastAsia" w:ascii="宋体" w:hAnsi="宋体" w:eastAsia="宋体" w:cs="宋体"/>
                <w:i w:val="0"/>
                <w:iCs w:val="0"/>
                <w:color w:val="auto"/>
                <w:sz w:val="20"/>
                <w:szCs w:val="20"/>
                <w:highlight w:val="none"/>
                <w:u w:val="none"/>
              </w:rPr>
            </w:pPr>
          </w:p>
        </w:tc>
      </w:tr>
      <w:tr w14:paraId="23DC8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0" w:hRule="atLeast"/>
        </w:trPr>
        <w:tc>
          <w:tcPr>
            <w:tcW w:w="372"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4D19F58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w:t>
            </w:r>
          </w:p>
        </w:tc>
        <w:tc>
          <w:tcPr>
            <w:tcW w:w="13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458A45E">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031202003001</w:t>
            </w:r>
          </w:p>
        </w:tc>
        <w:tc>
          <w:tcPr>
            <w:tcW w:w="10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6EA0B38">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厂房外侧蒸汽管廊架防腐</w:t>
            </w:r>
          </w:p>
        </w:tc>
        <w:tc>
          <w:tcPr>
            <w:tcW w:w="240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7C73231">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1、结构表面除锈，防腐表面必须处理至Sa2.5级</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2、一遍底漆底漆厚度不小于50um，两遍中间漆中间漆两道厚度不低于150um、一遍面漆面漆厚度不小于70um；油漆干膜总厚度不小于270μm</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3、底漆使用云母氧化铁酚醛底漆，中间漆使用环氧云铁中间漆，面漆使用聚氨酯面漆（标示漆）</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4、脚手架搭拆等措施费</w:t>
            </w:r>
          </w:p>
        </w:tc>
        <w:tc>
          <w:tcPr>
            <w:tcW w:w="4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612604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8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2FE3E7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454.5</w:t>
            </w:r>
          </w:p>
        </w:tc>
        <w:tc>
          <w:tcPr>
            <w:tcW w:w="13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0307A4D">
            <w:pPr>
              <w:jc w:val="center"/>
              <w:rPr>
                <w:rFonts w:hint="eastAsia" w:ascii="宋体" w:hAnsi="宋体" w:eastAsia="宋体" w:cs="宋体"/>
                <w:i w:val="0"/>
                <w:iCs w:val="0"/>
                <w:color w:val="auto"/>
                <w:sz w:val="20"/>
                <w:szCs w:val="20"/>
                <w:highlight w:val="none"/>
                <w:u w:val="none"/>
              </w:rPr>
            </w:pPr>
          </w:p>
        </w:tc>
        <w:tc>
          <w:tcPr>
            <w:tcW w:w="14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C73E159">
            <w:pPr>
              <w:jc w:val="center"/>
              <w:rPr>
                <w:rFonts w:hint="eastAsia" w:ascii="宋体" w:hAnsi="宋体" w:eastAsia="宋体" w:cs="宋体"/>
                <w:i w:val="0"/>
                <w:iCs w:val="0"/>
                <w:color w:val="auto"/>
                <w:sz w:val="20"/>
                <w:szCs w:val="20"/>
                <w:highlight w:val="none"/>
                <w:u w:val="none"/>
              </w:rPr>
            </w:pPr>
          </w:p>
        </w:tc>
        <w:tc>
          <w:tcPr>
            <w:tcW w:w="90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43E285EB">
            <w:pPr>
              <w:jc w:val="center"/>
              <w:rPr>
                <w:rFonts w:hint="eastAsia" w:ascii="宋体" w:hAnsi="宋体" w:eastAsia="宋体" w:cs="宋体"/>
                <w:i w:val="0"/>
                <w:iCs w:val="0"/>
                <w:color w:val="auto"/>
                <w:sz w:val="20"/>
                <w:szCs w:val="20"/>
                <w:highlight w:val="none"/>
                <w:u w:val="none"/>
              </w:rPr>
            </w:pPr>
          </w:p>
        </w:tc>
      </w:tr>
      <w:tr w14:paraId="1B1ED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372"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A037DC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w:t>
            </w:r>
          </w:p>
        </w:tc>
        <w:tc>
          <w:tcPr>
            <w:tcW w:w="13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BEEF20A">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031202004002</w:t>
            </w:r>
          </w:p>
        </w:tc>
        <w:tc>
          <w:tcPr>
            <w:tcW w:w="10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D4E341A">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1号蓄热器平台防腐</w:t>
            </w:r>
          </w:p>
        </w:tc>
        <w:tc>
          <w:tcPr>
            <w:tcW w:w="240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824C2DA">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1、结构表面除锈，防腐表面必须处理至Sa2.5级</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2、一遍底漆底漆厚度不小于50um，两遍中间漆中间漆两道厚度不低于150um、一遍面漆面漆厚度不小于70um；油漆干膜总厚度不小于270μm</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3、底漆使用云母氧化铁酚醛底漆，中间漆使用环氧云铁中间漆，面漆使用聚氨酯面漆（标示漆）</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4、脚手架搭拆等措施费</w:t>
            </w:r>
          </w:p>
        </w:tc>
        <w:tc>
          <w:tcPr>
            <w:tcW w:w="4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E35EEB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8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A47508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189.7</w:t>
            </w:r>
          </w:p>
        </w:tc>
        <w:tc>
          <w:tcPr>
            <w:tcW w:w="13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BA6616F">
            <w:pPr>
              <w:jc w:val="center"/>
              <w:rPr>
                <w:rFonts w:hint="eastAsia" w:ascii="宋体" w:hAnsi="宋体" w:eastAsia="宋体" w:cs="宋体"/>
                <w:i w:val="0"/>
                <w:iCs w:val="0"/>
                <w:color w:val="auto"/>
                <w:sz w:val="20"/>
                <w:szCs w:val="20"/>
                <w:highlight w:val="none"/>
                <w:u w:val="none"/>
              </w:rPr>
            </w:pPr>
          </w:p>
        </w:tc>
        <w:tc>
          <w:tcPr>
            <w:tcW w:w="14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D0D4ECE">
            <w:pPr>
              <w:jc w:val="center"/>
              <w:rPr>
                <w:rFonts w:hint="eastAsia" w:ascii="宋体" w:hAnsi="宋体" w:eastAsia="宋体" w:cs="宋体"/>
                <w:i w:val="0"/>
                <w:iCs w:val="0"/>
                <w:color w:val="auto"/>
                <w:sz w:val="20"/>
                <w:szCs w:val="20"/>
                <w:highlight w:val="none"/>
                <w:u w:val="none"/>
              </w:rPr>
            </w:pPr>
          </w:p>
        </w:tc>
        <w:tc>
          <w:tcPr>
            <w:tcW w:w="90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36E103E8">
            <w:pPr>
              <w:jc w:val="center"/>
              <w:rPr>
                <w:rFonts w:hint="eastAsia" w:ascii="宋体" w:hAnsi="宋体" w:eastAsia="宋体" w:cs="宋体"/>
                <w:i w:val="0"/>
                <w:iCs w:val="0"/>
                <w:color w:val="auto"/>
                <w:sz w:val="20"/>
                <w:szCs w:val="20"/>
                <w:highlight w:val="none"/>
                <w:u w:val="none"/>
              </w:rPr>
            </w:pPr>
          </w:p>
        </w:tc>
      </w:tr>
      <w:tr w14:paraId="6E66F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0" w:hRule="atLeast"/>
        </w:trPr>
        <w:tc>
          <w:tcPr>
            <w:tcW w:w="372"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49C3567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6</w:t>
            </w:r>
          </w:p>
        </w:tc>
        <w:tc>
          <w:tcPr>
            <w:tcW w:w="13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E30204B">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031202004003</w:t>
            </w:r>
          </w:p>
        </w:tc>
        <w:tc>
          <w:tcPr>
            <w:tcW w:w="10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2B5603C">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环冷炉本体防腐</w:t>
            </w:r>
          </w:p>
        </w:tc>
        <w:tc>
          <w:tcPr>
            <w:tcW w:w="240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806CBF4">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1、结构表面除锈，防腐表面必须处理至Sa2.5级</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2、一遍底漆底漆厚度不小于50um，两遍中间漆中间漆两道厚度不低于150um、一遍面漆面漆厚度不小于70um；油漆干膜总厚度不小于270μm</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3、底漆使用云母氧化铁酚醛底漆，中间漆使用环氧云铁中间漆，面漆使用聚氨酯面漆（标示漆）</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4、脚手架搭拆等措施费</w:t>
            </w:r>
          </w:p>
        </w:tc>
        <w:tc>
          <w:tcPr>
            <w:tcW w:w="4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37646F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8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2F618F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520.4</w:t>
            </w:r>
          </w:p>
        </w:tc>
        <w:tc>
          <w:tcPr>
            <w:tcW w:w="13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A387D5C">
            <w:pPr>
              <w:jc w:val="center"/>
              <w:rPr>
                <w:rFonts w:hint="eastAsia" w:ascii="宋体" w:hAnsi="宋体" w:eastAsia="宋体" w:cs="宋体"/>
                <w:i w:val="0"/>
                <w:iCs w:val="0"/>
                <w:color w:val="auto"/>
                <w:sz w:val="20"/>
                <w:szCs w:val="20"/>
                <w:highlight w:val="none"/>
                <w:u w:val="none"/>
              </w:rPr>
            </w:pPr>
          </w:p>
        </w:tc>
        <w:tc>
          <w:tcPr>
            <w:tcW w:w="14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DE9D011">
            <w:pPr>
              <w:jc w:val="center"/>
              <w:rPr>
                <w:rFonts w:hint="eastAsia" w:ascii="宋体" w:hAnsi="宋体" w:eastAsia="宋体" w:cs="宋体"/>
                <w:i w:val="0"/>
                <w:iCs w:val="0"/>
                <w:color w:val="auto"/>
                <w:sz w:val="20"/>
                <w:szCs w:val="20"/>
                <w:highlight w:val="none"/>
                <w:u w:val="none"/>
              </w:rPr>
            </w:pPr>
          </w:p>
        </w:tc>
        <w:tc>
          <w:tcPr>
            <w:tcW w:w="90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03FEA1AB">
            <w:pPr>
              <w:jc w:val="center"/>
              <w:rPr>
                <w:rFonts w:hint="eastAsia" w:ascii="宋体" w:hAnsi="宋体" w:eastAsia="宋体" w:cs="宋体"/>
                <w:i w:val="0"/>
                <w:iCs w:val="0"/>
                <w:color w:val="auto"/>
                <w:sz w:val="20"/>
                <w:szCs w:val="20"/>
                <w:highlight w:val="none"/>
                <w:u w:val="none"/>
              </w:rPr>
            </w:pPr>
          </w:p>
        </w:tc>
      </w:tr>
      <w:tr w14:paraId="0D96D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0" w:hRule="atLeast"/>
        </w:trPr>
        <w:tc>
          <w:tcPr>
            <w:tcW w:w="372"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391ECED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w:t>
            </w:r>
          </w:p>
        </w:tc>
        <w:tc>
          <w:tcPr>
            <w:tcW w:w="13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7CC283C">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031202004004</w:t>
            </w:r>
          </w:p>
        </w:tc>
        <w:tc>
          <w:tcPr>
            <w:tcW w:w="10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F129D39">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环冷炉本体防腐</w:t>
            </w:r>
          </w:p>
        </w:tc>
        <w:tc>
          <w:tcPr>
            <w:tcW w:w="240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7EEF5BE">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1、结构表面除锈，防腐表面必须处理至Sa2.5级</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2、一遍底漆底漆厚度不小于50um，两遍中间漆中间漆两道厚度不低于150um、一遍面漆面漆厚度不小于70um；油漆干膜总厚度不小于270μm</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3、底漆使用云母氧化铁酚醛底漆，中间漆使用环氧云铁中间漆，面漆使用聚氨酯面漆（标示漆）</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4、脚手架搭拆等措施费</w:t>
            </w:r>
          </w:p>
        </w:tc>
        <w:tc>
          <w:tcPr>
            <w:tcW w:w="4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C89F58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8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B6CAEF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75.6</w:t>
            </w:r>
          </w:p>
        </w:tc>
        <w:tc>
          <w:tcPr>
            <w:tcW w:w="13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AA9D814">
            <w:pPr>
              <w:jc w:val="center"/>
              <w:rPr>
                <w:rFonts w:hint="eastAsia" w:ascii="宋体" w:hAnsi="宋体" w:eastAsia="宋体" w:cs="宋体"/>
                <w:i w:val="0"/>
                <w:iCs w:val="0"/>
                <w:color w:val="auto"/>
                <w:sz w:val="20"/>
                <w:szCs w:val="20"/>
                <w:highlight w:val="none"/>
                <w:u w:val="none"/>
              </w:rPr>
            </w:pPr>
          </w:p>
        </w:tc>
        <w:tc>
          <w:tcPr>
            <w:tcW w:w="14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E7BA0B3">
            <w:pPr>
              <w:jc w:val="center"/>
              <w:rPr>
                <w:rFonts w:hint="eastAsia" w:ascii="宋体" w:hAnsi="宋体" w:eastAsia="宋体" w:cs="宋体"/>
                <w:i w:val="0"/>
                <w:iCs w:val="0"/>
                <w:color w:val="auto"/>
                <w:sz w:val="20"/>
                <w:szCs w:val="20"/>
                <w:highlight w:val="none"/>
                <w:u w:val="none"/>
              </w:rPr>
            </w:pPr>
          </w:p>
        </w:tc>
        <w:tc>
          <w:tcPr>
            <w:tcW w:w="90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1755A6A9">
            <w:pPr>
              <w:jc w:val="center"/>
              <w:rPr>
                <w:rFonts w:hint="eastAsia" w:ascii="宋体" w:hAnsi="宋体" w:eastAsia="宋体" w:cs="宋体"/>
                <w:i w:val="0"/>
                <w:iCs w:val="0"/>
                <w:color w:val="auto"/>
                <w:sz w:val="20"/>
                <w:szCs w:val="20"/>
                <w:highlight w:val="none"/>
                <w:u w:val="none"/>
              </w:rPr>
            </w:pPr>
          </w:p>
        </w:tc>
      </w:tr>
      <w:tr w14:paraId="5F24D8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372"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961C4A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8</w:t>
            </w:r>
          </w:p>
        </w:tc>
        <w:tc>
          <w:tcPr>
            <w:tcW w:w="13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DDDD71C">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031202004005</w:t>
            </w:r>
          </w:p>
        </w:tc>
        <w:tc>
          <w:tcPr>
            <w:tcW w:w="10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403C5F8">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烧结炉本体防腐</w:t>
            </w:r>
          </w:p>
        </w:tc>
        <w:tc>
          <w:tcPr>
            <w:tcW w:w="240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D4EFE2E">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1、结构表面除锈，防腐表面必须处理至Sa2.5级</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2、一遍底漆底漆厚度不小于50um，两遍中间漆中间漆两道厚度不低于150um、一遍面漆面漆厚度不小于70um；油漆干膜总厚度不小于270μm</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3、底漆使用云母氧化铁酚醛底漆，中间漆使用环氧云铁中间漆，面漆使用聚氨酯面漆（标示漆）</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4、脚手架搭拆等措施费</w:t>
            </w:r>
          </w:p>
        </w:tc>
        <w:tc>
          <w:tcPr>
            <w:tcW w:w="4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DE2DE9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8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1A6A6B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420.5</w:t>
            </w:r>
          </w:p>
        </w:tc>
        <w:tc>
          <w:tcPr>
            <w:tcW w:w="13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CB9A3CD">
            <w:pPr>
              <w:jc w:val="center"/>
              <w:rPr>
                <w:rFonts w:hint="eastAsia" w:ascii="宋体" w:hAnsi="宋体" w:eastAsia="宋体" w:cs="宋体"/>
                <w:i w:val="0"/>
                <w:iCs w:val="0"/>
                <w:color w:val="auto"/>
                <w:sz w:val="20"/>
                <w:szCs w:val="20"/>
                <w:highlight w:val="none"/>
                <w:u w:val="none"/>
              </w:rPr>
            </w:pPr>
          </w:p>
        </w:tc>
        <w:tc>
          <w:tcPr>
            <w:tcW w:w="14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5B2CA1A">
            <w:pPr>
              <w:jc w:val="center"/>
              <w:rPr>
                <w:rFonts w:hint="eastAsia" w:ascii="宋体" w:hAnsi="宋体" w:eastAsia="宋体" w:cs="宋体"/>
                <w:i w:val="0"/>
                <w:iCs w:val="0"/>
                <w:color w:val="auto"/>
                <w:sz w:val="20"/>
                <w:szCs w:val="20"/>
                <w:highlight w:val="none"/>
                <w:u w:val="none"/>
              </w:rPr>
            </w:pPr>
          </w:p>
        </w:tc>
        <w:tc>
          <w:tcPr>
            <w:tcW w:w="90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6F1CC254">
            <w:pPr>
              <w:jc w:val="center"/>
              <w:rPr>
                <w:rFonts w:hint="eastAsia" w:ascii="宋体" w:hAnsi="宋体" w:eastAsia="宋体" w:cs="宋体"/>
                <w:i w:val="0"/>
                <w:iCs w:val="0"/>
                <w:color w:val="auto"/>
                <w:sz w:val="20"/>
                <w:szCs w:val="20"/>
                <w:highlight w:val="none"/>
                <w:u w:val="none"/>
              </w:rPr>
            </w:pPr>
          </w:p>
        </w:tc>
      </w:tr>
      <w:tr w14:paraId="6F1D2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0" w:hRule="atLeast"/>
        </w:trPr>
        <w:tc>
          <w:tcPr>
            <w:tcW w:w="372"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5A71C25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9</w:t>
            </w:r>
          </w:p>
        </w:tc>
        <w:tc>
          <w:tcPr>
            <w:tcW w:w="13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F2BE546">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031202004006</w:t>
            </w:r>
          </w:p>
        </w:tc>
        <w:tc>
          <w:tcPr>
            <w:tcW w:w="10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836C53B">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原水箱、除盐水箱、中间水箱、软化水箱、中间水箱、浓水箱、</w:t>
            </w:r>
          </w:p>
        </w:tc>
        <w:tc>
          <w:tcPr>
            <w:tcW w:w="240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860E7C4">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1、结构表面除锈，防腐表面必须处理至Sa2.5级</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2、一遍底漆底漆厚度不小于50um，两遍中间漆中间漆两道厚度不低于150um、一遍面漆面漆厚度不小于70um；油漆干膜总厚度不小于270μm</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3、底漆使用云母氧化铁酚醛底漆，中间漆使用环氧云铁中间漆，面漆使用聚氨酯面漆（标示漆）</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4、脚手架搭拆等措施费</w:t>
            </w:r>
          </w:p>
        </w:tc>
        <w:tc>
          <w:tcPr>
            <w:tcW w:w="4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17F2A3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8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F8F231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1895</w:t>
            </w:r>
          </w:p>
        </w:tc>
        <w:tc>
          <w:tcPr>
            <w:tcW w:w="13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2B6E697">
            <w:pPr>
              <w:jc w:val="center"/>
              <w:rPr>
                <w:rFonts w:hint="eastAsia" w:ascii="宋体" w:hAnsi="宋体" w:eastAsia="宋体" w:cs="宋体"/>
                <w:i w:val="0"/>
                <w:iCs w:val="0"/>
                <w:color w:val="auto"/>
                <w:sz w:val="20"/>
                <w:szCs w:val="20"/>
                <w:highlight w:val="none"/>
                <w:u w:val="none"/>
              </w:rPr>
            </w:pPr>
          </w:p>
        </w:tc>
        <w:tc>
          <w:tcPr>
            <w:tcW w:w="14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2472692">
            <w:pPr>
              <w:jc w:val="center"/>
              <w:rPr>
                <w:rFonts w:hint="eastAsia" w:ascii="宋体" w:hAnsi="宋体" w:eastAsia="宋体" w:cs="宋体"/>
                <w:i w:val="0"/>
                <w:iCs w:val="0"/>
                <w:color w:val="auto"/>
                <w:sz w:val="20"/>
                <w:szCs w:val="20"/>
                <w:highlight w:val="none"/>
                <w:u w:val="none"/>
              </w:rPr>
            </w:pPr>
          </w:p>
        </w:tc>
        <w:tc>
          <w:tcPr>
            <w:tcW w:w="90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3D61982A">
            <w:pPr>
              <w:jc w:val="center"/>
              <w:rPr>
                <w:rFonts w:hint="eastAsia" w:ascii="宋体" w:hAnsi="宋体" w:eastAsia="宋体" w:cs="宋体"/>
                <w:i w:val="0"/>
                <w:iCs w:val="0"/>
                <w:color w:val="auto"/>
                <w:sz w:val="20"/>
                <w:szCs w:val="20"/>
                <w:highlight w:val="none"/>
                <w:u w:val="none"/>
              </w:rPr>
            </w:pPr>
          </w:p>
        </w:tc>
      </w:tr>
      <w:tr w14:paraId="401EB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372"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0729148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w:t>
            </w:r>
          </w:p>
        </w:tc>
        <w:tc>
          <w:tcPr>
            <w:tcW w:w="131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ED5074D">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031202004007</w:t>
            </w:r>
          </w:p>
        </w:tc>
        <w:tc>
          <w:tcPr>
            <w:tcW w:w="10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DEE57C3">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2号蓄热器平台防腐</w:t>
            </w:r>
          </w:p>
        </w:tc>
        <w:tc>
          <w:tcPr>
            <w:tcW w:w="240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F8B72A0">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1、结构表面除锈，防腐表面必须处理至Sa2.5级</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2、一遍底漆底漆厚度不小于50um，两遍中间漆中间漆两道厚度不低于150um、一遍面漆面漆厚度不小于70um；油漆干膜总厚度不小于270μm</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3、底漆使用云母氧化铁酚醛底漆，中间漆使用环氧云铁中间漆，面漆使用聚氨酯面漆（标示漆）</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4、脚手架搭拆等措施费</w:t>
            </w:r>
          </w:p>
        </w:tc>
        <w:tc>
          <w:tcPr>
            <w:tcW w:w="4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67BC12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m2</w:t>
            </w:r>
          </w:p>
        </w:tc>
        <w:tc>
          <w:tcPr>
            <w:tcW w:w="8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799B71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243</w:t>
            </w:r>
          </w:p>
        </w:tc>
        <w:tc>
          <w:tcPr>
            <w:tcW w:w="132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CFC9279">
            <w:pPr>
              <w:jc w:val="center"/>
              <w:rPr>
                <w:rFonts w:hint="eastAsia" w:ascii="宋体" w:hAnsi="宋体" w:eastAsia="宋体" w:cs="宋体"/>
                <w:i w:val="0"/>
                <w:iCs w:val="0"/>
                <w:color w:val="auto"/>
                <w:sz w:val="20"/>
                <w:szCs w:val="20"/>
                <w:highlight w:val="none"/>
                <w:u w:val="none"/>
              </w:rPr>
            </w:pPr>
          </w:p>
        </w:tc>
        <w:tc>
          <w:tcPr>
            <w:tcW w:w="14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BA0DEE8">
            <w:pPr>
              <w:jc w:val="center"/>
              <w:rPr>
                <w:rFonts w:hint="eastAsia" w:ascii="宋体" w:hAnsi="宋体" w:eastAsia="宋体" w:cs="宋体"/>
                <w:i w:val="0"/>
                <w:iCs w:val="0"/>
                <w:color w:val="auto"/>
                <w:sz w:val="20"/>
                <w:szCs w:val="20"/>
                <w:highlight w:val="none"/>
                <w:u w:val="none"/>
              </w:rPr>
            </w:pPr>
          </w:p>
        </w:tc>
        <w:tc>
          <w:tcPr>
            <w:tcW w:w="905"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4CB2F8B8">
            <w:pPr>
              <w:jc w:val="center"/>
              <w:rPr>
                <w:rFonts w:hint="eastAsia" w:ascii="宋体" w:hAnsi="宋体" w:eastAsia="宋体" w:cs="宋体"/>
                <w:i w:val="0"/>
                <w:iCs w:val="0"/>
                <w:color w:val="auto"/>
                <w:sz w:val="20"/>
                <w:szCs w:val="20"/>
                <w:highlight w:val="none"/>
                <w:u w:val="none"/>
              </w:rPr>
            </w:pPr>
          </w:p>
        </w:tc>
      </w:tr>
      <w:tr w14:paraId="01743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7712" w:type="dxa"/>
            <w:gridSpan w:val="7"/>
            <w:tcBorders>
              <w:top w:val="single" w:color="000000" w:sz="4" w:space="0"/>
              <w:left w:val="single" w:color="000000" w:sz="8" w:space="0"/>
              <w:bottom w:val="single" w:color="000000" w:sz="8" w:space="0"/>
              <w:right w:val="single" w:color="000000" w:sz="4" w:space="0"/>
            </w:tcBorders>
            <w:shd w:val="clear" w:color="FFFFFF" w:fill="FFFFFF"/>
            <w:vAlign w:val="center"/>
          </w:tcPr>
          <w:p w14:paraId="0662A1C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合   计</w:t>
            </w:r>
          </w:p>
        </w:tc>
        <w:tc>
          <w:tcPr>
            <w:tcW w:w="1420" w:type="dxa"/>
            <w:tcBorders>
              <w:top w:val="single" w:color="000000" w:sz="4" w:space="0"/>
              <w:left w:val="single" w:color="000000" w:sz="4" w:space="0"/>
              <w:bottom w:val="single" w:color="000000" w:sz="8" w:space="0"/>
              <w:right w:val="single" w:color="000000" w:sz="4" w:space="0"/>
            </w:tcBorders>
            <w:shd w:val="clear" w:color="FFFFFF" w:fill="FFFFFF"/>
            <w:vAlign w:val="center"/>
          </w:tcPr>
          <w:p w14:paraId="0C17063D">
            <w:pPr>
              <w:jc w:val="center"/>
              <w:rPr>
                <w:rFonts w:hint="eastAsia" w:ascii="宋体" w:hAnsi="宋体" w:eastAsia="宋体" w:cs="宋体"/>
                <w:i w:val="0"/>
                <w:iCs w:val="0"/>
                <w:color w:val="auto"/>
                <w:sz w:val="20"/>
                <w:szCs w:val="20"/>
                <w:highlight w:val="none"/>
                <w:u w:val="none"/>
              </w:rPr>
            </w:pPr>
          </w:p>
        </w:tc>
        <w:tc>
          <w:tcPr>
            <w:tcW w:w="905" w:type="dxa"/>
            <w:tcBorders>
              <w:top w:val="single" w:color="000000" w:sz="4" w:space="0"/>
              <w:left w:val="single" w:color="000000" w:sz="4" w:space="0"/>
              <w:bottom w:val="single" w:color="000000" w:sz="8" w:space="0"/>
              <w:right w:val="single" w:color="000000" w:sz="8" w:space="0"/>
            </w:tcBorders>
            <w:shd w:val="clear" w:color="FFFFFF" w:fill="FFFFFF"/>
            <w:vAlign w:val="center"/>
          </w:tcPr>
          <w:p w14:paraId="581733B3">
            <w:pPr>
              <w:jc w:val="right"/>
              <w:rPr>
                <w:rFonts w:hint="eastAsia" w:ascii="宋体" w:hAnsi="宋体" w:eastAsia="宋体" w:cs="宋体"/>
                <w:i w:val="0"/>
                <w:iCs w:val="0"/>
                <w:color w:val="auto"/>
                <w:sz w:val="20"/>
                <w:szCs w:val="20"/>
                <w:highlight w:val="none"/>
                <w:u w:val="none"/>
              </w:rPr>
            </w:pPr>
          </w:p>
        </w:tc>
      </w:tr>
      <w:tr w14:paraId="0DB13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10037" w:type="dxa"/>
            <w:gridSpan w:val="9"/>
            <w:tcBorders>
              <w:top w:val="nil"/>
              <w:left w:val="nil"/>
              <w:bottom w:val="nil"/>
              <w:right w:val="nil"/>
            </w:tcBorders>
            <w:shd w:val="clear" w:color="FFFFFF" w:fill="FFFFFF"/>
            <w:vAlign w:val="top"/>
          </w:tcPr>
          <w:p w14:paraId="26B598C5">
            <w:pPr>
              <w:keepNext w:val="0"/>
              <w:keepLines w:val="0"/>
              <w:widowControl/>
              <w:suppressLineNumbers w:val="0"/>
              <w:jc w:val="left"/>
              <w:textAlignment w:val="top"/>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说明：表中综合单价包含人工、材料费、机械、管理费、利润、措施项目费、其他项目费、工作交叉及协调配合费、施工期的工料机差价、规费、税金（增值税专用发票）等其他一切费用。</w:t>
            </w:r>
          </w:p>
        </w:tc>
      </w:tr>
    </w:tbl>
    <w:p w14:paraId="10FB27B8">
      <w:pPr>
        <w:rPr>
          <w:color w:val="auto"/>
          <w:highlight w:val="none"/>
        </w:rPr>
        <w:sectPr>
          <w:headerReference r:id="rId7" w:type="default"/>
          <w:footerReference r:id="rId8" w:type="default"/>
          <w:pgSz w:w="11906" w:h="16838"/>
          <w:pgMar w:top="1134" w:right="709" w:bottom="1134" w:left="1134" w:header="851" w:footer="850" w:gutter="0"/>
          <w:pgNumType w:fmt="decimal"/>
          <w:cols w:space="720" w:num="1"/>
          <w:docGrid w:type="lines" w:linePitch="314" w:charSpace="0"/>
        </w:sectPr>
      </w:pPr>
    </w:p>
    <w:p w14:paraId="0AEF0915">
      <w:pPr>
        <w:jc w:val="left"/>
        <w:rPr>
          <w:rFonts w:hint="default" w:ascii="宋体" w:hAnsi="宋体" w:eastAsia="宋体"/>
          <w:b/>
          <w:color w:val="auto"/>
          <w:sz w:val="28"/>
          <w:szCs w:val="28"/>
          <w:highlight w:val="none"/>
          <w:lang w:val="en-US" w:eastAsia="zh-CN"/>
        </w:rPr>
      </w:pPr>
      <w:r>
        <w:rPr>
          <w:rFonts w:hint="eastAsia" w:ascii="宋体" w:hAnsi="宋体"/>
          <w:b/>
          <w:color w:val="auto"/>
          <w:sz w:val="28"/>
          <w:szCs w:val="28"/>
          <w:highlight w:val="none"/>
        </w:rPr>
        <w:t>附件</w:t>
      </w:r>
      <w:r>
        <w:rPr>
          <w:rFonts w:hint="eastAsia" w:ascii="宋体" w:hAnsi="宋体"/>
          <w:b/>
          <w:color w:val="auto"/>
          <w:sz w:val="28"/>
          <w:szCs w:val="28"/>
          <w:highlight w:val="none"/>
          <w:lang w:val="en-US" w:eastAsia="zh-CN"/>
        </w:rPr>
        <w:t>2</w:t>
      </w:r>
      <w:r>
        <w:rPr>
          <w:rFonts w:hint="eastAsia" w:ascii="宋体" w:hAnsi="宋体"/>
          <w:b/>
          <w:color w:val="auto"/>
          <w:sz w:val="28"/>
          <w:szCs w:val="28"/>
          <w:highlight w:val="none"/>
        </w:rPr>
        <w:t xml:space="preserve"> </w:t>
      </w:r>
      <w:r>
        <w:rPr>
          <w:rFonts w:hint="eastAsia" w:ascii="宋体" w:hAnsi="宋体"/>
          <w:b/>
          <w:color w:val="auto"/>
          <w:sz w:val="28"/>
          <w:szCs w:val="28"/>
          <w:highlight w:val="none"/>
          <w:lang w:val="en-US" w:eastAsia="zh-CN"/>
        </w:rPr>
        <w:t>技术要求（与询价文件附件六保持一致）</w:t>
      </w:r>
    </w:p>
    <w:p w14:paraId="56A33E22">
      <w:pPr>
        <w:pStyle w:val="2"/>
        <w:spacing w:line="276" w:lineRule="auto"/>
        <w:rPr>
          <w:rFonts w:hint="eastAsia"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lang w:val="en-US" w:eastAsia="zh-CN"/>
        </w:rPr>
        <w:t>九</w:t>
      </w:r>
      <w:r>
        <w:rPr>
          <w:rFonts w:hint="eastAsia" w:asciiTheme="minorEastAsia" w:hAnsiTheme="minorEastAsia" w:eastAsiaTheme="minorEastAsia"/>
          <w:color w:val="auto"/>
          <w:sz w:val="28"/>
          <w:szCs w:val="28"/>
          <w:highlight w:val="none"/>
        </w:rPr>
        <w:t>、其他</w:t>
      </w:r>
    </w:p>
    <w:p w14:paraId="5B48D8C2">
      <w:pPr>
        <w:autoSpaceDE/>
        <w:autoSpaceDN/>
        <w:adjustRightInd/>
        <w:spacing w:line="276" w:lineRule="auto"/>
        <w:ind w:firstLine="420" w:firstLineChars="200"/>
        <w:jc w:val="both"/>
        <w:rPr>
          <w:rFonts w:hint="eastAsia"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9.1</w:t>
      </w:r>
      <w:r>
        <w:rPr>
          <w:rFonts w:hint="eastAsia" w:asciiTheme="minorEastAsia" w:hAnsiTheme="minorEastAsia" w:eastAsiaTheme="minorEastAsia"/>
          <w:color w:val="auto"/>
          <w:highlight w:val="none"/>
        </w:rPr>
        <w:t xml:space="preserve"> 本协议作为合同附件，与经济合同具有同等法律效力。 </w:t>
      </w:r>
    </w:p>
    <w:p w14:paraId="7EACE1AC">
      <w:pPr>
        <w:autoSpaceDE/>
        <w:autoSpaceDN/>
        <w:adjustRightInd/>
        <w:spacing w:line="276" w:lineRule="auto"/>
        <w:ind w:firstLine="420" w:firstLineChars="200"/>
        <w:jc w:val="both"/>
        <w:rPr>
          <w:rFonts w:hint="eastAsia"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9.</w:t>
      </w:r>
      <w:r>
        <w:rPr>
          <w:rFonts w:hint="eastAsia" w:asciiTheme="minorEastAsia" w:hAnsiTheme="minorEastAsia" w:eastAsiaTheme="minorEastAsia"/>
          <w:color w:val="auto"/>
          <w:highlight w:val="none"/>
        </w:rPr>
        <w:t xml:space="preserve">2 其它工作执行阳江开能环保能源有限公司相关管理规定。 </w:t>
      </w:r>
    </w:p>
    <w:p w14:paraId="7EFFD606">
      <w:pPr>
        <w:autoSpaceDE/>
        <w:autoSpaceDN/>
        <w:adjustRightInd/>
        <w:spacing w:line="276" w:lineRule="auto"/>
        <w:ind w:firstLine="420" w:firstLineChars="200"/>
        <w:jc w:val="both"/>
        <w:rPr>
          <w:rFonts w:hint="eastAsia"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9.</w:t>
      </w:r>
      <w:r>
        <w:rPr>
          <w:rFonts w:hint="eastAsia" w:asciiTheme="minorEastAsia" w:hAnsiTheme="minorEastAsia" w:eastAsiaTheme="minorEastAsia"/>
          <w:color w:val="auto"/>
          <w:highlight w:val="none"/>
        </w:rPr>
        <w:t>3 未尽事宜双方协商解决。</w:t>
      </w:r>
    </w:p>
    <w:p w14:paraId="53331E14">
      <w:pPr>
        <w:autoSpaceDE/>
        <w:autoSpaceDN/>
        <w:adjustRightInd/>
        <w:spacing w:line="276" w:lineRule="auto"/>
        <w:ind w:firstLine="420" w:firstLineChars="200"/>
        <w:jc w:val="both"/>
        <w:rPr>
          <w:rFonts w:hint="eastAsia" w:ascii="宋体" w:hAnsi="宋体" w:eastAsia="宋体" w:cs="宋体"/>
          <w:color w:val="auto"/>
          <w:sz w:val="24"/>
          <w:highlight w:val="none"/>
        </w:rPr>
      </w:pPr>
      <w:r>
        <w:rPr>
          <w:rFonts w:hint="eastAsia" w:asciiTheme="minorEastAsia" w:hAnsiTheme="minorEastAsia" w:eastAsiaTheme="minorEastAsia"/>
          <w:color w:val="auto"/>
          <w:highlight w:val="none"/>
          <w:lang w:val="en-US" w:eastAsia="zh-CN"/>
        </w:rPr>
        <w:t>9.</w:t>
      </w:r>
      <w:r>
        <w:rPr>
          <w:rFonts w:hint="eastAsia" w:asciiTheme="minorEastAsia" w:hAnsiTheme="minorEastAsia" w:eastAsiaTheme="minorEastAsia"/>
          <w:color w:val="auto"/>
          <w:highlight w:val="none"/>
        </w:rPr>
        <w:t>4 本协议一式四份，双方各执二份。</w:t>
      </w:r>
    </w:p>
    <w:p w14:paraId="667E86A6">
      <w:pPr>
        <w:rPr>
          <w:color w:val="auto"/>
          <w:highlight w:val="none"/>
        </w:rPr>
      </w:pPr>
    </w:p>
    <w:p w14:paraId="5BCADE5C">
      <w:pPr>
        <w:pStyle w:val="10"/>
        <w:rPr>
          <w:color w:val="auto"/>
          <w:highlight w:val="none"/>
        </w:rPr>
      </w:pPr>
    </w:p>
    <w:p w14:paraId="6FEAB164">
      <w:pPr>
        <w:snapToGrid w:val="0"/>
        <w:spacing w:after="314" w:afterLines="100"/>
        <w:ind w:firstLine="331" w:firstLineChars="150"/>
        <w:rPr>
          <w:rFonts w:ascii="宋体" w:hAnsi="宋体"/>
          <w:b/>
          <w:color w:val="auto"/>
          <w:sz w:val="22"/>
          <w:szCs w:val="22"/>
          <w:highlight w:val="none"/>
        </w:rPr>
      </w:pPr>
      <w:r>
        <w:rPr>
          <w:rFonts w:hint="eastAsia" w:ascii="宋体" w:hAnsi="宋体"/>
          <w:b/>
          <w:color w:val="auto"/>
          <w:sz w:val="22"/>
          <w:szCs w:val="22"/>
          <w:highlight w:val="none"/>
        </w:rPr>
        <w:t xml:space="preserve">发包方: 阳江开能环保能源有限公司        承包方: </w:t>
      </w:r>
    </w:p>
    <w:p w14:paraId="18A5826B">
      <w:pPr>
        <w:snapToGrid w:val="0"/>
        <w:spacing w:after="314" w:afterLines="100"/>
        <w:ind w:firstLine="331" w:firstLineChars="150"/>
        <w:rPr>
          <w:rFonts w:ascii="宋体" w:hAnsi="宋体"/>
          <w:b/>
          <w:color w:val="auto"/>
          <w:sz w:val="22"/>
          <w:szCs w:val="22"/>
          <w:highlight w:val="none"/>
        </w:rPr>
      </w:pPr>
      <w:r>
        <w:rPr>
          <w:rFonts w:hint="eastAsia" w:ascii="宋体" w:hAnsi="宋体"/>
          <w:b/>
          <w:color w:val="auto"/>
          <w:sz w:val="22"/>
          <w:szCs w:val="22"/>
          <w:highlight w:val="none"/>
        </w:rPr>
        <w:t>法定代表人或                           法定代表人或</w:t>
      </w:r>
    </w:p>
    <w:p w14:paraId="3F02DCFB">
      <w:pPr>
        <w:snapToGrid w:val="0"/>
        <w:spacing w:after="314" w:afterLines="100"/>
        <w:ind w:firstLine="331" w:firstLineChars="150"/>
        <w:rPr>
          <w:rFonts w:ascii="宋体" w:hAnsi="宋体"/>
          <w:b/>
          <w:color w:val="auto"/>
          <w:sz w:val="28"/>
          <w:szCs w:val="28"/>
          <w:highlight w:val="none"/>
        </w:rPr>
        <w:sectPr>
          <w:headerReference r:id="rId9" w:type="default"/>
          <w:footerReference r:id="rId10" w:type="default"/>
          <w:pgSz w:w="11906" w:h="16838"/>
          <w:pgMar w:top="1134" w:right="709" w:bottom="1134" w:left="1134" w:header="851" w:footer="850" w:gutter="0"/>
          <w:pgNumType w:fmt="decimal"/>
          <w:cols w:space="720" w:num="1"/>
          <w:docGrid w:type="lines" w:linePitch="314" w:charSpace="0"/>
        </w:sectPr>
      </w:pPr>
      <w:r>
        <w:rPr>
          <w:rFonts w:hint="eastAsia" w:ascii="宋体" w:hAnsi="宋体"/>
          <w:b/>
          <w:color w:val="auto"/>
          <w:sz w:val="22"/>
          <w:szCs w:val="22"/>
          <w:highlight w:val="none"/>
        </w:rPr>
        <w:t>委托代表人：                           委托代表人：</w:t>
      </w:r>
    </w:p>
    <w:p w14:paraId="20746EEA">
      <w:pPr>
        <w:jc w:val="left"/>
        <w:rPr>
          <w:rFonts w:ascii="宋体" w:hAnsi="宋体"/>
          <w:b/>
          <w:color w:val="auto"/>
          <w:sz w:val="28"/>
          <w:szCs w:val="28"/>
          <w:highlight w:val="none"/>
        </w:rPr>
      </w:pPr>
      <w:r>
        <w:rPr>
          <w:rFonts w:hint="eastAsia" w:ascii="宋体" w:hAnsi="宋体"/>
          <w:b/>
          <w:color w:val="auto"/>
          <w:sz w:val="28"/>
          <w:szCs w:val="28"/>
          <w:highlight w:val="none"/>
        </w:rPr>
        <w:t>附件2</w:t>
      </w:r>
    </w:p>
    <w:p w14:paraId="1BAAC2D7">
      <w:pPr>
        <w:pStyle w:val="3"/>
        <w:jc w:val="center"/>
        <w:rPr>
          <w:rFonts w:ascii="宋体" w:hAnsi="宋体"/>
          <w:bCs w:val="0"/>
          <w:color w:val="auto"/>
          <w:szCs w:val="28"/>
          <w:highlight w:val="none"/>
        </w:rPr>
      </w:pPr>
      <w:bookmarkStart w:id="25" w:name="_Toc10050"/>
      <w:bookmarkStart w:id="26" w:name="_Toc25343"/>
      <w:r>
        <w:rPr>
          <w:rFonts w:hint="eastAsia" w:ascii="宋体" w:hAnsi="宋体"/>
          <w:bCs w:val="0"/>
          <w:color w:val="auto"/>
          <w:szCs w:val="28"/>
          <w:highlight w:val="none"/>
        </w:rPr>
        <w:t>安全文明施工协议</w:t>
      </w:r>
      <w:bookmarkEnd w:id="25"/>
      <w:bookmarkEnd w:id="26"/>
    </w:p>
    <w:p w14:paraId="3C1D4164">
      <w:pPr>
        <w:pStyle w:val="66"/>
        <w:spacing w:before="0" w:after="0"/>
        <w:ind w:left="10" w:leftChars="5" w:right="70" w:firstLine="525" w:firstLineChars="250"/>
        <w:rPr>
          <w:rFonts w:ascii="宋体" w:hAnsi="宋体"/>
          <w:b/>
          <w:bCs/>
          <w:color w:val="auto"/>
          <w:sz w:val="21"/>
          <w:szCs w:val="21"/>
          <w:highlight w:val="none"/>
          <w:u w:val="single"/>
        </w:rPr>
      </w:pPr>
      <w:r>
        <w:rPr>
          <w:rFonts w:hint="eastAsia" w:ascii="宋体" w:hAnsi="宋体"/>
          <w:b/>
          <w:bCs/>
          <w:color w:val="auto"/>
          <w:sz w:val="21"/>
          <w:szCs w:val="21"/>
          <w:highlight w:val="none"/>
        </w:rPr>
        <w:t>发包方：</w:t>
      </w:r>
      <w:r>
        <w:rPr>
          <w:rFonts w:hint="eastAsia" w:ascii="宋体" w:hAnsi="宋体"/>
          <w:b/>
          <w:bCs/>
          <w:color w:val="auto"/>
          <w:sz w:val="21"/>
          <w:szCs w:val="21"/>
          <w:highlight w:val="none"/>
          <w:u w:val="single"/>
        </w:rPr>
        <w:t>阳江开能环保能源有限公司</w:t>
      </w:r>
    </w:p>
    <w:p w14:paraId="33878D3C">
      <w:pPr>
        <w:pStyle w:val="66"/>
        <w:spacing w:before="0" w:after="0"/>
        <w:ind w:left="10" w:leftChars="5" w:right="70" w:firstLine="525" w:firstLineChars="250"/>
        <w:rPr>
          <w:rFonts w:ascii="宋体" w:hAnsi="宋体"/>
          <w:b/>
          <w:bCs/>
          <w:color w:val="auto"/>
          <w:sz w:val="21"/>
          <w:szCs w:val="21"/>
          <w:highlight w:val="none"/>
        </w:rPr>
      </w:pPr>
      <w:r>
        <w:rPr>
          <w:rFonts w:hint="eastAsia" w:ascii="宋体" w:hAnsi="宋体"/>
          <w:b/>
          <w:bCs/>
          <w:color w:val="auto"/>
          <w:sz w:val="21"/>
          <w:szCs w:val="21"/>
          <w:highlight w:val="none"/>
        </w:rPr>
        <w:t>承包方：</w:t>
      </w:r>
    </w:p>
    <w:p w14:paraId="3414F2FC">
      <w:pPr>
        <w:pStyle w:val="66"/>
        <w:spacing w:before="0" w:after="0" w:line="300" w:lineRule="exact"/>
        <w:ind w:left="10" w:leftChars="5" w:right="70" w:firstLine="420" w:firstLineChars="200"/>
        <w:rPr>
          <w:rFonts w:ascii="宋体" w:hAnsi="宋体"/>
          <w:bCs/>
          <w:color w:val="auto"/>
          <w:sz w:val="21"/>
          <w:szCs w:val="21"/>
          <w:highlight w:val="none"/>
        </w:rPr>
      </w:pPr>
      <w:r>
        <w:rPr>
          <w:rFonts w:hint="eastAsia" w:ascii="宋体" w:hAnsi="宋体"/>
          <w:bCs/>
          <w:color w:val="auto"/>
          <w:sz w:val="21"/>
          <w:szCs w:val="21"/>
          <w:highlight w:val="none"/>
        </w:rPr>
        <w:t>第一条 为保障承包方在履行建设工程合同过程中的人身、财产安全，促进承包方强化安全管理工作，根据《中华人民共和国安全生产法》、《建设工程安全生产管理条例》等法律法规要求，经发包方与承包方双方协商一致，特签订本协议。本协议作为分包合同书的附件，与合同具有同等法律效力。</w:t>
      </w:r>
    </w:p>
    <w:p w14:paraId="33B27644">
      <w:pPr>
        <w:pStyle w:val="66"/>
        <w:spacing w:before="0" w:after="0" w:line="300" w:lineRule="exact"/>
        <w:ind w:left="10" w:leftChars="5" w:right="70" w:firstLine="420" w:firstLineChars="200"/>
        <w:rPr>
          <w:rFonts w:ascii="宋体" w:hAnsi="宋体"/>
          <w:bCs/>
          <w:color w:val="auto"/>
          <w:sz w:val="21"/>
          <w:szCs w:val="21"/>
          <w:highlight w:val="none"/>
        </w:rPr>
      </w:pPr>
      <w:r>
        <w:rPr>
          <w:rFonts w:hint="eastAsia" w:ascii="宋体" w:hAnsi="宋体"/>
          <w:bCs/>
          <w:color w:val="auto"/>
          <w:sz w:val="21"/>
          <w:szCs w:val="21"/>
          <w:highlight w:val="none"/>
        </w:rPr>
        <w:t>第二条 建设工程项目名称及建设工程期限</w:t>
      </w:r>
    </w:p>
    <w:p w14:paraId="32F1BD22">
      <w:pPr>
        <w:spacing w:line="300" w:lineRule="exact"/>
        <w:ind w:firstLine="420" w:firstLineChars="200"/>
        <w:jc w:val="left"/>
        <w:rPr>
          <w:rFonts w:hint="eastAsia" w:ascii="宋体" w:hAnsi="宋体" w:eastAsia="宋体"/>
          <w:color w:val="auto"/>
          <w:szCs w:val="21"/>
          <w:highlight w:val="none"/>
          <w:u w:val="single"/>
          <w:lang w:eastAsia="zh-CN"/>
        </w:rPr>
      </w:pPr>
      <w:r>
        <w:rPr>
          <w:rFonts w:hint="eastAsia" w:ascii="宋体" w:hAnsi="宋体"/>
          <w:color w:val="auto"/>
          <w:szCs w:val="21"/>
          <w:highlight w:val="none"/>
        </w:rPr>
        <w:t>1.1工程名称：</w:t>
      </w:r>
      <w:r>
        <w:rPr>
          <w:rFonts w:hint="eastAsia" w:ascii="宋体" w:hAnsi="宋体"/>
          <w:color w:val="auto"/>
          <w:szCs w:val="21"/>
          <w:highlight w:val="none"/>
          <w:u w:val="single"/>
        </w:rPr>
        <w:t>阳江开能环保能源有限公司2025年度安全隐患整改项目-防腐刷漆及保温工程</w:t>
      </w:r>
      <w:r>
        <w:rPr>
          <w:rFonts w:hint="eastAsia" w:ascii="宋体" w:hAnsi="宋体"/>
          <w:color w:val="auto"/>
          <w:szCs w:val="21"/>
          <w:highlight w:val="none"/>
          <w:u w:val="single"/>
          <w:lang w:eastAsia="zh-CN"/>
        </w:rPr>
        <w:t>。</w:t>
      </w:r>
    </w:p>
    <w:p w14:paraId="2D5E7305">
      <w:pPr>
        <w:pStyle w:val="67"/>
        <w:spacing w:line="300" w:lineRule="exact"/>
        <w:ind w:left="0" w:firstLine="495"/>
        <w:jc w:val="both"/>
        <w:rPr>
          <w:b w:val="0"/>
          <w:bCs w:val="0"/>
          <w:color w:val="auto"/>
          <w:kern w:val="2"/>
          <w:sz w:val="21"/>
          <w:szCs w:val="21"/>
          <w:highlight w:val="none"/>
        </w:rPr>
      </w:pPr>
      <w:r>
        <w:rPr>
          <w:rFonts w:hint="eastAsia"/>
          <w:b w:val="0"/>
          <w:bCs w:val="0"/>
          <w:color w:val="auto"/>
          <w:kern w:val="2"/>
          <w:sz w:val="21"/>
          <w:szCs w:val="21"/>
          <w:highlight w:val="none"/>
        </w:rPr>
        <w:t xml:space="preserve">1.2工程地点: </w:t>
      </w:r>
      <w:r>
        <w:rPr>
          <w:rFonts w:hint="eastAsia"/>
          <w:b w:val="0"/>
          <w:bCs w:val="0"/>
          <w:color w:val="auto"/>
          <w:kern w:val="2"/>
          <w:sz w:val="21"/>
          <w:szCs w:val="21"/>
          <w:highlight w:val="none"/>
          <w:u w:val="single"/>
        </w:rPr>
        <w:t xml:space="preserve">广东省阳江市高新区港口工业区海港二横路一号阳江开能环保能源有限公司。   </w:t>
      </w:r>
      <w:r>
        <w:rPr>
          <w:rFonts w:hint="eastAsia"/>
          <w:b w:val="0"/>
          <w:bCs w:val="0"/>
          <w:color w:val="auto"/>
          <w:kern w:val="2"/>
          <w:sz w:val="21"/>
          <w:szCs w:val="21"/>
          <w:highlight w:val="none"/>
        </w:rPr>
        <w:t xml:space="preserve">                         </w:t>
      </w:r>
    </w:p>
    <w:p w14:paraId="4667C4FF">
      <w:pPr>
        <w:pStyle w:val="67"/>
        <w:spacing w:line="300" w:lineRule="exact"/>
        <w:ind w:left="0" w:firstLine="495"/>
        <w:jc w:val="both"/>
        <w:rPr>
          <w:b w:val="0"/>
          <w:bCs w:val="0"/>
          <w:color w:val="auto"/>
          <w:kern w:val="2"/>
          <w:sz w:val="21"/>
          <w:szCs w:val="21"/>
          <w:highlight w:val="none"/>
        </w:rPr>
      </w:pPr>
      <w:r>
        <w:rPr>
          <w:rFonts w:hint="eastAsia"/>
          <w:b w:val="0"/>
          <w:bCs w:val="0"/>
          <w:color w:val="auto"/>
          <w:kern w:val="2"/>
          <w:sz w:val="21"/>
          <w:szCs w:val="21"/>
          <w:highlight w:val="none"/>
        </w:rPr>
        <w:t>1.3建设工程项目期限：</w:t>
      </w:r>
      <w:r>
        <w:rPr>
          <w:rFonts w:hint="eastAsia"/>
          <w:b w:val="0"/>
          <w:bCs w:val="0"/>
          <w:color w:val="auto"/>
          <w:kern w:val="2"/>
          <w:sz w:val="21"/>
          <w:szCs w:val="21"/>
          <w:highlight w:val="none"/>
          <w:u w:val="single"/>
        </w:rPr>
        <w:t>（详见主合同条款）。</w:t>
      </w:r>
    </w:p>
    <w:p w14:paraId="02791667">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第三条 发包方的责任、权利和义务</w:t>
      </w:r>
    </w:p>
    <w:p w14:paraId="2B39ABF0">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一.加强对安全生产工作的指导和监督，督促承包方（施工单位）按照有关安全规定履行安全生产的管理职能和安全生产。</w:t>
      </w:r>
    </w:p>
    <w:p w14:paraId="73701101">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二.督促承包方建立、健全安全管理网络、管理制度，承包方成立安全管理小组，设置专职安全员。</w:t>
      </w:r>
    </w:p>
    <w:p w14:paraId="580A7EC5">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三.督促承包方及时进行安全生产教育，检查承包方的安全技术交底工作。</w:t>
      </w:r>
    </w:p>
    <w:p w14:paraId="6CE0A8E3">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四.不定期对承包方安全、文明生产情况进行监督检查。</w:t>
      </w:r>
    </w:p>
    <w:p w14:paraId="2982820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五.督促承包方对生产中存在的安全隐患进行整改，有权对不能按期整改的承包方进行处罚，有权对现场违章行为实施处罚。</w:t>
      </w:r>
    </w:p>
    <w:p w14:paraId="45E0BCC5">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六.每月末按国家有关标准对承包方进行考核，作为工程竣工验收安全文明施工合格与不合格的依据。</w:t>
      </w:r>
    </w:p>
    <w:p w14:paraId="500AB1E7">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七.至少每月组织召开一次有承包方项目负责人、专职安全员参加的安全文明生产会议，听取承包方安全工作汇报，纠正施工中存在的安全违章、隐患问题，编写会议记录，并通报各单位。</w:t>
      </w:r>
    </w:p>
    <w:p w14:paraId="106087D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八.安全生产措施不到位、安全生产设施不合格的，承包方必须立即整改，对不能及时整改及整改不到位的，发包方将按本公司</w:t>
      </w:r>
      <w:r>
        <w:rPr>
          <w:rFonts w:hint="eastAsia" w:ascii="宋体" w:hAnsi="宋体"/>
          <w:b/>
          <w:bCs/>
          <w:color w:val="auto"/>
          <w:szCs w:val="21"/>
          <w:highlight w:val="none"/>
        </w:rPr>
        <w:t>《质量安全考核奖惩管理规定》</w:t>
      </w:r>
      <w:r>
        <w:rPr>
          <w:rFonts w:hint="eastAsia" w:ascii="宋体" w:hAnsi="宋体"/>
          <w:bCs/>
          <w:color w:val="auto"/>
          <w:szCs w:val="21"/>
          <w:highlight w:val="none"/>
        </w:rPr>
        <w:t>进行处罚并督促承包方限期整改完成。</w:t>
      </w:r>
    </w:p>
    <w:p w14:paraId="4F440356">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九.督促、检查承包方的安全生产执行情况，发现安全隐患，有权责令承包方及时整改，直至排除隐患。</w:t>
      </w:r>
    </w:p>
    <w:p w14:paraId="296A1276">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十.及时如实向业主及有关职能部门报告安全事故。</w:t>
      </w:r>
    </w:p>
    <w:p w14:paraId="572962E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十一.协助承包方解决发生的紧急问题。</w:t>
      </w:r>
    </w:p>
    <w:p w14:paraId="6E6B4454">
      <w:pPr>
        <w:tabs>
          <w:tab w:val="left" w:pos="426"/>
          <w:tab w:val="left" w:pos="709"/>
        </w:tabs>
        <w:spacing w:line="300" w:lineRule="exact"/>
        <w:ind w:firstLine="371" w:firstLineChars="177"/>
        <w:rPr>
          <w:rFonts w:ascii="宋体" w:hAnsi="宋体"/>
          <w:bCs/>
          <w:color w:val="auto"/>
          <w:szCs w:val="21"/>
          <w:highlight w:val="none"/>
        </w:rPr>
      </w:pPr>
      <w:r>
        <w:rPr>
          <w:rFonts w:hint="eastAsia" w:ascii="宋体" w:hAnsi="宋体"/>
          <w:bCs/>
          <w:color w:val="auto"/>
          <w:szCs w:val="21"/>
          <w:highlight w:val="none"/>
        </w:rPr>
        <w:t>第四条 承包方的责任、权利和义务</w:t>
      </w:r>
    </w:p>
    <w:p w14:paraId="76E2323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承包方应当具备《中华人民共和国安全生产法》和有关法律、行政法规、国家标准规定的安全生产条件，不具备安全条件的不得进行施工作业。安全生产管理必须坚持“安全第一、预防为主、综合治理”的方针。</w:t>
      </w:r>
    </w:p>
    <w:p w14:paraId="3A21090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承包方在签订本协议的同时，应向发包方交纳壹万圆作为安全文明施工保证金（支付方式可选择现金支付或从预付款扣除）。建设工程结束后，如承包方未违反协议规定，则全额退还给承包方，否则发包方有权根据情节严重程度，扣留部分直至全部安全施工保证金。</w:t>
      </w:r>
    </w:p>
    <w:p w14:paraId="000CCEA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三．工程开工前提供承包方的企业资质证书、安全生产许可证、三类人员（企业主要负责人A类、项目经理B类、专职安全员C类）安全生产考核合格证书。所有证书需提供原件和复印件，经确认符合条件后，原件退还承包方，复印件由发包方存档。</w:t>
      </w:r>
    </w:p>
    <w:p w14:paraId="50310EEF">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四.承包方应设置安全生产机构，建立安全生产网络，配备专职安全生产管理人员，专职安全员必须具备建设主管部门颁发的安全执业资格证书。并向发包方提交承包方项目部的安全生产管理体系和安全生产组织机构。</w:t>
      </w:r>
    </w:p>
    <w:p w14:paraId="17B4459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五.承包方主要负责人、安全生产管理人员、特种作业人员必须具备与本单位所从事的工作相适应的安全生产知识和管理能力，持证上岗，遵守发包方的各项目管理制度及项目所在地的各项法律法规。</w:t>
      </w:r>
    </w:p>
    <w:p w14:paraId="6BB03C8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六．建立健全安全生产责任制，制定落实安全生产规章制度和操作规程，并制定安全事故应急救援预案，经发包方批准并监督实施。</w:t>
      </w:r>
    </w:p>
    <w:p w14:paraId="6DCD76F5">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七.保证对具体安全生产条件所必需资金的投入，配备齐全施工人员的劳动保护、安全防护用品，并对由于安全生产所必须的资金投入不足导致的后果承担全部责任。</w:t>
      </w:r>
    </w:p>
    <w:p w14:paraId="4D0E3FE5">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八.根据《中华人民共和国安全生产法》的规定，承包方必须按照国家的有关规定和相关制度对从业人员进行安全教育培训和考试（包括交通运输、现场作业、材料设备采购、仓库管理、资料档案管理、施工前后准备工作等），保证从业人员具备安全生产知识，熟悉安全生产规章制度和安全技术操作规程，掌握本岗位的安全技术操作技能，未经安全生产教育培训考试合格的人员不得上岗作业，涉及特种及危险作业时，承包方应提供相应特种作业人员的工种名单并提交特种作业证原件交承包方核对，严禁无证上岗。一旦发现承包方存在无证特征作业人员的，按1万元/人/次予以处罚，此外业主方因此造成的对总包方的相关处罚，由承包方承担。</w:t>
      </w:r>
    </w:p>
    <w:p w14:paraId="20B285AD">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九.承包方在开工前，应制定详细的安全施工方案，报发包方现场项目经理确认后备案。并根据施工进度情况做好各项安全技术交底工作。</w:t>
      </w:r>
    </w:p>
    <w:p w14:paraId="34E7443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十.每周至少召开一次安全文明生产会议，自查自纠不安全因素及隐患，保证工程顺利进行。</w:t>
      </w:r>
    </w:p>
    <w:p w14:paraId="29AFF09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十一.严格执行国家有关标准，并接受业主方、发包方、监理方及当地建设主管部门的检查考核，为检查考核提供便利条件。</w:t>
      </w:r>
    </w:p>
    <w:p w14:paraId="132DBB63">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十二.发包方和各级检查人员进行安全监督检查时，承包方要主动接受检查，并积极配合，不得拒绝、阻挠和拖延，并在检查记录上签字。</w:t>
      </w:r>
    </w:p>
    <w:p w14:paraId="15CF4E34">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十三.定期检查和督促本单位的安全生产工作，及时纠正违章作业的行为，及时消除安全事故隐患。</w:t>
      </w:r>
    </w:p>
    <w:p w14:paraId="643316B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十四.承包方现场负责人及专职安全员对工程现场实行日常性监督，并建立安全检查记录。</w:t>
      </w:r>
    </w:p>
    <w:p w14:paraId="4858EF2F">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十五.承包方管理人员如出现拒不接受监督改正以及强令冒险作业，发包方有权要求撤换现场施工管理人员，直至解除与承包方的建设工程协议，由此造成的损失全部由承包方承担。</w:t>
      </w:r>
    </w:p>
    <w:p w14:paraId="158E286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六.工程施工期间承包方应严格遵守业主方厂区内各项规章制度。本工程的安监、质监、业主、监理各方以及其它政府职能部门在综合管理中（包括施工进度、质量、安全等）所下达的经济处罚，属于承包方责任的，发包方将对承包方处于同等金额的罚金。如承包方不按期支付罚金的，发包方将从进度款中双倍扣除。</w:t>
      </w:r>
    </w:p>
    <w:p w14:paraId="69833200">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十七.建立完善符合相关安全技术法规、规范和标准要求的季节性施工、施工现场临时用电、脚手架作业、机械作业、危险作业等安全管理制度，规范控制现场施工作业行为，确保安全生产标准化。</w:t>
      </w:r>
    </w:p>
    <w:p w14:paraId="533AC08F">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十八.对施工现场周围设立防护栏，有关设施、设备要设置明显的安全警示标志，危险作业过程还需增设专人进行监护。</w:t>
      </w:r>
    </w:p>
    <w:p w14:paraId="6A1FDBB7">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九.承包方在本工程使用的特种作业机械必须有国家强制部门颁发的有效使用证书，承包方自制的起重吊装设施必须有力学计算书,现场制作工艺符合有关规范,并经过检测试验合格后方可投入使用。承包方在本工程雇佣的员工必须身体健康，符合工程作业要求。</w:t>
      </w:r>
    </w:p>
    <w:p w14:paraId="19C42DB8">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二十.承包方在交通运输过程中，遵守有关法律法规的规定，保证自身和其他车辆、行人、设施、专业管线及沿途的建筑物、构筑物的安全，防止污染城市，对造成的损害承担全部责任。</w:t>
      </w:r>
    </w:p>
    <w:p w14:paraId="6C4CD774">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二十一.遵守当地政府部门对施工场地和施工噪音等管理规定，经发包方同意后办理相关手续，如因承包方责任造成的罚款由承包方承担。</w:t>
      </w:r>
    </w:p>
    <w:p w14:paraId="268326B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二十二.发生安全事故，承包方应及时如实向发包方和有关职能部门报告。</w:t>
      </w:r>
    </w:p>
    <w:p w14:paraId="2DCE369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三.承包方应加强治安保卫工作，避免其员工出现任何妨害治安行为。确保工地的治安稳定，人员和财产安全不受到损害。如造成自身伤害和伤害他人的，承包方负责对责任人进行责任追究，承包方承担全部责任和费用。</w:t>
      </w:r>
    </w:p>
    <w:p w14:paraId="18DE3E8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二十四.违章操作、人身伤害和财产损失</w:t>
      </w:r>
    </w:p>
    <w:p w14:paraId="683E7241">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1.承包方应按有关规定，采取完善的安全措施。每发生一起“三违”（违章指挥、违章操作、违反劳动纪律）行为，发包方视影响程度，对承包方处壹佰元至贰仟元人民币的罚款。</w:t>
      </w:r>
    </w:p>
    <w:p w14:paraId="3B2702E6">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2.承包方未按期整改安全隐患，发包方对承包方处贰佰元至叁仟元人民币的罚款。</w:t>
      </w:r>
    </w:p>
    <w:p w14:paraId="040E4C2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3.承包方由于未遵守有关安全法律法规、规程规定、制度而造成安全事故的，承包方须承担相应的安全责任和因此发生的所有费用。每发生一起，发包方视事故后果对承包方另处以壹万元至壹拾万元人民币的罚款。</w:t>
      </w:r>
    </w:p>
    <w:p w14:paraId="31DE940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4.承包方在有毒有害环境中施工，应按照有关规定提供相应的防护措施，违反一次处壹仟元人民币以上的罚款。</w:t>
      </w:r>
    </w:p>
    <w:p w14:paraId="5F79B11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5.因承包方责任给发包方造成工程或声誉影响，发包方视影响程度，另处以伍仟元至伍万元的罚款。</w:t>
      </w:r>
    </w:p>
    <w:p w14:paraId="6A3CB720">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6.发生重大伤亡事故，承包方应该按照有关规定立即上报发包方代表和当地政府职能部门。同时承包方要积极组织事故救援，发包方要为救援工作提供必要条件，发生事故的责任和费用由承包方承担。</w:t>
      </w:r>
    </w:p>
    <w:p w14:paraId="53437A98">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7．第三条条款中属于承包方职责而未履行到位的，每例罚款500元。对于现场习惯性违章行为，发包方将按本公司《安全奖惩制度》的相关条款实施处罚。</w:t>
      </w:r>
    </w:p>
    <w:p w14:paraId="205DC74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二十五.承包方应按有关规定为本工程工作的所有人员办理工伤保险，从事危险作业的人员办理意外伤害保险。</w:t>
      </w:r>
    </w:p>
    <w:p w14:paraId="080B558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二十六.急救和防火</w:t>
      </w:r>
    </w:p>
    <w:p w14:paraId="43158FE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1.承包方应免费为业主方或业主方任命人员及发包方提供现场急救便利。</w:t>
      </w:r>
    </w:p>
    <w:p w14:paraId="4C87557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2.承包方必须根据项目各阶段的要求，完善消防管理制度和相关防火措施，配足防火设备，直至项目验收移交。</w:t>
      </w:r>
    </w:p>
    <w:p w14:paraId="7EF7937D">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二十七.劳动安全卫生工作守则</w:t>
      </w:r>
    </w:p>
    <w:p w14:paraId="4333A70F">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1.总则</w:t>
      </w:r>
    </w:p>
    <w:p w14:paraId="467EDFB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（一）承包商承包工程或劳务项目时，应事先查询承包范围之工作场所环境危害因素及应采取之安全措施等事项，如有不明确之处，应与发包方联系。</w:t>
      </w:r>
    </w:p>
    <w:p w14:paraId="3868572F">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承包方在承包发包方工程时应指定安全卫生管理员及工地负责人，实施工作前之安全卫生检查及教育，承包方不得随意更换工作人员或调换工作人员工作工种，落实与发包方工业安全卫生管理人员联系及协调。</w:t>
      </w:r>
    </w:p>
    <w:p w14:paraId="40BA89C4">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三）承包方负责人须亲自或指派有工程安全经验人员常驻工地督导监工，并应约束其工作人员参照发包方纪律不得在工地酗酒、滋事、赌博、打架或其他不良行为，如有违反规定及触犯政府法令所引起之纠葛，承包方应负完全责任。</w:t>
      </w:r>
    </w:p>
    <w:p w14:paraId="1292B24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（四）承包方负责人在工程进行中，须随时注意所属工作人员之安全以防意外，如遇有意外或伤亡事故，应由承包方负责料理善后与发包方无涉、不得向发包方提出任何要求。</w:t>
      </w:r>
    </w:p>
    <w:p w14:paraId="3BFA20E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五）承包方应保持工地清洁，施工过程中产生之垃圾发包方有权要求承包方应及时清理，逾期未清理除采取适当处罚措施外，发包方则雇人清理，其费用在承包方工程款（或保证金）中扣除。工程完成后须清理工地，并将一切杂物、残屑等，尽速运到发包方指定之场所（合同有特别约定的按规定处置）。</w:t>
      </w:r>
    </w:p>
    <w:p w14:paraId="4225B4CD">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（六）承包方应依2010年国务院发586号令《工伤保险条例》规定对其雇用人员办理相关保险。发包方与承包方的发包合同金额中已包含各项相关保险费用，承包方不得就此项费用在承包金额中重复列支。</w:t>
      </w:r>
    </w:p>
    <w:p w14:paraId="7CC24D7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七）参与服务的承包方之员工，应文明服务，服从发包方有关工程（或劳务）安全管理制度，并配合发包方部门或人员遵守相关管理规定，按照合同约定内容作业或服务。属于承包方的从业人员管理、合同履行过程之安全环保等管理均由承包方负责。因承包方违反国家法律法规用工规定的责任与后果全部由承包方承担。</w:t>
      </w:r>
    </w:p>
    <w:p w14:paraId="127DF8E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（八）承包方须证明其相应安全管理资质和服务人员操作资质,因其提供虚假信息造成的一切后果由其承担。</w:t>
      </w:r>
    </w:p>
    <w:p w14:paraId="089D2488">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（九）承包方应对工地上防火、防盗工作负责，若造成业主损失由承包方负其全责赔偿损失。</w:t>
      </w:r>
    </w:p>
    <w:p w14:paraId="4960D19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2.工作安全部分</w:t>
      </w:r>
    </w:p>
    <w:p w14:paraId="6E91441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（一）承包方所属工作人员，对于工作场所及工作方法之安全措施有存疑者，应立即向其现场主管或发包方监工询问清楚，再行工作以策安全。</w:t>
      </w:r>
    </w:p>
    <w:p w14:paraId="7D060EC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（二）承包方应在危险工作地区应设围栅及警告标示，夜间工作场所应有足够照明，以防止事故发生。</w:t>
      </w:r>
    </w:p>
    <w:p w14:paraId="16DB68F7">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（三）承包方之工作人员均须着适当的服装及必要之安全护具，采取适当安全及环保措施。</w:t>
      </w:r>
    </w:p>
    <w:p w14:paraId="6D6D2B51">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（四）工作地点必须保持整洁，工具材料、油、钉等材料不可随意乱置地上。</w:t>
      </w:r>
    </w:p>
    <w:p w14:paraId="1CE0C80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（五）塔架、起重、油漆、拆除等危险工作，必须派专人现场监督指导。</w:t>
      </w:r>
    </w:p>
    <w:p w14:paraId="1E6D481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（六）易燃品（汽油、瓦斯、油布等）附近，不得置有引火物，并严禁吸烟及乱掷烟蒂。</w:t>
      </w:r>
    </w:p>
    <w:p w14:paraId="6F6D201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（七）于易燃或易爆场所（如煤房、油槽）工作时需联络现场人员，将煤粉、汽油等易燃物清理干净，必要时应再以水洗或散布生料粉。</w:t>
      </w:r>
    </w:p>
    <w:p w14:paraId="226599D8">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（八）发包方所有电源开关，承包方工作人员，如未得到监工或监理人员许可，不得擅自接电使用。</w:t>
      </w:r>
    </w:p>
    <w:p w14:paraId="14A3BFB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（九）承包方在工作中需使用压力容器时，须先征得压力容器使用部门同意，另使用中须了解发包方压力容器安全操作规程。如造成压力容器损坏或人员伤害，由承包方负其全责，且须赔偿发包方损失。</w:t>
      </w:r>
    </w:p>
    <w:p w14:paraId="745ECFA8">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3.使用临时电力、用水及电焊部分</w:t>
      </w:r>
    </w:p>
    <w:p w14:paraId="6D1D28B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（一）承包方凡欲使用任何水电、须事先向发包方提出申请，未经许可前严禁私自接用。</w:t>
      </w:r>
    </w:p>
    <w:p w14:paraId="6AD0AF64">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发包方供应之电源时，承包方必须将使用地点各项电气设备名称、电压、容量、数量及电缆、开头等之大小规格列表送发包方审查，全部供电设备装置完成，并经发包方检查合格后，始可送电使用，承包方应接受发包方对安全用电进行监督检查。</w:t>
      </w:r>
    </w:p>
    <w:p w14:paraId="3B9D7FEA">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（三）承包方不得任意将设备接至非发包方指定开关使用，未经发包方同意前，不得任意变更设备或增加容量，否则由承包方负全责。</w:t>
      </w:r>
    </w:p>
    <w:p w14:paraId="0D24087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（四）发包方供应之水源时，承包方必须将使用地点、用水量等送发包方审查，全部供水设备装置完成，并经发包方合格后，始可送水使用。</w:t>
      </w:r>
    </w:p>
    <w:p w14:paraId="08585A8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（五）所需之供水器材及施工安装费用全部由承包商自行负责。</w:t>
      </w:r>
    </w:p>
    <w:p w14:paraId="2AF5D57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（六）每一部电动机、电焊机应分别装设开关，以策安全。</w:t>
      </w:r>
    </w:p>
    <w:p w14:paraId="0641630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（七）承包方电焊机所有使用之导线，必须合于规定之绝缘电线，不得使用劣品或代用品及电容量不足者，并不可裸露部分或代用品连接。</w:t>
      </w:r>
    </w:p>
    <w:p w14:paraId="277FFEB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（八）承包方电焊机之电焊线路应直接接于工作物上，严禁利用栏杆、楼梯建筑物之钢架，或电力接地系统及管路等或间接供电电焊。</w:t>
      </w:r>
    </w:p>
    <w:p w14:paraId="09B08453">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（九）承包方从事半导体机器设备内之狭小空间或高度两公尺以上钢架上作业所用交流电焊机，应使用自动电击防止器。</w:t>
      </w:r>
    </w:p>
    <w:p w14:paraId="266A1516">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（十）除电源总开关以外，所需之电气器材，全部由承包方自行负责。</w:t>
      </w:r>
    </w:p>
    <w:p w14:paraId="43A600C1">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（十一）承包方在对生产设备电焊工作前，须告知发包方设备操作人员。</w:t>
      </w:r>
    </w:p>
    <w:p w14:paraId="46BF7D8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二）承包方之电焊工作前需由经过训练之技工操作，该技工须持有劳动部门所发的特种作业人员操作证（电焊作业），工作时场地应绕以护屏，以遮挡耀目之火花，遇高温、天雨积水有感电之危险时应暂停工作，并与发包方有关人员联络。</w:t>
      </w:r>
    </w:p>
    <w:p w14:paraId="2431AC9E">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（十三）承包方应随时留意检查所使用电源器具及导线之绝对安全性，如有发生意外均由承包方负其全责。</w:t>
      </w:r>
    </w:p>
    <w:p w14:paraId="44320325">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（十四）发包方对承包方之电力设备及用电情况，如认为不符合安全规定或未达用电安全时，得通知承包方限期改善，承包方不得借故拖延，否则将停止供电，如因此而导致工程进度落后由承包方负责。</w:t>
      </w:r>
    </w:p>
    <w:p w14:paraId="49D63F23">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4.气焊（割）部分</w:t>
      </w:r>
    </w:p>
    <w:p w14:paraId="28C9EC1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（一）承包方使用之气焊（割）设备时，应先检查其容器、压力计、焊嘴、输气管等，是否有失气或漏气情况，并需经现场监工人员之认可，方能使用。</w:t>
      </w:r>
    </w:p>
    <w:p w14:paraId="2F028F7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（二）承包方每次点燃焊嘴，需使用火柴或打火机，严禁以破布、草绳及香烟引火。</w:t>
      </w:r>
    </w:p>
    <w:p w14:paraId="5F456CF0">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（三）承包方电焊工搬运钢瓶须用手推车，或沿底缘滚动，不得平卧滚进或上拖拉。</w:t>
      </w:r>
    </w:p>
    <w:p w14:paraId="7CB42914">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（四）钢瓶不得与任何带电导体接触或作为电流经路之一部分。</w:t>
      </w:r>
    </w:p>
    <w:p w14:paraId="67BC1C18">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（五）承包方自备之氧气及乙炔瓶各自集中保管，用毕之空瓶应予集中（定点处），绝对不可随处堆放，影响工作安全。</w:t>
      </w:r>
    </w:p>
    <w:p w14:paraId="41C9F30F">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（六）乙炔钢瓶须竖立使用，并避免曝晒，以防止爆炸之发生。氧气瓶与乙炔瓶及明火距离应大于5m，乙炔瓶与明火距离应大于10m。</w:t>
      </w:r>
    </w:p>
    <w:p w14:paraId="4881DDA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（七）承包方不得将钢瓶带进密闭之桶、槽、塔使用。</w:t>
      </w:r>
    </w:p>
    <w:p w14:paraId="15E957D0">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（八）承包方焊工之个人防护用品，应依规定穿戴齐备。</w:t>
      </w:r>
    </w:p>
    <w:p w14:paraId="33FB1819">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九）高处工作之焊工，应注意下面行人及物品之安全，不得使焊渣及切割物掉落，伤及人、物，并避免引起火灾，应有专人在地面疏导安全。禁止在发包方电缆沟盖板上进行焊割作业，电气焊作业时应注意保护作业面临近的电缆、光缆。</w:t>
      </w:r>
    </w:p>
    <w:p w14:paraId="0CFA876B">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（十）每日停止焊割工作后，焊工应注意巡视焊割场地之四周，有舍余烟未熄之情况以免招致灾害，承包方之监工人员，亦应于最后离开现场前，重加巡视，以策安全。</w:t>
      </w:r>
    </w:p>
    <w:p w14:paraId="7F7B6E92">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5.高处施工部分</w:t>
      </w:r>
    </w:p>
    <w:p w14:paraId="6677390C">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一）承包方凡是从事建筑物之新建、增建、改造、修建及拆修等行为时，承包方应按国家高空作业有关规定实施，应于其施工场所设置适当之防护围棚、挡土设备、施工架等安全措施，以防护人员之意外伤亡，地层下陷建筑之倒塌等而危及公共安全。</w:t>
      </w:r>
    </w:p>
    <w:p w14:paraId="05A70260">
      <w:pPr>
        <w:spacing w:line="300" w:lineRule="exact"/>
        <w:ind w:firstLine="420" w:firstLineChars="200"/>
        <w:rPr>
          <w:rFonts w:ascii="宋体" w:hAnsi="宋体"/>
          <w:bCs/>
          <w:color w:val="auto"/>
          <w:szCs w:val="21"/>
          <w:highlight w:val="none"/>
        </w:rPr>
      </w:pPr>
      <w:r>
        <w:rPr>
          <w:rFonts w:hint="eastAsia" w:ascii="宋体" w:hAnsi="宋体"/>
          <w:bCs/>
          <w:color w:val="auto"/>
          <w:szCs w:val="21"/>
          <w:highlight w:val="none"/>
        </w:rPr>
        <w:t>（二）施工架搭设及拆除，应派持有上岗证的人员担任。从事高空作业的人员应定期体检。经医生诊断，患高血压、心脏病、贫血病、癫痫病以及其它不适于高空作业的，不得从事高空作业。</w:t>
      </w:r>
    </w:p>
    <w:p w14:paraId="6ED7798F">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（三）承包方搭建之施工架、工作台、走道、梯子等之强度，应以优良品质材料搭建，使其具足够负荷承受之重量与压力，不得使用有缺陷之材料。</w:t>
      </w:r>
    </w:p>
    <w:p w14:paraId="3B2307DB">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（四）施工架上物料运送及贮存，负荷重应求平均，并严禁超载，施工人员所使用之各种工具应避免放置架台上，否则应将该工具固定，以免滑落伤及架下方人或物。上下传递物件禁止抛掷。</w:t>
      </w:r>
    </w:p>
    <w:p w14:paraId="276324F0">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（五）承包方应注意工地照明，其作业区域应设置安全标志。</w:t>
      </w:r>
    </w:p>
    <w:p w14:paraId="0ED1291F">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（六）施工架使用升降装置时应增加强度，并防止脚踏移动吊负重物与施工架不可撞碰。</w:t>
      </w:r>
    </w:p>
    <w:p w14:paraId="2505EBA2">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七）高处作业如未能铺设工作台，应规定施工人员佩挂安全带。进入施工现场，禁止穿拖鞋或光脚；高空作业衣着更灵便，禁止穿硬底和带钉易滑的鞋。上下交叉作业有危险的出入口要有防护棚或其它隔离设施。距地面3米以上作业要有防护栏杆，挡板或安全网。安全帽、安全带、安全网要定期检查，不符合要求的，禁止使用。</w:t>
      </w:r>
    </w:p>
    <w:p w14:paraId="3F4325AE">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八）施工架、护栏、护盖应经常注意保养以保持效能，如发现有异常时，应即修补或采取其他必要措施，如临时拆除应采取其他必要安全措施于拆除原因消失后应即恢复原状。施工现场的脚手架、防护设施、安全标志和警告牌，不得擅自拆除。拆除脚手架，周围应设围栏或警戒标志，并设专人看管，禁人入内。拆除应按顺序由上而下，一步一清，不准上下同时作业。</w:t>
      </w:r>
    </w:p>
    <w:p w14:paraId="54D8628E">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（九）工作台上四周设置具有适当强度之扶手，护栏下之垂直空间不得超过90公分。</w:t>
      </w:r>
    </w:p>
    <w:p w14:paraId="2799506C">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（十）架梯应有防止移动之设备，架梯与主机均应有适当强度，并连接牢固，有断缺损裂者不得使用。</w:t>
      </w:r>
    </w:p>
    <w:p w14:paraId="6D22A89D">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（十一）用作升降井或吊运物料之施工架在建筑物地板或工作台之孔洞缺口处，均应加护栏。</w:t>
      </w:r>
    </w:p>
    <w:p w14:paraId="043440AC">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（十二）对于施工人员在石棉瓦、铁皮板、瓦、木板、塑等材料横筑屋顶从事作业时为防止踏坠落，应设置适当强度，且宽度在三十公分以下之踏板或装设防护网。</w:t>
      </w:r>
    </w:p>
    <w:p w14:paraId="56E7ACE9">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6.吊重机械设备部分</w:t>
      </w:r>
    </w:p>
    <w:p w14:paraId="12C9EC15">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（一）吊重设备包括起重机、绞车、滑车与一切吊重机悠扬及配件，均应构成良好，具有适当强度，并随时保持可用状态。</w:t>
      </w:r>
    </w:p>
    <w:p w14:paraId="07FA4FA1">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（二）承包方之各种吊重设备，应对安全荷重量及最大重分别予以标明不得超载。</w:t>
      </w:r>
    </w:p>
    <w:p w14:paraId="3F1FA6B3">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（三）承包方吊重工作进行中应防止人员通过或停立于负荷物之下必要时应竖立标志，工作中须派人指挥防止意外，吊重绳索不得妨碍交通。</w:t>
      </w:r>
    </w:p>
    <w:p w14:paraId="68BAD77B">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（四）承包方操作吊重设备人员及指挥监督人员均应具备相当经验，并持有劳动部门所发的特种作业人员操作证（起重作业）。</w:t>
      </w:r>
    </w:p>
    <w:p w14:paraId="110741DA">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（五）承包方之电动机、传动设备、吊重设备之突出部分应加装有效之安全护罩。</w:t>
      </w:r>
    </w:p>
    <w:p w14:paraId="7CCEEF6B">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（六）承包方之各种吊重设备应装置有效之刹车及其他必须之安全设备以防吊物之坠落。</w:t>
      </w:r>
    </w:p>
    <w:p w14:paraId="096C2D57">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（七）承包方使用发包方吊重设备时，若在使用过程致设备损坏或人员伤害，由承包方负全责，且须赔偿发包方一切损失。</w:t>
      </w:r>
    </w:p>
    <w:p w14:paraId="74BAA59F">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（八）承包方之起重机吊起被吊物后，操作人员不可任意离开操作位置。</w:t>
      </w:r>
    </w:p>
    <w:p w14:paraId="0A583DD0">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（九）起重机具不得乘载人员或吊升工作人员。</w:t>
      </w:r>
    </w:p>
    <w:p w14:paraId="278E8307">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（十）起吊设备如利用屋架、屋柱时必须先征得发包方有关人员之同意，如有损坏承包方应负责修复或赔偿。</w:t>
      </w:r>
    </w:p>
    <w:p w14:paraId="4367BD2E">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7.承包方应自觉做好以下事项：</w:t>
      </w:r>
    </w:p>
    <w:p w14:paraId="614C2E0D">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一）承包方厂内机动车辆包括叉车、装载机、汽车、拖拉机、挖掘机、推土机等，承包方在发包方道路上行驶之厂内机动车辆必须保持车况良好，且应持有承包方所在地质量技术监督局所发牌照和使用证（持有交通部门所发牌照除外）。</w:t>
      </w:r>
    </w:p>
    <w:p w14:paraId="362FF98B">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（二）承包方之厂内机动车辆驾驶员需由经过训练之技工操作，该技工须持有安全生产管理部门所发的特种作业人员（厂内机动车辆驾驶作业）操作证（持有交通部门所发驾驶证照除外）。</w:t>
      </w:r>
    </w:p>
    <w:p w14:paraId="4797EBDE">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（三）承包方车辆在发包方道路上行驶时须参照发包方相关安全规定安全行使，如限速行驶等。</w:t>
      </w:r>
    </w:p>
    <w:p w14:paraId="486CEBBE">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（四）承包方车辆行驶中遇有意外致使发包方财物受损或人员伤害，由承包方负其全责，且须赔偿发包方一切损失。（承包方按照国家相关法律规定对发包方承担相应责任）</w:t>
      </w:r>
    </w:p>
    <w:p w14:paraId="2607CBA8">
      <w:pPr>
        <w:spacing w:line="300" w:lineRule="exact"/>
        <w:ind w:firstLine="367" w:firstLineChars="175"/>
        <w:rPr>
          <w:rFonts w:ascii="宋体" w:hAnsi="宋体"/>
          <w:bCs/>
          <w:color w:val="auto"/>
          <w:szCs w:val="21"/>
          <w:highlight w:val="none"/>
        </w:rPr>
      </w:pPr>
      <w:r>
        <w:rPr>
          <w:rFonts w:hint="eastAsia" w:ascii="宋体" w:hAnsi="宋体"/>
          <w:bCs/>
          <w:color w:val="auto"/>
          <w:szCs w:val="21"/>
          <w:highlight w:val="none"/>
        </w:rPr>
        <w:t>（五）承包方人员、物资、车辆出入发包方须办理登记，若因承包方手续不全等原因造成的纠纷或损失由承包方自负。</w:t>
      </w:r>
    </w:p>
    <w:p w14:paraId="27C911FA">
      <w:pPr>
        <w:ind w:left="1050" w:leftChars="200" w:hanging="630" w:hangingChars="300"/>
        <w:jc w:val="left"/>
        <w:rPr>
          <w:rFonts w:ascii="宋体" w:hAnsi="宋体"/>
          <w:b/>
          <w:color w:val="auto"/>
          <w:szCs w:val="21"/>
          <w:highlight w:val="none"/>
        </w:rPr>
      </w:pPr>
    </w:p>
    <w:p w14:paraId="2AAF64BA">
      <w:pPr>
        <w:snapToGrid w:val="0"/>
        <w:spacing w:after="332" w:afterLines="100"/>
        <w:ind w:firstLine="315" w:firstLineChars="150"/>
        <w:rPr>
          <w:rFonts w:ascii="宋体" w:hAnsi="宋体"/>
          <w:b/>
          <w:color w:val="auto"/>
          <w:szCs w:val="21"/>
          <w:highlight w:val="none"/>
        </w:rPr>
      </w:pPr>
      <w:r>
        <w:rPr>
          <w:rFonts w:hint="eastAsia" w:ascii="宋体" w:hAnsi="宋体"/>
          <w:b/>
          <w:color w:val="auto"/>
          <w:szCs w:val="21"/>
          <w:highlight w:val="none"/>
        </w:rPr>
        <w:t>发包方: 阳江开能环保能源有限公司        承包方:</w:t>
      </w:r>
    </w:p>
    <w:p w14:paraId="2B1041F8">
      <w:pPr>
        <w:snapToGrid w:val="0"/>
        <w:spacing w:after="332" w:afterLines="100"/>
        <w:ind w:firstLine="315" w:firstLineChars="150"/>
        <w:rPr>
          <w:rFonts w:ascii="宋体" w:hAnsi="宋体"/>
          <w:b/>
          <w:color w:val="auto"/>
          <w:szCs w:val="21"/>
          <w:highlight w:val="none"/>
        </w:rPr>
      </w:pPr>
      <w:r>
        <w:rPr>
          <w:rFonts w:hint="eastAsia" w:ascii="宋体" w:hAnsi="宋体"/>
          <w:b/>
          <w:color w:val="auto"/>
          <w:szCs w:val="21"/>
          <w:highlight w:val="none"/>
        </w:rPr>
        <w:t xml:space="preserve"> 法人或委托代表人：                      法人或委托代表人：  </w:t>
      </w:r>
    </w:p>
    <w:p w14:paraId="38E82D46">
      <w:pPr>
        <w:pStyle w:val="22"/>
        <w:ind w:firstLine="422"/>
        <w:rPr>
          <w:rFonts w:ascii="宋体" w:hAnsi="宋体"/>
          <w:b/>
          <w:color w:val="auto"/>
          <w:szCs w:val="21"/>
          <w:highlight w:val="none"/>
        </w:rPr>
      </w:pPr>
    </w:p>
    <w:p w14:paraId="3DD3A62C">
      <w:pPr>
        <w:pStyle w:val="22"/>
        <w:ind w:firstLine="422"/>
        <w:rPr>
          <w:rFonts w:ascii="宋体" w:hAnsi="宋体"/>
          <w:b/>
          <w:color w:val="auto"/>
          <w:szCs w:val="21"/>
          <w:highlight w:val="none"/>
        </w:rPr>
      </w:pPr>
    </w:p>
    <w:p w14:paraId="7A29B5B4">
      <w:pPr>
        <w:pStyle w:val="22"/>
        <w:ind w:firstLine="422"/>
        <w:rPr>
          <w:rFonts w:ascii="宋体" w:hAnsi="宋体"/>
          <w:b/>
          <w:color w:val="auto"/>
          <w:szCs w:val="21"/>
          <w:highlight w:val="none"/>
        </w:rPr>
      </w:pPr>
    </w:p>
    <w:p w14:paraId="4ECC380E">
      <w:pPr>
        <w:pStyle w:val="22"/>
        <w:ind w:firstLine="422"/>
        <w:rPr>
          <w:rFonts w:ascii="宋体" w:hAnsi="宋体"/>
          <w:b/>
          <w:color w:val="auto"/>
          <w:szCs w:val="21"/>
          <w:highlight w:val="none"/>
        </w:rPr>
      </w:pPr>
    </w:p>
    <w:p w14:paraId="7581303D">
      <w:pPr>
        <w:pStyle w:val="22"/>
        <w:ind w:firstLine="422"/>
        <w:rPr>
          <w:rFonts w:ascii="宋体" w:hAnsi="宋体"/>
          <w:b/>
          <w:color w:val="auto"/>
          <w:szCs w:val="21"/>
          <w:highlight w:val="none"/>
        </w:rPr>
      </w:pPr>
    </w:p>
    <w:p w14:paraId="07BE19BD">
      <w:pPr>
        <w:pStyle w:val="22"/>
        <w:ind w:firstLine="422"/>
        <w:rPr>
          <w:rFonts w:ascii="宋体" w:hAnsi="宋体"/>
          <w:b/>
          <w:color w:val="auto"/>
          <w:szCs w:val="21"/>
          <w:highlight w:val="none"/>
        </w:rPr>
      </w:pPr>
    </w:p>
    <w:p w14:paraId="113A073A">
      <w:pPr>
        <w:spacing w:before="166" w:beforeLines="50" w:after="166" w:afterLines="50" w:line="340" w:lineRule="exact"/>
        <w:jc w:val="left"/>
        <w:rPr>
          <w:rFonts w:ascii="宋体" w:hAnsi="宋体" w:cs="宋体"/>
          <w:b/>
          <w:color w:val="auto"/>
          <w:sz w:val="28"/>
          <w:szCs w:val="28"/>
          <w:highlight w:val="none"/>
        </w:rPr>
      </w:pPr>
      <w:r>
        <w:rPr>
          <w:rFonts w:hint="eastAsia" w:ascii="宋体" w:hAnsi="宋体" w:cs="宋体"/>
          <w:b/>
          <w:color w:val="auto"/>
          <w:sz w:val="28"/>
          <w:szCs w:val="28"/>
          <w:highlight w:val="none"/>
        </w:rPr>
        <w:t>附件3：</w:t>
      </w:r>
    </w:p>
    <w:p w14:paraId="1E1A97BE">
      <w:pPr>
        <w:spacing w:before="166" w:beforeLines="50" w:after="166" w:afterLines="50" w:line="360" w:lineRule="auto"/>
        <w:jc w:val="center"/>
        <w:rPr>
          <w:rFonts w:ascii="宋体" w:hAnsi="宋体" w:cs="宋体"/>
          <w:b/>
          <w:color w:val="auto"/>
          <w:sz w:val="44"/>
          <w:szCs w:val="44"/>
          <w:highlight w:val="none"/>
        </w:rPr>
      </w:pPr>
      <w:r>
        <w:rPr>
          <w:rFonts w:hint="eastAsia" w:ascii="宋体" w:hAnsi="宋体" w:cs="宋体"/>
          <w:b/>
          <w:color w:val="auto"/>
          <w:sz w:val="44"/>
          <w:szCs w:val="44"/>
          <w:highlight w:val="none"/>
        </w:rPr>
        <w:t>农民工工资及管理要求</w:t>
      </w:r>
    </w:p>
    <w:p w14:paraId="28267B5D">
      <w:pPr>
        <w:pStyle w:val="66"/>
        <w:snapToGrid w:val="0"/>
        <w:spacing w:before="0" w:after="0" w:line="360" w:lineRule="auto"/>
        <w:ind w:left="0" w:right="0" w:firstLine="420" w:firstLineChars="200"/>
        <w:rPr>
          <w:rFonts w:ascii="宋体" w:hAnsi="宋体"/>
          <w:b/>
          <w:color w:val="auto"/>
          <w:sz w:val="21"/>
          <w:szCs w:val="21"/>
          <w:highlight w:val="none"/>
        </w:rPr>
      </w:pPr>
      <w:r>
        <w:rPr>
          <w:rFonts w:hint="eastAsia" w:ascii="宋体" w:hAnsi="宋体"/>
          <w:b/>
          <w:color w:val="auto"/>
          <w:sz w:val="21"/>
          <w:szCs w:val="21"/>
          <w:highlight w:val="none"/>
        </w:rPr>
        <w:t>发包方（全称）：</w:t>
      </w:r>
      <w:r>
        <w:rPr>
          <w:rFonts w:hint="eastAsia" w:ascii="宋体" w:hAnsi="宋体"/>
          <w:b/>
          <w:color w:val="auto"/>
          <w:sz w:val="21"/>
          <w:szCs w:val="21"/>
          <w:highlight w:val="none"/>
          <w:u w:val="single"/>
        </w:rPr>
        <w:t xml:space="preserve">阳江开能环保能源有限公司 </w:t>
      </w:r>
    </w:p>
    <w:p w14:paraId="729E0F04">
      <w:pPr>
        <w:pStyle w:val="66"/>
        <w:spacing w:before="0" w:after="0" w:line="360" w:lineRule="auto"/>
        <w:ind w:left="10" w:leftChars="5" w:right="70" w:firstLine="420" w:firstLineChars="200"/>
        <w:rPr>
          <w:rFonts w:ascii="宋体" w:hAnsi="宋体" w:cs="宋体"/>
          <w:b/>
          <w:color w:val="auto"/>
          <w:sz w:val="21"/>
          <w:szCs w:val="21"/>
          <w:highlight w:val="none"/>
          <w:u w:val="single"/>
        </w:rPr>
      </w:pPr>
      <w:r>
        <w:rPr>
          <w:rFonts w:hint="eastAsia" w:ascii="宋体" w:hAnsi="宋体"/>
          <w:b/>
          <w:color w:val="auto"/>
          <w:sz w:val="21"/>
          <w:szCs w:val="21"/>
          <w:highlight w:val="none"/>
        </w:rPr>
        <w:t>承包方（全称）：</w:t>
      </w:r>
    </w:p>
    <w:p w14:paraId="19E7D0F2">
      <w:pPr>
        <w:tabs>
          <w:tab w:val="left" w:pos="-105"/>
        </w:tabs>
        <w:spacing w:before="166" w:beforeLines="50" w:after="166" w:afterLines="50" w:line="340" w:lineRule="exact"/>
        <w:ind w:firstLine="558" w:firstLineChars="266"/>
        <w:jc w:val="left"/>
        <w:rPr>
          <w:rFonts w:ascii="宋体" w:hAnsi="宋体" w:cs="宋体"/>
          <w:bCs/>
          <w:color w:val="auto"/>
          <w:szCs w:val="21"/>
          <w:highlight w:val="none"/>
        </w:rPr>
      </w:pPr>
      <w:r>
        <w:rPr>
          <w:rFonts w:hint="eastAsia" w:ascii="宋体" w:hAnsi="宋体" w:cs="宋体"/>
          <w:bCs/>
          <w:color w:val="auto"/>
          <w:szCs w:val="21"/>
          <w:highlight w:val="none"/>
        </w:rPr>
        <w:t>为进一步加强农民工工资发放管理，加强内部治安管理，维护正常的施工秩序，构建和谐工地氛围，确保阳江开能环保能源有限公司2025年度安全隐患整改项目-防腐刷漆及保温工程安全、优质、经济、高效地完工，经双方协商一致如下：</w:t>
      </w:r>
    </w:p>
    <w:p w14:paraId="5CB42A2D">
      <w:pPr>
        <w:numPr>
          <w:ilvl w:val="0"/>
          <w:numId w:val="7"/>
        </w:numPr>
        <w:tabs>
          <w:tab w:val="left" w:pos="-105"/>
          <w:tab w:val="clear" w:pos="342"/>
        </w:tabs>
        <w:spacing w:before="166" w:beforeLines="50" w:after="166" w:afterLines="50" w:line="340" w:lineRule="exact"/>
        <w:ind w:left="0" w:firstLine="567"/>
        <w:jc w:val="left"/>
        <w:rPr>
          <w:rFonts w:ascii="宋体" w:hAnsi="宋体" w:cs="宋体"/>
          <w:bCs/>
          <w:color w:val="auto"/>
          <w:szCs w:val="21"/>
          <w:highlight w:val="none"/>
        </w:rPr>
      </w:pPr>
      <w:r>
        <w:rPr>
          <w:rFonts w:hint="eastAsia" w:ascii="宋体" w:hAnsi="宋体" w:cs="宋体"/>
          <w:bCs/>
          <w:color w:val="auto"/>
          <w:szCs w:val="21"/>
          <w:highlight w:val="none"/>
        </w:rPr>
        <w:t>承包方承诺按照《国务院关于解决农民工若干问题的意见》、《建设领域农民工工资支付管理暂行办法》和建设行政主管部门的相关规定，做好农民工工资发放。承包方承诺配合发包方及政府主管部门开展劳务工实名制和劳务工工资支付分账管理，并承诺按发包方和业主要求做好配合工作。</w:t>
      </w:r>
    </w:p>
    <w:p w14:paraId="39048AE3">
      <w:pPr>
        <w:numPr>
          <w:ilvl w:val="0"/>
          <w:numId w:val="7"/>
        </w:numPr>
        <w:tabs>
          <w:tab w:val="left" w:pos="-105"/>
          <w:tab w:val="clear" w:pos="342"/>
        </w:tabs>
        <w:spacing w:before="166" w:beforeLines="50" w:after="166" w:afterLines="50" w:line="340" w:lineRule="exact"/>
        <w:ind w:left="0" w:firstLine="567"/>
        <w:jc w:val="left"/>
        <w:rPr>
          <w:rFonts w:ascii="宋体" w:hAnsi="宋体" w:cs="宋体"/>
          <w:bCs/>
          <w:color w:val="auto"/>
          <w:szCs w:val="21"/>
          <w:highlight w:val="none"/>
        </w:rPr>
      </w:pPr>
      <w:r>
        <w:rPr>
          <w:rFonts w:hint="eastAsia" w:ascii="宋体" w:hAnsi="宋体" w:cs="宋体"/>
          <w:bCs/>
          <w:color w:val="auto"/>
          <w:szCs w:val="21"/>
          <w:highlight w:val="none"/>
        </w:rPr>
        <w:t>承包方承诺应当配备专职或兼职劳资管理员，建立用工管理台账，真实、准确记录工人名册、劳动合同、工程进度、工时、劳务承包款和工人工资支付情况等信息，并保存两年以上备查。严格用工制度，把好用人关。承包方承诺不聘用未经“三级”教育并未通过实名制管理系统信息采集的劳务工人。未进行培训的劳务工人不得进入安装工地。</w:t>
      </w:r>
    </w:p>
    <w:p w14:paraId="471D302A">
      <w:pPr>
        <w:numPr>
          <w:ilvl w:val="0"/>
          <w:numId w:val="7"/>
        </w:numPr>
        <w:tabs>
          <w:tab w:val="left" w:pos="-105"/>
          <w:tab w:val="clear" w:pos="342"/>
        </w:tabs>
        <w:spacing w:before="166" w:beforeLines="50" w:after="166" w:afterLines="50" w:line="340" w:lineRule="exact"/>
        <w:ind w:left="0" w:firstLine="567"/>
        <w:jc w:val="left"/>
        <w:rPr>
          <w:rFonts w:ascii="宋体" w:hAnsi="宋体" w:cs="宋体"/>
          <w:bCs/>
          <w:color w:val="auto"/>
          <w:szCs w:val="21"/>
          <w:highlight w:val="none"/>
        </w:rPr>
      </w:pPr>
      <w:r>
        <w:rPr>
          <w:rFonts w:hint="eastAsia" w:ascii="宋体" w:hAnsi="宋体" w:cs="宋体"/>
          <w:bCs/>
          <w:color w:val="auto"/>
          <w:szCs w:val="21"/>
          <w:highlight w:val="none"/>
        </w:rPr>
        <w:t>承包方承诺与签订劳务合同</w:t>
      </w:r>
      <w:r>
        <w:rPr>
          <w:rFonts w:hint="eastAsia" w:ascii="宋体" w:hAnsi="宋体" w:cs="宋体"/>
          <w:b/>
          <w:color w:val="auto"/>
          <w:szCs w:val="21"/>
          <w:highlight w:val="none"/>
        </w:rPr>
        <w:t>，</w:t>
      </w:r>
      <w:r>
        <w:rPr>
          <w:rFonts w:hint="eastAsia" w:ascii="宋体" w:hAnsi="宋体" w:cs="宋体"/>
          <w:color w:val="auto"/>
          <w:szCs w:val="21"/>
          <w:highlight w:val="none"/>
        </w:rPr>
        <w:t>若发包方或监理人发现有未签订劳动合同的劳动者在现场施工，承包方应向发包方支付违约金5000元/人次。承包方承诺</w:t>
      </w:r>
      <w:r>
        <w:rPr>
          <w:rFonts w:hint="eastAsia" w:ascii="宋体" w:hAnsi="宋体" w:cs="宋体"/>
          <w:bCs/>
          <w:color w:val="auto"/>
          <w:szCs w:val="21"/>
          <w:highlight w:val="none"/>
        </w:rPr>
        <w:t>从业人员入场前需要采集实名信息，包括身份证电子信息、身份证扫描件、工种、班组、电话、单位、银行帐号、人员类型等。严格按业主要求办理工作卡（出入证），如发生进场人员不及时办理工作卡（出入证）或使用伪造假出入证，一经查出，愿接受业主处罚及项目部（500元/人）的处罚。对于习惯性违章员工，愿意接收业主或项目部的要求，予以清退场处理，相关费用由承包方承担。</w:t>
      </w:r>
    </w:p>
    <w:p w14:paraId="31BA0762">
      <w:pPr>
        <w:numPr>
          <w:ilvl w:val="0"/>
          <w:numId w:val="7"/>
        </w:numPr>
        <w:tabs>
          <w:tab w:val="left" w:pos="-105"/>
          <w:tab w:val="clear" w:pos="342"/>
        </w:tabs>
        <w:spacing w:before="166" w:beforeLines="50" w:after="166" w:afterLines="50" w:line="340" w:lineRule="exact"/>
        <w:ind w:left="0" w:firstLine="567"/>
        <w:jc w:val="left"/>
        <w:rPr>
          <w:color w:val="auto"/>
          <w:highlight w:val="none"/>
        </w:rPr>
      </w:pPr>
      <w:r>
        <w:rPr>
          <w:rFonts w:hint="eastAsia" w:ascii="宋体" w:hAnsi="宋体" w:cs="宋体"/>
          <w:bCs/>
          <w:color w:val="auto"/>
          <w:szCs w:val="21"/>
          <w:highlight w:val="none"/>
        </w:rPr>
        <w:t>对辖下员工加强法制教育，提高守法观念。进一步完善管理制度，按照“做一项工程，保一方平安”的原则，管好自己的人、带好自己的队伍。保证不发生现场打架斗殴。如发生一般斗殴事件或3人以内群殴事件愿接受（1000—5000元/每宗）罚款；发生10人以内群殴事件愿接受（5000—10000元/每宗）罚款；发生10人以上群殴事件愿接受（10000—20000元/每宗）罚款；发生群殴事件致1人重伤愿接受（20000—40000元/每宗）罚款；发生群殴事件致2人以上重伤愿接受（20000元/每宗）罚款；发生阻挠、围攻、殴打现场管理人员的，愿接受（5000—10000元/每宗）罚款；发生围攻、冲击发包方或业主办公楼，员工食堂，员工宿舍等场所的事件愿接受（10000—20000元/每宗）罚款。</w:t>
      </w:r>
    </w:p>
    <w:p w14:paraId="539BC278">
      <w:pPr>
        <w:pStyle w:val="66"/>
        <w:spacing w:before="0" w:after="0" w:line="360" w:lineRule="auto"/>
        <w:ind w:left="0" w:right="43"/>
        <w:rPr>
          <w:rFonts w:ascii="宋体" w:hAnsi="宋体"/>
          <w:b/>
          <w:bCs/>
          <w:color w:val="auto"/>
          <w:highlight w:val="none"/>
        </w:rPr>
      </w:pPr>
    </w:p>
    <w:p w14:paraId="0E7341B2">
      <w:pPr>
        <w:pStyle w:val="66"/>
        <w:spacing w:before="0" w:after="0" w:line="360" w:lineRule="auto"/>
        <w:ind w:left="0" w:right="43"/>
        <w:rPr>
          <w:rFonts w:ascii="宋体" w:hAnsi="宋体"/>
          <w:b/>
          <w:bCs/>
          <w:color w:val="auto"/>
          <w:highlight w:val="none"/>
        </w:rPr>
      </w:pPr>
      <w:r>
        <w:rPr>
          <w:rFonts w:hint="eastAsia" w:ascii="宋体" w:hAnsi="宋体"/>
          <w:b/>
          <w:bCs/>
          <w:color w:val="auto"/>
          <w:highlight w:val="none"/>
        </w:rPr>
        <w:t>发包方: 阳江开能环保能源有限公司       承包方:</w:t>
      </w:r>
      <w:r>
        <w:rPr>
          <w:rFonts w:hint="eastAsia" w:ascii="宋体" w:hAnsi="宋体"/>
          <w:b/>
          <w:bCs/>
          <w:color w:val="auto"/>
          <w:highlight w:val="none"/>
        </w:rPr>
        <w:br w:type="textWrapping"/>
      </w:r>
      <w:r>
        <w:rPr>
          <w:rFonts w:hint="eastAsia" w:ascii="宋体" w:hAnsi="宋体"/>
          <w:b/>
          <w:bCs/>
          <w:color w:val="auto"/>
          <w:highlight w:val="none"/>
        </w:rPr>
        <w:t>法定代表人或                           法定代表人或</w:t>
      </w:r>
    </w:p>
    <w:p w14:paraId="5A5C0002">
      <w:pPr>
        <w:pStyle w:val="66"/>
        <w:spacing w:before="0" w:after="0" w:line="360" w:lineRule="auto"/>
        <w:ind w:left="0" w:right="43"/>
        <w:rPr>
          <w:color w:val="auto"/>
          <w:highlight w:val="none"/>
        </w:rPr>
      </w:pPr>
      <w:r>
        <w:rPr>
          <w:rFonts w:hint="eastAsia" w:ascii="宋体" w:hAnsi="宋体"/>
          <w:b/>
          <w:bCs/>
          <w:color w:val="auto"/>
          <w:highlight w:val="none"/>
        </w:rPr>
        <w:t>委托代表人：                           委托代表人：</w:t>
      </w:r>
    </w:p>
    <w:p w14:paraId="4605BCCE">
      <w:pPr>
        <w:snapToGrid w:val="0"/>
        <w:spacing w:after="332" w:afterLines="100"/>
        <w:ind w:firstLine="450" w:firstLineChars="150"/>
        <w:rPr>
          <w:rFonts w:ascii="宋体" w:hAnsi="宋体"/>
          <w:b/>
          <w:color w:val="auto"/>
          <w:sz w:val="30"/>
          <w:szCs w:val="30"/>
          <w:highlight w:val="none"/>
        </w:rPr>
      </w:pPr>
      <w:r>
        <w:rPr>
          <w:rFonts w:hint="eastAsia" w:ascii="宋体" w:hAnsi="宋体"/>
          <w:b/>
          <w:color w:val="auto"/>
          <w:sz w:val="30"/>
          <w:szCs w:val="30"/>
          <w:highlight w:val="none"/>
        </w:rPr>
        <w:t>附件4：</w:t>
      </w:r>
    </w:p>
    <w:p w14:paraId="5E68A356">
      <w:pPr>
        <w:spacing w:line="480" w:lineRule="exact"/>
        <w:jc w:val="center"/>
        <w:textAlignment w:val="baseline"/>
        <w:rPr>
          <w:rFonts w:ascii="方正小标宋简体" w:hAnsi="黑体" w:eastAsia="方正小标宋简体"/>
          <w:b/>
          <w:color w:val="auto"/>
          <w:sz w:val="44"/>
          <w:szCs w:val="44"/>
          <w:highlight w:val="none"/>
        </w:rPr>
      </w:pPr>
      <w:r>
        <w:rPr>
          <w:rFonts w:hint="eastAsia" w:ascii="方正小标宋简体" w:hAnsi="黑体" w:eastAsia="方正小标宋简体"/>
          <w:b/>
          <w:color w:val="auto"/>
          <w:sz w:val="44"/>
          <w:szCs w:val="44"/>
          <w:highlight w:val="none"/>
        </w:rPr>
        <w:t>阳光合作协议</w:t>
      </w:r>
    </w:p>
    <w:p w14:paraId="0E488CFC">
      <w:pPr>
        <w:spacing w:line="480" w:lineRule="exact"/>
        <w:jc w:val="center"/>
        <w:textAlignment w:val="baseline"/>
        <w:rPr>
          <w:rFonts w:ascii="宋体"/>
          <w:b/>
          <w:color w:val="auto"/>
          <w:sz w:val="28"/>
          <w:szCs w:val="28"/>
          <w:highlight w:val="none"/>
        </w:rPr>
      </w:pPr>
    </w:p>
    <w:p w14:paraId="4C31185E">
      <w:pPr>
        <w:spacing w:before="156" w:after="156" w:line="480" w:lineRule="exact"/>
        <w:ind w:firstLine="420" w:firstLineChars="200"/>
        <w:textAlignment w:val="baseline"/>
        <w:rPr>
          <w:rFonts w:ascii="宋体"/>
          <w:color w:val="auto"/>
          <w:sz w:val="20"/>
          <w:highlight w:val="none"/>
        </w:rPr>
      </w:pPr>
      <w:r>
        <w:rPr>
          <w:rFonts w:hint="eastAsia" w:ascii="宋体" w:hAnsi="宋体"/>
          <w:color w:val="auto"/>
          <w:highlight w:val="none"/>
        </w:rPr>
        <w:t>甲方（全称）：</w:t>
      </w:r>
      <w:r>
        <w:rPr>
          <w:rFonts w:hint="eastAsia" w:ascii="宋体" w:hAnsi="宋体" w:cs="宋体"/>
          <w:color w:val="auto"/>
          <w:szCs w:val="21"/>
          <w:highlight w:val="none"/>
          <w:u w:val="single"/>
        </w:rPr>
        <w:t>阳江开能环保能源有限公司</w:t>
      </w:r>
    </w:p>
    <w:p w14:paraId="6A2F7BE9">
      <w:pPr>
        <w:spacing w:before="156" w:after="156" w:line="480" w:lineRule="exact"/>
        <w:ind w:firstLine="420" w:firstLineChars="200"/>
        <w:textAlignment w:val="baseline"/>
        <w:rPr>
          <w:rFonts w:ascii="宋体" w:hAnsi="宋体"/>
          <w:color w:val="auto"/>
          <w:sz w:val="20"/>
          <w:highlight w:val="none"/>
          <w:u w:val="single"/>
        </w:rPr>
      </w:pPr>
      <w:r>
        <w:rPr>
          <w:rFonts w:hint="eastAsia" w:ascii="宋体" w:hAnsi="宋体"/>
          <w:color w:val="auto"/>
          <w:highlight w:val="none"/>
        </w:rPr>
        <w:t>乙方（全称）：</w:t>
      </w:r>
    </w:p>
    <w:p w14:paraId="57A3CAB8">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 xml:space="preserve"> 甲乙双方于  年   月  日签署了</w:t>
      </w:r>
      <w:r>
        <w:rPr>
          <w:rFonts w:hint="eastAsia" w:ascii="宋体" w:hAnsi="宋体"/>
          <w:color w:val="auto"/>
          <w:highlight w:val="none"/>
          <w:u w:val="single"/>
        </w:rPr>
        <w:t>阳江开能环保能源有限公司2025年度安全隐患整改项目-防腐刷漆及保温工程施工合同</w:t>
      </w:r>
      <w:r>
        <w:rPr>
          <w:rFonts w:hint="eastAsia" w:ascii="宋体" w:hAnsi="宋体"/>
          <w:color w:val="auto"/>
          <w:highlight w:val="none"/>
        </w:rPr>
        <w:t>（以下简称原合同），为加强双方阳光合作，保证职员职业安全，甲乙双方经协商签定本协议并作为双方共同遵守的阳光合作行为准则。</w:t>
      </w:r>
    </w:p>
    <w:p w14:paraId="34BD65B1">
      <w:pPr>
        <w:widowControl/>
        <w:numPr>
          <w:ilvl w:val="0"/>
          <w:numId w:val="8"/>
        </w:numPr>
        <w:spacing w:before="156" w:after="156" w:line="480" w:lineRule="exact"/>
        <w:jc w:val="left"/>
        <w:textAlignment w:val="baseline"/>
        <w:rPr>
          <w:rFonts w:ascii="宋体" w:hAnsi="宋体"/>
          <w:b/>
          <w:color w:val="auto"/>
          <w:sz w:val="20"/>
          <w:highlight w:val="none"/>
        </w:rPr>
      </w:pPr>
      <w:r>
        <w:rPr>
          <w:rFonts w:hint="eastAsia" w:ascii="宋体" w:hAnsi="宋体"/>
          <w:b/>
          <w:color w:val="auto"/>
          <w:highlight w:val="none"/>
        </w:rPr>
        <w:t>甲方责任</w:t>
      </w:r>
    </w:p>
    <w:p w14:paraId="3D5FAAC4">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1.甲方有责任向乙方介绍本单位有关采购管理通用原则和本协议的规定。</w:t>
      </w:r>
    </w:p>
    <w:p w14:paraId="6153DC2F">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2.甲方有责任对本单位相关人员进行阳光合作教育。</w:t>
      </w:r>
    </w:p>
    <w:p w14:paraId="78165CD3">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3.甲方人员应严格遵守本单位有关阳光合作管理的规定，不得接受乙方任何形式的回扣、实物、现金、有价证券、礼券等有价物品，不得参加乙方提供的旅游或其他可能影响职务行为公正履行的活动。</w:t>
      </w:r>
      <w:r>
        <w:rPr>
          <w:rFonts w:ascii="宋体" w:hAnsi="宋体"/>
          <w:color w:val="auto"/>
          <w:highlight w:val="none"/>
        </w:rPr>
        <w:t xml:space="preserve"> </w:t>
      </w:r>
    </w:p>
    <w:p w14:paraId="52049EAD">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4.甲方人员如违反阳光合作管理制度及本协议规定，甲方视情节轻重、影响大小给予行政及经济处罚。</w:t>
      </w:r>
    </w:p>
    <w:p w14:paraId="6FA81627">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5．对于乙方举报甲方人员违反阳光合作规定的情况，甲方应及时进行调查，根据调查情况进行处理，并将调查结果向乙方反馈。</w:t>
      </w:r>
    </w:p>
    <w:p w14:paraId="31E3002C">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6.接受举报的一方应为举报方保密，不得对举报方进行报复，对举报属实和严格遵守《阳光合作协议》的合作方，在同等条件下给予后续合作的优先权。</w:t>
      </w:r>
    </w:p>
    <w:p w14:paraId="64DBC79D">
      <w:pPr>
        <w:widowControl/>
        <w:numPr>
          <w:ilvl w:val="0"/>
          <w:numId w:val="8"/>
        </w:numPr>
        <w:spacing w:before="156" w:after="156" w:line="480" w:lineRule="exact"/>
        <w:jc w:val="left"/>
        <w:textAlignment w:val="baseline"/>
        <w:rPr>
          <w:rFonts w:ascii="宋体" w:hAnsi="宋体"/>
          <w:b/>
          <w:color w:val="auto"/>
          <w:sz w:val="20"/>
          <w:highlight w:val="none"/>
        </w:rPr>
      </w:pPr>
      <w:r>
        <w:rPr>
          <w:rFonts w:hint="eastAsia" w:ascii="宋体" w:hAnsi="宋体"/>
          <w:b/>
          <w:color w:val="auto"/>
          <w:highlight w:val="none"/>
        </w:rPr>
        <w:t>乙方责任</w:t>
      </w:r>
    </w:p>
    <w:p w14:paraId="7ECAC548">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1.乙方应保证乙方人员了解甲方有关采购管理通用原则和及本协议的规定，并遵照执行。</w:t>
      </w:r>
    </w:p>
    <w:p w14:paraId="5468C96F">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2.乙方不得以任何形式给予甲方人员回扣、赠送实物、现金、有价证券、礼券等有价物品或提供旅游等其他可能影响职务行为公正履行的活动（以下统称“财物”）。</w:t>
      </w:r>
    </w:p>
    <w:p w14:paraId="25E6C3E3">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3.乙方有责任接受甲方对乙方在合作期间阳光合作管理执行情况的监督，并对甲方相关调查工作主动配合。</w:t>
      </w:r>
    </w:p>
    <w:p w14:paraId="6FDB308E">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4.乙方有义务就甲方人员任何形式的索取或收受财物行为及时向甲方（直接联系人为东莞实业投资控股集团有限公司法律合规部）举报。如乙方或其人员向甲方人员给予财物，或甲方人员向乙方索取财物，乙方满足其要求并且未向甲方举报的，一经查实（包括但不限于被甲方核实属实，或者被司法机关或第三人核实属实的），甲方将在内部通报；乙方除应向甲方赔偿由此给甲方造成的损失外，乙方还应向甲方支付相当于原合同总价的</w:t>
      </w:r>
      <w:r>
        <w:rPr>
          <w:rFonts w:ascii="宋体" w:hAnsi="宋体"/>
          <w:color w:val="auto"/>
          <w:highlight w:val="none"/>
        </w:rPr>
        <w:t>10%</w:t>
      </w:r>
      <w:r>
        <w:rPr>
          <w:rFonts w:hint="eastAsia" w:ascii="宋体" w:hAnsi="宋体"/>
          <w:color w:val="auto"/>
          <w:highlight w:val="none"/>
        </w:rPr>
        <w:t>的违约金，并对乙方知情不报人员进行相应处罚；连续出现</w:t>
      </w:r>
      <w:r>
        <w:rPr>
          <w:rFonts w:ascii="宋体" w:hAnsi="宋体"/>
          <w:color w:val="auto"/>
          <w:highlight w:val="none"/>
        </w:rPr>
        <w:t>2</w:t>
      </w:r>
      <w:r>
        <w:rPr>
          <w:rFonts w:hint="eastAsia" w:ascii="宋体" w:hAnsi="宋体"/>
          <w:color w:val="auto"/>
          <w:highlight w:val="none"/>
        </w:rPr>
        <w:t>次及以上类似情况或者如因乙方在合作期间贿赂甲方人员，被检察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70CEEFD8">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 xml:space="preserve">5．甲方接受乙方实名或匿名举报，保证为举报者的信息保密，常设举报部门及电话： </w:t>
      </w:r>
    </w:p>
    <w:p w14:paraId="0690F90F">
      <w:pPr>
        <w:spacing w:before="156" w:after="156" w:line="480" w:lineRule="exact"/>
        <w:ind w:left="105" w:leftChars="50" w:firstLine="420" w:firstLineChars="200"/>
        <w:textAlignment w:val="baseline"/>
        <w:rPr>
          <w:rFonts w:ascii="宋体" w:hAnsi="宋体"/>
          <w:color w:val="auto"/>
          <w:highlight w:val="none"/>
        </w:rPr>
      </w:pPr>
      <w:r>
        <w:rPr>
          <w:rFonts w:hint="eastAsia" w:ascii="宋体" w:hAnsi="宋体"/>
          <w:color w:val="auto"/>
          <w:highlight w:val="none"/>
        </w:rPr>
        <w:t>举报受理部门：东莞实业投资控股集团有限公司法律合规部</w:t>
      </w:r>
    </w:p>
    <w:p w14:paraId="2100A27E">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东实集团举报邮箱：Sedgy@163.com</w:t>
      </w:r>
    </w:p>
    <w:p w14:paraId="005D4E19">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东实集团举报电话：0769-28820703（周一至周五9:00-12:00和14:00-18:00）</w:t>
      </w:r>
    </w:p>
    <w:p w14:paraId="5180C415">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邮寄地址：东莞市东城区八一路东莞市机关二号大院9号楼，东莞实业投资控股集团有限公司法律合规部收，邮编523000。</w:t>
      </w:r>
    </w:p>
    <w:p w14:paraId="46543D35">
      <w:pPr>
        <w:widowControl/>
        <w:numPr>
          <w:ilvl w:val="0"/>
          <w:numId w:val="8"/>
        </w:numPr>
        <w:spacing w:before="156" w:after="156" w:line="480" w:lineRule="exact"/>
        <w:jc w:val="left"/>
        <w:textAlignment w:val="baseline"/>
        <w:rPr>
          <w:rFonts w:ascii="宋体" w:hAnsi="宋体"/>
          <w:b/>
          <w:color w:val="auto"/>
          <w:sz w:val="20"/>
          <w:highlight w:val="none"/>
        </w:rPr>
      </w:pPr>
      <w:r>
        <w:rPr>
          <w:rFonts w:hint="eastAsia" w:ascii="宋体" w:hAnsi="宋体"/>
          <w:b/>
          <w:color w:val="auto"/>
          <w:highlight w:val="none"/>
        </w:rPr>
        <w:t>其他</w:t>
      </w:r>
    </w:p>
    <w:p w14:paraId="1D928FC9">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1.本协议是原合同的补充协议，与原合同有同等法律效力。</w:t>
      </w:r>
    </w:p>
    <w:p w14:paraId="060E0706">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2.本协议</w:t>
      </w:r>
      <w:r>
        <w:rPr>
          <w:rFonts w:hint="eastAsia" w:ascii="宋体" w:hAnsi="宋体"/>
          <w:color w:val="auto"/>
          <w:szCs w:val="21"/>
          <w:highlight w:val="none"/>
        </w:rPr>
        <w:t>一式肆份，甲方持有贰份，乙方持贰份，</w:t>
      </w:r>
      <w:r>
        <w:rPr>
          <w:rFonts w:hint="eastAsia" w:ascii="宋体" w:hAnsi="宋体"/>
          <w:color w:val="auto"/>
          <w:highlight w:val="none"/>
        </w:rPr>
        <w:t>具有同等法律效力。</w:t>
      </w:r>
    </w:p>
    <w:p w14:paraId="4C84FD9D">
      <w:pPr>
        <w:spacing w:before="156" w:after="156" w:line="480" w:lineRule="exact"/>
        <w:ind w:left="105" w:leftChars="50" w:firstLine="420" w:firstLineChars="200"/>
        <w:textAlignment w:val="baseline"/>
        <w:rPr>
          <w:rFonts w:ascii="宋体" w:hAnsi="宋体"/>
          <w:color w:val="auto"/>
          <w:sz w:val="20"/>
          <w:highlight w:val="none"/>
        </w:rPr>
      </w:pPr>
      <w:r>
        <w:rPr>
          <w:rFonts w:hint="eastAsia" w:ascii="宋体" w:hAnsi="宋体"/>
          <w:color w:val="auto"/>
          <w:highlight w:val="none"/>
        </w:rPr>
        <w:t>3.本协议经双方签署后生效。</w:t>
      </w:r>
    </w:p>
    <w:p w14:paraId="0962147E">
      <w:pPr>
        <w:spacing w:before="156" w:after="156" w:line="480" w:lineRule="exact"/>
        <w:ind w:right="26" w:firstLine="315" w:firstLineChars="150"/>
        <w:textAlignment w:val="baseline"/>
        <w:rPr>
          <w:rFonts w:ascii="宋体"/>
          <w:color w:val="auto"/>
          <w:sz w:val="20"/>
          <w:highlight w:val="none"/>
        </w:rPr>
      </w:pPr>
      <w:r>
        <w:rPr>
          <w:rFonts w:hint="eastAsia" w:ascii="宋体" w:hAnsi="宋体"/>
          <w:color w:val="auto"/>
          <w:highlight w:val="none"/>
        </w:rPr>
        <w:t>甲方（公章）：</w:t>
      </w:r>
      <w:r>
        <w:rPr>
          <w:rFonts w:ascii="宋体"/>
          <w:color w:val="auto"/>
          <w:highlight w:val="none"/>
        </w:rPr>
        <w:tab/>
      </w:r>
      <w:r>
        <w:rPr>
          <w:rFonts w:ascii="宋体"/>
          <w:color w:val="auto"/>
          <w:highlight w:val="none"/>
        </w:rPr>
        <w:tab/>
      </w:r>
      <w:r>
        <w:rPr>
          <w:rFonts w:ascii="宋体"/>
          <w:color w:val="auto"/>
          <w:highlight w:val="none"/>
        </w:rPr>
        <w:tab/>
      </w:r>
      <w:r>
        <w:rPr>
          <w:rFonts w:ascii="宋体"/>
          <w:color w:val="auto"/>
          <w:highlight w:val="none"/>
        </w:rPr>
        <w:tab/>
      </w:r>
      <w:r>
        <w:rPr>
          <w:rFonts w:ascii="宋体"/>
          <w:color w:val="auto"/>
          <w:highlight w:val="none"/>
        </w:rPr>
        <w:tab/>
      </w:r>
      <w:r>
        <w:rPr>
          <w:rFonts w:ascii="宋体" w:hAnsi="宋体"/>
          <w:color w:val="auto"/>
          <w:highlight w:val="none"/>
        </w:rPr>
        <w:t xml:space="preserve">         </w:t>
      </w:r>
      <w:r>
        <w:rPr>
          <w:rFonts w:hint="eastAsia" w:ascii="宋体" w:hAnsi="宋体"/>
          <w:color w:val="auto"/>
          <w:highlight w:val="none"/>
        </w:rPr>
        <w:t xml:space="preserve"> 乙方（公章）：</w:t>
      </w:r>
    </w:p>
    <w:p w14:paraId="52735186">
      <w:pPr>
        <w:spacing w:before="156" w:after="156" w:line="480" w:lineRule="exact"/>
        <w:ind w:right="26" w:firstLine="315" w:firstLineChars="150"/>
        <w:textAlignment w:val="baseline"/>
        <w:rPr>
          <w:rFonts w:ascii="宋体"/>
          <w:color w:val="auto"/>
          <w:sz w:val="20"/>
          <w:highlight w:val="none"/>
        </w:rPr>
      </w:pPr>
      <w:r>
        <w:rPr>
          <w:rFonts w:hint="eastAsia" w:ascii="宋体" w:hAnsi="宋体"/>
          <w:color w:val="auto"/>
          <w:highlight w:val="none"/>
        </w:rPr>
        <w:t>法定代表人（授权代表）：</w:t>
      </w:r>
      <w:r>
        <w:rPr>
          <w:rFonts w:ascii="宋体"/>
          <w:color w:val="auto"/>
          <w:highlight w:val="none"/>
        </w:rPr>
        <w:tab/>
      </w:r>
      <w:r>
        <w:rPr>
          <w:rFonts w:ascii="宋体"/>
          <w:color w:val="auto"/>
          <w:highlight w:val="none"/>
        </w:rPr>
        <w:tab/>
      </w:r>
      <w:r>
        <w:rPr>
          <w:rFonts w:ascii="宋体"/>
          <w:color w:val="auto"/>
          <w:highlight w:val="none"/>
        </w:rPr>
        <w:tab/>
      </w:r>
      <w:r>
        <w:rPr>
          <w:rFonts w:ascii="宋体"/>
          <w:color w:val="auto"/>
          <w:highlight w:val="none"/>
        </w:rPr>
        <w:tab/>
      </w:r>
      <w:r>
        <w:rPr>
          <w:rFonts w:hint="eastAsia" w:ascii="宋体"/>
          <w:color w:val="auto"/>
          <w:highlight w:val="none"/>
        </w:rPr>
        <w:t xml:space="preserve">      </w:t>
      </w:r>
      <w:r>
        <w:rPr>
          <w:rFonts w:hint="eastAsia" w:ascii="宋体" w:hAnsi="宋体"/>
          <w:color w:val="auto"/>
          <w:highlight w:val="none"/>
        </w:rPr>
        <w:t>法定代表人（授权代表）：</w:t>
      </w:r>
    </w:p>
    <w:p w14:paraId="41055B93">
      <w:pPr>
        <w:spacing w:line="360" w:lineRule="auto"/>
        <w:ind w:firstLine="315" w:firstLineChars="150"/>
        <w:textAlignment w:val="baseline"/>
        <w:rPr>
          <w:color w:val="auto"/>
          <w:sz w:val="20"/>
          <w:highlight w:val="none"/>
        </w:rPr>
      </w:pPr>
      <w:r>
        <w:rPr>
          <w:rFonts w:hint="eastAsia" w:ascii="宋体" w:hAnsi="宋体"/>
          <w:color w:val="auto"/>
          <w:highlight w:val="none"/>
        </w:rPr>
        <w:t>签约日期：</w:t>
      </w:r>
      <w:bookmarkStart w:id="27" w:name="现场签证通知单"/>
      <w:bookmarkEnd w:id="27"/>
      <w:bookmarkStart w:id="28" w:name="设计变更通知单"/>
      <w:bookmarkEnd w:id="28"/>
      <w:r>
        <w:rPr>
          <w:rFonts w:hint="eastAsia" w:ascii="宋体" w:hAnsi="宋体"/>
          <w:color w:val="auto"/>
          <w:highlight w:val="none"/>
          <w:u w:val="single"/>
        </w:rPr>
        <w:t xml:space="preserve">    年  月  日</w:t>
      </w:r>
      <w:r>
        <w:rPr>
          <w:color w:val="auto"/>
          <w:highlight w:val="none"/>
        </w:rPr>
        <w:tab/>
      </w:r>
      <w:r>
        <w:rPr>
          <w:rFonts w:hint="eastAsia"/>
          <w:color w:val="auto"/>
          <w:highlight w:val="none"/>
        </w:rPr>
        <w:t xml:space="preserve">              </w:t>
      </w:r>
      <w:r>
        <w:rPr>
          <w:rFonts w:hint="eastAsia" w:ascii="宋体" w:hAnsi="宋体"/>
          <w:color w:val="auto"/>
          <w:highlight w:val="none"/>
        </w:rPr>
        <w:t>签约日期：</w:t>
      </w:r>
      <w:r>
        <w:rPr>
          <w:rFonts w:hint="eastAsia" w:ascii="宋体" w:hAnsi="宋体"/>
          <w:color w:val="auto"/>
          <w:highlight w:val="none"/>
          <w:u w:val="single"/>
        </w:rPr>
        <w:t xml:space="preserve">   年  月   日</w:t>
      </w:r>
    </w:p>
    <w:p w14:paraId="387F64A2">
      <w:pPr>
        <w:pStyle w:val="46"/>
        <w:spacing w:line="360" w:lineRule="auto"/>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附件八 报价保证金汇入情况说明</w:t>
      </w:r>
    </w:p>
    <w:p w14:paraId="09A06993">
      <w:pPr>
        <w:widowControl/>
        <w:spacing w:line="360" w:lineRule="auto"/>
        <w:jc w:val="center"/>
        <w:rPr>
          <w:rFonts w:ascii="仿宋" w:hAnsi="仿宋" w:eastAsia="仿宋" w:cs="仿宋"/>
          <w:b/>
          <w:bCs/>
          <w:color w:val="auto"/>
          <w:sz w:val="32"/>
          <w:szCs w:val="32"/>
          <w:highlight w:val="none"/>
        </w:rPr>
      </w:pPr>
      <w:bookmarkStart w:id="29" w:name="_Toc28801"/>
      <w:bookmarkStart w:id="30" w:name="_Toc10037"/>
      <w:bookmarkStart w:id="31" w:name="_Toc32088"/>
      <w:bookmarkStart w:id="32" w:name="_Toc3217"/>
      <w:bookmarkStart w:id="33" w:name="_Toc1367"/>
      <w:bookmarkStart w:id="34" w:name="_Toc3118"/>
      <w:bookmarkStart w:id="35" w:name="_Toc12220"/>
      <w:bookmarkStart w:id="36" w:name="_Toc30323"/>
      <w:bookmarkStart w:id="37" w:name="_Toc5428"/>
      <w:bookmarkStart w:id="38" w:name="_Toc30346"/>
      <w:r>
        <w:rPr>
          <w:rFonts w:hint="eastAsia" w:ascii="仿宋" w:hAnsi="仿宋" w:eastAsia="仿宋" w:cs="仿宋"/>
          <w:b/>
          <w:bCs/>
          <w:color w:val="auto"/>
          <w:sz w:val="32"/>
          <w:szCs w:val="32"/>
          <w:highlight w:val="none"/>
        </w:rPr>
        <w:t>报价保证金汇入情况说明</w:t>
      </w:r>
      <w:bookmarkEnd w:id="29"/>
      <w:bookmarkEnd w:id="30"/>
      <w:bookmarkEnd w:id="31"/>
      <w:bookmarkEnd w:id="32"/>
      <w:bookmarkEnd w:id="33"/>
      <w:bookmarkEnd w:id="34"/>
      <w:bookmarkEnd w:id="35"/>
      <w:bookmarkEnd w:id="36"/>
      <w:bookmarkEnd w:id="37"/>
      <w:bookmarkEnd w:id="38"/>
    </w:p>
    <w:p w14:paraId="5FB78BBC">
      <w:pPr>
        <w:spacing w:line="360" w:lineRule="auto"/>
        <w:ind w:firstLine="420" w:firstLineChars="200"/>
        <w:rPr>
          <w:rFonts w:ascii="仿宋" w:hAnsi="仿宋" w:eastAsia="仿宋" w:cs="仿宋"/>
          <w:b/>
          <w:color w:val="auto"/>
          <w:szCs w:val="21"/>
          <w:highlight w:val="none"/>
        </w:rPr>
      </w:pPr>
      <w:r>
        <w:rPr>
          <w:rFonts w:hint="eastAsia" w:ascii="仿宋" w:hAnsi="仿宋" w:eastAsia="仿宋" w:cs="仿宋"/>
          <w:b/>
          <w:color w:val="auto"/>
          <w:szCs w:val="21"/>
          <w:highlight w:val="none"/>
        </w:rPr>
        <w:t>致：阳江开能环保能源有限公司</w:t>
      </w:r>
    </w:p>
    <w:p w14:paraId="45514770">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本单位已按</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u w:val="single"/>
          <w:lang w:val="zh-CN"/>
        </w:rPr>
        <w:t>项目名称）</w:t>
      </w:r>
      <w:r>
        <w:rPr>
          <w:rFonts w:hint="eastAsia" w:ascii="仿宋" w:hAnsi="仿宋" w:eastAsia="仿宋" w:cs="仿宋"/>
          <w:color w:val="auto"/>
          <w:szCs w:val="21"/>
          <w:highlight w:val="none"/>
        </w:rPr>
        <w:t>的采购文件要求，于</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日前以</w:t>
      </w:r>
      <w:r>
        <w:rPr>
          <w:rFonts w:hint="eastAsia" w:ascii="仿宋" w:hAnsi="仿宋" w:eastAsia="仿宋" w:cs="仿宋"/>
          <w:color w:val="auto"/>
          <w:szCs w:val="21"/>
          <w:highlight w:val="none"/>
          <w:u w:val="single"/>
        </w:rPr>
        <w:t xml:space="preserve">    （付款形式）  </w:t>
      </w:r>
      <w:r>
        <w:rPr>
          <w:rFonts w:hint="eastAsia" w:ascii="仿宋" w:hAnsi="仿宋" w:eastAsia="仿宋" w:cs="仿宋"/>
          <w:color w:val="auto"/>
          <w:szCs w:val="21"/>
          <w:highlight w:val="none"/>
        </w:rPr>
        <w:t>方式汇入指定帐户（帐户名称：</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，帐号 </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,开户银行：</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w:t>
      </w:r>
    </w:p>
    <w:p w14:paraId="30E7BB8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本单位报价保证金的汇款情况：（详见附件－报价保证金进帐单）</w:t>
      </w:r>
    </w:p>
    <w:p w14:paraId="6E34CAE0">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汇出时间：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w:t>
      </w:r>
    </w:p>
    <w:p w14:paraId="0377656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汇款金额：（大写）人民币</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元（小写：￥</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w:t>
      </w:r>
    </w:p>
    <w:p w14:paraId="790DD1AC">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汇款帐户名称：</w:t>
      </w:r>
      <w:r>
        <w:rPr>
          <w:rFonts w:hint="eastAsia" w:ascii="仿宋" w:hAnsi="仿宋" w:eastAsia="仿宋" w:cs="仿宋"/>
          <w:color w:val="auto"/>
          <w:szCs w:val="21"/>
          <w:highlight w:val="none"/>
          <w:u w:val="single"/>
        </w:rPr>
        <w:t xml:space="preserve">  （必须是报价时使用的帐户名）   </w:t>
      </w:r>
    </w:p>
    <w:p w14:paraId="097CE99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帐    号：</w:t>
      </w:r>
      <w:r>
        <w:rPr>
          <w:rFonts w:hint="eastAsia" w:ascii="仿宋" w:hAnsi="仿宋" w:eastAsia="仿宋" w:cs="仿宋"/>
          <w:color w:val="auto"/>
          <w:szCs w:val="21"/>
          <w:highlight w:val="none"/>
          <w:u w:val="single"/>
        </w:rPr>
        <w:t xml:space="preserve">      （必须是报价时使用的帐号）     </w:t>
      </w:r>
    </w:p>
    <w:p w14:paraId="435851A8">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开户银行：</w:t>
      </w:r>
      <w:r>
        <w:rPr>
          <w:rFonts w:hint="eastAsia" w:ascii="仿宋" w:hAnsi="仿宋" w:eastAsia="仿宋" w:cs="仿宋"/>
          <w:color w:val="auto"/>
          <w:szCs w:val="21"/>
          <w:highlight w:val="none"/>
          <w:u w:val="single"/>
        </w:rPr>
        <w:t xml:space="preserve">         省    市                    </w:t>
      </w:r>
    </w:p>
    <w:p w14:paraId="078EE1F4">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本单位谨承诺上述资料是正确、真实的，如因上述证明与事实不符导致的一切损失，本单位保证承担赔偿等一切法律责任。</w:t>
      </w:r>
    </w:p>
    <w:p w14:paraId="1729056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报价保证金退回时，请按上述资料退回。</w:t>
      </w:r>
    </w:p>
    <w:p w14:paraId="0502F920">
      <w:pPr>
        <w:spacing w:line="360" w:lineRule="auto"/>
        <w:ind w:right="844" w:rightChars="402"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（单位公章）</w:t>
      </w:r>
    </w:p>
    <w:p w14:paraId="148F5472">
      <w:pPr>
        <w:spacing w:line="360" w:lineRule="auto"/>
        <w:ind w:right="627" w:rightChars="299"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年  月  日</w:t>
      </w:r>
    </w:p>
    <w:p w14:paraId="0F944E97">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单位名称：</w:t>
      </w:r>
      <w:r>
        <w:rPr>
          <w:rFonts w:hint="eastAsia" w:ascii="仿宋" w:hAnsi="仿宋" w:eastAsia="仿宋" w:cs="仿宋"/>
          <w:color w:val="auto"/>
          <w:szCs w:val="21"/>
          <w:highlight w:val="none"/>
          <w:u w:val="single"/>
        </w:rPr>
        <w:t xml:space="preserve">                   </w:t>
      </w:r>
    </w:p>
    <w:p w14:paraId="6227BB2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w:t>
      </w:r>
      <w:r>
        <w:rPr>
          <w:rFonts w:hint="eastAsia" w:ascii="仿宋" w:hAnsi="仿宋" w:eastAsia="仿宋" w:cs="仿宋"/>
          <w:color w:val="auto"/>
          <w:szCs w:val="21"/>
          <w:highlight w:val="none"/>
          <w:u w:val="single"/>
        </w:rPr>
        <w:t xml:space="preserve">                     </w:t>
      </w:r>
    </w:p>
    <w:p w14:paraId="7E744601">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单位电话：</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w:t>
      </w:r>
    </w:p>
    <w:p w14:paraId="4B4C04D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联系人手机：</w:t>
      </w:r>
      <w:r>
        <w:rPr>
          <w:rFonts w:hint="eastAsia" w:ascii="仿宋" w:hAnsi="仿宋" w:eastAsia="仿宋" w:cs="仿宋"/>
          <w:color w:val="auto"/>
          <w:szCs w:val="21"/>
          <w:highlight w:val="none"/>
          <w:u w:val="single"/>
        </w:rPr>
        <w:t xml:space="preserve">                </w:t>
      </w:r>
    </w:p>
    <w:p w14:paraId="7D1A3875">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附：我方报价保证金汇款凭证</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14:paraId="711B6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5000" w:type="pct"/>
            <w:tcBorders>
              <w:top w:val="single" w:color="auto" w:sz="4" w:space="0"/>
              <w:left w:val="single" w:color="auto" w:sz="4" w:space="0"/>
              <w:bottom w:val="single" w:color="auto" w:sz="4" w:space="0"/>
              <w:right w:val="single" w:color="auto" w:sz="4" w:space="0"/>
            </w:tcBorders>
            <w:vAlign w:val="center"/>
          </w:tcPr>
          <w:p w14:paraId="0FCF8240">
            <w:pPr>
              <w:tabs>
                <w:tab w:val="left" w:pos="3885"/>
              </w:tabs>
              <w:spacing w:line="360" w:lineRule="auto"/>
              <w:ind w:firstLine="420" w:firstLineChars="200"/>
              <w:jc w:val="center"/>
              <w:rPr>
                <w:rFonts w:ascii="仿宋" w:hAnsi="仿宋" w:eastAsia="仿宋" w:cs="仿宋"/>
                <w:color w:val="auto"/>
                <w:szCs w:val="21"/>
                <w:highlight w:val="none"/>
              </w:rPr>
            </w:pPr>
            <w:r>
              <w:rPr>
                <w:rFonts w:hint="eastAsia" w:ascii="仿宋" w:hAnsi="仿宋" w:eastAsia="仿宋" w:cs="仿宋"/>
                <w:color w:val="auto"/>
                <w:szCs w:val="21"/>
                <w:highlight w:val="none"/>
              </w:rPr>
              <w:t>（粘贴汇款单或转账凭证复印件，并在骑缝上加盖公章，或是直接把转账凭证复印到此张纸上）</w:t>
            </w:r>
          </w:p>
        </w:tc>
      </w:tr>
    </w:tbl>
    <w:p w14:paraId="4790497D">
      <w:pPr>
        <w:pStyle w:val="46"/>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附件九 营业执照复印件（加盖公章）</w:t>
      </w:r>
    </w:p>
    <w:p w14:paraId="39298425">
      <w:pPr>
        <w:pStyle w:val="31"/>
        <w:ind w:firstLine="640"/>
        <w:rPr>
          <w:rFonts w:eastAsia="仿宋_GB2312"/>
          <w:color w:val="auto"/>
          <w:sz w:val="32"/>
          <w:szCs w:val="32"/>
          <w:highlight w:val="none"/>
        </w:rPr>
      </w:pPr>
    </w:p>
    <w:p w14:paraId="2E2008FA">
      <w:pPr>
        <w:rPr>
          <w:color w:val="auto"/>
          <w:highlight w:val="none"/>
        </w:rPr>
      </w:pPr>
    </w:p>
    <w:p w14:paraId="1727A4CB">
      <w:pPr>
        <w:pStyle w:val="10"/>
        <w:rPr>
          <w:color w:val="auto"/>
          <w:highlight w:val="none"/>
        </w:rPr>
      </w:pPr>
    </w:p>
    <w:p w14:paraId="5C0BAB19">
      <w:pPr>
        <w:pStyle w:val="11"/>
        <w:ind w:firstLine="210"/>
        <w:rPr>
          <w:color w:val="auto"/>
          <w:highlight w:val="none"/>
        </w:rPr>
      </w:pPr>
    </w:p>
    <w:p w14:paraId="30287D29">
      <w:pPr>
        <w:pStyle w:val="31"/>
        <w:ind w:firstLine="420"/>
        <w:rPr>
          <w:color w:val="auto"/>
          <w:highlight w:val="none"/>
        </w:rPr>
      </w:pPr>
    </w:p>
    <w:p w14:paraId="296F0967">
      <w:pPr>
        <w:rPr>
          <w:color w:val="auto"/>
          <w:highlight w:val="none"/>
        </w:rPr>
      </w:pPr>
    </w:p>
    <w:p w14:paraId="0D0288CF">
      <w:pPr>
        <w:pStyle w:val="10"/>
        <w:rPr>
          <w:color w:val="auto"/>
          <w:highlight w:val="none"/>
        </w:rPr>
      </w:pPr>
    </w:p>
    <w:p w14:paraId="48DF8558">
      <w:pPr>
        <w:pStyle w:val="11"/>
        <w:ind w:firstLine="210"/>
        <w:rPr>
          <w:color w:val="auto"/>
          <w:highlight w:val="none"/>
        </w:rPr>
      </w:pPr>
    </w:p>
    <w:p w14:paraId="71061BE6">
      <w:pPr>
        <w:pStyle w:val="31"/>
        <w:ind w:firstLine="420"/>
        <w:rPr>
          <w:color w:val="auto"/>
          <w:highlight w:val="none"/>
        </w:rPr>
      </w:pPr>
    </w:p>
    <w:p w14:paraId="70C43626">
      <w:pPr>
        <w:rPr>
          <w:color w:val="auto"/>
          <w:highlight w:val="none"/>
        </w:rPr>
      </w:pPr>
    </w:p>
    <w:p w14:paraId="7B45CF35">
      <w:pPr>
        <w:pStyle w:val="10"/>
        <w:rPr>
          <w:color w:val="auto"/>
          <w:highlight w:val="none"/>
        </w:rPr>
      </w:pPr>
    </w:p>
    <w:p w14:paraId="49413E59">
      <w:pPr>
        <w:pStyle w:val="11"/>
        <w:ind w:firstLine="210"/>
        <w:rPr>
          <w:color w:val="auto"/>
          <w:highlight w:val="none"/>
        </w:rPr>
      </w:pPr>
    </w:p>
    <w:p w14:paraId="585D0B04">
      <w:pPr>
        <w:pStyle w:val="31"/>
        <w:ind w:firstLine="420"/>
        <w:rPr>
          <w:color w:val="auto"/>
          <w:highlight w:val="none"/>
        </w:rPr>
      </w:pPr>
    </w:p>
    <w:p w14:paraId="30310946">
      <w:pPr>
        <w:rPr>
          <w:color w:val="auto"/>
          <w:highlight w:val="none"/>
        </w:rPr>
      </w:pPr>
    </w:p>
    <w:p w14:paraId="3A404039">
      <w:pPr>
        <w:pStyle w:val="10"/>
        <w:rPr>
          <w:color w:val="auto"/>
          <w:highlight w:val="none"/>
        </w:rPr>
      </w:pPr>
    </w:p>
    <w:p w14:paraId="6313139E">
      <w:pPr>
        <w:pStyle w:val="11"/>
        <w:ind w:firstLine="210"/>
        <w:rPr>
          <w:color w:val="auto"/>
          <w:highlight w:val="none"/>
        </w:rPr>
      </w:pPr>
    </w:p>
    <w:p w14:paraId="5C59E7FE">
      <w:pPr>
        <w:pStyle w:val="31"/>
        <w:ind w:firstLine="420"/>
        <w:rPr>
          <w:color w:val="auto"/>
          <w:highlight w:val="none"/>
        </w:rPr>
      </w:pPr>
    </w:p>
    <w:p w14:paraId="5D70162E">
      <w:pPr>
        <w:rPr>
          <w:color w:val="auto"/>
          <w:highlight w:val="none"/>
        </w:rPr>
      </w:pPr>
    </w:p>
    <w:p w14:paraId="3664F4E4">
      <w:pPr>
        <w:pStyle w:val="10"/>
        <w:rPr>
          <w:color w:val="auto"/>
          <w:highlight w:val="none"/>
        </w:rPr>
      </w:pPr>
    </w:p>
    <w:p w14:paraId="495335E4">
      <w:pPr>
        <w:pStyle w:val="11"/>
        <w:ind w:firstLine="210"/>
        <w:rPr>
          <w:color w:val="auto"/>
          <w:highlight w:val="none"/>
        </w:rPr>
      </w:pPr>
    </w:p>
    <w:p w14:paraId="39DD60AC">
      <w:pPr>
        <w:pStyle w:val="31"/>
        <w:ind w:firstLine="420"/>
        <w:rPr>
          <w:color w:val="auto"/>
          <w:highlight w:val="none"/>
        </w:rPr>
      </w:pPr>
    </w:p>
    <w:p w14:paraId="0A155318">
      <w:pPr>
        <w:rPr>
          <w:color w:val="auto"/>
          <w:highlight w:val="none"/>
        </w:rPr>
      </w:pPr>
    </w:p>
    <w:p w14:paraId="79F9D68A">
      <w:pPr>
        <w:pStyle w:val="10"/>
        <w:rPr>
          <w:color w:val="auto"/>
          <w:highlight w:val="none"/>
        </w:rPr>
      </w:pPr>
    </w:p>
    <w:p w14:paraId="710832B2">
      <w:pPr>
        <w:pStyle w:val="11"/>
        <w:ind w:firstLine="210"/>
        <w:rPr>
          <w:color w:val="auto"/>
          <w:highlight w:val="none"/>
        </w:rPr>
      </w:pPr>
    </w:p>
    <w:p w14:paraId="03D911B1">
      <w:pPr>
        <w:pStyle w:val="31"/>
        <w:ind w:firstLine="420"/>
        <w:rPr>
          <w:color w:val="auto"/>
          <w:highlight w:val="none"/>
        </w:rPr>
      </w:pPr>
    </w:p>
    <w:p w14:paraId="558DF698">
      <w:pPr>
        <w:rPr>
          <w:color w:val="auto"/>
          <w:highlight w:val="none"/>
        </w:rPr>
      </w:pPr>
    </w:p>
    <w:p w14:paraId="7F3459E6">
      <w:pPr>
        <w:pStyle w:val="10"/>
        <w:rPr>
          <w:color w:val="auto"/>
          <w:highlight w:val="none"/>
        </w:rPr>
      </w:pPr>
    </w:p>
    <w:p w14:paraId="181AD434">
      <w:pPr>
        <w:pStyle w:val="11"/>
        <w:ind w:firstLine="210"/>
        <w:rPr>
          <w:color w:val="auto"/>
          <w:highlight w:val="none"/>
        </w:rPr>
      </w:pPr>
    </w:p>
    <w:p w14:paraId="58C742CD">
      <w:pPr>
        <w:pStyle w:val="31"/>
        <w:ind w:firstLine="420"/>
        <w:rPr>
          <w:color w:val="auto"/>
          <w:highlight w:val="none"/>
        </w:rPr>
      </w:pPr>
    </w:p>
    <w:p w14:paraId="78C358DA">
      <w:pPr>
        <w:rPr>
          <w:color w:val="auto"/>
          <w:highlight w:val="none"/>
        </w:rPr>
      </w:pPr>
    </w:p>
    <w:p w14:paraId="4FA43156">
      <w:pPr>
        <w:pStyle w:val="10"/>
        <w:rPr>
          <w:color w:val="auto"/>
          <w:highlight w:val="none"/>
        </w:rPr>
      </w:pPr>
    </w:p>
    <w:p w14:paraId="5EC9D5F5">
      <w:pPr>
        <w:pStyle w:val="11"/>
        <w:ind w:firstLine="210"/>
        <w:rPr>
          <w:color w:val="auto"/>
          <w:highlight w:val="none"/>
        </w:rPr>
      </w:pPr>
    </w:p>
    <w:p w14:paraId="55F347C4">
      <w:pPr>
        <w:pStyle w:val="31"/>
        <w:ind w:firstLine="420"/>
        <w:rPr>
          <w:color w:val="auto"/>
          <w:highlight w:val="none"/>
        </w:rPr>
      </w:pPr>
    </w:p>
    <w:p w14:paraId="5C9BBE2F">
      <w:pPr>
        <w:pStyle w:val="46"/>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附件十 同类项目业绩合同</w:t>
      </w:r>
      <w:r>
        <w:rPr>
          <w:rFonts w:hint="eastAsia" w:eastAsia="黑体"/>
          <w:color w:val="auto"/>
          <w:sz w:val="28"/>
          <w:szCs w:val="44"/>
          <w:highlight w:val="none"/>
          <w:lang w:val="en-US" w:eastAsia="zh-CN"/>
        </w:rPr>
        <w:t>及资质文件</w:t>
      </w:r>
      <w:r>
        <w:rPr>
          <w:rFonts w:hint="eastAsia" w:eastAsia="黑体"/>
          <w:color w:val="auto"/>
          <w:sz w:val="28"/>
          <w:szCs w:val="44"/>
          <w:highlight w:val="none"/>
        </w:rPr>
        <w:t>（加盖公章）</w:t>
      </w:r>
    </w:p>
    <w:p w14:paraId="76550213">
      <w:pPr>
        <w:pStyle w:val="46"/>
        <w:spacing w:line="360" w:lineRule="auto"/>
        <w:ind w:firstLine="0" w:firstLineChars="0"/>
        <w:jc w:val="left"/>
        <w:outlineLvl w:val="1"/>
        <w:rPr>
          <w:rFonts w:eastAsia="黑体"/>
          <w:color w:val="auto"/>
          <w:sz w:val="28"/>
          <w:szCs w:val="44"/>
          <w:highlight w:val="none"/>
        </w:rPr>
      </w:pPr>
      <w:r>
        <w:rPr>
          <w:rFonts w:hint="eastAsia" w:ascii="仿宋_GB2312" w:hAnsi="仿宋_GB2312" w:eastAsia="仿宋_GB2312" w:cs="仿宋_GB2312"/>
          <w:color w:val="auto"/>
          <w:sz w:val="32"/>
          <w:szCs w:val="32"/>
          <w:highlight w:val="none"/>
        </w:rPr>
        <w:t>提供过往业绩合同主要页复印件（包含但不限于合同首页、合同金额页、合同盖章签字页等）及该项目任意一期已开具的发票复印件（加盖公章）】；</w:t>
      </w:r>
    </w:p>
    <w:p w14:paraId="22107F24">
      <w:pPr>
        <w:rPr>
          <w:color w:val="auto"/>
          <w:highlight w:val="none"/>
        </w:rPr>
      </w:pPr>
    </w:p>
    <w:p w14:paraId="54DCDCB3">
      <w:pPr>
        <w:spacing w:line="400" w:lineRule="exact"/>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提供防腐保温工程专业承包三级（或以上）资质证书，且在有效期内。【提供资质证书复印件（加盖公章）】</w:t>
      </w:r>
    </w:p>
    <w:p w14:paraId="12570A4F">
      <w:pPr>
        <w:pStyle w:val="10"/>
        <w:rPr>
          <w:color w:val="auto"/>
          <w:highlight w:val="none"/>
        </w:rPr>
      </w:pPr>
    </w:p>
    <w:p w14:paraId="09444211">
      <w:pPr>
        <w:pStyle w:val="11"/>
        <w:ind w:firstLine="210"/>
        <w:rPr>
          <w:color w:val="auto"/>
          <w:highlight w:val="none"/>
        </w:rPr>
      </w:pPr>
    </w:p>
    <w:p w14:paraId="0B6A254A">
      <w:pPr>
        <w:pStyle w:val="31"/>
        <w:ind w:firstLine="420"/>
        <w:rPr>
          <w:color w:val="auto"/>
          <w:highlight w:val="none"/>
        </w:rPr>
      </w:pPr>
    </w:p>
    <w:p w14:paraId="7E37F997">
      <w:pPr>
        <w:rPr>
          <w:color w:val="auto"/>
          <w:highlight w:val="none"/>
        </w:rPr>
      </w:pPr>
    </w:p>
    <w:p w14:paraId="74337A1A">
      <w:pPr>
        <w:pStyle w:val="10"/>
        <w:rPr>
          <w:color w:val="auto"/>
          <w:highlight w:val="none"/>
        </w:rPr>
      </w:pPr>
    </w:p>
    <w:p w14:paraId="28039C92">
      <w:pPr>
        <w:pStyle w:val="11"/>
        <w:ind w:firstLine="210"/>
        <w:rPr>
          <w:color w:val="auto"/>
          <w:highlight w:val="none"/>
        </w:rPr>
      </w:pPr>
    </w:p>
    <w:p w14:paraId="0CF5D48E">
      <w:pPr>
        <w:pStyle w:val="31"/>
        <w:ind w:firstLine="420"/>
        <w:rPr>
          <w:color w:val="auto"/>
          <w:highlight w:val="none"/>
        </w:rPr>
      </w:pPr>
    </w:p>
    <w:p w14:paraId="6BB6F695">
      <w:pPr>
        <w:rPr>
          <w:color w:val="auto"/>
          <w:highlight w:val="none"/>
        </w:rPr>
      </w:pPr>
    </w:p>
    <w:p w14:paraId="754019EB">
      <w:pPr>
        <w:pStyle w:val="10"/>
        <w:rPr>
          <w:color w:val="auto"/>
          <w:highlight w:val="none"/>
        </w:rPr>
      </w:pPr>
    </w:p>
    <w:p w14:paraId="2D0BC3E3">
      <w:pPr>
        <w:pStyle w:val="11"/>
        <w:ind w:firstLine="210"/>
        <w:rPr>
          <w:color w:val="auto"/>
          <w:highlight w:val="none"/>
        </w:rPr>
      </w:pPr>
    </w:p>
    <w:p w14:paraId="415CA72D">
      <w:pPr>
        <w:pStyle w:val="31"/>
        <w:ind w:firstLine="420"/>
        <w:rPr>
          <w:color w:val="auto"/>
          <w:highlight w:val="none"/>
        </w:rPr>
      </w:pPr>
    </w:p>
    <w:p w14:paraId="13F6E040">
      <w:pPr>
        <w:rPr>
          <w:color w:val="auto"/>
          <w:highlight w:val="none"/>
        </w:rPr>
      </w:pPr>
    </w:p>
    <w:p w14:paraId="47422229">
      <w:pPr>
        <w:pStyle w:val="10"/>
        <w:rPr>
          <w:color w:val="auto"/>
          <w:highlight w:val="none"/>
        </w:rPr>
      </w:pPr>
    </w:p>
    <w:p w14:paraId="5392111C">
      <w:pPr>
        <w:pStyle w:val="11"/>
        <w:ind w:firstLine="210"/>
        <w:rPr>
          <w:color w:val="auto"/>
          <w:highlight w:val="none"/>
        </w:rPr>
      </w:pPr>
    </w:p>
    <w:p w14:paraId="008EED66">
      <w:pPr>
        <w:pStyle w:val="31"/>
        <w:ind w:firstLine="420"/>
        <w:rPr>
          <w:color w:val="auto"/>
          <w:highlight w:val="none"/>
        </w:rPr>
      </w:pPr>
    </w:p>
    <w:p w14:paraId="2950199C">
      <w:pPr>
        <w:rPr>
          <w:color w:val="auto"/>
          <w:highlight w:val="none"/>
        </w:rPr>
      </w:pPr>
    </w:p>
    <w:p w14:paraId="60EFDEC0">
      <w:pPr>
        <w:pStyle w:val="10"/>
        <w:rPr>
          <w:color w:val="auto"/>
          <w:highlight w:val="none"/>
        </w:rPr>
      </w:pPr>
    </w:p>
    <w:p w14:paraId="4CF1E3A1">
      <w:pPr>
        <w:pStyle w:val="11"/>
        <w:ind w:firstLine="210"/>
        <w:rPr>
          <w:color w:val="auto"/>
          <w:highlight w:val="none"/>
        </w:rPr>
      </w:pPr>
    </w:p>
    <w:p w14:paraId="473707A2">
      <w:pPr>
        <w:pStyle w:val="31"/>
        <w:ind w:firstLine="420"/>
        <w:rPr>
          <w:color w:val="auto"/>
          <w:highlight w:val="none"/>
        </w:rPr>
      </w:pPr>
    </w:p>
    <w:p w14:paraId="61D590EB">
      <w:pPr>
        <w:rPr>
          <w:color w:val="auto"/>
          <w:highlight w:val="none"/>
        </w:rPr>
      </w:pPr>
    </w:p>
    <w:p w14:paraId="1D4988DD">
      <w:pPr>
        <w:pStyle w:val="10"/>
        <w:rPr>
          <w:color w:val="auto"/>
          <w:highlight w:val="none"/>
        </w:rPr>
      </w:pPr>
    </w:p>
    <w:p w14:paraId="75E1322C">
      <w:pPr>
        <w:pStyle w:val="11"/>
        <w:ind w:firstLine="210"/>
        <w:rPr>
          <w:color w:val="auto"/>
          <w:highlight w:val="none"/>
        </w:rPr>
      </w:pPr>
    </w:p>
    <w:p w14:paraId="1F38165F">
      <w:pPr>
        <w:pStyle w:val="31"/>
        <w:ind w:firstLine="420"/>
        <w:rPr>
          <w:color w:val="auto"/>
          <w:highlight w:val="none"/>
        </w:rPr>
      </w:pPr>
    </w:p>
    <w:p w14:paraId="43C61B0D">
      <w:pPr>
        <w:rPr>
          <w:color w:val="auto"/>
          <w:highlight w:val="none"/>
        </w:rPr>
      </w:pPr>
    </w:p>
    <w:p w14:paraId="58DE638C">
      <w:pPr>
        <w:pStyle w:val="10"/>
        <w:rPr>
          <w:color w:val="auto"/>
          <w:highlight w:val="none"/>
        </w:rPr>
      </w:pPr>
    </w:p>
    <w:p w14:paraId="7B55BBF8">
      <w:pPr>
        <w:pStyle w:val="11"/>
        <w:ind w:firstLine="210"/>
        <w:rPr>
          <w:color w:val="auto"/>
          <w:highlight w:val="none"/>
        </w:rPr>
      </w:pPr>
    </w:p>
    <w:p w14:paraId="7D3D96B6">
      <w:pPr>
        <w:pStyle w:val="31"/>
        <w:ind w:left="0" w:leftChars="0" w:firstLine="0" w:firstLineChars="0"/>
        <w:rPr>
          <w:color w:val="auto"/>
          <w:highlight w:val="none"/>
        </w:rPr>
      </w:pPr>
    </w:p>
    <w:p w14:paraId="4D69D519">
      <w:pPr>
        <w:spacing w:before="332" w:beforeLines="100" w:after="332" w:afterLines="100"/>
        <w:outlineLvl w:val="1"/>
        <w:rPr>
          <w:rFonts w:ascii="宋体" w:hAnsi="宋体" w:eastAsia="黑体" w:cs="宋体"/>
          <w:b/>
          <w:bCs/>
          <w:color w:val="auto"/>
          <w:sz w:val="44"/>
          <w:szCs w:val="44"/>
          <w:highlight w:val="none"/>
        </w:rPr>
      </w:pPr>
      <w:r>
        <w:rPr>
          <w:rFonts w:eastAsia="黑体"/>
          <w:color w:val="auto"/>
          <w:sz w:val="28"/>
          <w:szCs w:val="44"/>
          <w:highlight w:val="none"/>
        </w:rPr>
        <w:t>附件</w:t>
      </w:r>
      <w:r>
        <w:rPr>
          <w:rFonts w:hint="eastAsia" w:eastAsia="黑体"/>
          <w:color w:val="auto"/>
          <w:sz w:val="28"/>
          <w:szCs w:val="44"/>
          <w:highlight w:val="none"/>
        </w:rPr>
        <w:t>十一商务偏离表</w:t>
      </w:r>
    </w:p>
    <w:p w14:paraId="0B78C0A0">
      <w:pPr>
        <w:spacing w:before="332" w:beforeLines="100" w:after="332" w:afterLines="100"/>
        <w:jc w:val="center"/>
        <w:outlineLvl w:val="1"/>
        <w:rPr>
          <w:rFonts w:ascii="宋体" w:hAnsi="宋体" w:cs="宋体"/>
          <w:b/>
          <w:bCs/>
          <w:color w:val="auto"/>
          <w:sz w:val="44"/>
          <w:szCs w:val="44"/>
          <w:highlight w:val="none"/>
        </w:rPr>
      </w:pPr>
      <w:r>
        <w:rPr>
          <w:rFonts w:hint="eastAsia" w:ascii="宋体" w:hAnsi="宋体" w:cs="宋体"/>
          <w:b/>
          <w:bCs/>
          <w:color w:val="auto"/>
          <w:sz w:val="44"/>
          <w:szCs w:val="44"/>
          <w:highlight w:val="none"/>
        </w:rPr>
        <w:t>商务/技术条款偏离表</w:t>
      </w:r>
    </w:p>
    <w:p w14:paraId="4182FC13">
      <w:pPr>
        <w:spacing w:line="360" w:lineRule="auto"/>
        <w:rPr>
          <w:rFonts w:ascii="宋体" w:hAnsi="宋体" w:cs="宋体"/>
          <w:color w:val="auto"/>
          <w:sz w:val="24"/>
          <w:highlight w:val="none"/>
        </w:rPr>
      </w:pPr>
      <w:r>
        <w:rPr>
          <w:rFonts w:hint="eastAsia" w:ascii="宋体" w:hAnsi="宋体" w:cs="宋体"/>
          <w:color w:val="auto"/>
          <w:sz w:val="24"/>
          <w:highlight w:val="none"/>
        </w:rPr>
        <w:t>项目名称：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采购编号：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2120"/>
        <w:gridCol w:w="1958"/>
        <w:gridCol w:w="1955"/>
        <w:gridCol w:w="832"/>
        <w:gridCol w:w="831"/>
      </w:tblGrid>
      <w:tr w14:paraId="73DB5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E3970AA">
            <w:pPr>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2120" w:type="dxa"/>
            <w:vAlign w:val="center"/>
          </w:tcPr>
          <w:p w14:paraId="02803B46">
            <w:pPr>
              <w:jc w:val="center"/>
              <w:rPr>
                <w:rFonts w:ascii="宋体" w:hAnsi="宋体" w:cs="宋体"/>
                <w:b/>
                <w:color w:val="auto"/>
                <w:sz w:val="24"/>
                <w:highlight w:val="none"/>
              </w:rPr>
            </w:pPr>
            <w:r>
              <w:rPr>
                <w:rFonts w:hint="eastAsia" w:ascii="宋体" w:hAnsi="宋体" w:cs="宋体"/>
                <w:b/>
                <w:color w:val="auto"/>
                <w:sz w:val="24"/>
                <w:highlight w:val="none"/>
              </w:rPr>
              <w:t>项目名称</w:t>
            </w:r>
          </w:p>
        </w:tc>
        <w:tc>
          <w:tcPr>
            <w:tcW w:w="1958" w:type="dxa"/>
            <w:vAlign w:val="center"/>
          </w:tcPr>
          <w:p w14:paraId="451B5296">
            <w:pPr>
              <w:jc w:val="center"/>
              <w:rPr>
                <w:rFonts w:ascii="宋体" w:hAnsi="宋体" w:cs="宋体"/>
                <w:b/>
                <w:color w:val="auto"/>
                <w:sz w:val="24"/>
                <w:highlight w:val="none"/>
              </w:rPr>
            </w:pPr>
            <w:r>
              <w:rPr>
                <w:rFonts w:hint="eastAsia" w:ascii="宋体" w:hAnsi="宋体" w:cs="宋体"/>
                <w:b/>
                <w:color w:val="auto"/>
                <w:sz w:val="24"/>
                <w:highlight w:val="none"/>
              </w:rPr>
              <w:t>询价文件商务/技术条款</w:t>
            </w:r>
          </w:p>
        </w:tc>
        <w:tc>
          <w:tcPr>
            <w:tcW w:w="1955" w:type="dxa"/>
            <w:vAlign w:val="center"/>
          </w:tcPr>
          <w:p w14:paraId="4D635AC8">
            <w:pPr>
              <w:jc w:val="center"/>
              <w:rPr>
                <w:rFonts w:ascii="宋体" w:hAnsi="宋体" w:cs="宋体"/>
                <w:b/>
                <w:color w:val="auto"/>
                <w:sz w:val="24"/>
                <w:highlight w:val="none"/>
              </w:rPr>
            </w:pPr>
            <w:r>
              <w:rPr>
                <w:rFonts w:hint="eastAsia" w:ascii="宋体" w:hAnsi="宋体" w:cs="宋体"/>
                <w:b/>
                <w:color w:val="auto"/>
                <w:sz w:val="24"/>
                <w:highlight w:val="none"/>
              </w:rPr>
              <w:t>报价文件商务/技术条款</w:t>
            </w:r>
          </w:p>
        </w:tc>
        <w:tc>
          <w:tcPr>
            <w:tcW w:w="832" w:type="dxa"/>
            <w:vAlign w:val="center"/>
          </w:tcPr>
          <w:p w14:paraId="361A0A80">
            <w:pPr>
              <w:jc w:val="center"/>
              <w:rPr>
                <w:rFonts w:ascii="宋体" w:hAnsi="宋体" w:cs="宋体"/>
                <w:b/>
                <w:color w:val="auto"/>
                <w:sz w:val="24"/>
                <w:highlight w:val="none"/>
              </w:rPr>
            </w:pPr>
            <w:r>
              <w:rPr>
                <w:rFonts w:hint="eastAsia" w:ascii="宋体" w:hAnsi="宋体" w:cs="宋体"/>
                <w:b/>
                <w:color w:val="auto"/>
                <w:sz w:val="24"/>
                <w:highlight w:val="none"/>
              </w:rPr>
              <w:t>偏离</w:t>
            </w:r>
          </w:p>
        </w:tc>
        <w:tc>
          <w:tcPr>
            <w:tcW w:w="831" w:type="dxa"/>
            <w:vAlign w:val="center"/>
          </w:tcPr>
          <w:p w14:paraId="6C93425D">
            <w:pPr>
              <w:jc w:val="center"/>
              <w:rPr>
                <w:rFonts w:ascii="宋体" w:hAnsi="宋体" w:cs="宋体"/>
                <w:b/>
                <w:color w:val="auto"/>
                <w:sz w:val="24"/>
                <w:highlight w:val="none"/>
              </w:rPr>
            </w:pPr>
            <w:r>
              <w:rPr>
                <w:rFonts w:hint="eastAsia" w:ascii="宋体" w:hAnsi="宋体" w:cs="宋体"/>
                <w:b/>
                <w:color w:val="auto"/>
                <w:sz w:val="24"/>
                <w:highlight w:val="none"/>
              </w:rPr>
              <w:t>说明</w:t>
            </w:r>
          </w:p>
        </w:tc>
      </w:tr>
      <w:tr w14:paraId="4A021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74D7FE74">
            <w:pPr>
              <w:jc w:val="center"/>
              <w:rPr>
                <w:rFonts w:ascii="宋体" w:hAnsi="宋体" w:cs="宋体"/>
                <w:color w:val="auto"/>
                <w:sz w:val="24"/>
                <w:highlight w:val="none"/>
              </w:rPr>
            </w:pPr>
          </w:p>
        </w:tc>
        <w:tc>
          <w:tcPr>
            <w:tcW w:w="2120" w:type="dxa"/>
            <w:vAlign w:val="center"/>
          </w:tcPr>
          <w:p w14:paraId="0AC16AEC">
            <w:pPr>
              <w:jc w:val="center"/>
              <w:rPr>
                <w:rFonts w:ascii="宋体" w:hAnsi="宋体" w:cs="宋体"/>
                <w:color w:val="auto"/>
                <w:sz w:val="24"/>
                <w:highlight w:val="none"/>
              </w:rPr>
            </w:pPr>
          </w:p>
        </w:tc>
        <w:tc>
          <w:tcPr>
            <w:tcW w:w="1958" w:type="dxa"/>
            <w:vAlign w:val="center"/>
          </w:tcPr>
          <w:p w14:paraId="57497EEE">
            <w:pPr>
              <w:jc w:val="center"/>
              <w:rPr>
                <w:rFonts w:ascii="宋体" w:hAnsi="宋体" w:cs="宋体"/>
                <w:color w:val="auto"/>
                <w:sz w:val="24"/>
                <w:highlight w:val="none"/>
              </w:rPr>
            </w:pPr>
          </w:p>
        </w:tc>
        <w:tc>
          <w:tcPr>
            <w:tcW w:w="1955" w:type="dxa"/>
            <w:vAlign w:val="center"/>
          </w:tcPr>
          <w:p w14:paraId="47E2DD1C">
            <w:pPr>
              <w:jc w:val="center"/>
              <w:rPr>
                <w:rFonts w:ascii="宋体" w:hAnsi="宋体" w:cs="宋体"/>
                <w:color w:val="auto"/>
                <w:sz w:val="24"/>
                <w:highlight w:val="none"/>
              </w:rPr>
            </w:pPr>
          </w:p>
        </w:tc>
        <w:tc>
          <w:tcPr>
            <w:tcW w:w="832" w:type="dxa"/>
            <w:vAlign w:val="center"/>
          </w:tcPr>
          <w:p w14:paraId="258D5188">
            <w:pPr>
              <w:jc w:val="center"/>
              <w:rPr>
                <w:rFonts w:ascii="宋体" w:hAnsi="宋体" w:cs="宋体"/>
                <w:color w:val="auto"/>
                <w:sz w:val="24"/>
                <w:highlight w:val="none"/>
              </w:rPr>
            </w:pPr>
          </w:p>
        </w:tc>
        <w:tc>
          <w:tcPr>
            <w:tcW w:w="831" w:type="dxa"/>
            <w:vAlign w:val="center"/>
          </w:tcPr>
          <w:p w14:paraId="709A3C71">
            <w:pPr>
              <w:jc w:val="center"/>
              <w:rPr>
                <w:rFonts w:ascii="宋体" w:hAnsi="宋体" w:cs="宋体"/>
                <w:color w:val="auto"/>
                <w:sz w:val="24"/>
                <w:highlight w:val="none"/>
              </w:rPr>
            </w:pPr>
          </w:p>
        </w:tc>
      </w:tr>
      <w:tr w14:paraId="606B1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B48E150">
            <w:pPr>
              <w:jc w:val="center"/>
              <w:rPr>
                <w:rFonts w:ascii="宋体" w:hAnsi="宋体" w:cs="宋体"/>
                <w:color w:val="auto"/>
                <w:sz w:val="24"/>
                <w:highlight w:val="none"/>
              </w:rPr>
            </w:pPr>
          </w:p>
        </w:tc>
        <w:tc>
          <w:tcPr>
            <w:tcW w:w="2120" w:type="dxa"/>
            <w:vAlign w:val="center"/>
          </w:tcPr>
          <w:p w14:paraId="77284226">
            <w:pPr>
              <w:jc w:val="center"/>
              <w:rPr>
                <w:rFonts w:ascii="宋体" w:hAnsi="宋体" w:cs="宋体"/>
                <w:color w:val="auto"/>
                <w:sz w:val="24"/>
                <w:highlight w:val="none"/>
              </w:rPr>
            </w:pPr>
          </w:p>
        </w:tc>
        <w:tc>
          <w:tcPr>
            <w:tcW w:w="1958" w:type="dxa"/>
            <w:vAlign w:val="center"/>
          </w:tcPr>
          <w:p w14:paraId="32BC9A6C">
            <w:pPr>
              <w:jc w:val="center"/>
              <w:rPr>
                <w:rFonts w:ascii="宋体" w:hAnsi="宋体" w:cs="宋体"/>
                <w:color w:val="auto"/>
                <w:sz w:val="24"/>
                <w:highlight w:val="none"/>
              </w:rPr>
            </w:pPr>
          </w:p>
        </w:tc>
        <w:tc>
          <w:tcPr>
            <w:tcW w:w="1955" w:type="dxa"/>
            <w:vAlign w:val="center"/>
          </w:tcPr>
          <w:p w14:paraId="00CD6AEA">
            <w:pPr>
              <w:jc w:val="center"/>
              <w:rPr>
                <w:rFonts w:ascii="宋体" w:hAnsi="宋体" w:cs="宋体"/>
                <w:color w:val="auto"/>
                <w:sz w:val="24"/>
                <w:highlight w:val="none"/>
              </w:rPr>
            </w:pPr>
          </w:p>
        </w:tc>
        <w:tc>
          <w:tcPr>
            <w:tcW w:w="832" w:type="dxa"/>
            <w:vAlign w:val="center"/>
          </w:tcPr>
          <w:p w14:paraId="24FAA107">
            <w:pPr>
              <w:jc w:val="center"/>
              <w:rPr>
                <w:rFonts w:ascii="宋体" w:hAnsi="宋体" w:cs="宋体"/>
                <w:color w:val="auto"/>
                <w:sz w:val="24"/>
                <w:highlight w:val="none"/>
              </w:rPr>
            </w:pPr>
          </w:p>
        </w:tc>
        <w:tc>
          <w:tcPr>
            <w:tcW w:w="831" w:type="dxa"/>
            <w:vAlign w:val="center"/>
          </w:tcPr>
          <w:p w14:paraId="2819D621">
            <w:pPr>
              <w:jc w:val="center"/>
              <w:rPr>
                <w:rFonts w:ascii="宋体" w:hAnsi="宋体" w:cs="宋体"/>
                <w:color w:val="auto"/>
                <w:sz w:val="24"/>
                <w:highlight w:val="none"/>
              </w:rPr>
            </w:pPr>
          </w:p>
        </w:tc>
      </w:tr>
      <w:tr w14:paraId="279C7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74BA211D">
            <w:pPr>
              <w:jc w:val="center"/>
              <w:rPr>
                <w:rFonts w:ascii="宋体" w:hAnsi="宋体" w:cs="宋体"/>
                <w:color w:val="auto"/>
                <w:sz w:val="24"/>
                <w:highlight w:val="none"/>
              </w:rPr>
            </w:pPr>
          </w:p>
        </w:tc>
        <w:tc>
          <w:tcPr>
            <w:tcW w:w="2120" w:type="dxa"/>
            <w:vAlign w:val="center"/>
          </w:tcPr>
          <w:p w14:paraId="679CC202">
            <w:pPr>
              <w:jc w:val="center"/>
              <w:rPr>
                <w:rFonts w:ascii="宋体" w:hAnsi="宋体" w:cs="宋体"/>
                <w:color w:val="auto"/>
                <w:sz w:val="24"/>
                <w:highlight w:val="none"/>
              </w:rPr>
            </w:pPr>
          </w:p>
        </w:tc>
        <w:tc>
          <w:tcPr>
            <w:tcW w:w="1958" w:type="dxa"/>
            <w:vAlign w:val="center"/>
          </w:tcPr>
          <w:p w14:paraId="787EFA2D">
            <w:pPr>
              <w:jc w:val="center"/>
              <w:rPr>
                <w:rFonts w:ascii="宋体" w:hAnsi="宋体" w:cs="宋体"/>
                <w:color w:val="auto"/>
                <w:sz w:val="24"/>
                <w:highlight w:val="none"/>
              </w:rPr>
            </w:pPr>
          </w:p>
        </w:tc>
        <w:tc>
          <w:tcPr>
            <w:tcW w:w="1955" w:type="dxa"/>
            <w:vAlign w:val="center"/>
          </w:tcPr>
          <w:p w14:paraId="4ED2D76D">
            <w:pPr>
              <w:jc w:val="center"/>
              <w:rPr>
                <w:rFonts w:ascii="宋体" w:hAnsi="宋体" w:cs="宋体"/>
                <w:color w:val="auto"/>
                <w:sz w:val="24"/>
                <w:highlight w:val="none"/>
              </w:rPr>
            </w:pPr>
          </w:p>
        </w:tc>
        <w:tc>
          <w:tcPr>
            <w:tcW w:w="832" w:type="dxa"/>
            <w:vAlign w:val="center"/>
          </w:tcPr>
          <w:p w14:paraId="45D3E1BE">
            <w:pPr>
              <w:jc w:val="center"/>
              <w:rPr>
                <w:rFonts w:ascii="宋体" w:hAnsi="宋体" w:cs="宋体"/>
                <w:color w:val="auto"/>
                <w:sz w:val="24"/>
                <w:highlight w:val="none"/>
              </w:rPr>
            </w:pPr>
          </w:p>
        </w:tc>
        <w:tc>
          <w:tcPr>
            <w:tcW w:w="831" w:type="dxa"/>
            <w:vAlign w:val="center"/>
          </w:tcPr>
          <w:p w14:paraId="7EF79B38">
            <w:pPr>
              <w:jc w:val="center"/>
              <w:rPr>
                <w:rFonts w:ascii="宋体" w:hAnsi="宋体" w:cs="宋体"/>
                <w:color w:val="auto"/>
                <w:sz w:val="24"/>
                <w:highlight w:val="none"/>
              </w:rPr>
            </w:pPr>
          </w:p>
        </w:tc>
      </w:tr>
      <w:tr w14:paraId="2CADA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6737DFB">
            <w:pPr>
              <w:jc w:val="center"/>
              <w:rPr>
                <w:rFonts w:ascii="宋体" w:hAnsi="宋体" w:cs="宋体"/>
                <w:color w:val="auto"/>
                <w:sz w:val="24"/>
                <w:highlight w:val="none"/>
              </w:rPr>
            </w:pPr>
          </w:p>
        </w:tc>
        <w:tc>
          <w:tcPr>
            <w:tcW w:w="2120" w:type="dxa"/>
            <w:vAlign w:val="center"/>
          </w:tcPr>
          <w:p w14:paraId="4A4E637F">
            <w:pPr>
              <w:jc w:val="center"/>
              <w:rPr>
                <w:rFonts w:ascii="宋体" w:hAnsi="宋体" w:cs="宋体"/>
                <w:color w:val="auto"/>
                <w:sz w:val="24"/>
                <w:highlight w:val="none"/>
              </w:rPr>
            </w:pPr>
          </w:p>
        </w:tc>
        <w:tc>
          <w:tcPr>
            <w:tcW w:w="1958" w:type="dxa"/>
            <w:vAlign w:val="center"/>
          </w:tcPr>
          <w:p w14:paraId="0F30C0F6">
            <w:pPr>
              <w:jc w:val="center"/>
              <w:rPr>
                <w:rFonts w:ascii="宋体" w:hAnsi="宋体" w:cs="宋体"/>
                <w:color w:val="auto"/>
                <w:sz w:val="24"/>
                <w:highlight w:val="none"/>
              </w:rPr>
            </w:pPr>
          </w:p>
        </w:tc>
        <w:tc>
          <w:tcPr>
            <w:tcW w:w="1955" w:type="dxa"/>
            <w:vAlign w:val="center"/>
          </w:tcPr>
          <w:p w14:paraId="1A844BFC">
            <w:pPr>
              <w:jc w:val="center"/>
              <w:rPr>
                <w:rFonts w:ascii="宋体" w:hAnsi="宋体" w:cs="宋体"/>
                <w:color w:val="auto"/>
                <w:sz w:val="24"/>
                <w:highlight w:val="none"/>
              </w:rPr>
            </w:pPr>
          </w:p>
        </w:tc>
        <w:tc>
          <w:tcPr>
            <w:tcW w:w="832" w:type="dxa"/>
            <w:vAlign w:val="center"/>
          </w:tcPr>
          <w:p w14:paraId="7C02C2C9">
            <w:pPr>
              <w:jc w:val="center"/>
              <w:rPr>
                <w:rFonts w:ascii="宋体" w:hAnsi="宋体" w:cs="宋体"/>
                <w:color w:val="auto"/>
                <w:sz w:val="24"/>
                <w:highlight w:val="none"/>
              </w:rPr>
            </w:pPr>
          </w:p>
        </w:tc>
        <w:tc>
          <w:tcPr>
            <w:tcW w:w="831" w:type="dxa"/>
            <w:vAlign w:val="center"/>
          </w:tcPr>
          <w:p w14:paraId="7D9C5185">
            <w:pPr>
              <w:jc w:val="center"/>
              <w:rPr>
                <w:rFonts w:ascii="宋体" w:hAnsi="宋体" w:cs="宋体"/>
                <w:color w:val="auto"/>
                <w:sz w:val="24"/>
                <w:highlight w:val="none"/>
              </w:rPr>
            </w:pPr>
          </w:p>
        </w:tc>
      </w:tr>
      <w:tr w14:paraId="4DD06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51AA108D">
            <w:pPr>
              <w:jc w:val="center"/>
              <w:rPr>
                <w:rFonts w:ascii="宋体" w:hAnsi="宋体" w:cs="宋体"/>
                <w:color w:val="auto"/>
                <w:sz w:val="24"/>
                <w:highlight w:val="none"/>
              </w:rPr>
            </w:pPr>
          </w:p>
        </w:tc>
        <w:tc>
          <w:tcPr>
            <w:tcW w:w="2120" w:type="dxa"/>
            <w:vAlign w:val="center"/>
          </w:tcPr>
          <w:p w14:paraId="37574FFC">
            <w:pPr>
              <w:jc w:val="center"/>
              <w:rPr>
                <w:rFonts w:ascii="宋体" w:hAnsi="宋体" w:cs="宋体"/>
                <w:color w:val="auto"/>
                <w:sz w:val="24"/>
                <w:highlight w:val="none"/>
              </w:rPr>
            </w:pPr>
          </w:p>
        </w:tc>
        <w:tc>
          <w:tcPr>
            <w:tcW w:w="1958" w:type="dxa"/>
            <w:vAlign w:val="center"/>
          </w:tcPr>
          <w:p w14:paraId="44ABC0F0">
            <w:pPr>
              <w:jc w:val="center"/>
              <w:rPr>
                <w:rFonts w:ascii="宋体" w:hAnsi="宋体" w:cs="宋体"/>
                <w:color w:val="auto"/>
                <w:sz w:val="24"/>
                <w:highlight w:val="none"/>
              </w:rPr>
            </w:pPr>
          </w:p>
        </w:tc>
        <w:tc>
          <w:tcPr>
            <w:tcW w:w="1955" w:type="dxa"/>
            <w:vAlign w:val="center"/>
          </w:tcPr>
          <w:p w14:paraId="2FF2F971">
            <w:pPr>
              <w:jc w:val="center"/>
              <w:rPr>
                <w:rFonts w:ascii="宋体" w:hAnsi="宋体" w:cs="宋体"/>
                <w:color w:val="auto"/>
                <w:sz w:val="24"/>
                <w:highlight w:val="none"/>
              </w:rPr>
            </w:pPr>
          </w:p>
        </w:tc>
        <w:tc>
          <w:tcPr>
            <w:tcW w:w="832" w:type="dxa"/>
            <w:vAlign w:val="center"/>
          </w:tcPr>
          <w:p w14:paraId="0BB5BB59">
            <w:pPr>
              <w:jc w:val="center"/>
              <w:rPr>
                <w:rFonts w:ascii="宋体" w:hAnsi="宋体" w:cs="宋体"/>
                <w:color w:val="auto"/>
                <w:sz w:val="24"/>
                <w:highlight w:val="none"/>
              </w:rPr>
            </w:pPr>
          </w:p>
        </w:tc>
        <w:tc>
          <w:tcPr>
            <w:tcW w:w="831" w:type="dxa"/>
            <w:vAlign w:val="center"/>
          </w:tcPr>
          <w:p w14:paraId="77373A7E">
            <w:pPr>
              <w:jc w:val="center"/>
              <w:rPr>
                <w:rFonts w:ascii="宋体" w:hAnsi="宋体" w:cs="宋体"/>
                <w:color w:val="auto"/>
                <w:sz w:val="24"/>
                <w:highlight w:val="none"/>
              </w:rPr>
            </w:pPr>
          </w:p>
        </w:tc>
      </w:tr>
      <w:tr w14:paraId="3D1ED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4E2AAC71">
            <w:pPr>
              <w:jc w:val="center"/>
              <w:rPr>
                <w:rFonts w:ascii="宋体" w:hAnsi="宋体" w:cs="宋体"/>
                <w:color w:val="auto"/>
                <w:sz w:val="24"/>
                <w:highlight w:val="none"/>
              </w:rPr>
            </w:pPr>
          </w:p>
        </w:tc>
        <w:tc>
          <w:tcPr>
            <w:tcW w:w="2120" w:type="dxa"/>
            <w:vAlign w:val="center"/>
          </w:tcPr>
          <w:p w14:paraId="5E0E5325">
            <w:pPr>
              <w:jc w:val="center"/>
              <w:rPr>
                <w:rFonts w:ascii="宋体" w:hAnsi="宋体" w:cs="宋体"/>
                <w:color w:val="auto"/>
                <w:sz w:val="24"/>
                <w:highlight w:val="none"/>
              </w:rPr>
            </w:pPr>
          </w:p>
        </w:tc>
        <w:tc>
          <w:tcPr>
            <w:tcW w:w="1958" w:type="dxa"/>
            <w:vAlign w:val="center"/>
          </w:tcPr>
          <w:p w14:paraId="46108681">
            <w:pPr>
              <w:jc w:val="center"/>
              <w:rPr>
                <w:rFonts w:ascii="宋体" w:hAnsi="宋体" w:cs="宋体"/>
                <w:color w:val="auto"/>
                <w:sz w:val="24"/>
                <w:highlight w:val="none"/>
              </w:rPr>
            </w:pPr>
          </w:p>
        </w:tc>
        <w:tc>
          <w:tcPr>
            <w:tcW w:w="1955" w:type="dxa"/>
            <w:vAlign w:val="center"/>
          </w:tcPr>
          <w:p w14:paraId="62FDCC29">
            <w:pPr>
              <w:jc w:val="center"/>
              <w:rPr>
                <w:rFonts w:ascii="宋体" w:hAnsi="宋体" w:cs="宋体"/>
                <w:color w:val="auto"/>
                <w:sz w:val="24"/>
                <w:highlight w:val="none"/>
              </w:rPr>
            </w:pPr>
          </w:p>
        </w:tc>
        <w:tc>
          <w:tcPr>
            <w:tcW w:w="832" w:type="dxa"/>
            <w:vAlign w:val="center"/>
          </w:tcPr>
          <w:p w14:paraId="6F2D13BE">
            <w:pPr>
              <w:jc w:val="center"/>
              <w:rPr>
                <w:rFonts w:ascii="宋体" w:hAnsi="宋体" w:cs="宋体"/>
                <w:color w:val="auto"/>
                <w:sz w:val="24"/>
                <w:highlight w:val="none"/>
              </w:rPr>
            </w:pPr>
          </w:p>
        </w:tc>
        <w:tc>
          <w:tcPr>
            <w:tcW w:w="831" w:type="dxa"/>
            <w:vAlign w:val="center"/>
          </w:tcPr>
          <w:p w14:paraId="7AE0D3DF">
            <w:pPr>
              <w:jc w:val="center"/>
              <w:rPr>
                <w:rFonts w:ascii="宋体" w:hAnsi="宋体" w:cs="宋体"/>
                <w:color w:val="auto"/>
                <w:sz w:val="24"/>
                <w:highlight w:val="none"/>
              </w:rPr>
            </w:pPr>
          </w:p>
        </w:tc>
      </w:tr>
      <w:tr w14:paraId="76139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1069CEA">
            <w:pPr>
              <w:jc w:val="center"/>
              <w:rPr>
                <w:rFonts w:ascii="宋体" w:hAnsi="宋体" w:cs="宋体"/>
                <w:color w:val="auto"/>
                <w:sz w:val="24"/>
                <w:highlight w:val="none"/>
              </w:rPr>
            </w:pPr>
          </w:p>
        </w:tc>
        <w:tc>
          <w:tcPr>
            <w:tcW w:w="2120" w:type="dxa"/>
            <w:vAlign w:val="center"/>
          </w:tcPr>
          <w:p w14:paraId="73EDE1DC">
            <w:pPr>
              <w:jc w:val="center"/>
              <w:rPr>
                <w:rFonts w:ascii="宋体" w:hAnsi="宋体" w:cs="宋体"/>
                <w:color w:val="auto"/>
                <w:sz w:val="24"/>
                <w:highlight w:val="none"/>
              </w:rPr>
            </w:pPr>
          </w:p>
        </w:tc>
        <w:tc>
          <w:tcPr>
            <w:tcW w:w="1958" w:type="dxa"/>
            <w:vAlign w:val="center"/>
          </w:tcPr>
          <w:p w14:paraId="416ADE1D">
            <w:pPr>
              <w:jc w:val="center"/>
              <w:rPr>
                <w:rFonts w:ascii="宋体" w:hAnsi="宋体" w:cs="宋体"/>
                <w:color w:val="auto"/>
                <w:sz w:val="24"/>
                <w:highlight w:val="none"/>
              </w:rPr>
            </w:pPr>
          </w:p>
        </w:tc>
        <w:tc>
          <w:tcPr>
            <w:tcW w:w="1955" w:type="dxa"/>
            <w:vAlign w:val="center"/>
          </w:tcPr>
          <w:p w14:paraId="013175BF">
            <w:pPr>
              <w:jc w:val="center"/>
              <w:rPr>
                <w:rFonts w:ascii="宋体" w:hAnsi="宋体" w:cs="宋体"/>
                <w:color w:val="auto"/>
                <w:sz w:val="24"/>
                <w:highlight w:val="none"/>
              </w:rPr>
            </w:pPr>
          </w:p>
        </w:tc>
        <w:tc>
          <w:tcPr>
            <w:tcW w:w="832" w:type="dxa"/>
            <w:vAlign w:val="center"/>
          </w:tcPr>
          <w:p w14:paraId="27BD93D2">
            <w:pPr>
              <w:jc w:val="center"/>
              <w:rPr>
                <w:rFonts w:ascii="宋体" w:hAnsi="宋体" w:cs="宋体"/>
                <w:color w:val="auto"/>
                <w:sz w:val="24"/>
                <w:highlight w:val="none"/>
              </w:rPr>
            </w:pPr>
          </w:p>
        </w:tc>
        <w:tc>
          <w:tcPr>
            <w:tcW w:w="831" w:type="dxa"/>
            <w:vAlign w:val="center"/>
          </w:tcPr>
          <w:p w14:paraId="12E2C49C">
            <w:pPr>
              <w:jc w:val="center"/>
              <w:rPr>
                <w:rFonts w:ascii="宋体" w:hAnsi="宋体" w:cs="宋体"/>
                <w:color w:val="auto"/>
                <w:sz w:val="24"/>
                <w:highlight w:val="none"/>
              </w:rPr>
            </w:pPr>
          </w:p>
        </w:tc>
      </w:tr>
    </w:tbl>
    <w:p w14:paraId="59E8D907">
      <w:pPr>
        <w:ind w:firstLine="480" w:firstLineChars="200"/>
        <w:jc w:val="left"/>
        <w:rPr>
          <w:rFonts w:ascii="宋体" w:hAnsi="宋体" w:cs="宋体"/>
          <w:color w:val="auto"/>
          <w:sz w:val="24"/>
          <w:highlight w:val="none"/>
        </w:rPr>
      </w:pPr>
    </w:p>
    <w:p w14:paraId="551982D1">
      <w:pPr>
        <w:spacing w:line="360" w:lineRule="exact"/>
        <w:jc w:val="left"/>
        <w:rPr>
          <w:rFonts w:ascii="宋体" w:hAnsi="宋体" w:cs="宋体"/>
          <w:color w:val="auto"/>
          <w:sz w:val="24"/>
          <w:highlight w:val="none"/>
        </w:rPr>
      </w:pPr>
      <w:r>
        <w:rPr>
          <w:rFonts w:hint="eastAsia" w:ascii="宋体" w:hAnsi="宋体" w:cs="宋体"/>
          <w:color w:val="auto"/>
          <w:sz w:val="24"/>
          <w:highlight w:val="none"/>
        </w:rPr>
        <w:t>注：</w:t>
      </w:r>
    </w:p>
    <w:p w14:paraId="0EB75311">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1、响应人应对照询价文件商务要求，在“偏离”项中填写“正”、“负”或“无”，逐条说明已对询价文件的商务内容做出了实质性的报价，并申明与询价文件的偏差和例外。</w:t>
      </w:r>
    </w:p>
    <w:p w14:paraId="476ADFA2">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2、商务条款包括但不限于合格供应商条件、</w:t>
      </w:r>
      <w:r>
        <w:rPr>
          <w:rFonts w:hint="eastAsia" w:ascii="宋体" w:hAnsi="宋体" w:cs="宋体"/>
          <w:color w:val="auto"/>
          <w:sz w:val="24"/>
          <w:highlight w:val="none"/>
          <w:lang w:val="en-US" w:eastAsia="zh-CN"/>
        </w:rPr>
        <w:t>工期要求</w:t>
      </w:r>
      <w:r>
        <w:rPr>
          <w:rFonts w:hint="eastAsia" w:ascii="宋体" w:hAnsi="宋体" w:cs="宋体"/>
          <w:color w:val="auto"/>
          <w:sz w:val="24"/>
          <w:highlight w:val="none"/>
        </w:rPr>
        <w:t>、付款方式、品牌等要求。</w:t>
      </w:r>
    </w:p>
    <w:p w14:paraId="0ECE82B8">
      <w:pPr>
        <w:pStyle w:val="10"/>
        <w:rPr>
          <w:color w:val="auto"/>
          <w:highlight w:val="none"/>
        </w:rPr>
      </w:pPr>
      <w:r>
        <w:rPr>
          <w:rFonts w:hint="eastAsia"/>
          <w:color w:val="auto"/>
          <w:highlight w:val="none"/>
        </w:rPr>
        <w:t xml:space="preserve">  </w:t>
      </w:r>
      <w:r>
        <w:rPr>
          <w:rFonts w:hint="eastAsia" w:ascii="宋体" w:hAnsi="宋体" w:cs="宋体"/>
          <w:color w:val="auto"/>
          <w:sz w:val="24"/>
          <w:highlight w:val="none"/>
        </w:rPr>
        <w:t xml:space="preserve">  3、技术条款包括但不限于附件</w:t>
      </w:r>
      <w:r>
        <w:rPr>
          <w:rFonts w:hint="eastAsia" w:ascii="宋体" w:hAnsi="宋体" w:cs="宋体"/>
          <w:color w:val="auto"/>
          <w:sz w:val="24"/>
          <w:highlight w:val="none"/>
          <w:lang w:val="en-US" w:eastAsia="zh-CN"/>
        </w:rPr>
        <w:t>六</w:t>
      </w:r>
      <w:r>
        <w:rPr>
          <w:rFonts w:hint="eastAsia" w:ascii="宋体" w:hAnsi="宋体" w:cs="宋体"/>
          <w:color w:val="auto"/>
          <w:sz w:val="24"/>
          <w:highlight w:val="none"/>
        </w:rPr>
        <w:t>《技术</w:t>
      </w:r>
      <w:r>
        <w:rPr>
          <w:rFonts w:hint="eastAsia" w:ascii="宋体" w:hAnsi="宋体" w:cs="宋体"/>
          <w:color w:val="auto"/>
          <w:sz w:val="24"/>
          <w:highlight w:val="none"/>
          <w:lang w:val="en-US" w:eastAsia="zh-CN"/>
        </w:rPr>
        <w:t>要求</w:t>
      </w:r>
      <w:r>
        <w:rPr>
          <w:rFonts w:hint="eastAsia" w:ascii="宋体" w:hAnsi="宋体" w:cs="宋体"/>
          <w:color w:val="auto"/>
          <w:sz w:val="24"/>
          <w:highlight w:val="none"/>
        </w:rPr>
        <w:t>》中的各项技术要求。</w:t>
      </w:r>
    </w:p>
    <w:p w14:paraId="5282A94F">
      <w:pPr>
        <w:spacing w:line="360" w:lineRule="exact"/>
        <w:ind w:firstLine="480" w:firstLineChars="200"/>
        <w:jc w:val="left"/>
        <w:rPr>
          <w:rFonts w:ascii="宋体" w:hAnsi="宋体" w:cs="宋体"/>
          <w:color w:val="auto"/>
          <w:sz w:val="24"/>
          <w:highlight w:val="none"/>
        </w:rPr>
      </w:pPr>
    </w:p>
    <w:p w14:paraId="4088BD96">
      <w:pPr>
        <w:spacing w:line="360" w:lineRule="exact"/>
        <w:ind w:firstLine="480" w:firstLineChars="200"/>
        <w:jc w:val="left"/>
        <w:rPr>
          <w:rFonts w:ascii="宋体" w:hAnsi="宋体" w:cs="宋体"/>
          <w:color w:val="auto"/>
          <w:sz w:val="24"/>
          <w:highlight w:val="none"/>
        </w:rPr>
      </w:pPr>
    </w:p>
    <w:p w14:paraId="05FAF39F">
      <w:pPr>
        <w:spacing w:line="360" w:lineRule="exact"/>
        <w:ind w:firstLine="480" w:firstLineChars="200"/>
        <w:jc w:val="left"/>
        <w:rPr>
          <w:rFonts w:ascii="宋体" w:hAnsi="宋体" w:cs="宋体"/>
          <w:color w:val="auto"/>
          <w:sz w:val="24"/>
          <w:highlight w:val="none"/>
        </w:rPr>
      </w:pPr>
    </w:p>
    <w:p w14:paraId="08E8482E">
      <w:pPr>
        <w:pStyle w:val="10"/>
        <w:spacing w:after="0" w:line="360" w:lineRule="exact"/>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响应人名称（加盖公章）：</w:t>
      </w:r>
    </w:p>
    <w:p w14:paraId="08842B17">
      <w:pPr>
        <w:pStyle w:val="10"/>
        <w:spacing w:after="0" w:line="360" w:lineRule="exact"/>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响应人法定代表人或受委托人（签名或盖私章）：</w:t>
      </w:r>
    </w:p>
    <w:p w14:paraId="3D715452">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日      期：</w:t>
      </w:r>
    </w:p>
    <w:p w14:paraId="744D2388">
      <w:pPr>
        <w:pStyle w:val="22"/>
        <w:ind w:left="0" w:leftChars="0" w:firstLine="0" w:firstLineChars="0"/>
        <w:rPr>
          <w:rFonts w:hint="eastAsia" w:eastAsia="仿宋_GB2312"/>
          <w:color w:val="auto"/>
          <w:sz w:val="32"/>
          <w:szCs w:val="32"/>
          <w:highlight w:val="none"/>
          <w:lang w:eastAsia="zh-CN"/>
        </w:rPr>
      </w:pPr>
    </w:p>
    <w:p w14:paraId="47CAED44">
      <w:pPr>
        <w:widowControl/>
        <w:jc w:val="left"/>
        <w:rPr>
          <w:rFonts w:eastAsia="黑体"/>
          <w:color w:val="auto"/>
          <w:sz w:val="28"/>
          <w:szCs w:val="44"/>
          <w:highlight w:val="none"/>
        </w:rPr>
      </w:pPr>
    </w:p>
    <w:p w14:paraId="5C1A3C07">
      <w:pPr>
        <w:pStyle w:val="46"/>
        <w:ind w:firstLine="0" w:firstLineChars="0"/>
        <w:jc w:val="left"/>
        <w:outlineLvl w:val="1"/>
        <w:rPr>
          <w:rFonts w:hint="eastAsia" w:eastAsia="黑体"/>
          <w:color w:val="auto"/>
          <w:sz w:val="28"/>
          <w:szCs w:val="44"/>
          <w:highlight w:val="none"/>
          <w:lang w:eastAsia="zh-CN"/>
        </w:rPr>
      </w:pPr>
      <w:r>
        <w:rPr>
          <w:rFonts w:hint="eastAsia" w:eastAsia="黑体"/>
          <w:color w:val="auto"/>
          <w:sz w:val="28"/>
          <w:szCs w:val="44"/>
          <w:highlight w:val="none"/>
        </w:rPr>
        <w:t>附件</w:t>
      </w:r>
      <w:r>
        <w:rPr>
          <w:rFonts w:hint="eastAsia" w:eastAsia="黑体"/>
          <w:color w:val="auto"/>
          <w:sz w:val="28"/>
          <w:szCs w:val="44"/>
          <w:highlight w:val="none"/>
          <w:lang w:val="en-US" w:eastAsia="zh-CN"/>
        </w:rPr>
        <w:t>十二</w:t>
      </w:r>
      <w:r>
        <w:rPr>
          <w:rFonts w:hint="eastAsia" w:eastAsia="黑体"/>
          <w:color w:val="auto"/>
          <w:sz w:val="28"/>
          <w:szCs w:val="44"/>
          <w:highlight w:val="none"/>
        </w:rPr>
        <w:t xml:space="preserve"> 投标人未到场声明</w:t>
      </w:r>
      <w:r>
        <w:rPr>
          <w:rFonts w:hint="eastAsia" w:eastAsia="黑体"/>
          <w:color w:val="auto"/>
          <w:sz w:val="28"/>
          <w:szCs w:val="44"/>
          <w:highlight w:val="none"/>
          <w:lang w:eastAsia="zh-CN"/>
        </w:rPr>
        <w:t>（</w:t>
      </w:r>
      <w:r>
        <w:rPr>
          <w:rFonts w:hint="eastAsia" w:eastAsia="黑体"/>
          <w:color w:val="auto"/>
          <w:sz w:val="28"/>
          <w:szCs w:val="44"/>
          <w:highlight w:val="none"/>
          <w:lang w:val="en-US" w:eastAsia="zh-CN"/>
        </w:rPr>
        <w:t>由寄送报价文件方式的响应人填写提交</w:t>
      </w:r>
      <w:r>
        <w:rPr>
          <w:rFonts w:hint="eastAsia" w:eastAsia="黑体"/>
          <w:color w:val="auto"/>
          <w:sz w:val="28"/>
          <w:szCs w:val="44"/>
          <w:highlight w:val="none"/>
          <w:lang w:eastAsia="zh-CN"/>
        </w:rPr>
        <w:t>）</w:t>
      </w:r>
    </w:p>
    <w:p w14:paraId="27C8EF90">
      <w:pPr>
        <w:rPr>
          <w:rFonts w:eastAsia="仿宋_GB2312"/>
          <w:color w:val="auto"/>
          <w:sz w:val="32"/>
          <w:szCs w:val="32"/>
          <w:highlight w:val="none"/>
        </w:rPr>
      </w:pPr>
      <w:r>
        <w:rPr>
          <w:rFonts w:hint="eastAsia" w:eastAsia="仿宋_GB2312"/>
          <w:color w:val="auto"/>
          <w:sz w:val="32"/>
          <w:szCs w:val="32"/>
          <w:highlight w:val="none"/>
          <w:u w:val="none"/>
          <w:lang w:val="en-US" w:eastAsia="zh-CN"/>
        </w:rPr>
        <w:t>阳江开能环保能源</w:t>
      </w:r>
      <w:r>
        <w:rPr>
          <w:rFonts w:hint="eastAsia" w:eastAsia="仿宋_GB2312"/>
          <w:color w:val="auto"/>
          <w:sz w:val="32"/>
          <w:szCs w:val="32"/>
          <w:highlight w:val="none"/>
          <w:u w:val="none"/>
        </w:rPr>
        <w:t>有限公司</w:t>
      </w:r>
      <w:r>
        <w:rPr>
          <w:rFonts w:hint="eastAsia" w:eastAsia="仿宋_GB2312"/>
          <w:color w:val="auto"/>
          <w:sz w:val="32"/>
          <w:szCs w:val="32"/>
          <w:highlight w:val="none"/>
        </w:rPr>
        <w:t>：</w:t>
      </w:r>
    </w:p>
    <w:p w14:paraId="7E8F97A2">
      <w:pPr>
        <w:pStyle w:val="45"/>
        <w:ind w:firstLine="659"/>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rFonts w:hint="eastAsia" w:ascii="Times New Roman" w:hAnsi="Times New Roman"/>
          <w:color w:val="auto"/>
          <w:sz w:val="32"/>
          <w:szCs w:val="32"/>
          <w:highlight w:val="none"/>
          <w:u w:val="single"/>
        </w:rPr>
        <w:t>阳江开能环保能源有限公司2025年度安全隐患整改项目-防腐刷漆及保温工程</w:t>
      </w:r>
      <w:r>
        <w:rPr>
          <w:rFonts w:hint="eastAsia" w:ascii="Times New Roman" w:hAnsi="Times New Roman"/>
          <w:color w:val="auto"/>
          <w:sz w:val="32"/>
          <w:szCs w:val="32"/>
          <w:highlight w:val="none"/>
          <w:u w:val="single"/>
          <w:lang w:eastAsia="zh-CN"/>
        </w:rPr>
        <w:t>（</w:t>
      </w:r>
      <w:r>
        <w:rPr>
          <w:rFonts w:hint="eastAsia" w:ascii="Times New Roman" w:hAnsi="Times New Roman"/>
          <w:color w:val="auto"/>
          <w:sz w:val="32"/>
          <w:szCs w:val="32"/>
          <w:highlight w:val="none"/>
          <w:u w:val="single"/>
          <w:lang w:val="en-US" w:eastAsia="zh-CN"/>
        </w:rPr>
        <w:t>重新采购</w:t>
      </w:r>
      <w:r>
        <w:rPr>
          <w:rFonts w:hint="eastAsia" w:ascii="Times New Roman" w:hAnsi="Times New Roman"/>
          <w:color w:val="auto"/>
          <w:sz w:val="32"/>
          <w:szCs w:val="32"/>
          <w:highlight w:val="none"/>
          <w:u w:val="single"/>
          <w:lang w:eastAsia="zh-CN"/>
        </w:rPr>
        <w:t>）</w:t>
      </w:r>
      <w:r>
        <w:rPr>
          <w:rFonts w:hint="eastAsia" w:ascii="Times New Roman" w:hAnsi="Times New Roman"/>
          <w:color w:val="auto"/>
          <w:sz w:val="32"/>
          <w:szCs w:val="32"/>
          <w:highlight w:val="none"/>
        </w:rPr>
        <w:t>，作出郑重说明：</w:t>
      </w:r>
    </w:p>
    <w:p w14:paraId="39FB9882">
      <w:pPr>
        <w:pStyle w:val="45"/>
        <w:ind w:firstLine="659"/>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我司保证投标资格审查材料及其后提供的一切材料都是真实的；</w:t>
      </w:r>
    </w:p>
    <w:p w14:paraId="6C19CCED">
      <w:pPr>
        <w:pStyle w:val="45"/>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我司承诺未能参加开标工作皆我司原因导致，我司对开标结果不存在任何异议。</w:t>
      </w:r>
    </w:p>
    <w:p w14:paraId="4F3FE707">
      <w:pPr>
        <w:pStyle w:val="45"/>
        <w:ind w:firstLine="0" w:firstLineChars="0"/>
        <w:jc w:val="left"/>
        <w:rPr>
          <w:rFonts w:ascii="Times New Roman" w:hAnsi="Times New Roman"/>
          <w:color w:val="auto"/>
          <w:sz w:val="32"/>
          <w:szCs w:val="32"/>
          <w:highlight w:val="none"/>
        </w:rPr>
      </w:pPr>
    </w:p>
    <w:p w14:paraId="3C53998E">
      <w:pPr>
        <w:jc w:val="left"/>
        <w:rPr>
          <w:rFonts w:eastAsia="仿宋"/>
          <w:color w:val="auto"/>
          <w:sz w:val="32"/>
          <w:szCs w:val="32"/>
          <w:highlight w:val="none"/>
        </w:rPr>
      </w:pPr>
    </w:p>
    <w:p w14:paraId="1FBDC978">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响应人</w:t>
      </w:r>
      <w:r>
        <w:rPr>
          <w:rFonts w:hint="eastAsia" w:eastAsia="仿宋_GB2312"/>
          <w:color w:val="auto"/>
          <w:sz w:val="32"/>
          <w:szCs w:val="32"/>
          <w:highlight w:val="none"/>
        </w:rPr>
        <w:t>名称（加盖公章）：</w:t>
      </w:r>
    </w:p>
    <w:p w14:paraId="6EA69F70">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rPr>
        <w:t>法定代表人（签字或盖章）：</w:t>
      </w:r>
    </w:p>
    <w:p w14:paraId="7E018B2F">
      <w:pPr>
        <w:spacing w:line="360" w:lineRule="auto"/>
        <w:ind w:firstLine="640" w:firstLineChars="200"/>
        <w:rPr>
          <w:rFonts w:hint="eastAsia" w:eastAsia="仿宋_GB2312"/>
          <w:color w:val="auto"/>
          <w:sz w:val="32"/>
          <w:szCs w:val="32"/>
          <w:highlight w:val="none"/>
        </w:rPr>
      </w:pPr>
      <w:r>
        <w:rPr>
          <w:rFonts w:hint="eastAsia" w:eastAsia="仿宋_GB2312"/>
          <w:color w:val="auto"/>
          <w:sz w:val="32"/>
          <w:szCs w:val="32"/>
          <w:highlight w:val="none"/>
        </w:rPr>
        <w:t>日期：</w:t>
      </w:r>
    </w:p>
    <w:p w14:paraId="2CD17D08">
      <w:pPr>
        <w:pStyle w:val="22"/>
        <w:ind w:left="0" w:leftChars="0" w:firstLine="0" w:firstLineChars="0"/>
        <w:rPr>
          <w:rFonts w:hint="eastAsia" w:eastAsia="仿宋_GB2312"/>
          <w:color w:val="auto"/>
          <w:sz w:val="32"/>
          <w:szCs w:val="32"/>
          <w:highlight w:val="none"/>
          <w:lang w:eastAsia="zh-CN"/>
        </w:rPr>
      </w:pPr>
    </w:p>
    <w:p w14:paraId="4158FB92">
      <w:pPr>
        <w:pStyle w:val="22"/>
        <w:ind w:left="0" w:leftChars="0" w:firstLine="0" w:firstLineChars="0"/>
        <w:rPr>
          <w:rFonts w:hint="eastAsia" w:eastAsia="仿宋_GB2312"/>
          <w:color w:val="auto"/>
          <w:sz w:val="32"/>
          <w:szCs w:val="32"/>
          <w:highlight w:val="none"/>
          <w:lang w:eastAsia="zh-CN"/>
        </w:rPr>
      </w:pPr>
    </w:p>
    <w:p w14:paraId="790E0A94">
      <w:pPr>
        <w:pStyle w:val="22"/>
        <w:ind w:left="0" w:leftChars="0" w:firstLine="0" w:firstLineChars="0"/>
        <w:rPr>
          <w:rFonts w:hint="eastAsia" w:eastAsia="仿宋_GB2312"/>
          <w:color w:val="auto"/>
          <w:sz w:val="32"/>
          <w:szCs w:val="32"/>
          <w:highlight w:val="none"/>
          <w:lang w:eastAsia="zh-CN"/>
        </w:rPr>
      </w:pPr>
    </w:p>
    <w:p w14:paraId="5DCAA2EC">
      <w:pPr>
        <w:pStyle w:val="46"/>
        <w:ind w:firstLine="0" w:firstLineChars="0"/>
        <w:jc w:val="left"/>
        <w:outlineLvl w:val="1"/>
        <w:rPr>
          <w:rFonts w:hint="eastAsia" w:eastAsia="黑体"/>
          <w:color w:val="auto"/>
          <w:sz w:val="28"/>
          <w:szCs w:val="44"/>
          <w:highlight w:val="none"/>
          <w:lang w:eastAsia="zh-CN"/>
        </w:rPr>
      </w:pPr>
      <w:r>
        <w:rPr>
          <w:rFonts w:hint="eastAsia" w:eastAsia="黑体"/>
          <w:color w:val="auto"/>
          <w:sz w:val="28"/>
          <w:szCs w:val="44"/>
          <w:highlight w:val="none"/>
        </w:rPr>
        <w:t>附件</w:t>
      </w:r>
      <w:r>
        <w:rPr>
          <w:rFonts w:hint="eastAsia" w:eastAsia="黑体"/>
          <w:color w:val="auto"/>
          <w:sz w:val="28"/>
          <w:szCs w:val="44"/>
          <w:highlight w:val="none"/>
          <w:lang w:val="en-US" w:eastAsia="zh-CN"/>
        </w:rPr>
        <w:t>十三</w:t>
      </w:r>
      <w:r>
        <w:rPr>
          <w:rFonts w:hint="eastAsia" w:eastAsia="黑体"/>
          <w:color w:val="auto"/>
          <w:sz w:val="28"/>
          <w:szCs w:val="44"/>
          <w:highlight w:val="none"/>
        </w:rPr>
        <w:t xml:space="preserve"> </w:t>
      </w:r>
      <w:r>
        <w:rPr>
          <w:rFonts w:hint="eastAsia" w:eastAsia="黑体"/>
          <w:color w:val="auto"/>
          <w:sz w:val="28"/>
          <w:szCs w:val="44"/>
          <w:highlight w:val="none"/>
          <w:lang w:val="en-US" w:eastAsia="zh-CN"/>
        </w:rPr>
        <w:t>响应人参与现场踏勘确认函回执</w:t>
      </w:r>
      <w:r>
        <w:rPr>
          <w:rFonts w:hint="eastAsia" w:eastAsia="黑体"/>
          <w:color w:val="auto"/>
          <w:sz w:val="28"/>
          <w:szCs w:val="44"/>
          <w:highlight w:val="none"/>
          <w:lang w:eastAsia="zh-CN"/>
        </w:rPr>
        <w:t>（</w:t>
      </w:r>
      <w:r>
        <w:rPr>
          <w:rFonts w:hint="eastAsia" w:eastAsia="黑体"/>
          <w:color w:val="auto"/>
          <w:sz w:val="28"/>
          <w:szCs w:val="44"/>
          <w:highlight w:val="none"/>
          <w:lang w:val="en-US" w:eastAsia="zh-CN"/>
        </w:rPr>
        <w:t>另附</w:t>
      </w:r>
      <w:r>
        <w:rPr>
          <w:rFonts w:hint="eastAsia" w:eastAsia="黑体"/>
          <w:color w:val="auto"/>
          <w:sz w:val="28"/>
          <w:szCs w:val="44"/>
          <w:highlight w:val="none"/>
          <w:lang w:eastAsia="zh-CN"/>
        </w:rPr>
        <w:t>）</w:t>
      </w:r>
    </w:p>
    <w:p w14:paraId="227BFF00">
      <w:pPr>
        <w:pStyle w:val="22"/>
        <w:ind w:left="0" w:leftChars="0" w:firstLine="0" w:firstLineChars="0"/>
        <w:rPr>
          <w:rFonts w:hint="eastAsia" w:eastAsia="黑体"/>
          <w:color w:val="auto"/>
          <w:sz w:val="28"/>
          <w:szCs w:val="44"/>
          <w:highlight w:val="none"/>
          <w:lang w:val="en-US" w:eastAsia="zh-CN"/>
        </w:rPr>
      </w:pPr>
      <w:r>
        <w:rPr>
          <w:rFonts w:hint="eastAsia" w:eastAsia="黑体"/>
          <w:color w:val="auto"/>
          <w:sz w:val="28"/>
          <w:szCs w:val="44"/>
          <w:highlight w:val="none"/>
        </w:rPr>
        <w:t>附件</w:t>
      </w:r>
      <w:r>
        <w:rPr>
          <w:rFonts w:hint="eastAsia" w:eastAsia="黑体"/>
          <w:color w:val="auto"/>
          <w:sz w:val="28"/>
          <w:szCs w:val="44"/>
          <w:highlight w:val="none"/>
          <w:lang w:val="en-US" w:eastAsia="zh-CN"/>
        </w:rPr>
        <w:t>十四</w:t>
      </w:r>
      <w:r>
        <w:rPr>
          <w:rFonts w:hint="eastAsia" w:eastAsia="黑体"/>
          <w:color w:val="auto"/>
          <w:sz w:val="28"/>
          <w:szCs w:val="44"/>
          <w:highlight w:val="none"/>
        </w:rPr>
        <w:t xml:space="preserve"> </w:t>
      </w:r>
      <w:r>
        <w:rPr>
          <w:rFonts w:hint="eastAsia" w:eastAsia="黑体"/>
          <w:color w:val="auto"/>
          <w:sz w:val="28"/>
          <w:szCs w:val="44"/>
          <w:highlight w:val="none"/>
          <w:lang w:val="en-US" w:eastAsia="zh-CN"/>
        </w:rPr>
        <w:t>技术方案（响应人可根据附件六技术规范书修改补充）</w:t>
      </w:r>
    </w:p>
    <w:p w14:paraId="29114E33">
      <w:pPr>
        <w:pStyle w:val="22"/>
        <w:ind w:left="0" w:leftChars="0" w:firstLine="0" w:firstLineChars="0"/>
        <w:rPr>
          <w:rFonts w:hint="default" w:eastAsia="仿宋_GB2312"/>
          <w:color w:val="auto"/>
          <w:sz w:val="32"/>
          <w:szCs w:val="32"/>
          <w:highlight w:val="none"/>
          <w:lang w:val="en-US" w:eastAsia="zh-CN"/>
        </w:rPr>
      </w:pPr>
    </w:p>
    <w:bookmarkEnd w:id="39"/>
    <w:sectPr>
      <w:headerReference r:id="rId11" w:type="default"/>
      <w:footerReference r:id="rId12" w:type="default"/>
      <w:pgSz w:w="11907" w:h="16840"/>
      <w:pgMar w:top="1531" w:right="1588" w:bottom="1418" w:left="1418" w:header="851" w:footer="1191" w:gutter="0"/>
      <w:pgNumType w:fmt="decimal"/>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0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A7046A">
    <w:pPr>
      <w:pStyle w:val="16"/>
    </w:pPr>
    <w:r>
      <w:rPr>
        <w:sz w:val="18"/>
      </w:rPr>
      <w:pict>
        <v:shape id="_x0000_s3101" o:spid="_x0000_s3101"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14:paraId="63AFB677">
                <w:pPr>
                  <w:pStyle w:val="1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32715F">
    <w:pPr>
      <w:pStyle w:val="16"/>
    </w:pPr>
    <w:r>
      <w:rPr>
        <w:sz w:val="18"/>
      </w:rPr>
      <w:pict>
        <v:shape id="_x0000_s3102" o:spid="_x0000_s3102"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14:paraId="426F2625">
                <w:pPr>
                  <w:pStyle w:val="1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CDF41">
    <w:pPr>
      <w:pStyle w:val="16"/>
      <w:jc w:val="both"/>
    </w:pPr>
    <w:r>
      <w:rPr>
        <w:sz w:val="18"/>
      </w:rPr>
      <w:pict>
        <v:shape id="_x0000_s3103" o:spid="_x0000_s3103"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14:paraId="490A217F">
                <w:pPr>
                  <w:pStyle w:val="16"/>
                </w:pPr>
                <w:r>
                  <w:t xml:space="preserve">第 </w:t>
                </w:r>
                <w:r>
                  <w:fldChar w:fldCharType="begin"/>
                </w:r>
                <w:r>
                  <w:instrText xml:space="preserve"> PAGE  \* MERGEFORMAT </w:instrText>
                </w:r>
                <w:r>
                  <w:fldChar w:fldCharType="separate"/>
                </w:r>
                <w:r>
                  <w:t>21</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w:r>
    <w:r>
      <w:pict>
        <v:shape id="文本框 7" o:spid="_x0000_s3093"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&#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EAMx4DUAAAAAwEAAA8AAAAAAAAAAQAgAAAAIgAAAGRy&#10;cy9kb3ducmV2LnhtbFBLAQIUABQAAAAIAIdO4kDRBflh0AEAAJUDAAAOAAAAAAAAAAEAIAAAACMB&#10;AABkcnMvZTJvRG9jLnhtbFBLBQYAAAAABgAGAFkBAABlBQAAAAA=&#10;">
          <v:path/>
          <v:fill on="f" focussize="0,0"/>
          <v:stroke on="f" weight="1.25pt"/>
          <v:imagedata o:title=""/>
          <o:lock v:ext="edit" aspectratio="f"/>
          <v:textbox inset="0mm,0mm,0mm,0mm" style="mso-fit-shape-to-text:t;">
            <w:txbxContent>
              <w:p w14:paraId="48B17877">
                <w:pPr>
                  <w:pStyle w:val="16"/>
                </w:pP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01EE03">
    <w:pPr>
      <w:pStyle w:val="16"/>
      <w:jc w:val="both"/>
    </w:pPr>
    <w:r>
      <w:rPr>
        <w:sz w:val="18"/>
      </w:rPr>
      <w:pict>
        <v:shape id="_x0000_s3104" o:spid="_x0000_s3104"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14:paraId="2ACD01F4">
                <w:pPr>
                  <w:pStyle w:val="16"/>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w:r>
    <w:r>
      <w:pict>
        <v:shape id="_x0000_s3095" o:spid="_x0000_s3095"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&#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EAMx4DUAAAAAwEAAA8AAAAAAAAAAQAgAAAAIgAAAGRy&#10;cy9kb3ducmV2LnhtbFBLAQIUABQAAAAIAIdO4kDPH+xt0AEAAJUDAAAOAAAAAAAAAAEAIAAAACMB&#10;AABkcnMvZTJvRG9jLnhtbFBLBQYAAAAABgAGAFkBAABlBQAAAAA=&#10;">
          <v:path/>
          <v:fill on="f" focussize="0,0"/>
          <v:stroke on="f" weight="1.25pt"/>
          <v:imagedata o:title=""/>
          <o:lock v:ext="edit" aspectratio="f"/>
          <v:textbox inset="0mm,0mm,0mm,0mm" style="mso-fit-shape-to-text:t;">
            <w:txbxContent>
              <w:p w14:paraId="7B08C81F">
                <w:pPr>
                  <w:pStyle w:val="16"/>
                </w:pP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EE9EC9">
    <w:pPr>
      <w:pStyle w:val="16"/>
      <w:jc w:val="both"/>
    </w:pPr>
    <w:r>
      <w:rPr>
        <w:sz w:val="18"/>
      </w:rPr>
      <w:pict>
        <v:shape id="_x0000_s3105" o:spid="_x0000_s3105"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14:paraId="4F70C3F5">
                <w:pPr>
                  <w:pStyle w:val="16"/>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w:r>
    <w:r>
      <w:pict>
        <v:shape id="文本框 6" o:spid="_x0000_s3075"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Ghp&#10;gkvTAAAABQEAAA8AAAAAAAAAAQAgAAAAIgAAAGRycy9kb3ducmV2LnhtbFBLAQIUABQAAAAIAIdO&#10;4kBTq7yXtgEAAFUDAAAOAAAAAAAAAAEAIAAAACIBAABkcnMvZTJvRG9jLnhtbFBLBQYAAAAABgAG&#10;AFkBAABKBQAAAAA=&#10;">
          <v:path/>
          <v:fill on="f" focussize="0,0"/>
          <v:stroke on="f" weight="1.25pt" joinstyle="miter"/>
          <v:imagedata o:title=""/>
          <o:lock v:ext="edit"/>
          <v:textbox inset="0mm,0mm,0mm,0mm" style="mso-fit-shape-to-text:t;">
            <w:txbxContent>
              <w:p w14:paraId="32A2D46D">
                <w:pPr>
                  <w:pStyle w:val="16"/>
                </w:pP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D4475F">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B944C6">
    <w:pPr>
      <w:pStyle w:val="1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778B4F"/>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66F3B2"/>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300AD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301254"/>
    <w:multiLevelType w:val="singleLevel"/>
    <w:tmpl w:val="D0301254"/>
    <w:lvl w:ilvl="0" w:tentative="0">
      <w:start w:val="10"/>
      <w:numFmt w:val="chineseCounting"/>
      <w:suff w:val="space"/>
      <w:lvlText w:val="第%1条"/>
      <w:lvlJc w:val="left"/>
      <w:rPr>
        <w:rFonts w:hint="eastAsia"/>
      </w:rPr>
    </w:lvl>
  </w:abstractNum>
  <w:abstractNum w:abstractNumId="1">
    <w:nsid w:val="02BA4E6F"/>
    <w:multiLevelType w:val="multilevel"/>
    <w:tmpl w:val="02BA4E6F"/>
    <w:lvl w:ilvl="0" w:tentative="0">
      <w:start w:val="1"/>
      <w:numFmt w:val="bullet"/>
      <w:pStyle w:val="63"/>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0A57500B"/>
    <w:multiLevelType w:val="multilevel"/>
    <w:tmpl w:val="0A57500B"/>
    <w:lvl w:ilvl="0" w:tentative="0">
      <w:start w:val="1"/>
      <w:numFmt w:val="japaneseCounting"/>
      <w:lvlText w:val="%1、"/>
      <w:lvlJc w:val="left"/>
      <w:pPr>
        <w:ind w:left="1110" w:hanging="51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3">
    <w:nsid w:val="15CF5E91"/>
    <w:multiLevelType w:val="multilevel"/>
    <w:tmpl w:val="15CF5E91"/>
    <w:lvl w:ilvl="0" w:tentative="0">
      <w:start w:val="1"/>
      <w:numFmt w:val="decimal"/>
      <w:lvlText w:val="%1."/>
      <w:lvlJc w:val="left"/>
      <w:pPr>
        <w:tabs>
          <w:tab w:val="left" w:pos="342"/>
        </w:tabs>
        <w:ind w:left="360" w:hanging="36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4">
    <w:nsid w:val="51401140"/>
    <w:multiLevelType w:val="singleLevel"/>
    <w:tmpl w:val="51401140"/>
    <w:lvl w:ilvl="0" w:tentative="0">
      <w:start w:val="2"/>
      <w:numFmt w:val="decimal"/>
      <w:suff w:val="nothing"/>
      <w:lvlText w:val="%1、"/>
      <w:lvlJc w:val="left"/>
    </w:lvl>
  </w:abstractNum>
  <w:abstractNum w:abstractNumId="5">
    <w:nsid w:val="6099A159"/>
    <w:multiLevelType w:val="singleLevel"/>
    <w:tmpl w:val="6099A159"/>
    <w:lvl w:ilvl="0" w:tentative="0">
      <w:start w:val="1"/>
      <w:numFmt w:val="decimal"/>
      <w:suff w:val="nothing"/>
      <w:lvlText w:val="%1、"/>
      <w:lvlJc w:val="left"/>
      <w:rPr>
        <w:rFonts w:cs="Times New Roman"/>
      </w:rPr>
    </w:lvl>
  </w:abstractNum>
  <w:abstractNum w:abstractNumId="6">
    <w:nsid w:val="6234F0B4"/>
    <w:multiLevelType w:val="singleLevel"/>
    <w:tmpl w:val="6234F0B4"/>
    <w:lvl w:ilvl="0" w:tentative="0">
      <w:start w:val="1"/>
      <w:numFmt w:val="chineseCounting"/>
      <w:suff w:val="nothing"/>
      <w:lvlText w:val="%1、"/>
      <w:lvlJc w:val="left"/>
      <w:pPr>
        <w:ind w:left="-562"/>
      </w:pPr>
      <w:rPr>
        <w:rFonts w:hint="eastAsia"/>
      </w:rPr>
    </w:lvl>
  </w:abstractNum>
  <w:abstractNum w:abstractNumId="7">
    <w:nsid w:val="68B40337"/>
    <w:multiLevelType w:val="multilevel"/>
    <w:tmpl w:val="68B40337"/>
    <w:lvl w:ilvl="0" w:tentative="0">
      <w:start w:val="1"/>
      <w:numFmt w:val="japaneseCounting"/>
      <w:pStyle w:val="54"/>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7"/>
  </w:num>
  <w:num w:numId="2">
    <w:abstractNumId w:val="1"/>
  </w:num>
  <w:num w:numId="3">
    <w:abstractNumId w:val="5"/>
  </w:num>
  <w:num w:numId="4">
    <w:abstractNumId w:val="6"/>
  </w:num>
  <w:num w:numId="5">
    <w:abstractNumId w:val="4"/>
  </w:num>
  <w:num w:numId="6">
    <w:abstractNumId w:val="0"/>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NotTrackMoves/>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NiNTM0Mjk3Nzk4YWY0OGVhMjUyNDM2Y2U4ZDA1ZTY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2BFF"/>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179C9"/>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00C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76DDF"/>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28F0228"/>
    <w:rsid w:val="035D4211"/>
    <w:rsid w:val="037D5EE3"/>
    <w:rsid w:val="03C74626"/>
    <w:rsid w:val="03F71CE1"/>
    <w:rsid w:val="04CF6E29"/>
    <w:rsid w:val="05111DAD"/>
    <w:rsid w:val="059366CF"/>
    <w:rsid w:val="05CF1804"/>
    <w:rsid w:val="05D00163"/>
    <w:rsid w:val="064275A1"/>
    <w:rsid w:val="06F15928"/>
    <w:rsid w:val="077C34B8"/>
    <w:rsid w:val="07A209C4"/>
    <w:rsid w:val="080D26DA"/>
    <w:rsid w:val="08284245"/>
    <w:rsid w:val="0849693B"/>
    <w:rsid w:val="086F1260"/>
    <w:rsid w:val="0880226D"/>
    <w:rsid w:val="089F2BDE"/>
    <w:rsid w:val="08BB2505"/>
    <w:rsid w:val="094B07E2"/>
    <w:rsid w:val="0977637F"/>
    <w:rsid w:val="099A07E1"/>
    <w:rsid w:val="0A9B4FED"/>
    <w:rsid w:val="0B0C0A79"/>
    <w:rsid w:val="0B451F6A"/>
    <w:rsid w:val="0BA14D3A"/>
    <w:rsid w:val="0BE211F8"/>
    <w:rsid w:val="0C6F4C8D"/>
    <w:rsid w:val="0CAD4E3A"/>
    <w:rsid w:val="0D0E0EB6"/>
    <w:rsid w:val="0D66641E"/>
    <w:rsid w:val="0D6E66F6"/>
    <w:rsid w:val="0D706506"/>
    <w:rsid w:val="0DE142CB"/>
    <w:rsid w:val="0ED809FB"/>
    <w:rsid w:val="0FDC1CDC"/>
    <w:rsid w:val="10223C48"/>
    <w:rsid w:val="11081C47"/>
    <w:rsid w:val="11270265"/>
    <w:rsid w:val="11A37455"/>
    <w:rsid w:val="11A97DFC"/>
    <w:rsid w:val="12475EA9"/>
    <w:rsid w:val="12AB72D9"/>
    <w:rsid w:val="12D1126D"/>
    <w:rsid w:val="133360BD"/>
    <w:rsid w:val="137F7471"/>
    <w:rsid w:val="140D454B"/>
    <w:rsid w:val="146C01BD"/>
    <w:rsid w:val="146E4633"/>
    <w:rsid w:val="150412EA"/>
    <w:rsid w:val="171438BA"/>
    <w:rsid w:val="17230955"/>
    <w:rsid w:val="172309AA"/>
    <w:rsid w:val="17963704"/>
    <w:rsid w:val="180F5427"/>
    <w:rsid w:val="182770BA"/>
    <w:rsid w:val="187E2975"/>
    <w:rsid w:val="18863017"/>
    <w:rsid w:val="18AC6D73"/>
    <w:rsid w:val="18FA1F87"/>
    <w:rsid w:val="19FD7566"/>
    <w:rsid w:val="1B1F4E7E"/>
    <w:rsid w:val="1B4716B4"/>
    <w:rsid w:val="1BEE7E74"/>
    <w:rsid w:val="1C08419D"/>
    <w:rsid w:val="1C5525C2"/>
    <w:rsid w:val="1CA84DEB"/>
    <w:rsid w:val="1D4D5FFD"/>
    <w:rsid w:val="1D9D7174"/>
    <w:rsid w:val="1EA44627"/>
    <w:rsid w:val="1EB43554"/>
    <w:rsid w:val="1F2025F2"/>
    <w:rsid w:val="1F7A0970"/>
    <w:rsid w:val="209E2C67"/>
    <w:rsid w:val="21581D11"/>
    <w:rsid w:val="216F32CA"/>
    <w:rsid w:val="21E003FB"/>
    <w:rsid w:val="22124112"/>
    <w:rsid w:val="225C19C8"/>
    <w:rsid w:val="22B71BD3"/>
    <w:rsid w:val="23561394"/>
    <w:rsid w:val="23643F6C"/>
    <w:rsid w:val="23C13390"/>
    <w:rsid w:val="23C81EED"/>
    <w:rsid w:val="23F57352"/>
    <w:rsid w:val="247160ED"/>
    <w:rsid w:val="249A7996"/>
    <w:rsid w:val="25926017"/>
    <w:rsid w:val="260075B8"/>
    <w:rsid w:val="261C543B"/>
    <w:rsid w:val="267E2359"/>
    <w:rsid w:val="267E2989"/>
    <w:rsid w:val="26BC7CBC"/>
    <w:rsid w:val="26BD437F"/>
    <w:rsid w:val="273642EC"/>
    <w:rsid w:val="27447ED5"/>
    <w:rsid w:val="275F3A77"/>
    <w:rsid w:val="2846073B"/>
    <w:rsid w:val="284F0253"/>
    <w:rsid w:val="28644870"/>
    <w:rsid w:val="28941B11"/>
    <w:rsid w:val="28A55CF2"/>
    <w:rsid w:val="28C36138"/>
    <w:rsid w:val="28EC60C1"/>
    <w:rsid w:val="2A592CC5"/>
    <w:rsid w:val="2A891206"/>
    <w:rsid w:val="2AC5216B"/>
    <w:rsid w:val="2AE949DF"/>
    <w:rsid w:val="2B2C3F7A"/>
    <w:rsid w:val="2B3733B5"/>
    <w:rsid w:val="2B3B474B"/>
    <w:rsid w:val="2B8D044E"/>
    <w:rsid w:val="2B8E43CA"/>
    <w:rsid w:val="2C016BB8"/>
    <w:rsid w:val="2D206BBF"/>
    <w:rsid w:val="2D77461B"/>
    <w:rsid w:val="2E015014"/>
    <w:rsid w:val="2E1D1BA2"/>
    <w:rsid w:val="2E3138D0"/>
    <w:rsid w:val="2E400C5F"/>
    <w:rsid w:val="2E5209E3"/>
    <w:rsid w:val="2EB01AFE"/>
    <w:rsid w:val="2EF17081"/>
    <w:rsid w:val="2F02606D"/>
    <w:rsid w:val="2F3B3CD8"/>
    <w:rsid w:val="2F55162F"/>
    <w:rsid w:val="30592C7B"/>
    <w:rsid w:val="30D1119A"/>
    <w:rsid w:val="30F12F4C"/>
    <w:rsid w:val="3112402E"/>
    <w:rsid w:val="31333B5E"/>
    <w:rsid w:val="313D3E38"/>
    <w:rsid w:val="31DC2E33"/>
    <w:rsid w:val="32611BF0"/>
    <w:rsid w:val="333C39C6"/>
    <w:rsid w:val="333E3616"/>
    <w:rsid w:val="33A83294"/>
    <w:rsid w:val="34011E26"/>
    <w:rsid w:val="341B4D23"/>
    <w:rsid w:val="345C5D91"/>
    <w:rsid w:val="35613714"/>
    <w:rsid w:val="358C4411"/>
    <w:rsid w:val="364C7713"/>
    <w:rsid w:val="36A81FB2"/>
    <w:rsid w:val="36E721C0"/>
    <w:rsid w:val="3722158D"/>
    <w:rsid w:val="375E09FC"/>
    <w:rsid w:val="37AB582D"/>
    <w:rsid w:val="37CC339A"/>
    <w:rsid w:val="381955E1"/>
    <w:rsid w:val="38525FA9"/>
    <w:rsid w:val="38C51D5F"/>
    <w:rsid w:val="39003F1D"/>
    <w:rsid w:val="39276876"/>
    <w:rsid w:val="392B2930"/>
    <w:rsid w:val="3A565E2A"/>
    <w:rsid w:val="3A5E179F"/>
    <w:rsid w:val="3AB56764"/>
    <w:rsid w:val="3AC853CC"/>
    <w:rsid w:val="3B66136D"/>
    <w:rsid w:val="3C582CD8"/>
    <w:rsid w:val="3DAE32E2"/>
    <w:rsid w:val="3E094E14"/>
    <w:rsid w:val="3E2546CD"/>
    <w:rsid w:val="3E5874B7"/>
    <w:rsid w:val="3F3210F0"/>
    <w:rsid w:val="40531C58"/>
    <w:rsid w:val="405D53B5"/>
    <w:rsid w:val="41192D98"/>
    <w:rsid w:val="413E5CD9"/>
    <w:rsid w:val="42085E65"/>
    <w:rsid w:val="42C01F6C"/>
    <w:rsid w:val="43425F9D"/>
    <w:rsid w:val="435B7D84"/>
    <w:rsid w:val="437B3C1A"/>
    <w:rsid w:val="438D54CE"/>
    <w:rsid w:val="439C3AD9"/>
    <w:rsid w:val="43F465D0"/>
    <w:rsid w:val="442A053D"/>
    <w:rsid w:val="44433A7B"/>
    <w:rsid w:val="44440739"/>
    <w:rsid w:val="446F65B8"/>
    <w:rsid w:val="44F057A6"/>
    <w:rsid w:val="45923555"/>
    <w:rsid w:val="45A95346"/>
    <w:rsid w:val="45D415CE"/>
    <w:rsid w:val="46416F41"/>
    <w:rsid w:val="464E299D"/>
    <w:rsid w:val="467D6748"/>
    <w:rsid w:val="46C4203A"/>
    <w:rsid w:val="470E29AE"/>
    <w:rsid w:val="483D34CD"/>
    <w:rsid w:val="48BC411A"/>
    <w:rsid w:val="496C09B9"/>
    <w:rsid w:val="49CB0CCD"/>
    <w:rsid w:val="4AA610D6"/>
    <w:rsid w:val="4AD618B2"/>
    <w:rsid w:val="4B0C055A"/>
    <w:rsid w:val="4C1B7A56"/>
    <w:rsid w:val="4C500DB7"/>
    <w:rsid w:val="4C610D2E"/>
    <w:rsid w:val="4C8B4A7C"/>
    <w:rsid w:val="4CFC368B"/>
    <w:rsid w:val="4E7D412D"/>
    <w:rsid w:val="4EBE4481"/>
    <w:rsid w:val="4F086AAF"/>
    <w:rsid w:val="4F1A1E6B"/>
    <w:rsid w:val="5069668A"/>
    <w:rsid w:val="50A83CB2"/>
    <w:rsid w:val="51147285"/>
    <w:rsid w:val="512B42F2"/>
    <w:rsid w:val="512E1706"/>
    <w:rsid w:val="51737B4A"/>
    <w:rsid w:val="51AA58C4"/>
    <w:rsid w:val="51D650E9"/>
    <w:rsid w:val="524533A4"/>
    <w:rsid w:val="5247520B"/>
    <w:rsid w:val="538E5DEC"/>
    <w:rsid w:val="53B25217"/>
    <w:rsid w:val="55E27D0D"/>
    <w:rsid w:val="56D076DF"/>
    <w:rsid w:val="56E34736"/>
    <w:rsid w:val="56FB15A3"/>
    <w:rsid w:val="572C3C94"/>
    <w:rsid w:val="57783C19"/>
    <w:rsid w:val="57806BBC"/>
    <w:rsid w:val="57F736AC"/>
    <w:rsid w:val="58963DA7"/>
    <w:rsid w:val="592C3305"/>
    <w:rsid w:val="5A2C7551"/>
    <w:rsid w:val="5A400720"/>
    <w:rsid w:val="5B33669F"/>
    <w:rsid w:val="5B712B41"/>
    <w:rsid w:val="5BEE4A0F"/>
    <w:rsid w:val="5C072B21"/>
    <w:rsid w:val="5CF4139A"/>
    <w:rsid w:val="5D693C9C"/>
    <w:rsid w:val="5D9D7735"/>
    <w:rsid w:val="5DE973D6"/>
    <w:rsid w:val="5DFB4300"/>
    <w:rsid w:val="5E5E457D"/>
    <w:rsid w:val="5E8D2D21"/>
    <w:rsid w:val="5EBD1212"/>
    <w:rsid w:val="5EFB149B"/>
    <w:rsid w:val="5F1D6CF6"/>
    <w:rsid w:val="5F616FA8"/>
    <w:rsid w:val="5F77399B"/>
    <w:rsid w:val="5FAD0DCB"/>
    <w:rsid w:val="5FC603F6"/>
    <w:rsid w:val="5FFE4D34"/>
    <w:rsid w:val="60C82A21"/>
    <w:rsid w:val="61785A21"/>
    <w:rsid w:val="618B69CE"/>
    <w:rsid w:val="61EE5BEB"/>
    <w:rsid w:val="61F66A19"/>
    <w:rsid w:val="623F329A"/>
    <w:rsid w:val="62695E27"/>
    <w:rsid w:val="628242DE"/>
    <w:rsid w:val="62994563"/>
    <w:rsid w:val="62BE7007"/>
    <w:rsid w:val="636127C3"/>
    <w:rsid w:val="637528F4"/>
    <w:rsid w:val="6381342F"/>
    <w:rsid w:val="63A47130"/>
    <w:rsid w:val="63F80061"/>
    <w:rsid w:val="650B601A"/>
    <w:rsid w:val="6541100E"/>
    <w:rsid w:val="654C0BA8"/>
    <w:rsid w:val="6555769D"/>
    <w:rsid w:val="664352EB"/>
    <w:rsid w:val="672079BD"/>
    <w:rsid w:val="683E7EE4"/>
    <w:rsid w:val="68FF5564"/>
    <w:rsid w:val="69356912"/>
    <w:rsid w:val="696610E4"/>
    <w:rsid w:val="697C3181"/>
    <w:rsid w:val="6A3937F5"/>
    <w:rsid w:val="6A83721D"/>
    <w:rsid w:val="6AE21101"/>
    <w:rsid w:val="6B0A6DF0"/>
    <w:rsid w:val="6B0C558D"/>
    <w:rsid w:val="6B4F3B9E"/>
    <w:rsid w:val="6B5837D2"/>
    <w:rsid w:val="6B59484F"/>
    <w:rsid w:val="6BB70C20"/>
    <w:rsid w:val="6BD63153"/>
    <w:rsid w:val="6BFE0B4D"/>
    <w:rsid w:val="6C124214"/>
    <w:rsid w:val="6C5B55DC"/>
    <w:rsid w:val="6CA565D4"/>
    <w:rsid w:val="6CAE03DD"/>
    <w:rsid w:val="6CB81DD9"/>
    <w:rsid w:val="6CE56E6B"/>
    <w:rsid w:val="6D032DAA"/>
    <w:rsid w:val="6DB80F23"/>
    <w:rsid w:val="6E005A26"/>
    <w:rsid w:val="6E6329C5"/>
    <w:rsid w:val="6EFF345A"/>
    <w:rsid w:val="6F0E41D6"/>
    <w:rsid w:val="6F3B56A3"/>
    <w:rsid w:val="6F4F7C8F"/>
    <w:rsid w:val="6FB4540B"/>
    <w:rsid w:val="700F58FF"/>
    <w:rsid w:val="70C73255"/>
    <w:rsid w:val="71126C39"/>
    <w:rsid w:val="71453C3C"/>
    <w:rsid w:val="715F328E"/>
    <w:rsid w:val="71610FBE"/>
    <w:rsid w:val="725008FF"/>
    <w:rsid w:val="72760778"/>
    <w:rsid w:val="743104E3"/>
    <w:rsid w:val="74320C3C"/>
    <w:rsid w:val="74513162"/>
    <w:rsid w:val="74EC2A72"/>
    <w:rsid w:val="75431AF8"/>
    <w:rsid w:val="757B75BC"/>
    <w:rsid w:val="75D41971"/>
    <w:rsid w:val="76A665D3"/>
    <w:rsid w:val="76BA741C"/>
    <w:rsid w:val="76C64A3E"/>
    <w:rsid w:val="776150BB"/>
    <w:rsid w:val="78035C36"/>
    <w:rsid w:val="78BD1F9D"/>
    <w:rsid w:val="79201CE1"/>
    <w:rsid w:val="79A52EA1"/>
    <w:rsid w:val="79B14724"/>
    <w:rsid w:val="7B3450D7"/>
    <w:rsid w:val="7B3E0A41"/>
    <w:rsid w:val="7C323980"/>
    <w:rsid w:val="7D4607F9"/>
    <w:rsid w:val="7D730629"/>
    <w:rsid w:val="7E01395C"/>
    <w:rsid w:val="7E1D2B51"/>
    <w:rsid w:val="7EDB48C1"/>
    <w:rsid w:val="7F3F76F5"/>
    <w:rsid w:val="7F4D3288"/>
    <w:rsid w:val="7FA6058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99" w:semiHidden="0" w:name="Body Text First Indent 2"/>
    <w:lsdException w:uiPriority="99" w:name="Note Heading"/>
    <w:lsdException w:uiPriority="99" w:name="Body Text 2"/>
    <w:lsdException w:qFormat="1" w:unhideWhenUsed="0" w:uiPriority="0" w:semiHidden="0"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3"/>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34"/>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5"/>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6"/>
    <w:qFormat/>
    <w:uiPriority w:val="99"/>
    <w:pPr>
      <w:keepNext/>
      <w:keepLines/>
      <w:spacing w:before="280" w:after="290" w:line="376" w:lineRule="auto"/>
      <w:outlineLvl w:val="3"/>
    </w:pPr>
    <w:rPr>
      <w:rFonts w:ascii="Arial" w:hAnsi="Arial" w:eastAsia="黑体"/>
      <w:b/>
      <w:bCs/>
      <w:sz w:val="28"/>
      <w:szCs w:val="28"/>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3"/>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7"/>
    <w:qFormat/>
    <w:uiPriority w:val="99"/>
    <w:rPr>
      <w:rFonts w:ascii="宋体"/>
      <w:sz w:val="18"/>
      <w:szCs w:val="18"/>
    </w:rPr>
  </w:style>
  <w:style w:type="paragraph" w:styleId="8">
    <w:name w:val="annotation text"/>
    <w:basedOn w:val="1"/>
    <w:link w:val="38"/>
    <w:qFormat/>
    <w:uiPriority w:val="99"/>
    <w:pPr>
      <w:jc w:val="left"/>
    </w:pPr>
  </w:style>
  <w:style w:type="paragraph" w:styleId="9">
    <w:name w:val="Body Text 3"/>
    <w:basedOn w:val="1"/>
    <w:qFormat/>
    <w:uiPriority w:val="0"/>
    <w:pPr>
      <w:ind w:right="-26"/>
      <w:jc w:val="center"/>
    </w:pPr>
    <w:rPr>
      <w:b/>
      <w:bCs/>
      <w:color w:val="3366FF"/>
      <w:kern w:val="2"/>
      <w:sz w:val="52"/>
      <w:szCs w:val="52"/>
      <w:lang w:val="zh-CN"/>
    </w:rPr>
  </w:style>
  <w:style w:type="paragraph" w:styleId="10">
    <w:name w:val="Body Text"/>
    <w:basedOn w:val="1"/>
    <w:next w:val="11"/>
    <w:link w:val="39"/>
    <w:qFormat/>
    <w:uiPriority w:val="99"/>
    <w:pPr>
      <w:spacing w:after="120"/>
    </w:pPr>
  </w:style>
  <w:style w:type="paragraph" w:styleId="11">
    <w:name w:val="Body Text First Indent"/>
    <w:basedOn w:val="10"/>
    <w:link w:val="43"/>
    <w:qFormat/>
    <w:uiPriority w:val="99"/>
    <w:pPr>
      <w:widowControl/>
      <w:ind w:firstLine="420" w:firstLineChars="100"/>
    </w:pPr>
    <w:rPr>
      <w:rFonts w:ascii="Calibri" w:hAnsi="Calibri" w:cs="宋体"/>
      <w:szCs w:val="22"/>
    </w:rPr>
  </w:style>
  <w:style w:type="paragraph" w:styleId="12">
    <w:name w:val="Body Text Indent"/>
    <w:basedOn w:val="1"/>
    <w:next w:val="13"/>
    <w:qFormat/>
    <w:uiPriority w:val="0"/>
    <w:pPr>
      <w:spacing w:after="120"/>
      <w:ind w:left="420" w:leftChars="200"/>
    </w:pPr>
  </w:style>
  <w:style w:type="paragraph" w:styleId="13">
    <w:name w:val="envelope return"/>
    <w:basedOn w:val="1"/>
    <w:unhideWhenUsed/>
    <w:qFormat/>
    <w:uiPriority w:val="99"/>
    <w:rPr>
      <w:rFonts w:hint="eastAsia" w:ascii="Arial" w:hAnsi="Arial"/>
    </w:rPr>
  </w:style>
  <w:style w:type="paragraph" w:styleId="14">
    <w:name w:val="Plain Text"/>
    <w:basedOn w:val="1"/>
    <w:next w:val="1"/>
    <w:link w:val="55"/>
    <w:qFormat/>
    <w:uiPriority w:val="99"/>
    <w:pPr>
      <w:tabs>
        <w:tab w:val="left" w:pos="-105"/>
      </w:tabs>
      <w:spacing w:line="440" w:lineRule="exact"/>
      <w:ind w:right="-147" w:rightChars="-70"/>
      <w:outlineLvl w:val="2"/>
    </w:pPr>
    <w:rPr>
      <w:rFonts w:ascii="宋体" w:hAnsi="Courier New"/>
      <w:sz w:val="24"/>
      <w:szCs w:val="21"/>
    </w:rPr>
  </w:style>
  <w:style w:type="paragraph" w:styleId="15">
    <w:name w:val="Balloon Text"/>
    <w:basedOn w:val="1"/>
    <w:link w:val="40"/>
    <w:qFormat/>
    <w:uiPriority w:val="99"/>
    <w:rPr>
      <w:sz w:val="18"/>
      <w:szCs w:val="18"/>
    </w:rPr>
  </w:style>
  <w:style w:type="paragraph" w:styleId="16">
    <w:name w:val="footer"/>
    <w:basedOn w:val="1"/>
    <w:link w:val="41"/>
    <w:qFormat/>
    <w:uiPriority w:val="99"/>
    <w:pPr>
      <w:tabs>
        <w:tab w:val="center" w:pos="4153"/>
        <w:tab w:val="right" w:pos="8306"/>
      </w:tabs>
      <w:snapToGrid w:val="0"/>
      <w:jc w:val="left"/>
    </w:pPr>
    <w:rPr>
      <w:sz w:val="18"/>
      <w:szCs w:val="18"/>
    </w:rPr>
  </w:style>
  <w:style w:type="paragraph" w:styleId="17">
    <w:name w:val="header"/>
    <w:basedOn w:val="1"/>
    <w:link w:val="42"/>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9">
    <w:name w:val="Body Text Indent 3"/>
    <w:basedOn w:val="1"/>
    <w:qFormat/>
    <w:uiPriority w:val="0"/>
    <w:pPr>
      <w:spacing w:line="360" w:lineRule="auto"/>
      <w:ind w:firstLine="420" w:firstLineChars="200"/>
    </w:pPr>
    <w:rPr>
      <w:szCs w:val="18"/>
    </w:rPr>
  </w:style>
  <w:style w:type="paragraph" w:styleId="20">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1">
    <w:name w:val="annotation subject"/>
    <w:basedOn w:val="8"/>
    <w:next w:val="8"/>
    <w:link w:val="60"/>
    <w:semiHidden/>
    <w:qFormat/>
    <w:uiPriority w:val="99"/>
    <w:rPr>
      <w:b/>
      <w:bCs/>
    </w:rPr>
  </w:style>
  <w:style w:type="paragraph" w:styleId="22">
    <w:name w:val="Body Text First Indent 2"/>
    <w:basedOn w:val="12"/>
    <w:qFormat/>
    <w:uiPriority w:val="99"/>
    <w:pPr>
      <w:ind w:left="567" w:leftChars="270" w:firstLine="420" w:firstLineChars="200"/>
    </w:pPr>
    <w:rPr>
      <w:color w:val="000000"/>
    </w:rPr>
  </w:style>
  <w:style w:type="table" w:styleId="24">
    <w:name w:val="Table Grid"/>
    <w:basedOn w:val="2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basedOn w:val="25"/>
    <w:qFormat/>
    <w:locked/>
    <w:uiPriority w:val="22"/>
    <w:rPr>
      <w:b/>
    </w:rPr>
  </w:style>
  <w:style w:type="character" w:styleId="27">
    <w:name w:val="page number"/>
    <w:basedOn w:val="25"/>
    <w:qFormat/>
    <w:uiPriority w:val="0"/>
  </w:style>
  <w:style w:type="character" w:styleId="28">
    <w:name w:val="Emphasis"/>
    <w:qFormat/>
    <w:locked/>
    <w:uiPriority w:val="0"/>
    <w:rPr>
      <w:i/>
    </w:rPr>
  </w:style>
  <w:style w:type="character" w:styleId="29">
    <w:name w:val="Hyperlink"/>
    <w:qFormat/>
    <w:uiPriority w:val="99"/>
    <w:rPr>
      <w:rFonts w:cs="Times New Roman"/>
      <w:color w:val="0000FF"/>
      <w:u w:val="single"/>
    </w:rPr>
  </w:style>
  <w:style w:type="character" w:styleId="30">
    <w:name w:val="annotation reference"/>
    <w:qFormat/>
    <w:uiPriority w:val="99"/>
    <w:rPr>
      <w:rFonts w:cs="Times New Roman"/>
      <w:sz w:val="21"/>
      <w:szCs w:val="21"/>
    </w:rPr>
  </w:style>
  <w:style w:type="paragraph" w:customStyle="1" w:styleId="31">
    <w:name w:val="样式 正文首行缩进 + 首行缩进:  1 字符"/>
    <w:basedOn w:val="1"/>
    <w:next w:val="1"/>
    <w:qFormat/>
    <w:uiPriority w:val="0"/>
    <w:pPr>
      <w:ind w:firstLine="200" w:firstLineChars="200"/>
    </w:pPr>
    <w:rPr>
      <w:rFonts w:cs="宋体"/>
    </w:rPr>
  </w:style>
  <w:style w:type="paragraph" w:customStyle="1" w:styleId="32">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3">
    <w:name w:val="标题 1 字符"/>
    <w:link w:val="3"/>
    <w:qFormat/>
    <w:locked/>
    <w:uiPriority w:val="99"/>
    <w:rPr>
      <w:rFonts w:ascii="Times New Roman" w:hAnsi="Times New Roman" w:eastAsia="宋体" w:cs="Times New Roman"/>
      <w:b/>
      <w:bCs/>
      <w:kern w:val="44"/>
      <w:sz w:val="44"/>
      <w:szCs w:val="44"/>
    </w:rPr>
  </w:style>
  <w:style w:type="character" w:customStyle="1" w:styleId="34">
    <w:name w:val="标题 2 字符"/>
    <w:link w:val="2"/>
    <w:qFormat/>
    <w:locked/>
    <w:uiPriority w:val="99"/>
    <w:rPr>
      <w:rFonts w:ascii="Cambria" w:hAnsi="Cambria" w:eastAsia="宋体" w:cs="Times New Roman"/>
      <w:b/>
      <w:bCs/>
      <w:kern w:val="2"/>
      <w:sz w:val="32"/>
      <w:szCs w:val="32"/>
    </w:rPr>
  </w:style>
  <w:style w:type="character" w:customStyle="1" w:styleId="35">
    <w:name w:val="标题 3 字符"/>
    <w:link w:val="4"/>
    <w:qFormat/>
    <w:locked/>
    <w:uiPriority w:val="99"/>
    <w:rPr>
      <w:rFonts w:eastAsia="宋体" w:cs="Times New Roman"/>
      <w:b/>
      <w:sz w:val="32"/>
    </w:rPr>
  </w:style>
  <w:style w:type="character" w:customStyle="1" w:styleId="36">
    <w:name w:val="标题 4 字符1"/>
    <w:link w:val="5"/>
    <w:qFormat/>
    <w:locked/>
    <w:uiPriority w:val="99"/>
    <w:rPr>
      <w:rFonts w:ascii="Arial" w:hAnsi="Arial" w:eastAsia="黑体" w:cs="Times New Roman"/>
      <w:b/>
      <w:bCs/>
      <w:kern w:val="2"/>
      <w:sz w:val="28"/>
      <w:szCs w:val="28"/>
    </w:rPr>
  </w:style>
  <w:style w:type="character" w:customStyle="1" w:styleId="37">
    <w:name w:val="文档结构图 字符"/>
    <w:link w:val="7"/>
    <w:qFormat/>
    <w:locked/>
    <w:uiPriority w:val="99"/>
    <w:rPr>
      <w:rFonts w:ascii="宋体" w:hAnsi="Times New Roman" w:eastAsia="宋体" w:cs="Times New Roman"/>
      <w:kern w:val="2"/>
      <w:sz w:val="18"/>
      <w:szCs w:val="18"/>
    </w:rPr>
  </w:style>
  <w:style w:type="character" w:customStyle="1" w:styleId="38">
    <w:name w:val="批注文字 字符"/>
    <w:link w:val="8"/>
    <w:qFormat/>
    <w:locked/>
    <w:uiPriority w:val="99"/>
    <w:rPr>
      <w:rFonts w:ascii="Times New Roman" w:hAnsi="Times New Roman" w:cs="Times New Roman"/>
      <w:kern w:val="2"/>
      <w:sz w:val="21"/>
    </w:rPr>
  </w:style>
  <w:style w:type="character" w:customStyle="1" w:styleId="39">
    <w:name w:val="正文文本 字符"/>
    <w:link w:val="10"/>
    <w:qFormat/>
    <w:locked/>
    <w:uiPriority w:val="99"/>
    <w:rPr>
      <w:rFonts w:ascii="Times New Roman" w:hAnsi="Times New Roman" w:eastAsia="宋体" w:cs="Times New Roman"/>
      <w:sz w:val="20"/>
      <w:szCs w:val="20"/>
    </w:rPr>
  </w:style>
  <w:style w:type="character" w:customStyle="1" w:styleId="40">
    <w:name w:val="批注框文本 字符"/>
    <w:link w:val="15"/>
    <w:qFormat/>
    <w:locked/>
    <w:uiPriority w:val="99"/>
    <w:rPr>
      <w:rFonts w:ascii="Times New Roman" w:hAnsi="Times New Roman" w:eastAsia="宋体" w:cs="Times New Roman"/>
      <w:kern w:val="2"/>
      <w:sz w:val="18"/>
      <w:szCs w:val="18"/>
    </w:rPr>
  </w:style>
  <w:style w:type="character" w:customStyle="1" w:styleId="41">
    <w:name w:val="页脚 字符"/>
    <w:link w:val="16"/>
    <w:qFormat/>
    <w:locked/>
    <w:uiPriority w:val="99"/>
    <w:rPr>
      <w:rFonts w:ascii="Times New Roman" w:hAnsi="Times New Roman" w:eastAsia="宋体" w:cs="Times New Roman"/>
      <w:sz w:val="18"/>
      <w:szCs w:val="18"/>
    </w:rPr>
  </w:style>
  <w:style w:type="character" w:customStyle="1" w:styleId="42">
    <w:name w:val="页眉 字符"/>
    <w:link w:val="17"/>
    <w:qFormat/>
    <w:locked/>
    <w:uiPriority w:val="99"/>
    <w:rPr>
      <w:rFonts w:ascii="Times New Roman" w:hAnsi="Times New Roman" w:eastAsia="宋体" w:cs="Times New Roman"/>
      <w:sz w:val="18"/>
      <w:szCs w:val="18"/>
    </w:rPr>
  </w:style>
  <w:style w:type="character" w:customStyle="1" w:styleId="43">
    <w:name w:val="正文文本首行缩进 字符"/>
    <w:link w:val="11"/>
    <w:qFormat/>
    <w:locked/>
    <w:uiPriority w:val="99"/>
    <w:rPr>
      <w:rFonts w:ascii="Times New Roman" w:hAnsi="Times New Roman" w:eastAsia="宋体" w:cs="Times New Roman"/>
      <w:sz w:val="20"/>
      <w:szCs w:val="20"/>
    </w:rPr>
  </w:style>
  <w:style w:type="character" w:customStyle="1" w:styleId="44">
    <w:name w:val="正文缩进2格 Char"/>
    <w:link w:val="45"/>
    <w:qFormat/>
    <w:locked/>
    <w:uiPriority w:val="99"/>
    <w:rPr>
      <w:rFonts w:ascii="仿宋_GB2312" w:hAnsi="宋体" w:eastAsia="仿宋_GB2312"/>
      <w:sz w:val="31"/>
    </w:rPr>
  </w:style>
  <w:style w:type="paragraph" w:customStyle="1" w:styleId="45">
    <w:name w:val="正文缩进2格"/>
    <w:basedOn w:val="1"/>
    <w:next w:val="1"/>
    <w:link w:val="44"/>
    <w:qFormat/>
    <w:uiPriority w:val="99"/>
    <w:pPr>
      <w:spacing w:line="600" w:lineRule="exact"/>
      <w:ind w:firstLine="639" w:firstLineChars="206"/>
    </w:pPr>
    <w:rPr>
      <w:rFonts w:ascii="仿宋_GB2312" w:hAnsi="宋体" w:eastAsia="仿宋_GB2312"/>
      <w:kern w:val="0"/>
      <w:sz w:val="31"/>
      <w:szCs w:val="31"/>
    </w:rPr>
  </w:style>
  <w:style w:type="paragraph" w:customStyle="1" w:styleId="46">
    <w:name w:val="列出段落1"/>
    <w:basedOn w:val="1"/>
    <w:qFormat/>
    <w:uiPriority w:val="99"/>
    <w:pPr>
      <w:ind w:firstLine="420" w:firstLineChars="200"/>
    </w:pPr>
  </w:style>
  <w:style w:type="paragraph" w:customStyle="1" w:styleId="47">
    <w:name w:val="列出段落2"/>
    <w:basedOn w:val="1"/>
    <w:qFormat/>
    <w:uiPriority w:val="99"/>
    <w:pPr>
      <w:ind w:firstLine="420" w:firstLineChars="200"/>
    </w:pPr>
  </w:style>
  <w:style w:type="paragraph" w:styleId="48">
    <w:name w:val="List Paragraph"/>
    <w:basedOn w:val="1"/>
    <w:qFormat/>
    <w:uiPriority w:val="99"/>
    <w:pPr>
      <w:ind w:firstLine="420" w:firstLineChars="200"/>
    </w:pPr>
  </w:style>
  <w:style w:type="character" w:customStyle="1" w:styleId="49">
    <w:name w:val="fontstyle01"/>
    <w:qFormat/>
    <w:uiPriority w:val="99"/>
    <w:rPr>
      <w:rFonts w:ascii="仿宋" w:hAnsi="仿宋" w:eastAsia="仿宋" w:cs="Times New Roman"/>
      <w:color w:val="000000"/>
      <w:sz w:val="28"/>
      <w:szCs w:val="28"/>
    </w:rPr>
  </w:style>
  <w:style w:type="character" w:customStyle="1" w:styleId="50">
    <w:name w:val="！正文 Char"/>
    <w:link w:val="51"/>
    <w:qFormat/>
    <w:locked/>
    <w:uiPriority w:val="99"/>
    <w:rPr>
      <w:rFonts w:ascii="Arial" w:hAnsi="Arial"/>
      <w:sz w:val="24"/>
    </w:rPr>
  </w:style>
  <w:style w:type="paragraph" w:customStyle="1" w:styleId="51">
    <w:name w:val="！正文"/>
    <w:basedOn w:val="1"/>
    <w:link w:val="50"/>
    <w:qFormat/>
    <w:uiPriority w:val="99"/>
    <w:pPr>
      <w:spacing w:line="360" w:lineRule="auto"/>
      <w:ind w:firstLine="200" w:firstLineChars="200"/>
    </w:pPr>
    <w:rPr>
      <w:rFonts w:ascii="Arial" w:hAnsi="Arial" w:eastAsia="等线"/>
      <w:kern w:val="0"/>
      <w:sz w:val="24"/>
      <w:szCs w:val="24"/>
    </w:rPr>
  </w:style>
  <w:style w:type="paragraph" w:customStyle="1" w:styleId="52">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3">
    <w:name w:val="正文缩进 字符"/>
    <w:link w:val="6"/>
    <w:qFormat/>
    <w:locked/>
    <w:uiPriority w:val="99"/>
    <w:rPr>
      <w:sz w:val="24"/>
    </w:rPr>
  </w:style>
  <w:style w:type="paragraph" w:customStyle="1" w:styleId="54">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5">
    <w:name w:val="纯文本 字符"/>
    <w:link w:val="14"/>
    <w:qFormat/>
    <w:locked/>
    <w:uiPriority w:val="99"/>
    <w:rPr>
      <w:rFonts w:ascii="宋体" w:hAnsi="Courier New" w:eastAsia="宋体" w:cs="Times New Roman"/>
      <w:kern w:val="2"/>
      <w:sz w:val="21"/>
      <w:szCs w:val="21"/>
    </w:rPr>
  </w:style>
  <w:style w:type="character" w:customStyle="1" w:styleId="56">
    <w:name w:val="未处理的提及1"/>
    <w:semiHidden/>
    <w:qFormat/>
    <w:uiPriority w:val="99"/>
    <w:rPr>
      <w:rFonts w:cs="Times New Roman"/>
      <w:color w:val="605E5C"/>
      <w:shd w:val="clear" w:color="auto" w:fill="E1DFDD"/>
    </w:rPr>
  </w:style>
  <w:style w:type="paragraph" w:customStyle="1" w:styleId="57">
    <w:name w:val="样式"/>
    <w:basedOn w:val="1"/>
    <w:qFormat/>
    <w:uiPriority w:val="99"/>
    <w:pPr>
      <w:ind w:firstLine="420" w:firstLineChars="200"/>
    </w:pPr>
    <w:rPr>
      <w:rFonts w:ascii="Calibri" w:hAnsi="Calibri"/>
      <w:szCs w:val="22"/>
    </w:rPr>
  </w:style>
  <w:style w:type="character" w:customStyle="1" w:styleId="58">
    <w:name w:val="Body Text Indent 2 Char Char"/>
    <w:link w:val="59"/>
    <w:qFormat/>
    <w:locked/>
    <w:uiPriority w:val="99"/>
  </w:style>
  <w:style w:type="paragraph" w:customStyle="1" w:styleId="59">
    <w:name w:val="正文文本缩进 21"/>
    <w:basedOn w:val="1"/>
    <w:link w:val="58"/>
    <w:qFormat/>
    <w:uiPriority w:val="99"/>
    <w:pPr>
      <w:adjustRightInd w:val="0"/>
      <w:spacing w:line="480" w:lineRule="auto"/>
      <w:ind w:firstLine="540"/>
    </w:pPr>
    <w:rPr>
      <w:rFonts w:ascii="Calibri" w:hAnsi="Calibri" w:eastAsia="等线"/>
      <w:kern w:val="0"/>
      <w:sz w:val="20"/>
    </w:rPr>
  </w:style>
  <w:style w:type="character" w:customStyle="1" w:styleId="60">
    <w:name w:val="批注主题 字符"/>
    <w:link w:val="21"/>
    <w:semiHidden/>
    <w:qFormat/>
    <w:locked/>
    <w:uiPriority w:val="99"/>
    <w:rPr>
      <w:rFonts w:ascii="Times New Roman" w:hAnsi="Times New Roman" w:eastAsia="宋体" w:cs="Times New Roman"/>
      <w:b/>
      <w:bCs/>
      <w:kern w:val="2"/>
      <w:sz w:val="21"/>
    </w:rPr>
  </w:style>
  <w:style w:type="character" w:customStyle="1" w:styleId="61">
    <w:name w:val="标题 4 字符"/>
    <w:semiHidden/>
    <w:qFormat/>
    <w:uiPriority w:val="99"/>
    <w:rPr>
      <w:rFonts w:ascii="Cambria" w:hAnsi="Cambria" w:eastAsia="宋体" w:cs="Times New Roman"/>
      <w:b/>
      <w:bCs/>
      <w:kern w:val="2"/>
      <w:sz w:val="28"/>
      <w:szCs w:val="28"/>
    </w:rPr>
  </w:style>
  <w:style w:type="paragraph" w:customStyle="1" w:styleId="62">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3">
    <w:name w:val="致远要点"/>
    <w:basedOn w:val="48"/>
    <w:link w:val="64"/>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4">
    <w:name w:val="致远要点 字符"/>
    <w:link w:val="63"/>
    <w:qFormat/>
    <w:locked/>
    <w:uiPriority w:val="99"/>
    <w:rPr>
      <w:rFonts w:ascii="黑体" w:hAnsi="黑体" w:eastAsia="黑体" w:cs="宋体"/>
      <w:kern w:val="2"/>
      <w:sz w:val="22"/>
      <w:szCs w:val="22"/>
    </w:rPr>
  </w:style>
  <w:style w:type="paragraph" w:customStyle="1" w:styleId="65">
    <w:name w:val="SANGFOR_6_正文"/>
    <w:basedOn w:val="1"/>
    <w:qFormat/>
    <w:uiPriority w:val="99"/>
    <w:pPr>
      <w:spacing w:line="360" w:lineRule="auto"/>
    </w:pPr>
    <w:rPr>
      <w:szCs w:val="24"/>
    </w:rPr>
  </w:style>
  <w:style w:type="paragraph" w:customStyle="1" w:styleId="66">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67">
    <w:name w:val="样式3"/>
    <w:basedOn w:val="1"/>
    <w:qFormat/>
    <w:uiPriority w:val="0"/>
    <w:pPr>
      <w:keepNext/>
      <w:keepLines/>
      <w:autoSpaceDE w:val="0"/>
      <w:autoSpaceDN w:val="0"/>
      <w:adjustRightInd w:val="0"/>
      <w:spacing w:line="360" w:lineRule="auto"/>
      <w:ind w:left="200"/>
      <w:jc w:val="center"/>
      <w:outlineLvl w:val="0"/>
    </w:pPr>
    <w:rPr>
      <w:rFonts w:ascii="宋体" w:hAnsi="宋体"/>
      <w:b/>
      <w:bCs/>
      <w:kern w:val="44"/>
      <w:sz w:val="28"/>
      <w:szCs w:val="28"/>
    </w:rPr>
  </w:style>
  <w:style w:type="character" w:customStyle="1" w:styleId="68">
    <w:name w:val="font21"/>
    <w:basedOn w:val="25"/>
    <w:qFormat/>
    <w:uiPriority w:val="0"/>
    <w:rPr>
      <w:rFonts w:hint="eastAsia" w:ascii="等线" w:hAnsi="等线" w:eastAsia="等线" w:cs="等线"/>
      <w:color w:val="000000"/>
      <w:sz w:val="18"/>
      <w:szCs w:val="18"/>
      <w:u w:val="none"/>
    </w:rPr>
  </w:style>
  <w:style w:type="character" w:customStyle="1" w:styleId="69">
    <w:name w:val="font11"/>
    <w:basedOn w:val="25"/>
    <w:qFormat/>
    <w:uiPriority w:val="0"/>
    <w:rPr>
      <w:rFonts w:hint="eastAsia" w:ascii="宋体" w:hAnsi="宋体" w:eastAsia="宋体" w:cs="宋体"/>
      <w:color w:val="000000"/>
      <w:sz w:val="18"/>
      <w:szCs w:val="18"/>
      <w:u w:val="none"/>
    </w:rPr>
  </w:style>
  <w:style w:type="character" w:customStyle="1" w:styleId="70">
    <w:name w:val="font01"/>
    <w:basedOn w:val="25"/>
    <w:qFormat/>
    <w:uiPriority w:val="0"/>
    <w:rPr>
      <w:rFonts w:hint="eastAsia" w:ascii="宋体" w:hAnsi="宋体" w:eastAsia="宋体" w:cs="宋体"/>
      <w:color w:val="000000"/>
      <w:sz w:val="24"/>
      <w:szCs w:val="24"/>
      <w:u w:val="none"/>
    </w:rPr>
  </w:style>
  <w:style w:type="paragraph" w:customStyle="1" w:styleId="71">
    <w:name w:val="+正文"/>
    <w:basedOn w:val="1"/>
    <w:qFormat/>
    <w:uiPriority w:val="0"/>
    <w:rPr>
      <w:rFonts w:ascii="Calibri" w:hAnsi="Calibri"/>
      <w:szCs w:val="28"/>
    </w:rPr>
  </w:style>
  <w:style w:type="paragraph" w:customStyle="1" w:styleId="72">
    <w:name w:val="Bullet"/>
    <w:basedOn w:val="1"/>
    <w:qFormat/>
    <w:uiPriority w:val="0"/>
    <w:pPr>
      <w:tabs>
        <w:tab w:val="left" w:pos="420"/>
      </w:tabs>
      <w:autoSpaceDE/>
      <w:autoSpaceDN/>
      <w:adjustRightInd/>
      <w:spacing w:line="360" w:lineRule="exact"/>
      <w:ind w:left="420" w:hanging="420"/>
      <w:jc w:val="both"/>
    </w:pPr>
    <w:rPr>
      <w:rFonts w:ascii="Times New Roman"/>
      <w:kern w:val="2"/>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3101" textRotate="1"/>
    <customShpInfo spid="_x0000_s3102" textRotate="1"/>
    <customShpInfo spid="_x0000_s3103" textRotate="1"/>
    <customShpInfo spid="_x0000_s3093"/>
    <customShpInfo spid="_x0000_s3104" textRotate="1"/>
    <customShpInfo spid="_x0000_s3095"/>
    <customShpInfo spid="_x0000_s3105" textRotate="1"/>
    <customShpInfo spid="_x0000_s307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50</Pages>
  <Words>4593</Words>
  <Characters>4769</Characters>
  <Lines>247</Lines>
  <Paragraphs>69</Paragraphs>
  <TotalTime>12</TotalTime>
  <ScaleCrop>false</ScaleCrop>
  <LinksUpToDate>false</LinksUpToDate>
  <CharactersWithSpaces>4893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86138</dc:creator>
  <cp:lastModifiedBy>LV</cp:lastModifiedBy>
  <cp:lastPrinted>2020-06-08T08:11:00Z</cp:lastPrinted>
  <dcterms:modified xsi:type="dcterms:W3CDTF">2025-10-11T09:02:36Z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9C06B65765CB4A429B468F47EEFAB073</vt:lpwstr>
  </property>
  <property fmtid="{D5CDD505-2E9C-101B-9397-08002B2CF9AE}" pid="4" name="KSOTemplateDocerSaveRecord">
    <vt:lpwstr>eyJoZGlkIjoiNzNiNTM0Mjk3Nzk4YWY0OGVhMjUyNDM2Y2U4ZDA1ZTYiLCJ1c2VySWQiOiI5NDA4NDc3MTEifQ==</vt:lpwstr>
  </property>
</Properties>
</file>