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C83E5F">
      <w:pPr>
        <w:widowControl/>
        <w:spacing w:line="360" w:lineRule="auto"/>
        <w:ind w:right="-26"/>
        <w:jc w:val="center"/>
        <w:textAlignment w:val="bottom"/>
        <w:rPr>
          <w:rFonts w:hint="eastAsia" w:hAnsi="宋体"/>
          <w:b/>
          <w:sz w:val="52"/>
          <w:szCs w:val="52"/>
        </w:rPr>
      </w:pPr>
    </w:p>
    <w:p w14:paraId="2E0D8D71">
      <w:pPr>
        <w:pStyle w:val="2"/>
      </w:pPr>
    </w:p>
    <w:p w14:paraId="58F7F41A">
      <w:pPr>
        <w:widowControl/>
        <w:spacing w:line="360" w:lineRule="auto"/>
        <w:ind w:right="-26"/>
        <w:jc w:val="center"/>
        <w:textAlignment w:val="bottom"/>
        <w:rPr>
          <w:rFonts w:hint="eastAsia" w:hAnsi="宋体"/>
          <w:b/>
          <w:sz w:val="72"/>
        </w:rPr>
      </w:pPr>
    </w:p>
    <w:p w14:paraId="3B5C714C">
      <w:pPr>
        <w:snapToGrid w:val="0"/>
        <w:jc w:val="center"/>
        <w:outlineLvl w:val="0"/>
        <w:rPr>
          <w:rFonts w:hint="eastAsia" w:hAnsi="宋体"/>
          <w:b/>
          <w:bCs/>
          <w:sz w:val="72"/>
          <w:szCs w:val="72"/>
        </w:rPr>
      </w:pPr>
      <w:bookmarkStart w:id="0" w:name="_Toc5586"/>
      <w:r>
        <w:rPr>
          <w:rFonts w:hint="eastAsia" w:hAnsi="宋体"/>
          <w:b/>
          <w:bCs/>
          <w:sz w:val="72"/>
          <w:szCs w:val="72"/>
        </w:rPr>
        <w:t>竞争性磋商文件</w:t>
      </w:r>
      <w:bookmarkEnd w:id="0"/>
    </w:p>
    <w:p w14:paraId="64734101">
      <w:pPr>
        <w:widowControl/>
        <w:spacing w:line="360" w:lineRule="auto"/>
        <w:ind w:right="-26"/>
        <w:jc w:val="center"/>
        <w:textAlignment w:val="bottom"/>
        <w:rPr>
          <w:rFonts w:hint="eastAsia" w:hAnsi="宋体"/>
          <w:b/>
          <w:sz w:val="44"/>
        </w:rPr>
      </w:pPr>
    </w:p>
    <w:p w14:paraId="3491BFBF">
      <w:pPr>
        <w:widowControl/>
        <w:spacing w:line="360" w:lineRule="auto"/>
        <w:ind w:right="-26"/>
        <w:jc w:val="center"/>
        <w:textAlignment w:val="bottom"/>
        <w:rPr>
          <w:rFonts w:hint="eastAsia" w:hAnsi="宋体"/>
          <w:b/>
          <w:sz w:val="44"/>
        </w:rPr>
      </w:pPr>
    </w:p>
    <w:p w14:paraId="1BDA8BA7">
      <w:pPr>
        <w:widowControl/>
        <w:spacing w:line="360" w:lineRule="auto"/>
        <w:ind w:right="991" w:rightChars="413"/>
        <w:jc w:val="center"/>
        <w:textAlignment w:val="bottom"/>
        <w:rPr>
          <w:rFonts w:hint="eastAsia" w:hAnsi="宋体"/>
          <w:b/>
          <w:sz w:val="32"/>
          <w:szCs w:val="32"/>
        </w:rPr>
      </w:pPr>
    </w:p>
    <w:p w14:paraId="78BAFE4A">
      <w:pPr>
        <w:widowControl/>
        <w:spacing w:line="360" w:lineRule="auto"/>
        <w:ind w:right="-26"/>
        <w:jc w:val="center"/>
        <w:textAlignment w:val="bottom"/>
        <w:rPr>
          <w:rFonts w:hint="eastAsia" w:hAnsi="宋体"/>
          <w:b/>
          <w:sz w:val="44"/>
        </w:rPr>
      </w:pPr>
    </w:p>
    <w:p w14:paraId="7FD10E4B">
      <w:pPr>
        <w:widowControl/>
        <w:spacing w:line="360" w:lineRule="auto"/>
        <w:ind w:right="-26"/>
        <w:jc w:val="center"/>
        <w:textAlignment w:val="bottom"/>
        <w:rPr>
          <w:rFonts w:hint="eastAsia" w:hAnsi="宋体"/>
          <w:b/>
          <w:sz w:val="44"/>
        </w:rPr>
      </w:pPr>
      <w:r>
        <w:rPr>
          <w:sz w:val="44"/>
        </w:rPr>
        <mc:AlternateContent>
          <mc:Choice Requires="wps">
            <w:drawing>
              <wp:anchor distT="0" distB="0" distL="114300" distR="114300" simplePos="0" relativeHeight="251660288" behindDoc="1" locked="0" layoutInCell="1" allowOverlap="1">
                <wp:simplePos x="0" y="0"/>
                <wp:positionH relativeFrom="column">
                  <wp:posOffset>181610</wp:posOffset>
                </wp:positionH>
                <wp:positionV relativeFrom="paragraph">
                  <wp:posOffset>213995</wp:posOffset>
                </wp:positionV>
                <wp:extent cx="4991735" cy="1652905"/>
                <wp:effectExtent l="0" t="0" r="18415" b="4445"/>
                <wp:wrapNone/>
                <wp:docPr id="3" name="文本框 6"/>
                <wp:cNvGraphicFramePr/>
                <a:graphic xmlns:a="http://schemas.openxmlformats.org/drawingml/2006/main">
                  <a:graphicData uri="http://schemas.microsoft.com/office/word/2010/wordprocessingShape">
                    <wps:wsp>
                      <wps:cNvSpPr txBox="1"/>
                      <wps:spPr>
                        <a:xfrm>
                          <a:off x="0" y="0"/>
                          <a:ext cx="4991735" cy="1652905"/>
                        </a:xfrm>
                        <a:prstGeom prst="rect">
                          <a:avLst/>
                        </a:prstGeom>
                        <a:gradFill rotWithShape="0">
                          <a:gsLst>
                            <a:gs pos="0">
                              <a:srgbClr val="FFFFFF"/>
                            </a:gs>
                            <a:gs pos="100000">
                              <a:srgbClr val="FFFFFF"/>
                            </a:gs>
                          </a:gsLst>
                          <a:lin ang="0"/>
                          <a:tileRect/>
                        </a:gradFill>
                        <a:ln w="15875">
                          <a:noFill/>
                        </a:ln>
                        <a:effectLst/>
                      </wps:spPr>
                      <wps:txbx>
                        <w:txbxContent>
                          <w:p w14:paraId="0C06D917">
                            <w:pPr>
                              <w:widowControl/>
                              <w:spacing w:line="360" w:lineRule="auto"/>
                              <w:ind w:left="1606" w:right="-26"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w:t>
                            </w:r>
                            <w:r>
                              <w:rPr>
                                <w:rFonts w:hint="eastAsia" w:ascii="黑体" w:hAnsi="黑体" w:eastAsia="黑体" w:cs="黑体"/>
                                <w:b/>
                                <w:sz w:val="32"/>
                                <w:lang w:eastAsia="zh-CN"/>
                              </w:rPr>
                              <w:t>东莞文旅旗云广场项目外广场氛围提升设计施工承包</w:t>
                            </w:r>
                          </w:p>
                          <w:p w14:paraId="7DC311E8">
                            <w:pPr>
                              <w:widowControl/>
                              <w:spacing w:line="360" w:lineRule="auto"/>
                              <w:ind w:right="-26"/>
                              <w:jc w:val="both"/>
                              <w:textAlignment w:val="bottom"/>
                              <w:rPr>
                                <w:rFonts w:hint="eastAsia" w:ascii="黑体" w:hAnsi="黑体" w:eastAsia="黑体" w:cs="黑体"/>
                                <w:b/>
                                <w:sz w:val="32"/>
                              </w:rPr>
                            </w:pPr>
                            <w:r>
                              <w:rPr>
                                <w:rFonts w:hint="eastAsia" w:ascii="黑体" w:hAnsi="黑体" w:eastAsia="黑体" w:cs="黑体"/>
                                <w:b/>
                                <w:sz w:val="32"/>
                              </w:rPr>
                              <w:t>项目编号：DSSG-GC-017-057(2025)</w:t>
                            </w:r>
                          </w:p>
                          <w:p w14:paraId="3F92E738">
                            <w:pPr>
                              <w:widowControl/>
                              <w:spacing w:line="360" w:lineRule="auto"/>
                              <w:ind w:right="-26"/>
                              <w:textAlignment w:val="bottom"/>
                              <w:rPr>
                                <w:rFonts w:hint="eastAsia" w:ascii="黑体" w:hAnsi="黑体" w:eastAsia="黑体" w:cs="黑体"/>
                                <w:b/>
                                <w:sz w:val="32"/>
                                <w:lang w:eastAsia="zh-CN"/>
                              </w:rPr>
                            </w:pPr>
                            <w:r>
                              <w:rPr>
                                <w:rFonts w:hint="eastAsia" w:ascii="黑体" w:hAnsi="黑体" w:eastAsia="黑体" w:cs="黑体"/>
                                <w:b/>
                                <w:sz w:val="32"/>
                              </w:rPr>
                              <w:t>采 购 人：</w:t>
                            </w:r>
                            <w:r>
                              <w:rPr>
                                <w:rFonts w:hint="eastAsia" w:ascii="黑体" w:hAnsi="黑体" w:eastAsia="黑体" w:cs="黑体"/>
                                <w:b/>
                                <w:sz w:val="32"/>
                                <w:lang w:eastAsia="zh-CN"/>
                              </w:rPr>
                              <w:t>东莞文旅有限公司</w:t>
                            </w:r>
                          </w:p>
                          <w:p w14:paraId="01BD2597"/>
                        </w:txbxContent>
                      </wps:txbx>
                      <wps:bodyPr upright="1"/>
                    </wps:wsp>
                  </a:graphicData>
                </a:graphic>
              </wp:anchor>
            </w:drawing>
          </mc:Choice>
          <mc:Fallback>
            <w:pict>
              <v:shape id="文本框 6" o:spid="_x0000_s1026" o:spt="202" type="#_x0000_t202" style="position:absolute;left:0pt;margin-left:14.3pt;margin-top:16.85pt;height:130.15pt;width:393.05pt;z-index:-251656192;mso-width-relative:page;mso-height-relative:page;" fillcolor="#FFFFFF" filled="t" stroked="f" coordsize="21600,21600" o:gfxdata="UEsDBAoAAAAAAIdO4kAAAAAAAAAAAAAAAAAEAAAAZHJzL1BLAwQUAAAACACHTuJAl9N0qNoAAAAJ&#10;AQAADwAAAGRycy9kb3ducmV2LnhtbE2PwU7DMAyG70i8Q2QkLhNLuo2tlKY7ICEuiGkDxDVrTFva&#10;OKXJuvH2Mye42fp+/f6cr0+uEyMOofGkIZkqEEiltw1VGt5eH29SECEasqbzhBp+MMC6uLzITWb9&#10;kbY47mIluIRCZjTUMfaZlKGs0Zkw9T0Ss08/OBN5HSppB3PkctfJmVJL6UxDfKE2PT7UWLa7g9Pw&#10;chvaCX4/b8uvNGknq6fx/WOz0fr6KlH3ICKe4l8YfvVZHQp22vsD2SA6DbN0yUkN8/kKBPM0WfCw&#10;Z3C3UCCLXP7/oDgDUEsDBBQAAAAIAIdO4kAPZcabBAIAABcEAAAOAAAAZHJzL2Uyb0RvYy54bWyt&#10;U82O0zAQviPxDpbvNEmXdrdV05WgKhcEiAVxdh0nseQ/edwmfQF4A05cuPNcfQ7GTlqqRUJ7IIdk&#10;MjP+Zr5vxqv7XityEB6kNSUtJjklwnBbSdOU9POn7Ys7SiAwUzFljSjpUQC9Xz9/turcUkxta1Ul&#10;PEEQA8vOlbQNwS2zDHgrNIOJdcJgsLZes4C/vskqzzpE1yqb5vk866yvnLdcAKB3MwTpiOifAmjr&#10;WnKxsXyvhQkDqheKBaQErXRA16nbuhY8vK9rEIGokiLTkN5YBO1dfGfrFVs2nrlW8rEF9pQWHnHS&#10;TBoseoHasMDI3su/oLTk3oKtw4RbnQ1EkiLIosgfafPQMicSF5Qa3EV0+H+w/N3hgyeyKukNJYZp&#10;HPjp+7fTj1+nn1/JPMrTOVhi1oPDvNC/sj0uzdkP6Iys+9rr+EU+BOMo7vEirugD4eh8uVgUtzcz&#10;SjjGivlsushnESf7c9x5CG+E1SQaJfU4vSQqO7yFMKSeU0atq61UingbvsjQJrli3RQEPDMYxFlU&#10;bHCDb3avlScHhguxTc/YRAPX2UUen4T07yPYfnMupaQhLF6jca+CVOIjkhhaxy1L7cYyypAOVZjd&#10;3c5SDWMjkSFPmZgh0vKOvOMMBq2jFfpdj6nR3NnqiHPZOy+bFiVLk8liBPclaTvudlzI63+0r+/z&#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03So2gAAAAkBAAAPAAAAAAAAAAEAIAAAACIAAABk&#10;cnMvZG93bnJldi54bWxQSwECFAAUAAAACACHTuJAD2XGmwQCAAAXBAAADgAAAAAAAAABACAAAAAp&#10;AQAAZHJzL2Uyb0RvYy54bWxQSwUGAAAAAAYABgBZAQAAnwUAAAAA&#10;">
                <v:fill type="gradient" on="t" color2="#FFFFFF" angle="90" focus="100%" focussize="0,0">
                  <o:fill type="gradientUnscaled" v:ext="backwardCompatible"/>
                </v:fill>
                <v:stroke on="f" weight="1.25pt"/>
                <v:imagedata o:title=""/>
                <o:lock v:ext="edit" aspectratio="f"/>
                <v:textbox>
                  <w:txbxContent>
                    <w:p w14:paraId="0C06D917">
                      <w:pPr>
                        <w:widowControl/>
                        <w:spacing w:line="360" w:lineRule="auto"/>
                        <w:ind w:left="1606" w:right="-26"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w:t>
                      </w:r>
                      <w:r>
                        <w:rPr>
                          <w:rFonts w:hint="eastAsia" w:ascii="黑体" w:hAnsi="黑体" w:eastAsia="黑体" w:cs="黑体"/>
                          <w:b/>
                          <w:sz w:val="32"/>
                          <w:lang w:eastAsia="zh-CN"/>
                        </w:rPr>
                        <w:t>东莞文旅旗云广场项目外广场氛围提升设计施工承包</w:t>
                      </w:r>
                    </w:p>
                    <w:p w14:paraId="7DC311E8">
                      <w:pPr>
                        <w:widowControl/>
                        <w:spacing w:line="360" w:lineRule="auto"/>
                        <w:ind w:right="-26"/>
                        <w:jc w:val="both"/>
                        <w:textAlignment w:val="bottom"/>
                        <w:rPr>
                          <w:rFonts w:hint="eastAsia" w:ascii="黑体" w:hAnsi="黑体" w:eastAsia="黑体" w:cs="黑体"/>
                          <w:b/>
                          <w:sz w:val="32"/>
                        </w:rPr>
                      </w:pPr>
                      <w:r>
                        <w:rPr>
                          <w:rFonts w:hint="eastAsia" w:ascii="黑体" w:hAnsi="黑体" w:eastAsia="黑体" w:cs="黑体"/>
                          <w:b/>
                          <w:sz w:val="32"/>
                        </w:rPr>
                        <w:t>项目编号：DSSG-GC-017-057(2025)</w:t>
                      </w:r>
                    </w:p>
                    <w:p w14:paraId="3F92E738">
                      <w:pPr>
                        <w:widowControl/>
                        <w:spacing w:line="360" w:lineRule="auto"/>
                        <w:ind w:right="-26"/>
                        <w:textAlignment w:val="bottom"/>
                        <w:rPr>
                          <w:rFonts w:hint="eastAsia" w:ascii="黑体" w:hAnsi="黑体" w:eastAsia="黑体" w:cs="黑体"/>
                          <w:b/>
                          <w:sz w:val="32"/>
                          <w:lang w:eastAsia="zh-CN"/>
                        </w:rPr>
                      </w:pPr>
                      <w:r>
                        <w:rPr>
                          <w:rFonts w:hint="eastAsia" w:ascii="黑体" w:hAnsi="黑体" w:eastAsia="黑体" w:cs="黑体"/>
                          <w:b/>
                          <w:sz w:val="32"/>
                        </w:rPr>
                        <w:t>采 购 人：</w:t>
                      </w:r>
                      <w:r>
                        <w:rPr>
                          <w:rFonts w:hint="eastAsia" w:ascii="黑体" w:hAnsi="黑体" w:eastAsia="黑体" w:cs="黑体"/>
                          <w:b/>
                          <w:sz w:val="32"/>
                          <w:lang w:eastAsia="zh-CN"/>
                        </w:rPr>
                        <w:t>东莞文旅有限公司</w:t>
                      </w:r>
                    </w:p>
                    <w:p w14:paraId="01BD2597"/>
                  </w:txbxContent>
                </v:textbox>
              </v:shape>
            </w:pict>
          </mc:Fallback>
        </mc:AlternateContent>
      </w:r>
    </w:p>
    <w:p w14:paraId="121E5B18">
      <w:pPr>
        <w:widowControl/>
        <w:spacing w:line="360" w:lineRule="auto"/>
        <w:ind w:right="-26"/>
        <w:jc w:val="center"/>
        <w:textAlignment w:val="bottom"/>
        <w:rPr>
          <w:rFonts w:hint="eastAsia" w:hAnsi="宋体"/>
          <w:b/>
          <w:sz w:val="44"/>
        </w:rPr>
      </w:pPr>
    </w:p>
    <w:p w14:paraId="31996756">
      <w:pPr>
        <w:widowControl/>
        <w:spacing w:line="360" w:lineRule="auto"/>
        <w:ind w:right="-26"/>
        <w:jc w:val="center"/>
        <w:textAlignment w:val="bottom"/>
        <w:rPr>
          <w:rFonts w:hint="eastAsia" w:hAnsi="宋体"/>
          <w:b/>
          <w:sz w:val="44"/>
        </w:rPr>
      </w:pPr>
    </w:p>
    <w:p w14:paraId="651E09E2">
      <w:pPr>
        <w:widowControl/>
        <w:spacing w:line="360" w:lineRule="auto"/>
        <w:ind w:right="-26"/>
        <w:jc w:val="center"/>
        <w:textAlignment w:val="bottom"/>
        <w:rPr>
          <w:rFonts w:hint="eastAsia" w:hAnsi="宋体"/>
          <w:b/>
          <w:sz w:val="44"/>
        </w:rPr>
      </w:pPr>
    </w:p>
    <w:p w14:paraId="4C6E136B">
      <w:pPr>
        <w:widowControl/>
        <w:spacing w:line="360" w:lineRule="auto"/>
        <w:ind w:right="-26"/>
        <w:jc w:val="center"/>
        <w:textAlignment w:val="bottom"/>
        <w:rPr>
          <w:rFonts w:hint="eastAsia" w:hAnsi="宋体"/>
          <w:b/>
          <w:sz w:val="44"/>
        </w:rPr>
      </w:pPr>
    </w:p>
    <w:p w14:paraId="35EBD46D">
      <w:pPr>
        <w:widowControl/>
        <w:spacing w:line="360" w:lineRule="auto"/>
        <w:ind w:right="-26"/>
        <w:jc w:val="center"/>
        <w:textAlignment w:val="bottom"/>
        <w:rPr>
          <w:rFonts w:hint="eastAsia" w:hAnsi="宋体"/>
          <w:b/>
          <w:sz w:val="44"/>
        </w:rPr>
      </w:pPr>
    </w:p>
    <w:p w14:paraId="33412A4C">
      <w:pPr>
        <w:widowControl/>
        <w:spacing w:line="360" w:lineRule="auto"/>
        <w:ind w:right="-26"/>
        <w:textAlignment w:val="bottom"/>
        <w:rPr>
          <w:rFonts w:hint="eastAsia" w:hAnsi="宋体"/>
          <w:b/>
          <w:sz w:val="32"/>
        </w:rPr>
      </w:pPr>
    </w:p>
    <w:p w14:paraId="66007123">
      <w:pPr>
        <w:widowControl/>
        <w:spacing w:line="360" w:lineRule="auto"/>
        <w:ind w:right="-26"/>
        <w:jc w:val="center"/>
        <w:textAlignment w:val="bottom"/>
        <w:rPr>
          <w:rFonts w:hint="eastAsia" w:hAnsi="宋体"/>
          <w:b/>
          <w:sz w:val="32"/>
          <w:szCs w:val="20"/>
        </w:rPr>
      </w:pPr>
      <w:r>
        <w:rPr>
          <w:rFonts w:hint="eastAsia" w:hAnsi="宋体"/>
          <w:b/>
          <w:sz w:val="32"/>
          <w:szCs w:val="20"/>
        </w:rPr>
        <w:t>广东洲际招标代理有限公司</w:t>
      </w:r>
    </w:p>
    <w:p w14:paraId="3A012927">
      <w:pPr>
        <w:widowControl/>
        <w:spacing w:line="360" w:lineRule="auto"/>
        <w:jc w:val="center"/>
        <w:textAlignment w:val="bottom"/>
        <w:rPr>
          <w:rFonts w:hint="eastAsia" w:hAnsi="宋体"/>
          <w:b/>
          <w:sz w:val="36"/>
          <w:szCs w:val="21"/>
        </w:rPr>
      </w:pPr>
      <w:r>
        <w:rPr>
          <w:rFonts w:hint="eastAsia" w:hAnsi="宋体"/>
          <w:b/>
          <w:sz w:val="36"/>
          <w:szCs w:val="21"/>
        </w:rPr>
        <w:t>二〇二五年</w:t>
      </w:r>
      <w:r>
        <w:rPr>
          <w:rFonts w:hint="eastAsia" w:hAnsi="宋体"/>
          <w:b/>
          <w:sz w:val="36"/>
          <w:szCs w:val="21"/>
          <w:lang w:val="en-US" w:eastAsia="zh-CN"/>
        </w:rPr>
        <w:t>十</w:t>
      </w:r>
      <w:r>
        <w:rPr>
          <w:rFonts w:hint="eastAsia" w:hAnsi="宋体"/>
          <w:b/>
          <w:sz w:val="36"/>
          <w:szCs w:val="21"/>
        </w:rPr>
        <w:t>月</w:t>
      </w:r>
    </w:p>
    <w:p w14:paraId="5994840D">
      <w:pPr>
        <w:widowControl/>
        <w:spacing w:line="360" w:lineRule="auto"/>
        <w:ind w:right="-26" w:hanging="480"/>
        <w:jc w:val="center"/>
        <w:textAlignment w:val="bottom"/>
        <w:rPr>
          <w:rFonts w:hint="eastAsia" w:ascii="黑体" w:hAnsi="黑体" w:eastAsia="黑体" w:cs="黑体"/>
          <w:b/>
          <w:sz w:val="32"/>
        </w:rPr>
      </w:pPr>
    </w:p>
    <w:p w14:paraId="319ABA1E">
      <w:pPr>
        <w:widowControl/>
        <w:autoSpaceDE/>
        <w:autoSpaceDN/>
        <w:adjustRightInd/>
        <w:rPr>
          <w:rFonts w:hint="eastAsia" w:ascii="黑体" w:hAnsi="黑体" w:eastAsia="黑体" w:cs="黑体"/>
          <w:b/>
          <w:sz w:val="32"/>
        </w:rPr>
      </w:pPr>
      <w:r>
        <w:rPr>
          <w:rFonts w:hint="eastAsia" w:ascii="黑体" w:hAnsi="黑体" w:eastAsia="黑体" w:cs="黑体"/>
          <w:b/>
          <w:sz w:val="32"/>
        </w:rPr>
        <w:br w:type="page"/>
      </w:r>
    </w:p>
    <w:p w14:paraId="0FB08CFA">
      <w:pPr>
        <w:spacing w:line="360" w:lineRule="auto"/>
        <w:ind w:left="48" w:leftChars="20"/>
        <w:jc w:val="center"/>
        <w:rPr>
          <w:rFonts w:hint="eastAsia" w:ascii="黑体" w:hAnsi="黑体" w:eastAsia="黑体" w:cs="黑体"/>
          <w:sz w:val="32"/>
          <w:szCs w:val="32"/>
        </w:rPr>
      </w:pPr>
      <w:bookmarkStart w:id="1" w:name="_Toc27261"/>
      <w:r>
        <w:rPr>
          <w:rFonts w:hint="eastAsia" w:ascii="黑体" w:hAnsi="黑体" w:eastAsia="黑体" w:cs="黑体"/>
          <w:sz w:val="32"/>
          <w:szCs w:val="32"/>
        </w:rPr>
        <w:t>温馨提示</w:t>
      </w:r>
    </w:p>
    <w:p w14:paraId="031D1AAE">
      <w:pPr>
        <w:jc w:val="center"/>
        <w:rPr>
          <w:rFonts w:hint="eastAsia" w:ascii="黑体" w:hAnsi="黑体" w:eastAsia="黑体" w:cs="黑体"/>
        </w:rPr>
      </w:pPr>
      <w:r>
        <w:rPr>
          <w:rFonts w:hint="eastAsia" w:ascii="黑体" w:hAnsi="黑体" w:eastAsia="黑体" w:cs="黑体"/>
        </w:rPr>
        <w:t>（本提示内容非磋商文件的组成部分，仅为善意提醒。如有不一致，以磋商文件为准）</w:t>
      </w:r>
    </w:p>
    <w:p w14:paraId="0E95401C">
      <w:pPr>
        <w:spacing w:line="360" w:lineRule="auto"/>
        <w:ind w:left="48" w:leftChars="20"/>
        <w:jc w:val="center"/>
        <w:rPr>
          <w:rFonts w:hint="eastAsia" w:ascii="黑体" w:hAnsi="黑体" w:eastAsia="黑体" w:cs="黑体"/>
          <w:sz w:val="32"/>
          <w:szCs w:val="32"/>
        </w:rPr>
      </w:pPr>
    </w:p>
    <w:p w14:paraId="0EC91CD0">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磋商截止时间一到，采购代理机构不接收供应商的任何相关磋商资料、文件。为此，请适当提前到达。</w:t>
      </w:r>
    </w:p>
    <w:p w14:paraId="5463093D">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磋商保证金必须于磋商截止时间前到达磋商文件中所注明账户。由于转账当天不一定能够达账，为避免因磋商保证金未到账而导致磋商被拒，建议至少提前2个工作日转账。</w:t>
      </w:r>
    </w:p>
    <w:p w14:paraId="76665368">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请正确填写《报价一览表》。多子包项目请仔细检查子包号，子包号与子包名称必须对应。</w:t>
      </w:r>
    </w:p>
    <w:p w14:paraId="4E9AAC59">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请仔细检查磋商响应文件是否已按磋商文件要求盖章、签名、签署日期。</w:t>
      </w:r>
    </w:p>
    <w:p w14:paraId="1ED2BE02">
      <w:pPr>
        <w:numPr>
          <w:ilvl w:val="0"/>
          <w:numId w:val="9"/>
        </w:numPr>
        <w:spacing w:line="360" w:lineRule="auto"/>
        <w:ind w:left="180" w:firstLine="48" w:firstLineChars="20"/>
        <w:jc w:val="both"/>
        <w:rPr>
          <w:rFonts w:hint="eastAsia" w:ascii="黑体" w:hAnsi="黑体" w:eastAsia="黑体" w:cs="黑体"/>
        </w:rPr>
      </w:pPr>
      <w:bookmarkStart w:id="2" w:name="_Toc17927"/>
      <w:r>
        <w:rPr>
          <w:rFonts w:hint="eastAsia" w:ascii="黑体" w:hAnsi="黑体" w:eastAsia="黑体" w:cs="黑体"/>
        </w:rPr>
        <w:t>磋商响应文件应按顺序编制页码。</w:t>
      </w:r>
      <w:bookmarkEnd w:id="2"/>
    </w:p>
    <w:p w14:paraId="15D006E1">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如所投产品属于许可证管理范围内的，须提交相应的许可证复印件。</w:t>
      </w:r>
    </w:p>
    <w:p w14:paraId="68A4A965">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为了提高采购效率，节约社会交易成本与时间，望购买了磋商文件而决定不参加本次磋商的供应商，在磋商响应文件递交截止时间的3日前，按《磋商邀请函》中的联系方式，以书面形式告知采购代理机构。对您的支持与配合，谨此致谢。</w:t>
      </w:r>
    </w:p>
    <w:p w14:paraId="100388B9">
      <w:pPr>
        <w:numPr>
          <w:ilvl w:val="0"/>
          <w:numId w:val="9"/>
        </w:numPr>
        <w:spacing w:line="360" w:lineRule="auto"/>
        <w:ind w:left="180" w:firstLine="48" w:firstLineChars="20"/>
        <w:jc w:val="both"/>
        <w:rPr>
          <w:rFonts w:hint="eastAsia" w:ascii="黑体" w:hAnsi="黑体" w:eastAsia="黑体" w:cs="黑体"/>
        </w:rPr>
      </w:pPr>
      <w:r>
        <w:rPr>
          <w:rFonts w:hint="eastAsia" w:ascii="黑体" w:hAnsi="黑体" w:eastAsia="黑体" w:cs="黑体"/>
        </w:rPr>
        <w:t>如需供应商支付的各种费用，如磋商文件售价、工程图纸押金、保证金和采购代理服务费等，磋商文件将书面详细告知，请供应商按磋商文件规定的方式和金额支付。</w:t>
      </w:r>
    </w:p>
    <w:p w14:paraId="72A0CC70">
      <w:pPr>
        <w:jc w:val="center"/>
        <w:rPr>
          <w:rFonts w:hint="eastAsia" w:hAnsi="宋体"/>
          <w:b/>
          <w:bCs/>
          <w:sz w:val="32"/>
          <w:szCs w:val="32"/>
          <w:lang w:val="zh-CN"/>
        </w:rPr>
      </w:pPr>
    </w:p>
    <w:p w14:paraId="1DCFDD79">
      <w:pPr>
        <w:jc w:val="center"/>
        <w:rPr>
          <w:rFonts w:hint="eastAsia" w:hAnsi="宋体"/>
          <w:b/>
          <w:bCs/>
          <w:sz w:val="32"/>
          <w:szCs w:val="32"/>
          <w:lang w:val="zh-CN"/>
        </w:rPr>
      </w:pPr>
    </w:p>
    <w:p w14:paraId="4A703D4E">
      <w:pPr>
        <w:jc w:val="center"/>
        <w:rPr>
          <w:rFonts w:hint="eastAsia" w:hAnsi="宋体"/>
          <w:b/>
          <w:bCs/>
          <w:sz w:val="32"/>
          <w:szCs w:val="32"/>
          <w:lang w:val="zh-CN"/>
        </w:rPr>
      </w:pPr>
    </w:p>
    <w:p w14:paraId="4EECA4B7">
      <w:pPr>
        <w:jc w:val="center"/>
        <w:rPr>
          <w:rFonts w:hint="eastAsia" w:hAnsi="宋体"/>
          <w:b/>
          <w:bCs/>
          <w:sz w:val="32"/>
          <w:szCs w:val="32"/>
          <w:lang w:val="zh-CN"/>
        </w:rPr>
      </w:pPr>
    </w:p>
    <w:p w14:paraId="6777CFFA">
      <w:pPr>
        <w:widowControl/>
        <w:autoSpaceDE/>
        <w:autoSpaceDN/>
        <w:adjustRightInd/>
        <w:rPr>
          <w:rFonts w:hint="eastAsia" w:hAnsi="宋体"/>
          <w:b/>
          <w:bCs/>
          <w:sz w:val="32"/>
          <w:szCs w:val="32"/>
          <w:lang w:val="zh-CN"/>
        </w:rPr>
      </w:pPr>
      <w:r>
        <w:rPr>
          <w:rFonts w:hint="eastAsia" w:hAnsi="宋体"/>
          <w:b/>
          <w:bCs/>
          <w:sz w:val="32"/>
          <w:szCs w:val="32"/>
          <w:lang w:val="zh-CN"/>
        </w:rPr>
        <w:br w:type="page"/>
      </w:r>
    </w:p>
    <w:p w14:paraId="13F9B927">
      <w:pPr>
        <w:jc w:val="center"/>
        <w:rPr>
          <w:rFonts w:hint="eastAsia" w:hAnsi="宋体"/>
          <w:b/>
          <w:bCs/>
          <w:sz w:val="32"/>
          <w:szCs w:val="32"/>
          <w:lang w:val="zh-CN"/>
        </w:rPr>
      </w:pPr>
    </w:p>
    <w:p w14:paraId="0087534D"/>
    <w:p w14:paraId="62935097">
      <w:pPr>
        <w:jc w:val="center"/>
        <w:rPr>
          <w:rFonts w:hint="eastAsia" w:hAnsi="宋体"/>
          <w:b/>
          <w:bCs/>
          <w:sz w:val="32"/>
          <w:szCs w:val="32"/>
          <w:lang w:val="zh-CN"/>
        </w:rPr>
      </w:pPr>
      <w:r>
        <w:rPr>
          <w:rFonts w:hAnsi="宋体"/>
          <w:b/>
          <w:bCs/>
          <w:sz w:val="32"/>
          <w:szCs w:val="32"/>
          <w:lang w:val="zh-CN"/>
        </w:rPr>
        <w:t>目录</w:t>
      </w:r>
      <w:bookmarkStart w:id="3" w:name="_Toc396137229"/>
    </w:p>
    <w:p w14:paraId="4887A3B9">
      <w:pPr>
        <w:spacing w:line="360" w:lineRule="auto"/>
        <w:jc w:val="both"/>
        <w:rPr>
          <w:b/>
          <w:bCs/>
          <w:sz w:val="44"/>
          <w:szCs w:val="44"/>
        </w:rPr>
      </w:pPr>
    </w:p>
    <w:p w14:paraId="16A0C09C">
      <w:pPr>
        <w:pStyle w:val="188"/>
        <w:tabs>
          <w:tab w:val="right" w:leader="dot" w:pos="8306"/>
        </w:tabs>
        <w:spacing w:line="360" w:lineRule="auto"/>
        <w:jc w:val="center"/>
        <w:rPr>
          <w:b/>
          <w:bCs/>
          <w:sz w:val="32"/>
          <w:szCs w:val="32"/>
        </w:rPr>
      </w:pPr>
      <w:r>
        <w:rPr>
          <w:b/>
          <w:bCs/>
          <w:sz w:val="32"/>
          <w:szCs w:val="32"/>
        </w:rPr>
        <w:fldChar w:fldCharType="begin"/>
      </w:r>
      <w:r>
        <w:rPr>
          <w:b/>
          <w:bCs/>
          <w:sz w:val="32"/>
          <w:szCs w:val="32"/>
        </w:rPr>
        <w:instrText xml:space="preserve">TOC \o "1-1" \h \u </w:instrText>
      </w:r>
      <w:r>
        <w:rPr>
          <w:b/>
          <w:bCs/>
          <w:sz w:val="32"/>
          <w:szCs w:val="32"/>
        </w:rPr>
        <w:fldChar w:fldCharType="separate"/>
      </w:r>
      <w:r>
        <w:fldChar w:fldCharType="begin"/>
      </w:r>
      <w:r>
        <w:instrText xml:space="preserve"> HYPERLINK \l "_Toc3573" </w:instrText>
      </w:r>
      <w:r>
        <w:fldChar w:fldCharType="separate"/>
      </w:r>
      <w:r>
        <w:rPr>
          <w:rFonts w:hAnsi="宋体"/>
          <w:b/>
          <w:bCs/>
          <w:kern w:val="44"/>
          <w:sz w:val="32"/>
          <w:szCs w:val="48"/>
          <w:lang w:val="zh-CN"/>
        </w:rPr>
        <w:t xml:space="preserve">第一篇 </w:t>
      </w:r>
      <w:r>
        <w:rPr>
          <w:rFonts w:hint="eastAsia" w:hAnsi="宋体"/>
          <w:b/>
          <w:bCs/>
          <w:kern w:val="44"/>
          <w:sz w:val="32"/>
          <w:szCs w:val="48"/>
        </w:rPr>
        <w:t>磋商邀请书</w:t>
      </w:r>
      <w:r>
        <w:rPr>
          <w:b/>
          <w:bCs/>
          <w:sz w:val="32"/>
          <w:szCs w:val="32"/>
        </w:rPr>
        <w:tab/>
      </w:r>
      <w:r>
        <w:rPr>
          <w:b/>
          <w:bCs/>
          <w:sz w:val="32"/>
          <w:szCs w:val="32"/>
        </w:rPr>
        <w:fldChar w:fldCharType="begin"/>
      </w:r>
      <w:r>
        <w:rPr>
          <w:b/>
          <w:bCs/>
          <w:sz w:val="32"/>
          <w:szCs w:val="32"/>
        </w:rPr>
        <w:instrText xml:space="preserve"> PAGEREF _Toc3573 \h </w:instrText>
      </w:r>
      <w:r>
        <w:rPr>
          <w:b/>
          <w:bCs/>
          <w:sz w:val="32"/>
          <w:szCs w:val="32"/>
        </w:rPr>
        <w:fldChar w:fldCharType="separate"/>
      </w:r>
      <w:r>
        <w:rPr>
          <w:b/>
          <w:bCs/>
          <w:sz w:val="32"/>
          <w:szCs w:val="32"/>
        </w:rPr>
        <w:t>4</w:t>
      </w:r>
      <w:r>
        <w:rPr>
          <w:b/>
          <w:bCs/>
          <w:sz w:val="32"/>
          <w:szCs w:val="32"/>
        </w:rPr>
        <w:fldChar w:fldCharType="end"/>
      </w:r>
      <w:r>
        <w:rPr>
          <w:b/>
          <w:bCs/>
          <w:sz w:val="32"/>
          <w:szCs w:val="32"/>
        </w:rPr>
        <w:fldChar w:fldCharType="end"/>
      </w:r>
    </w:p>
    <w:p w14:paraId="3009D054">
      <w:pPr>
        <w:pStyle w:val="188"/>
        <w:tabs>
          <w:tab w:val="right" w:leader="dot" w:pos="8306"/>
        </w:tabs>
        <w:spacing w:line="360" w:lineRule="auto"/>
        <w:jc w:val="center"/>
        <w:rPr>
          <w:b/>
          <w:bCs/>
          <w:sz w:val="32"/>
          <w:szCs w:val="32"/>
        </w:rPr>
      </w:pPr>
      <w:r>
        <w:fldChar w:fldCharType="begin"/>
      </w:r>
      <w:r>
        <w:instrText xml:space="preserve"> HYPERLINK \l "_Toc17779" </w:instrText>
      </w:r>
      <w:r>
        <w:fldChar w:fldCharType="separate"/>
      </w:r>
      <w:r>
        <w:rPr>
          <w:rFonts w:hAnsi="宋体"/>
          <w:b/>
          <w:bCs/>
          <w:kern w:val="44"/>
          <w:sz w:val="32"/>
          <w:szCs w:val="48"/>
          <w:lang w:val="zh-CN"/>
        </w:rPr>
        <w:t xml:space="preserve">第二篇 </w:t>
      </w:r>
      <w:r>
        <w:rPr>
          <w:rFonts w:hint="eastAsia" w:hAnsi="宋体"/>
          <w:b/>
          <w:bCs/>
          <w:kern w:val="44"/>
          <w:sz w:val="32"/>
          <w:szCs w:val="48"/>
          <w:lang w:val="zh-CN"/>
        </w:rPr>
        <w:t>供应商须知</w:t>
      </w:r>
      <w:r>
        <w:rPr>
          <w:b/>
          <w:bCs/>
          <w:sz w:val="32"/>
          <w:szCs w:val="32"/>
        </w:rPr>
        <w:tab/>
      </w:r>
      <w:r>
        <w:rPr>
          <w:b/>
          <w:bCs/>
          <w:sz w:val="32"/>
          <w:szCs w:val="32"/>
        </w:rPr>
        <w:fldChar w:fldCharType="begin"/>
      </w:r>
      <w:r>
        <w:rPr>
          <w:b/>
          <w:bCs/>
          <w:sz w:val="32"/>
          <w:szCs w:val="32"/>
        </w:rPr>
        <w:instrText xml:space="preserve"> PAGEREF _Toc17779 \h </w:instrText>
      </w:r>
      <w:r>
        <w:rPr>
          <w:b/>
          <w:bCs/>
          <w:sz w:val="32"/>
          <w:szCs w:val="32"/>
        </w:rPr>
        <w:fldChar w:fldCharType="separate"/>
      </w:r>
      <w:r>
        <w:rPr>
          <w:b/>
          <w:bCs/>
          <w:sz w:val="32"/>
          <w:szCs w:val="32"/>
        </w:rPr>
        <w:t>7</w:t>
      </w:r>
      <w:r>
        <w:rPr>
          <w:b/>
          <w:bCs/>
          <w:sz w:val="32"/>
          <w:szCs w:val="32"/>
        </w:rPr>
        <w:fldChar w:fldCharType="end"/>
      </w:r>
      <w:r>
        <w:rPr>
          <w:b/>
          <w:bCs/>
          <w:sz w:val="32"/>
          <w:szCs w:val="32"/>
        </w:rPr>
        <w:fldChar w:fldCharType="end"/>
      </w:r>
    </w:p>
    <w:p w14:paraId="0389EE13">
      <w:pPr>
        <w:pStyle w:val="188"/>
        <w:tabs>
          <w:tab w:val="right" w:leader="dot" w:pos="8306"/>
        </w:tabs>
        <w:spacing w:line="360" w:lineRule="auto"/>
        <w:jc w:val="center"/>
        <w:rPr>
          <w:b/>
          <w:bCs/>
          <w:sz w:val="32"/>
          <w:szCs w:val="32"/>
        </w:rPr>
      </w:pPr>
      <w:r>
        <w:fldChar w:fldCharType="begin"/>
      </w:r>
      <w:r>
        <w:instrText xml:space="preserve"> HYPERLINK \l "_Toc22134" </w:instrText>
      </w:r>
      <w:r>
        <w:fldChar w:fldCharType="separate"/>
      </w:r>
      <w:r>
        <w:rPr>
          <w:rFonts w:hAnsi="宋体"/>
          <w:b/>
          <w:bCs/>
          <w:kern w:val="44"/>
          <w:sz w:val="32"/>
          <w:szCs w:val="48"/>
          <w:lang w:val="zh-CN"/>
        </w:rPr>
        <w:t xml:space="preserve">第三篇 </w:t>
      </w:r>
      <w:r>
        <w:rPr>
          <w:rFonts w:hint="eastAsia" w:hAnsi="宋体"/>
          <w:b/>
          <w:bCs/>
          <w:kern w:val="44"/>
          <w:sz w:val="32"/>
          <w:szCs w:val="48"/>
          <w:lang w:val="zh-CN"/>
        </w:rPr>
        <w:t>用户需求书</w:t>
      </w:r>
      <w:r>
        <w:rPr>
          <w:b/>
          <w:bCs/>
          <w:sz w:val="32"/>
          <w:szCs w:val="32"/>
        </w:rPr>
        <w:tab/>
      </w:r>
      <w:r>
        <w:rPr>
          <w:b/>
          <w:bCs/>
          <w:sz w:val="32"/>
          <w:szCs w:val="32"/>
        </w:rPr>
        <w:fldChar w:fldCharType="begin"/>
      </w:r>
      <w:r>
        <w:rPr>
          <w:b/>
          <w:bCs/>
          <w:sz w:val="32"/>
          <w:szCs w:val="32"/>
        </w:rPr>
        <w:instrText xml:space="preserve"> PAGEREF _Toc22134 \h </w:instrText>
      </w:r>
      <w:r>
        <w:rPr>
          <w:b/>
          <w:bCs/>
          <w:sz w:val="32"/>
          <w:szCs w:val="32"/>
        </w:rPr>
        <w:fldChar w:fldCharType="separate"/>
      </w:r>
      <w:r>
        <w:rPr>
          <w:b/>
          <w:bCs/>
          <w:sz w:val="32"/>
          <w:szCs w:val="32"/>
        </w:rPr>
        <w:t>19</w:t>
      </w:r>
      <w:r>
        <w:rPr>
          <w:b/>
          <w:bCs/>
          <w:sz w:val="32"/>
          <w:szCs w:val="32"/>
        </w:rPr>
        <w:fldChar w:fldCharType="end"/>
      </w:r>
      <w:r>
        <w:rPr>
          <w:b/>
          <w:bCs/>
          <w:sz w:val="32"/>
          <w:szCs w:val="32"/>
        </w:rPr>
        <w:fldChar w:fldCharType="end"/>
      </w:r>
    </w:p>
    <w:p w14:paraId="5D7F1449">
      <w:pPr>
        <w:pStyle w:val="188"/>
        <w:tabs>
          <w:tab w:val="right" w:leader="dot" w:pos="8306"/>
        </w:tabs>
        <w:spacing w:line="360" w:lineRule="auto"/>
        <w:jc w:val="center"/>
        <w:rPr>
          <w:b/>
          <w:bCs/>
          <w:sz w:val="32"/>
          <w:szCs w:val="32"/>
        </w:rPr>
      </w:pPr>
      <w:r>
        <w:fldChar w:fldCharType="begin"/>
      </w:r>
      <w:r>
        <w:instrText xml:space="preserve"> HYPERLINK \l "_Toc28792" </w:instrText>
      </w:r>
      <w:r>
        <w:fldChar w:fldCharType="separate"/>
      </w:r>
      <w:r>
        <w:rPr>
          <w:rFonts w:hAnsi="宋体"/>
          <w:b/>
          <w:bCs/>
          <w:kern w:val="44"/>
          <w:sz w:val="32"/>
          <w:szCs w:val="48"/>
          <w:lang w:val="zh-CN"/>
        </w:rPr>
        <w:t xml:space="preserve">第四篇 </w:t>
      </w:r>
      <w:r>
        <w:rPr>
          <w:rFonts w:hint="eastAsia" w:hAnsi="宋体"/>
          <w:b/>
          <w:bCs/>
          <w:kern w:val="44"/>
          <w:sz w:val="32"/>
          <w:szCs w:val="48"/>
          <w:lang w:val="zh-CN"/>
        </w:rPr>
        <w:t>评审工作大纲</w:t>
      </w:r>
      <w:r>
        <w:rPr>
          <w:b/>
          <w:bCs/>
          <w:sz w:val="32"/>
          <w:szCs w:val="32"/>
        </w:rPr>
        <w:tab/>
      </w:r>
      <w:r>
        <w:rPr>
          <w:b/>
          <w:bCs/>
          <w:sz w:val="32"/>
          <w:szCs w:val="32"/>
        </w:rPr>
        <w:fldChar w:fldCharType="begin"/>
      </w:r>
      <w:r>
        <w:rPr>
          <w:b/>
          <w:bCs/>
          <w:sz w:val="32"/>
          <w:szCs w:val="32"/>
        </w:rPr>
        <w:instrText xml:space="preserve"> PAGEREF _Toc28792 \h </w:instrText>
      </w:r>
      <w:r>
        <w:rPr>
          <w:b/>
          <w:bCs/>
          <w:sz w:val="32"/>
          <w:szCs w:val="32"/>
        </w:rPr>
        <w:fldChar w:fldCharType="separate"/>
      </w:r>
      <w:r>
        <w:rPr>
          <w:b/>
          <w:bCs/>
          <w:sz w:val="32"/>
          <w:szCs w:val="32"/>
        </w:rPr>
        <w:t>23</w:t>
      </w:r>
      <w:r>
        <w:rPr>
          <w:b/>
          <w:bCs/>
          <w:sz w:val="32"/>
          <w:szCs w:val="32"/>
        </w:rPr>
        <w:fldChar w:fldCharType="end"/>
      </w:r>
      <w:r>
        <w:rPr>
          <w:b/>
          <w:bCs/>
          <w:sz w:val="32"/>
          <w:szCs w:val="32"/>
        </w:rPr>
        <w:fldChar w:fldCharType="end"/>
      </w:r>
    </w:p>
    <w:p w14:paraId="6F3A1600">
      <w:pPr>
        <w:pStyle w:val="188"/>
        <w:tabs>
          <w:tab w:val="right" w:leader="dot" w:pos="8306"/>
        </w:tabs>
        <w:spacing w:line="360" w:lineRule="auto"/>
        <w:jc w:val="center"/>
        <w:rPr>
          <w:b/>
          <w:bCs/>
          <w:sz w:val="32"/>
          <w:szCs w:val="32"/>
        </w:rPr>
      </w:pPr>
      <w:r>
        <w:fldChar w:fldCharType="begin"/>
      </w:r>
      <w:r>
        <w:instrText xml:space="preserve"> HYPERLINK \l "_Toc3360" </w:instrText>
      </w:r>
      <w:r>
        <w:fldChar w:fldCharType="separate"/>
      </w:r>
      <w:r>
        <w:rPr>
          <w:rFonts w:hAnsi="宋体"/>
          <w:b/>
          <w:bCs/>
          <w:sz w:val="32"/>
          <w:szCs w:val="32"/>
        </w:rPr>
        <w:t xml:space="preserve">第五篇 </w:t>
      </w:r>
      <w:r>
        <w:rPr>
          <w:rFonts w:hint="eastAsia" w:hAnsi="宋体"/>
          <w:b/>
          <w:bCs/>
          <w:kern w:val="44"/>
          <w:sz w:val="32"/>
          <w:szCs w:val="48"/>
          <w:lang w:val="zh-CN"/>
        </w:rPr>
        <w:t>合同条款格式</w:t>
      </w:r>
      <w:r>
        <w:rPr>
          <w:b/>
          <w:bCs/>
          <w:sz w:val="32"/>
          <w:szCs w:val="32"/>
        </w:rPr>
        <w:tab/>
      </w:r>
      <w:r>
        <w:rPr>
          <w:b/>
          <w:bCs/>
          <w:sz w:val="32"/>
          <w:szCs w:val="32"/>
        </w:rPr>
        <w:fldChar w:fldCharType="begin"/>
      </w:r>
      <w:r>
        <w:rPr>
          <w:b/>
          <w:bCs/>
          <w:sz w:val="32"/>
          <w:szCs w:val="32"/>
        </w:rPr>
        <w:instrText xml:space="preserve"> PAGEREF _Toc3360 \h </w:instrText>
      </w:r>
      <w:r>
        <w:rPr>
          <w:b/>
          <w:bCs/>
          <w:sz w:val="32"/>
          <w:szCs w:val="32"/>
        </w:rPr>
        <w:fldChar w:fldCharType="separate"/>
      </w:r>
      <w:r>
        <w:rPr>
          <w:b/>
          <w:bCs/>
          <w:sz w:val="32"/>
          <w:szCs w:val="32"/>
        </w:rPr>
        <w:t>30</w:t>
      </w:r>
      <w:r>
        <w:rPr>
          <w:b/>
          <w:bCs/>
          <w:sz w:val="32"/>
          <w:szCs w:val="32"/>
        </w:rPr>
        <w:fldChar w:fldCharType="end"/>
      </w:r>
      <w:r>
        <w:rPr>
          <w:b/>
          <w:bCs/>
          <w:sz w:val="32"/>
          <w:szCs w:val="32"/>
        </w:rPr>
        <w:fldChar w:fldCharType="end"/>
      </w:r>
    </w:p>
    <w:p w14:paraId="226AE3E8">
      <w:pPr>
        <w:pStyle w:val="188"/>
        <w:tabs>
          <w:tab w:val="right" w:leader="dot" w:pos="8306"/>
        </w:tabs>
        <w:spacing w:line="360" w:lineRule="auto"/>
        <w:jc w:val="center"/>
        <w:rPr>
          <w:b/>
          <w:bCs/>
          <w:sz w:val="32"/>
          <w:szCs w:val="32"/>
        </w:rPr>
      </w:pPr>
      <w:r>
        <w:fldChar w:fldCharType="begin"/>
      </w:r>
      <w:r>
        <w:instrText xml:space="preserve"> HYPERLINK \l "_Toc9129" </w:instrText>
      </w:r>
      <w:r>
        <w:fldChar w:fldCharType="separate"/>
      </w:r>
      <w:r>
        <w:rPr>
          <w:rFonts w:hint="eastAsia" w:hAnsi="宋体"/>
          <w:b/>
          <w:bCs/>
          <w:kern w:val="44"/>
          <w:sz w:val="32"/>
          <w:szCs w:val="48"/>
          <w:lang w:val="zh-CN"/>
        </w:rPr>
        <w:t>第六篇</w:t>
      </w:r>
      <w:r>
        <w:rPr>
          <w:rFonts w:hint="eastAsia" w:hAnsi="宋体"/>
          <w:b/>
          <w:bCs/>
          <w:kern w:val="44"/>
          <w:sz w:val="32"/>
          <w:szCs w:val="48"/>
        </w:rPr>
        <w:t xml:space="preserve"> </w:t>
      </w:r>
      <w:r>
        <w:rPr>
          <w:rFonts w:hint="eastAsia" w:hAnsi="宋体"/>
          <w:b/>
          <w:bCs/>
          <w:kern w:val="44"/>
          <w:sz w:val="32"/>
          <w:szCs w:val="48"/>
          <w:lang w:val="zh-CN"/>
        </w:rPr>
        <w:t>磋商响应文件格式</w:t>
      </w:r>
      <w:r>
        <w:rPr>
          <w:b/>
          <w:bCs/>
          <w:sz w:val="32"/>
          <w:szCs w:val="32"/>
        </w:rPr>
        <w:tab/>
      </w:r>
      <w:r>
        <w:rPr>
          <w:rFonts w:hint="eastAsia"/>
          <w:b/>
          <w:bCs/>
          <w:sz w:val="32"/>
          <w:szCs w:val="32"/>
        </w:rPr>
        <w:t>4</w:t>
      </w:r>
      <w:r>
        <w:rPr>
          <w:rFonts w:hint="eastAsia"/>
          <w:b/>
          <w:bCs/>
          <w:sz w:val="32"/>
          <w:szCs w:val="32"/>
        </w:rPr>
        <w:fldChar w:fldCharType="end"/>
      </w:r>
      <w:r>
        <w:rPr>
          <w:rFonts w:hint="eastAsia"/>
          <w:b/>
          <w:bCs/>
          <w:sz w:val="32"/>
          <w:szCs w:val="32"/>
        </w:rPr>
        <w:t>0</w:t>
      </w:r>
    </w:p>
    <w:p w14:paraId="79B5EFF4">
      <w:pPr>
        <w:spacing w:line="360" w:lineRule="auto"/>
        <w:jc w:val="center"/>
      </w:pPr>
      <w:r>
        <w:rPr>
          <w:b/>
          <w:bCs/>
          <w:sz w:val="32"/>
          <w:szCs w:val="32"/>
        </w:rPr>
        <w:fldChar w:fldCharType="end"/>
      </w:r>
    </w:p>
    <w:p w14:paraId="53C35814">
      <w:pPr>
        <w:jc w:val="center"/>
      </w:pPr>
      <w:r>
        <w:rPr>
          <w:rFonts w:hAnsi="宋体"/>
          <w:b/>
          <w:bCs/>
          <w:caps/>
          <w:sz w:val="21"/>
          <w:szCs w:val="21"/>
        </w:rPr>
        <w:fldChar w:fldCharType="begin"/>
      </w:r>
      <w:r>
        <w:rPr>
          <w:rStyle w:val="60"/>
          <w:rFonts w:hAnsi="宋体"/>
          <w:b/>
          <w:bCs/>
          <w:caps/>
          <w:color w:val="auto"/>
          <w:sz w:val="21"/>
          <w:szCs w:val="21"/>
        </w:rPr>
        <w:instrText xml:space="preserve"> TOC \o "1-3" \h \z \u </w:instrText>
      </w:r>
      <w:r>
        <w:rPr>
          <w:rFonts w:hAnsi="宋体"/>
          <w:b/>
          <w:bCs/>
          <w:caps/>
          <w:sz w:val="21"/>
          <w:szCs w:val="21"/>
        </w:rPr>
        <w:fldChar w:fldCharType="separate"/>
      </w:r>
    </w:p>
    <w:p w14:paraId="0816DB99">
      <w:pPr>
        <w:pStyle w:val="5"/>
        <w:keepNext/>
        <w:keepLines/>
        <w:pageBreakBefore/>
        <w:numPr>
          <w:ilvl w:val="0"/>
          <w:numId w:val="10"/>
        </w:numPr>
        <w:tabs>
          <w:tab w:val="left" w:pos="1080"/>
        </w:tabs>
        <w:spacing w:line="360" w:lineRule="auto"/>
        <w:ind w:left="1078" w:hanging="1077" w:hangingChars="449"/>
        <w:jc w:val="center"/>
        <w:rPr>
          <w:rFonts w:hint="eastAsia" w:hAnsi="宋体"/>
          <w:b/>
          <w:bCs/>
          <w:kern w:val="44"/>
          <w:sz w:val="28"/>
          <w:szCs w:val="28"/>
          <w:lang w:val="zh-CN"/>
        </w:rPr>
      </w:pPr>
      <w:bookmarkStart w:id="4" w:name="_Toc3573"/>
      <w:r>
        <w:fldChar w:fldCharType="end"/>
      </w:r>
      <w:bookmarkEnd w:id="3"/>
      <w:r>
        <w:rPr>
          <w:rFonts w:hint="eastAsia" w:hAnsi="宋体"/>
          <w:b/>
          <w:bCs/>
          <w:kern w:val="44"/>
          <w:sz w:val="28"/>
          <w:szCs w:val="28"/>
        </w:rPr>
        <w:t>磋商邀请书</w:t>
      </w:r>
      <w:bookmarkEnd w:id="1"/>
      <w:bookmarkEnd w:id="4"/>
    </w:p>
    <w:p w14:paraId="6FF3385F">
      <w:pPr>
        <w:widowControl/>
        <w:tabs>
          <w:tab w:val="left" w:pos="-360"/>
        </w:tabs>
        <w:adjustRightInd/>
        <w:spacing w:line="360" w:lineRule="auto"/>
        <w:ind w:right="-34" w:firstLine="420" w:firstLineChars="200"/>
        <w:jc w:val="both"/>
        <w:textAlignment w:val="bottom"/>
        <w:rPr>
          <w:rFonts w:hint="eastAsia" w:hAnsi="宋体"/>
          <w:sz w:val="21"/>
          <w:szCs w:val="21"/>
        </w:rPr>
      </w:pPr>
      <w:r>
        <w:rPr>
          <w:rFonts w:hint="eastAsia" w:hAnsi="宋体"/>
          <w:sz w:val="21"/>
          <w:szCs w:val="21"/>
        </w:rPr>
        <w:t>广东洲际招标代理有限公司（以下简称“采购代理机构”）受</w:t>
      </w:r>
      <w:r>
        <w:rPr>
          <w:rFonts w:hint="eastAsia" w:hAnsi="宋体"/>
          <w:sz w:val="21"/>
          <w:szCs w:val="21"/>
          <w:lang w:eastAsia="zh-CN"/>
        </w:rPr>
        <w:t>东莞文旅有限公司</w:t>
      </w:r>
      <w:r>
        <w:rPr>
          <w:rFonts w:hint="eastAsia" w:hAnsi="宋体"/>
          <w:sz w:val="21"/>
          <w:szCs w:val="21"/>
        </w:rPr>
        <w:t>（以下简称“采购人”）的委托，为</w:t>
      </w:r>
      <w:r>
        <w:rPr>
          <w:rFonts w:hint="eastAsia" w:hAnsi="宋体"/>
          <w:sz w:val="21"/>
          <w:szCs w:val="21"/>
          <w:lang w:eastAsia="zh-CN"/>
        </w:rPr>
        <w:t>东莞文旅旗云广场项目外广场氛围提升设计施工承包</w:t>
      </w:r>
      <w:r>
        <w:rPr>
          <w:rFonts w:hint="eastAsia" w:hAnsi="宋体"/>
          <w:sz w:val="21"/>
          <w:szCs w:val="21"/>
        </w:rPr>
        <w:t>(项目编号：</w:t>
      </w:r>
      <w:r>
        <w:rPr>
          <w:rFonts w:hint="eastAsia" w:hAnsi="宋体"/>
          <w:sz w:val="21"/>
          <w:szCs w:val="21"/>
          <w:lang w:val="en-US" w:eastAsia="zh-CN"/>
        </w:rPr>
        <w:t>DSSG-GC-017-057(2025)</w:t>
      </w:r>
      <w:r>
        <w:rPr>
          <w:rFonts w:hint="eastAsia" w:hAnsi="宋体"/>
          <w:sz w:val="21"/>
          <w:szCs w:val="21"/>
        </w:rPr>
        <w:t>)采购所需的服务。本项目采用竞争性磋商采购方式，欢迎合格供应商就本项目提交密封磋商。</w:t>
      </w:r>
    </w:p>
    <w:p w14:paraId="60C692C4">
      <w:pPr>
        <w:spacing w:line="360" w:lineRule="auto"/>
        <w:rPr>
          <w:rFonts w:hint="eastAsia" w:hAnsi="宋体"/>
          <w:b/>
          <w:sz w:val="21"/>
          <w:szCs w:val="21"/>
        </w:rPr>
      </w:pPr>
      <w:bookmarkStart w:id="5" w:name="_Toc4600"/>
      <w:r>
        <w:rPr>
          <w:rFonts w:hint="eastAsia" w:hAnsi="宋体"/>
          <w:b/>
          <w:sz w:val="21"/>
          <w:szCs w:val="21"/>
        </w:rPr>
        <w:t>一、采购项目概况</w:t>
      </w:r>
    </w:p>
    <w:p w14:paraId="3CF94597">
      <w:pPr>
        <w:spacing w:line="360" w:lineRule="auto"/>
        <w:ind w:firstLine="420" w:firstLineChars="200"/>
        <w:rPr>
          <w:rFonts w:hint="eastAsia" w:hAnsi="宋体" w:eastAsia="宋体"/>
          <w:sz w:val="21"/>
          <w:szCs w:val="21"/>
          <w:lang w:eastAsia="zh-CN"/>
        </w:rPr>
      </w:pPr>
      <w:r>
        <w:rPr>
          <w:rFonts w:hAnsi="宋体"/>
          <w:sz w:val="21"/>
          <w:szCs w:val="21"/>
        </w:rPr>
        <w:t>1</w:t>
      </w:r>
      <w:r>
        <w:rPr>
          <w:rFonts w:hint="eastAsia" w:hAnsi="宋体"/>
          <w:sz w:val="21"/>
          <w:szCs w:val="21"/>
        </w:rPr>
        <w:t>、采购</w:t>
      </w:r>
      <w:r>
        <w:rPr>
          <w:rFonts w:hAnsi="宋体"/>
          <w:sz w:val="21"/>
          <w:szCs w:val="21"/>
        </w:rPr>
        <w:t>项目名称</w:t>
      </w:r>
      <w:r>
        <w:rPr>
          <w:rFonts w:hint="eastAsia" w:hAnsi="宋体"/>
          <w:sz w:val="21"/>
          <w:szCs w:val="21"/>
        </w:rPr>
        <w:t>：</w:t>
      </w:r>
      <w:r>
        <w:rPr>
          <w:rFonts w:hint="eastAsia" w:hAnsi="宋体"/>
          <w:b/>
          <w:sz w:val="21"/>
          <w:szCs w:val="21"/>
          <w:u w:val="single"/>
          <w:lang w:eastAsia="zh-CN"/>
        </w:rPr>
        <w:t>东莞文旅旗云广场项目外广场氛围提升设计施工承包</w:t>
      </w:r>
    </w:p>
    <w:p w14:paraId="41EF8A45">
      <w:pPr>
        <w:spacing w:line="360" w:lineRule="auto"/>
        <w:ind w:firstLine="420" w:firstLineChars="200"/>
        <w:rPr>
          <w:rFonts w:hint="eastAsia" w:hAnsi="宋体"/>
          <w:sz w:val="21"/>
          <w:szCs w:val="21"/>
        </w:rPr>
      </w:pPr>
      <w:r>
        <w:rPr>
          <w:rFonts w:hint="eastAsia" w:hAnsi="宋体"/>
          <w:sz w:val="21"/>
          <w:szCs w:val="21"/>
        </w:rPr>
        <w:t>2、预算金额（元）：¥</w:t>
      </w:r>
      <w:r>
        <w:rPr>
          <w:rFonts w:hint="eastAsia" w:hAnsi="宋体"/>
          <w:sz w:val="21"/>
          <w:szCs w:val="21"/>
          <w:lang w:val="en-US" w:eastAsia="zh-CN"/>
        </w:rPr>
        <w:t>890,000.00</w:t>
      </w:r>
      <w:r>
        <w:rPr>
          <w:rFonts w:hint="eastAsia" w:hAnsi="宋体"/>
          <w:sz w:val="21"/>
          <w:szCs w:val="21"/>
        </w:rPr>
        <w:t>元</w:t>
      </w:r>
    </w:p>
    <w:p w14:paraId="799FC9B5">
      <w:pPr>
        <w:spacing w:line="360" w:lineRule="auto"/>
        <w:ind w:firstLine="420" w:firstLineChars="200"/>
        <w:rPr>
          <w:rFonts w:hint="eastAsia" w:hAnsi="宋体"/>
          <w:sz w:val="21"/>
          <w:szCs w:val="21"/>
        </w:rPr>
      </w:pPr>
      <w:r>
        <w:rPr>
          <w:rFonts w:hint="eastAsia" w:hAnsi="宋体"/>
          <w:sz w:val="21"/>
          <w:szCs w:val="21"/>
          <w:lang w:val="en-US" w:eastAsia="zh-CN"/>
        </w:rPr>
        <w:t>3</w:t>
      </w:r>
      <w:r>
        <w:rPr>
          <w:rFonts w:hint="eastAsia" w:hAnsi="宋体"/>
          <w:sz w:val="21"/>
          <w:szCs w:val="21"/>
        </w:rPr>
        <w:t>、项目内容</w:t>
      </w:r>
    </w:p>
    <w:tbl>
      <w:tblPr>
        <w:tblStyle w:val="53"/>
        <w:tblW w:w="42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7"/>
        <w:gridCol w:w="2221"/>
      </w:tblGrid>
      <w:tr w14:paraId="181E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683" w:type="pct"/>
            <w:vAlign w:val="center"/>
          </w:tcPr>
          <w:p w14:paraId="020A123A">
            <w:pPr>
              <w:spacing w:line="360" w:lineRule="auto"/>
              <w:jc w:val="center"/>
              <w:rPr>
                <w:rFonts w:hint="eastAsia" w:hAnsi="宋体"/>
                <w:kern w:val="28"/>
                <w:sz w:val="21"/>
                <w:szCs w:val="21"/>
              </w:rPr>
            </w:pPr>
            <w:r>
              <w:rPr>
                <w:rFonts w:hint="eastAsia" w:hAnsi="宋体"/>
                <w:kern w:val="28"/>
                <w:sz w:val="21"/>
                <w:szCs w:val="21"/>
              </w:rPr>
              <w:t>项目内容</w:t>
            </w:r>
          </w:p>
        </w:tc>
        <w:tc>
          <w:tcPr>
            <w:tcW w:w="1316" w:type="pct"/>
            <w:vAlign w:val="center"/>
          </w:tcPr>
          <w:p w14:paraId="5769FD15">
            <w:pPr>
              <w:spacing w:line="360" w:lineRule="auto"/>
              <w:jc w:val="center"/>
              <w:rPr>
                <w:rFonts w:hint="eastAsia" w:hAnsi="宋体"/>
                <w:kern w:val="28"/>
                <w:sz w:val="21"/>
                <w:szCs w:val="21"/>
              </w:rPr>
            </w:pPr>
            <w:r>
              <w:rPr>
                <w:rFonts w:hint="eastAsia" w:hAnsi="宋体"/>
                <w:kern w:val="28"/>
                <w:sz w:val="21"/>
                <w:szCs w:val="21"/>
              </w:rPr>
              <w:t>采购服务单位数量</w:t>
            </w:r>
          </w:p>
        </w:tc>
      </w:tr>
      <w:tr w14:paraId="189E9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683" w:type="pct"/>
            <w:vAlign w:val="center"/>
          </w:tcPr>
          <w:p w14:paraId="74EE8A96">
            <w:pPr>
              <w:spacing w:line="360" w:lineRule="auto"/>
              <w:jc w:val="center"/>
              <w:rPr>
                <w:rFonts w:hint="eastAsia" w:hAnsi="宋体" w:eastAsia="宋体"/>
                <w:sz w:val="21"/>
                <w:szCs w:val="21"/>
                <w:lang w:eastAsia="zh-CN"/>
              </w:rPr>
            </w:pPr>
            <w:r>
              <w:rPr>
                <w:rFonts w:hint="eastAsia" w:hAnsi="宋体"/>
                <w:b/>
                <w:sz w:val="21"/>
                <w:szCs w:val="21"/>
                <w:u w:val="single"/>
                <w:lang w:eastAsia="zh-CN"/>
              </w:rPr>
              <w:t>东莞文旅旗云广场项目外广场氛围提升设计施工承包</w:t>
            </w:r>
          </w:p>
        </w:tc>
        <w:tc>
          <w:tcPr>
            <w:tcW w:w="1316" w:type="pct"/>
            <w:vAlign w:val="center"/>
          </w:tcPr>
          <w:p w14:paraId="7E4783F7">
            <w:pPr>
              <w:spacing w:line="360" w:lineRule="auto"/>
              <w:jc w:val="center"/>
              <w:rPr>
                <w:rFonts w:hint="eastAsia" w:hAnsi="宋体"/>
                <w:sz w:val="21"/>
                <w:szCs w:val="21"/>
              </w:rPr>
            </w:pPr>
            <w:r>
              <w:rPr>
                <w:rFonts w:hint="eastAsia" w:hAnsi="宋体"/>
                <w:sz w:val="21"/>
                <w:szCs w:val="21"/>
              </w:rPr>
              <w:t>1</w:t>
            </w:r>
          </w:p>
        </w:tc>
      </w:tr>
    </w:tbl>
    <w:p w14:paraId="16CA5EA9">
      <w:pPr>
        <w:spacing w:line="360" w:lineRule="auto"/>
        <w:ind w:firstLine="420" w:firstLineChars="200"/>
        <w:rPr>
          <w:rFonts w:hint="eastAsia" w:hAnsi="宋体"/>
          <w:sz w:val="21"/>
          <w:szCs w:val="21"/>
        </w:rPr>
      </w:pPr>
      <w:r>
        <w:rPr>
          <w:rFonts w:hint="eastAsia" w:hAnsi="宋体"/>
          <w:sz w:val="21"/>
          <w:szCs w:val="21"/>
          <w:lang w:val="en-US" w:eastAsia="zh-CN"/>
        </w:rPr>
        <w:t>4</w:t>
      </w:r>
      <w:r>
        <w:rPr>
          <w:rFonts w:hint="eastAsia" w:hAnsi="宋体"/>
          <w:sz w:val="21"/>
          <w:szCs w:val="21"/>
        </w:rPr>
        <w:t>、项目需求</w:t>
      </w:r>
    </w:p>
    <w:p w14:paraId="6C9E41EC">
      <w:pPr>
        <w:spacing w:line="360" w:lineRule="auto"/>
        <w:ind w:firstLine="420" w:firstLineChars="200"/>
        <w:rPr>
          <w:rFonts w:hint="eastAsia" w:hAnsi="宋体"/>
          <w:sz w:val="21"/>
          <w:szCs w:val="21"/>
        </w:rPr>
      </w:pPr>
      <w:r>
        <w:rPr>
          <w:rFonts w:hint="eastAsia" w:hAnsi="宋体"/>
          <w:sz w:val="21"/>
          <w:szCs w:val="21"/>
        </w:rPr>
        <w:t>详细内容请参阅采购文件第三部分《用户需求书》。</w:t>
      </w:r>
    </w:p>
    <w:p w14:paraId="0E53F459">
      <w:pPr>
        <w:spacing w:line="360" w:lineRule="auto"/>
        <w:rPr>
          <w:rFonts w:hint="eastAsia" w:hAnsi="宋体"/>
          <w:b/>
          <w:sz w:val="21"/>
          <w:szCs w:val="21"/>
        </w:rPr>
      </w:pPr>
      <w:r>
        <w:rPr>
          <w:rFonts w:hint="eastAsia" w:hAnsi="宋体"/>
          <w:b/>
          <w:sz w:val="21"/>
          <w:szCs w:val="21"/>
        </w:rPr>
        <w:t>二、供应商须满足以下资格条件：</w:t>
      </w:r>
      <w:bookmarkEnd w:id="5"/>
    </w:p>
    <w:p w14:paraId="45D1A651">
      <w:pPr>
        <w:spacing w:line="360" w:lineRule="auto"/>
        <w:ind w:firstLine="411" w:firstLineChars="196"/>
        <w:rPr>
          <w:rFonts w:hint="eastAsia" w:hAnsi="宋体"/>
          <w:sz w:val="21"/>
          <w:szCs w:val="21"/>
        </w:rPr>
      </w:pPr>
      <w:bookmarkStart w:id="6" w:name="_Toc8581"/>
      <w:bookmarkStart w:id="7" w:name="_Toc396137230"/>
      <w:r>
        <w:rPr>
          <w:rFonts w:hint="eastAsia" w:hAnsi="宋体"/>
          <w:sz w:val="21"/>
          <w:szCs w:val="21"/>
        </w:rPr>
        <w:t>1、一般要求：</w:t>
      </w:r>
    </w:p>
    <w:p w14:paraId="16E63CCE">
      <w:pPr>
        <w:spacing w:line="360" w:lineRule="auto"/>
        <w:ind w:firstLine="420" w:firstLineChars="200"/>
        <w:rPr>
          <w:rFonts w:hint="eastAsia" w:hAnsi="宋体"/>
          <w:sz w:val="21"/>
          <w:szCs w:val="21"/>
        </w:rPr>
      </w:pPr>
      <w:r>
        <w:rPr>
          <w:rFonts w:hint="eastAsia" w:hAnsi="宋体"/>
          <w:sz w:val="21"/>
          <w:szCs w:val="21"/>
        </w:rPr>
        <w:t>（1）供应商须为在中华人民共和国境内登记注册的具有独立承担民事责任能力的法人或其他组织【提供《营业执照》复印件（加盖公章）或《事业单位法人证书》复印件（加盖公章）或其他主体证书复印件（加盖公章）】。</w:t>
      </w:r>
    </w:p>
    <w:p w14:paraId="19B77A56">
      <w:pPr>
        <w:spacing w:line="360" w:lineRule="auto"/>
        <w:ind w:firstLine="420" w:firstLineChars="200"/>
        <w:rPr>
          <w:rFonts w:hint="eastAsia" w:hAnsi="宋体"/>
          <w:sz w:val="21"/>
          <w:szCs w:val="21"/>
        </w:rPr>
      </w:pPr>
      <w:r>
        <w:rPr>
          <w:rFonts w:hint="eastAsia" w:hAnsi="宋体"/>
          <w:sz w:val="21"/>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EDD045E">
      <w:pPr>
        <w:spacing w:line="360" w:lineRule="auto"/>
        <w:ind w:firstLine="420" w:firstLineChars="200"/>
        <w:rPr>
          <w:rFonts w:hint="eastAsia" w:hAnsi="宋体"/>
          <w:sz w:val="21"/>
          <w:szCs w:val="21"/>
        </w:rPr>
      </w:pPr>
      <w:r>
        <w:rPr>
          <w:rFonts w:hint="eastAsia" w:hAnsi="宋体"/>
          <w:sz w:val="21"/>
          <w:szCs w:val="21"/>
        </w:rPr>
        <w:t>（3）供应商的单位负责人为同一人或者存在直接控股、管理关系的不同供应商，不得参加同一合同项下的采购活动。</w:t>
      </w:r>
    </w:p>
    <w:p w14:paraId="6FFD5CCB">
      <w:pPr>
        <w:spacing w:line="360" w:lineRule="auto"/>
        <w:ind w:firstLine="420" w:firstLineChars="200"/>
        <w:rPr>
          <w:rFonts w:hint="eastAsia" w:hAnsi="宋体"/>
          <w:sz w:val="21"/>
          <w:szCs w:val="21"/>
        </w:rPr>
      </w:pPr>
      <w:r>
        <w:rPr>
          <w:rFonts w:hint="eastAsia" w:hAnsi="宋体"/>
          <w:sz w:val="21"/>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)“记录失信被执行人或重大税收违法失信主体或政府采购严重违法失信行为”记录名单。以代理机构于投标截止日当天在“信用中国”网站查询结果为准，如相关失信记录已失效，供应商需提供相关证明资料。</w:t>
      </w:r>
    </w:p>
    <w:p w14:paraId="65DDBEFF">
      <w:pPr>
        <w:spacing w:line="360" w:lineRule="auto"/>
        <w:ind w:firstLine="420" w:firstLineChars="200"/>
        <w:rPr>
          <w:rFonts w:hint="eastAsia" w:hAnsi="宋体"/>
          <w:sz w:val="21"/>
          <w:szCs w:val="21"/>
        </w:rPr>
      </w:pPr>
      <w:r>
        <w:rPr>
          <w:rFonts w:hint="eastAsia" w:hAnsi="宋体"/>
          <w:sz w:val="21"/>
          <w:szCs w:val="21"/>
        </w:rPr>
        <w:t>（5）未被列入东实集团及下属企业相关领域黑名单。【以</w:t>
      </w:r>
      <w:r>
        <w:rPr>
          <w:rFonts w:hint="eastAsia" w:hAnsi="宋体"/>
          <w:sz w:val="21"/>
          <w:szCs w:val="21"/>
          <w:lang w:val="zh-CN"/>
        </w:rPr>
        <w:t>东莞实业投资控股集团有限公司</w:t>
      </w:r>
      <w:r>
        <w:rPr>
          <w:rFonts w:hint="eastAsia" w:hAnsi="宋体"/>
          <w:sz w:val="21"/>
          <w:szCs w:val="21"/>
        </w:rPr>
        <w:t>发文（东实通〔2021〕44号）、（东实通〔2021〕98号）、（东实通〔2022〕75号）、（东实通〔2023〕37号）、（东实通〔2024〕163号）（东实通〔2024〕195号）为准，如有最新发文通知，按最新文件执行。】</w:t>
      </w:r>
    </w:p>
    <w:p w14:paraId="06F5222B">
      <w:pPr>
        <w:spacing w:line="360" w:lineRule="auto"/>
        <w:ind w:firstLine="420" w:firstLineChars="200"/>
        <w:rPr>
          <w:rFonts w:hint="eastAsia" w:hAnsi="宋体"/>
          <w:sz w:val="21"/>
          <w:szCs w:val="21"/>
        </w:rPr>
      </w:pPr>
      <w:r>
        <w:rPr>
          <w:rFonts w:hint="eastAsia" w:hAnsi="宋体"/>
          <w:sz w:val="21"/>
          <w:szCs w:val="21"/>
        </w:rPr>
        <w:t>2、其他要求</w:t>
      </w:r>
    </w:p>
    <w:p w14:paraId="5402225E">
      <w:pPr>
        <w:spacing w:line="360" w:lineRule="auto"/>
        <w:ind w:firstLine="420" w:firstLineChars="200"/>
        <w:rPr>
          <w:rFonts w:hint="eastAsia" w:hAnsi="宋体"/>
          <w:b/>
          <w:bCs/>
          <w:sz w:val="21"/>
          <w:szCs w:val="21"/>
        </w:rPr>
      </w:pPr>
      <w:r>
        <w:rPr>
          <w:rFonts w:hint="eastAsia" w:hAnsi="宋体"/>
          <w:sz w:val="21"/>
          <w:szCs w:val="21"/>
        </w:rPr>
        <w:t>①投标人须具有有效期内的建筑工程施工总承包乙级或以上资质或有效期内的建筑装修装饰工程专业承包乙级或以上资质。</w:t>
      </w:r>
      <w:r>
        <w:rPr>
          <w:rFonts w:hint="eastAsia" w:hAnsi="宋体"/>
          <w:b/>
          <w:bCs/>
          <w:sz w:val="21"/>
          <w:szCs w:val="21"/>
        </w:rPr>
        <w:t>（须提供证书复印件加盖投标人公章）</w:t>
      </w:r>
    </w:p>
    <w:p w14:paraId="6D6438DD">
      <w:pPr>
        <w:spacing w:line="360" w:lineRule="auto"/>
        <w:ind w:firstLine="420" w:firstLineChars="200"/>
        <w:rPr>
          <w:rFonts w:hint="eastAsia" w:hAnsi="宋体"/>
          <w:b/>
          <w:bCs/>
          <w:sz w:val="21"/>
          <w:szCs w:val="21"/>
        </w:rPr>
      </w:pPr>
      <w:r>
        <w:rPr>
          <w:rFonts w:hint="eastAsia" w:hAnsi="宋体"/>
          <w:sz w:val="21"/>
          <w:szCs w:val="21"/>
        </w:rPr>
        <w:t>②投标人须具有由国家建设主管部门或安全生产监督管理部门颁发的有效期内的安全生产许可证。</w:t>
      </w:r>
      <w:r>
        <w:rPr>
          <w:rFonts w:hint="eastAsia" w:hAnsi="宋体"/>
          <w:b/>
          <w:bCs/>
          <w:sz w:val="21"/>
          <w:szCs w:val="21"/>
        </w:rPr>
        <w:t>（须提供证书复印件加盖投标人公章）</w:t>
      </w:r>
    </w:p>
    <w:p w14:paraId="67B1FE69">
      <w:pPr>
        <w:spacing w:line="360" w:lineRule="auto"/>
        <w:ind w:firstLine="420" w:firstLineChars="2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3、业绩要求</w:t>
      </w:r>
    </w:p>
    <w:p w14:paraId="562B1FFE">
      <w:pPr>
        <w:spacing w:line="360" w:lineRule="auto"/>
        <w:ind w:firstLine="420" w:firstLineChars="200"/>
        <w:rPr>
          <w:rFonts w:hint="eastAsia" w:ascii="宋体" w:hAnsi="宋体" w:eastAsia="宋体" w:cs="宋体"/>
          <w:b/>
          <w:bCs/>
          <w:sz w:val="21"/>
          <w:szCs w:val="21"/>
          <w:lang w:val="en-US" w:eastAsia="zh-CN"/>
        </w:rPr>
      </w:pPr>
      <w:r>
        <w:rPr>
          <w:rFonts w:hint="eastAsia" w:ascii="宋体" w:hAnsi="宋体" w:eastAsia="宋体" w:cs="宋体"/>
          <w:sz w:val="21"/>
          <w:szCs w:val="21"/>
          <w:lang w:val="en-US" w:eastAsia="zh-CN"/>
        </w:rPr>
        <w:t>供应商2022年1月1日至今有</w:t>
      </w:r>
      <w:r>
        <w:rPr>
          <w:rFonts w:hint="eastAsia" w:hAnsi="宋体" w:cs="宋体"/>
          <w:sz w:val="21"/>
          <w:szCs w:val="21"/>
          <w:lang w:val="en-US" w:eastAsia="zh-CN"/>
        </w:rPr>
        <w:t>2个</w:t>
      </w:r>
      <w:r>
        <w:rPr>
          <w:rFonts w:hint="eastAsia" w:ascii="宋体" w:hAnsi="宋体" w:eastAsia="宋体" w:cs="宋体"/>
          <w:sz w:val="21"/>
          <w:szCs w:val="21"/>
          <w:lang w:val="en-US" w:eastAsia="zh-CN"/>
        </w:rPr>
        <w:t>商业地产类项目（含商业街、购物中心、文化产业园、复合功能综合体等）设计施工服务</w:t>
      </w:r>
      <w:r>
        <w:rPr>
          <w:rFonts w:hint="eastAsia" w:hAnsi="宋体" w:cs="宋体"/>
          <w:sz w:val="21"/>
          <w:szCs w:val="21"/>
          <w:lang w:val="en-US" w:eastAsia="zh-CN"/>
        </w:rPr>
        <w:t>（设计面积须≥20000㎡）</w:t>
      </w:r>
      <w:r>
        <w:rPr>
          <w:rFonts w:hint="eastAsia" w:ascii="宋体" w:hAnsi="宋体" w:eastAsia="宋体" w:cs="宋体"/>
          <w:sz w:val="21"/>
          <w:szCs w:val="21"/>
          <w:lang w:val="en-US" w:eastAsia="zh-CN"/>
        </w:rPr>
        <w:t>的合同业绩，须提供业绩合同复印件</w:t>
      </w:r>
      <w:r>
        <w:rPr>
          <w:rFonts w:hint="eastAsia" w:ascii="宋体" w:hAnsi="宋体" w:eastAsia="宋体" w:cs="宋体"/>
          <w:b/>
          <w:bCs/>
          <w:sz w:val="21"/>
          <w:szCs w:val="21"/>
          <w:lang w:val="en-US" w:eastAsia="zh-CN"/>
        </w:rPr>
        <w:t>（合同复印件须至少包含：合同双方盖章页、合同签订时间和关键信息页，以合同签订时间为准</w:t>
      </w:r>
      <w:r>
        <w:rPr>
          <w:rFonts w:hint="eastAsia" w:hAnsi="宋体" w:cs="宋体"/>
          <w:b/>
          <w:bCs/>
          <w:sz w:val="21"/>
          <w:szCs w:val="21"/>
          <w:lang w:val="en-US" w:eastAsia="zh-CN"/>
        </w:rPr>
        <w:t>。如提供的合同无法体现设计面积的，可提供供应商另行出具的有效证明材料复印件并加盖供应商公章</w:t>
      </w:r>
      <w:r>
        <w:rPr>
          <w:rFonts w:hint="eastAsia" w:ascii="宋体" w:hAnsi="宋体" w:eastAsia="宋体" w:cs="宋体"/>
          <w:b/>
          <w:bCs/>
          <w:sz w:val="21"/>
          <w:szCs w:val="21"/>
          <w:lang w:val="en-US" w:eastAsia="zh-CN"/>
        </w:rPr>
        <w:t>）。</w:t>
      </w:r>
    </w:p>
    <w:p w14:paraId="4A8784EC">
      <w:pPr>
        <w:spacing w:line="360" w:lineRule="auto"/>
        <w:ind w:firstLine="420" w:firstLineChars="200"/>
        <w:rPr>
          <w:rFonts w:hint="eastAsia" w:hAnsi="宋体"/>
          <w:sz w:val="21"/>
          <w:szCs w:val="21"/>
          <w:lang w:val="en-US" w:eastAsia="zh-CN"/>
        </w:rPr>
      </w:pPr>
      <w:r>
        <w:rPr>
          <w:rFonts w:hint="eastAsia" w:hAnsi="宋体"/>
          <w:sz w:val="21"/>
          <w:szCs w:val="21"/>
          <w:lang w:val="en-US" w:eastAsia="zh-CN"/>
        </w:rPr>
        <w:t>4、联合体投标说明</w:t>
      </w:r>
    </w:p>
    <w:p w14:paraId="59942765">
      <w:pPr>
        <w:spacing w:line="360" w:lineRule="auto"/>
        <w:ind w:firstLine="420" w:firstLineChars="200"/>
        <w:rPr>
          <w:rFonts w:hint="eastAsia" w:hAnsi="宋体"/>
          <w:sz w:val="21"/>
          <w:szCs w:val="21"/>
          <w:lang w:val="en-US" w:eastAsia="zh-CN"/>
        </w:rPr>
      </w:pPr>
      <w:r>
        <w:rPr>
          <w:rFonts w:hint="eastAsia" w:hAnsi="宋体"/>
          <w:sz w:val="21"/>
          <w:szCs w:val="21"/>
          <w:lang w:val="en-US" w:eastAsia="zh-CN"/>
        </w:rPr>
        <w:t>（1）本项目接受联合体投标，联合体成员不超过两家（含牵头单位在内）。</w:t>
      </w:r>
    </w:p>
    <w:p w14:paraId="23B839AA">
      <w:pPr>
        <w:spacing w:line="360" w:lineRule="auto"/>
        <w:ind w:firstLine="420" w:firstLineChars="200"/>
        <w:rPr>
          <w:rFonts w:hint="eastAsia" w:hAnsi="宋体"/>
          <w:sz w:val="21"/>
          <w:szCs w:val="21"/>
        </w:rPr>
      </w:pPr>
      <w:r>
        <w:rPr>
          <w:rFonts w:hint="eastAsia" w:hAnsi="宋体"/>
          <w:sz w:val="21"/>
          <w:szCs w:val="21"/>
          <w:lang w:eastAsia="zh-CN"/>
        </w:rPr>
        <w:t>（</w:t>
      </w:r>
      <w:r>
        <w:rPr>
          <w:rFonts w:hint="eastAsia" w:hAnsi="宋体"/>
          <w:sz w:val="21"/>
          <w:szCs w:val="21"/>
          <w:lang w:val="en-US" w:eastAsia="zh-CN"/>
        </w:rPr>
        <w:t>2</w:t>
      </w:r>
      <w:r>
        <w:rPr>
          <w:rFonts w:hint="eastAsia" w:hAnsi="宋体"/>
          <w:sz w:val="21"/>
          <w:szCs w:val="21"/>
          <w:lang w:eastAsia="zh-CN"/>
        </w:rPr>
        <w:t>）</w:t>
      </w:r>
      <w:r>
        <w:rPr>
          <w:rFonts w:hint="eastAsia" w:hAnsi="宋体"/>
          <w:sz w:val="21"/>
          <w:szCs w:val="21"/>
        </w:rPr>
        <w:t>联合体中有同类资质的投标人按照联合体分工承担相同工作的，按照资质等级较</w:t>
      </w:r>
      <w:r>
        <w:rPr>
          <w:rFonts w:hint="eastAsia" w:hAnsi="宋体"/>
          <w:sz w:val="21"/>
          <w:szCs w:val="21"/>
          <w:lang w:val="en-US" w:eastAsia="zh-CN"/>
        </w:rPr>
        <w:t>低</w:t>
      </w:r>
      <w:r>
        <w:rPr>
          <w:rFonts w:hint="eastAsia" w:hAnsi="宋体"/>
          <w:sz w:val="21"/>
          <w:szCs w:val="21"/>
        </w:rPr>
        <w:t>的投标人确定资质等级。</w:t>
      </w:r>
    </w:p>
    <w:p w14:paraId="6D88FEC7">
      <w:pPr>
        <w:spacing w:line="360" w:lineRule="auto"/>
        <w:ind w:firstLine="420" w:firstLineChars="200"/>
        <w:rPr>
          <w:rFonts w:hint="eastAsia" w:hAnsi="宋体"/>
          <w:sz w:val="21"/>
          <w:szCs w:val="21"/>
        </w:rPr>
      </w:pPr>
      <w:r>
        <w:rPr>
          <w:rFonts w:hint="eastAsia" w:hAnsi="宋体"/>
          <w:sz w:val="21"/>
          <w:szCs w:val="21"/>
          <w:lang w:eastAsia="zh-CN"/>
        </w:rPr>
        <w:t>（</w:t>
      </w:r>
      <w:r>
        <w:rPr>
          <w:rFonts w:hint="eastAsia" w:hAnsi="宋体"/>
          <w:sz w:val="21"/>
          <w:szCs w:val="21"/>
          <w:lang w:val="en-US" w:eastAsia="zh-CN"/>
        </w:rPr>
        <w:t>3</w:t>
      </w:r>
      <w:r>
        <w:rPr>
          <w:rFonts w:hint="eastAsia" w:hAnsi="宋体"/>
          <w:sz w:val="21"/>
          <w:szCs w:val="21"/>
          <w:lang w:eastAsia="zh-CN"/>
        </w:rPr>
        <w:t>）</w:t>
      </w:r>
      <w:r>
        <w:rPr>
          <w:rFonts w:hint="eastAsia" w:hAnsi="宋体"/>
          <w:sz w:val="21"/>
          <w:szCs w:val="21"/>
        </w:rPr>
        <w:t>组成联合体各方须同时在“法定代表人授权书”中授权同一人作为本项目的投标人代表，该授权书作为投标文件的组成部分一并提交。</w:t>
      </w:r>
    </w:p>
    <w:p w14:paraId="3BA31832">
      <w:pPr>
        <w:spacing w:line="360" w:lineRule="auto"/>
        <w:ind w:firstLine="420" w:firstLineChars="200"/>
        <w:rPr>
          <w:rFonts w:hint="eastAsia" w:hAnsi="宋体"/>
          <w:sz w:val="21"/>
          <w:szCs w:val="21"/>
        </w:rPr>
      </w:pPr>
      <w:r>
        <w:rPr>
          <w:rFonts w:hint="eastAsia" w:hAnsi="宋体"/>
          <w:sz w:val="21"/>
          <w:szCs w:val="21"/>
          <w:lang w:eastAsia="zh-CN"/>
        </w:rPr>
        <w:t>（</w:t>
      </w:r>
      <w:r>
        <w:rPr>
          <w:rFonts w:hint="eastAsia" w:hAnsi="宋体"/>
          <w:sz w:val="21"/>
          <w:szCs w:val="21"/>
          <w:lang w:val="en-US" w:eastAsia="zh-CN"/>
        </w:rPr>
        <w:t>4</w:t>
      </w:r>
      <w:r>
        <w:rPr>
          <w:rFonts w:hint="eastAsia" w:hAnsi="宋体"/>
          <w:sz w:val="21"/>
          <w:szCs w:val="21"/>
          <w:lang w:eastAsia="zh-CN"/>
        </w:rPr>
        <w:t>）</w:t>
      </w:r>
      <w:r>
        <w:rPr>
          <w:rFonts w:hint="eastAsia" w:hAnsi="宋体"/>
          <w:sz w:val="21"/>
          <w:szCs w:val="21"/>
        </w:rPr>
        <w:t>联合体各方应签订联合体共同投标协议书，明确约定各方拟承担的工作和责任，并将该联合体共同投标协议书随投标文件一并提交。</w:t>
      </w:r>
    </w:p>
    <w:p w14:paraId="7AE41266">
      <w:pPr>
        <w:spacing w:line="360" w:lineRule="auto"/>
        <w:ind w:firstLine="420" w:firstLineChars="200"/>
        <w:rPr>
          <w:rFonts w:hint="eastAsia" w:hAnsi="宋体"/>
          <w:sz w:val="21"/>
          <w:szCs w:val="21"/>
        </w:rPr>
      </w:pPr>
      <w:r>
        <w:rPr>
          <w:rFonts w:hint="eastAsia" w:hAnsi="宋体"/>
          <w:sz w:val="21"/>
          <w:szCs w:val="21"/>
          <w:lang w:eastAsia="zh-CN"/>
        </w:rPr>
        <w:t>（</w:t>
      </w:r>
      <w:r>
        <w:rPr>
          <w:rFonts w:hint="eastAsia" w:hAnsi="宋体"/>
          <w:sz w:val="21"/>
          <w:szCs w:val="21"/>
          <w:lang w:val="en-US" w:eastAsia="zh-CN"/>
        </w:rPr>
        <w:t>5</w:t>
      </w:r>
      <w:r>
        <w:rPr>
          <w:rFonts w:hint="eastAsia" w:hAnsi="宋体"/>
          <w:sz w:val="21"/>
          <w:szCs w:val="21"/>
          <w:lang w:eastAsia="zh-CN"/>
        </w:rPr>
        <w:t>）</w:t>
      </w:r>
      <w:r>
        <w:rPr>
          <w:rFonts w:hint="eastAsia" w:hAnsi="宋体"/>
          <w:sz w:val="21"/>
          <w:szCs w:val="21"/>
        </w:rPr>
        <w:t xml:space="preserve">投标人的投标文件及中标后签署的合同协议书对联合体各方均具法律约束力。 </w:t>
      </w:r>
    </w:p>
    <w:p w14:paraId="1AA2C3E6">
      <w:pPr>
        <w:spacing w:line="360" w:lineRule="auto"/>
        <w:ind w:firstLine="420" w:firstLineChars="200"/>
        <w:rPr>
          <w:rFonts w:hint="eastAsia" w:hAnsi="宋体"/>
          <w:sz w:val="21"/>
          <w:szCs w:val="21"/>
        </w:rPr>
      </w:pPr>
      <w:r>
        <w:rPr>
          <w:rFonts w:hint="eastAsia" w:hAnsi="宋体"/>
          <w:sz w:val="21"/>
          <w:szCs w:val="21"/>
          <w:lang w:eastAsia="zh-CN"/>
        </w:rPr>
        <w:t>（</w:t>
      </w:r>
      <w:r>
        <w:rPr>
          <w:rFonts w:hint="eastAsia" w:hAnsi="宋体"/>
          <w:sz w:val="21"/>
          <w:szCs w:val="21"/>
          <w:lang w:val="en-US" w:eastAsia="zh-CN"/>
        </w:rPr>
        <w:t>6</w:t>
      </w:r>
      <w:r>
        <w:rPr>
          <w:rFonts w:hint="eastAsia" w:hAnsi="宋体"/>
          <w:sz w:val="21"/>
          <w:szCs w:val="21"/>
          <w:lang w:eastAsia="zh-CN"/>
        </w:rPr>
        <w:t>）</w:t>
      </w:r>
      <w:r>
        <w:rPr>
          <w:rFonts w:hint="eastAsia" w:hAnsi="宋体"/>
          <w:sz w:val="21"/>
          <w:szCs w:val="21"/>
        </w:rPr>
        <w:t>组成联合体投标的，联合体各方不得再以自己的名义单独投标，也不得同时参加两个或两个以上的联合体投标，出现上述情况者，其投标和与此有关的联合体的投标将被拒绝。</w:t>
      </w:r>
    </w:p>
    <w:p w14:paraId="524CD807">
      <w:pPr>
        <w:spacing w:line="360" w:lineRule="auto"/>
        <w:ind w:firstLine="420" w:firstLineChars="200"/>
        <w:rPr>
          <w:rFonts w:hint="eastAsia" w:hAnsi="宋体"/>
          <w:sz w:val="21"/>
          <w:szCs w:val="21"/>
        </w:rPr>
      </w:pPr>
      <w:r>
        <w:rPr>
          <w:rFonts w:hint="eastAsia" w:hAnsi="宋体"/>
          <w:sz w:val="21"/>
          <w:szCs w:val="21"/>
          <w:lang w:eastAsia="zh-CN"/>
        </w:rPr>
        <w:t>（</w:t>
      </w:r>
      <w:r>
        <w:rPr>
          <w:rFonts w:hint="eastAsia" w:hAnsi="宋体"/>
          <w:sz w:val="21"/>
          <w:szCs w:val="21"/>
          <w:lang w:val="en-US" w:eastAsia="zh-CN"/>
        </w:rPr>
        <w:t>7</w:t>
      </w:r>
      <w:r>
        <w:rPr>
          <w:rFonts w:hint="eastAsia" w:hAnsi="宋体"/>
          <w:sz w:val="21"/>
          <w:szCs w:val="21"/>
          <w:lang w:eastAsia="zh-CN"/>
        </w:rPr>
        <w:t>）</w:t>
      </w:r>
      <w:r>
        <w:rPr>
          <w:rFonts w:hint="eastAsia" w:hAnsi="宋体"/>
          <w:sz w:val="21"/>
          <w:szCs w:val="21"/>
        </w:rPr>
        <w:t>联合体中标后，联合体各方应当共同与</w:t>
      </w:r>
      <w:r>
        <w:rPr>
          <w:rFonts w:hint="eastAsia" w:hAnsi="宋体"/>
          <w:sz w:val="21"/>
          <w:szCs w:val="21"/>
          <w:lang w:eastAsia="zh-CN"/>
        </w:rPr>
        <w:t>采购人</w:t>
      </w:r>
      <w:r>
        <w:rPr>
          <w:rFonts w:hint="eastAsia" w:hAnsi="宋体"/>
          <w:sz w:val="21"/>
          <w:szCs w:val="21"/>
        </w:rPr>
        <w:t>签订合同，为履行合同向</w:t>
      </w:r>
      <w:r>
        <w:rPr>
          <w:rFonts w:hint="eastAsia" w:hAnsi="宋体"/>
          <w:sz w:val="21"/>
          <w:szCs w:val="21"/>
          <w:lang w:eastAsia="zh-CN"/>
        </w:rPr>
        <w:t>采购人</w:t>
      </w:r>
      <w:r>
        <w:rPr>
          <w:rFonts w:hint="eastAsia" w:hAnsi="宋体"/>
          <w:sz w:val="21"/>
          <w:szCs w:val="21"/>
        </w:rPr>
        <w:t>承担连带责任。</w:t>
      </w:r>
    </w:p>
    <w:p w14:paraId="17C9CB9C">
      <w:pPr>
        <w:spacing w:line="360" w:lineRule="auto"/>
        <w:rPr>
          <w:rFonts w:hint="eastAsia" w:hAnsi="宋体"/>
          <w:b/>
          <w:sz w:val="21"/>
          <w:szCs w:val="21"/>
        </w:rPr>
      </w:pPr>
      <w:r>
        <w:rPr>
          <w:rFonts w:hint="eastAsia" w:hAnsi="宋体"/>
          <w:b/>
          <w:sz w:val="21"/>
          <w:szCs w:val="21"/>
        </w:rPr>
        <w:t>三、获取磋商文件：</w:t>
      </w:r>
      <w:bookmarkEnd w:id="6"/>
    </w:p>
    <w:p w14:paraId="3394DB9E">
      <w:pPr>
        <w:widowControl/>
        <w:wordWrap w:val="0"/>
        <w:adjustRightInd/>
        <w:spacing w:line="360" w:lineRule="auto"/>
        <w:ind w:firstLine="420" w:firstLineChars="200"/>
        <w:textAlignment w:val="bottom"/>
        <w:rPr>
          <w:rFonts w:hint="eastAsia" w:hAnsi="宋体"/>
          <w:kern w:val="2"/>
          <w:sz w:val="21"/>
          <w:szCs w:val="21"/>
        </w:rPr>
      </w:pPr>
      <w:r>
        <w:rPr>
          <w:rFonts w:hint="eastAsia" w:hAnsi="宋体"/>
          <w:kern w:val="2"/>
          <w:sz w:val="21"/>
          <w:szCs w:val="21"/>
        </w:rPr>
        <w:t>本项目不进行实名登记报名，拟参加磋商的供应商于磋商截止时间前自行网上下载采购文件。采购文件下载地址：中国招标投标公共服务平台（http://www.cebpubservice.com/）、东莞实业投资控股集团有限公司-招标采购栏目（http://www.dgsy.com.cn/）、广东洲际招标代理有限公司官网（</w:t>
      </w:r>
      <w:r>
        <w:rPr>
          <w:rFonts w:hAnsi="宋体"/>
          <w:kern w:val="2"/>
          <w:sz w:val="21"/>
          <w:szCs w:val="21"/>
        </w:rPr>
        <w:t>https://gdit-dg.com/</w:t>
      </w:r>
      <w:r>
        <w:rPr>
          <w:rFonts w:hint="eastAsia" w:hAnsi="宋体"/>
          <w:kern w:val="2"/>
          <w:sz w:val="21"/>
          <w:szCs w:val="21"/>
        </w:rPr>
        <w:t>）。</w:t>
      </w:r>
    </w:p>
    <w:p w14:paraId="70B9FBDC">
      <w:pPr>
        <w:pStyle w:val="65"/>
        <w:wordWrap w:val="0"/>
        <w:spacing w:line="360" w:lineRule="auto"/>
        <w:ind w:firstLine="420"/>
        <w:rPr>
          <w:rFonts w:hint="eastAsia" w:hAnsi="宋体"/>
          <w:bCs/>
          <w:sz w:val="21"/>
          <w:szCs w:val="21"/>
          <w:lang w:val="en-US"/>
        </w:rPr>
      </w:pPr>
      <w:r>
        <w:rPr>
          <w:rFonts w:hint="eastAsia" w:hAnsi="宋体"/>
          <w:kern w:val="2"/>
          <w:sz w:val="21"/>
          <w:szCs w:val="21"/>
        </w:rPr>
        <w:t>采购结果公告发布媒介</w:t>
      </w:r>
      <w:r>
        <w:rPr>
          <w:rFonts w:hint="eastAsia" w:hAnsi="宋体"/>
          <w:kern w:val="2"/>
          <w:sz w:val="21"/>
          <w:szCs w:val="21"/>
          <w:lang w:val="en-US"/>
        </w:rPr>
        <w:t>：</w:t>
      </w:r>
      <w:r>
        <w:rPr>
          <w:rFonts w:hint="eastAsia" w:hAnsi="宋体"/>
          <w:sz w:val="21"/>
          <w:szCs w:val="21"/>
        </w:rPr>
        <w:t>东莞实业投资控股集团有限公司</w:t>
      </w:r>
      <w:r>
        <w:rPr>
          <w:rFonts w:hint="eastAsia" w:hAnsi="宋体"/>
          <w:sz w:val="21"/>
          <w:szCs w:val="21"/>
          <w:lang w:val="en-US"/>
        </w:rPr>
        <w:t>-</w:t>
      </w:r>
      <w:r>
        <w:rPr>
          <w:rFonts w:hint="eastAsia" w:hAnsi="宋体"/>
          <w:sz w:val="21"/>
          <w:szCs w:val="21"/>
        </w:rPr>
        <w:t>招标采购栏目</w:t>
      </w:r>
      <w:r>
        <w:rPr>
          <w:rFonts w:hint="eastAsia" w:hAnsi="宋体"/>
          <w:sz w:val="21"/>
          <w:szCs w:val="21"/>
          <w:lang w:val="en-US"/>
        </w:rPr>
        <w:t>（http://www.dgsy.com.cn/）</w:t>
      </w:r>
      <w:r>
        <w:rPr>
          <w:rFonts w:hint="eastAsia" w:hAnsi="宋体"/>
          <w:sz w:val="21"/>
          <w:szCs w:val="21"/>
        </w:rPr>
        <w:t>。</w:t>
      </w:r>
    </w:p>
    <w:p w14:paraId="2A00215B">
      <w:pPr>
        <w:widowControl/>
        <w:spacing w:line="360" w:lineRule="auto"/>
        <w:textAlignment w:val="bottom"/>
        <w:rPr>
          <w:rFonts w:hint="eastAsia" w:hAnsi="宋体"/>
          <w:b/>
          <w:bCs/>
          <w:szCs w:val="21"/>
        </w:rPr>
      </w:pPr>
      <w:r>
        <w:rPr>
          <w:rFonts w:hint="eastAsia" w:hAnsi="宋体"/>
          <w:b/>
          <w:bCs/>
          <w:szCs w:val="21"/>
        </w:rPr>
        <w:t>四、接收响应文件的时间、地点、截止时间，开启响应文件时间、地点</w:t>
      </w:r>
      <w:r>
        <w:rPr>
          <w:rFonts w:hint="eastAsia" w:hAnsi="宋体"/>
          <w:b/>
          <w:szCs w:val="21"/>
        </w:rPr>
        <w:t>：</w:t>
      </w:r>
    </w:p>
    <w:p w14:paraId="704A3BF0">
      <w:pPr>
        <w:spacing w:line="360" w:lineRule="auto"/>
        <w:ind w:firstLine="420" w:firstLineChars="200"/>
        <w:rPr>
          <w:rFonts w:hint="eastAsia" w:hAnsi="宋体"/>
          <w:sz w:val="21"/>
          <w:szCs w:val="21"/>
        </w:rPr>
      </w:pPr>
      <w:r>
        <w:rPr>
          <w:rFonts w:hint="eastAsia" w:hAnsi="宋体"/>
          <w:sz w:val="21"/>
          <w:szCs w:val="21"/>
        </w:rPr>
        <w:t>1、接收响应文件的时间：</w:t>
      </w:r>
      <w:r>
        <w:rPr>
          <w:rFonts w:hint="eastAsia" w:hAnsi="宋体"/>
          <w:sz w:val="21"/>
          <w:szCs w:val="21"/>
          <w:lang w:val="en-US" w:eastAsia="zh-CN"/>
        </w:rPr>
        <w:t>2025</w:t>
      </w:r>
      <w:r>
        <w:rPr>
          <w:rFonts w:hint="eastAsia" w:hAnsi="宋体"/>
          <w:sz w:val="21"/>
          <w:szCs w:val="21"/>
        </w:rPr>
        <w:t>年</w:t>
      </w:r>
      <w:r>
        <w:rPr>
          <w:rFonts w:hint="eastAsia" w:hAnsi="宋体"/>
          <w:sz w:val="21"/>
          <w:szCs w:val="21"/>
          <w:lang w:val="en-US" w:eastAsia="zh-CN"/>
        </w:rPr>
        <w:t>10</w:t>
      </w:r>
      <w:r>
        <w:rPr>
          <w:rFonts w:hint="eastAsia" w:hAnsi="宋体"/>
          <w:sz w:val="21"/>
          <w:szCs w:val="21"/>
        </w:rPr>
        <w:t>月</w:t>
      </w:r>
      <w:r>
        <w:rPr>
          <w:rFonts w:hint="eastAsia" w:hAnsi="宋体"/>
          <w:sz w:val="21"/>
          <w:szCs w:val="21"/>
          <w:lang w:val="en-US" w:eastAsia="zh-CN"/>
        </w:rPr>
        <w:t>20</w:t>
      </w:r>
      <w:r>
        <w:rPr>
          <w:rFonts w:hint="eastAsia" w:hAnsi="宋体"/>
          <w:sz w:val="21"/>
          <w:szCs w:val="21"/>
        </w:rPr>
        <w:t>日</w:t>
      </w:r>
      <w:r>
        <w:rPr>
          <w:rFonts w:hint="eastAsia" w:hAnsi="宋体"/>
          <w:sz w:val="21"/>
          <w:szCs w:val="21"/>
          <w:lang w:val="en-US" w:eastAsia="zh-CN"/>
        </w:rPr>
        <w:t>14</w:t>
      </w:r>
      <w:r>
        <w:rPr>
          <w:rFonts w:hint="eastAsia" w:hAnsi="宋体"/>
          <w:sz w:val="21"/>
          <w:szCs w:val="21"/>
        </w:rPr>
        <w:t>:00～</w:t>
      </w:r>
      <w:r>
        <w:rPr>
          <w:rFonts w:hint="eastAsia" w:hAnsi="宋体"/>
          <w:sz w:val="21"/>
          <w:szCs w:val="21"/>
          <w:lang w:val="en-US" w:eastAsia="zh-CN"/>
        </w:rPr>
        <w:t>14</w:t>
      </w:r>
      <w:r>
        <w:rPr>
          <w:rFonts w:hint="eastAsia" w:hAnsi="宋体"/>
          <w:sz w:val="21"/>
          <w:szCs w:val="21"/>
        </w:rPr>
        <w:t>:30。</w:t>
      </w:r>
    </w:p>
    <w:p w14:paraId="6AEA6424">
      <w:pPr>
        <w:spacing w:line="360" w:lineRule="auto"/>
        <w:ind w:firstLine="420" w:firstLineChars="200"/>
        <w:rPr>
          <w:rFonts w:hint="eastAsia" w:hAnsi="宋体"/>
          <w:sz w:val="21"/>
          <w:szCs w:val="21"/>
        </w:rPr>
      </w:pPr>
      <w:r>
        <w:rPr>
          <w:rFonts w:hint="eastAsia" w:hAnsi="宋体"/>
          <w:sz w:val="21"/>
          <w:szCs w:val="21"/>
        </w:rPr>
        <w:t>2、接收响应文件截止时间及开启响应文件时间</w:t>
      </w:r>
      <w:r>
        <w:rPr>
          <w:rFonts w:hint="eastAsia" w:hAnsi="宋体"/>
          <w:sz w:val="21"/>
          <w:szCs w:val="21"/>
          <w:lang w:eastAsia="zh-CN"/>
        </w:rPr>
        <w:t>：</w:t>
      </w:r>
      <w:r>
        <w:rPr>
          <w:rFonts w:hint="eastAsia" w:hAnsi="宋体"/>
          <w:sz w:val="21"/>
          <w:szCs w:val="21"/>
          <w:lang w:val="en-US" w:eastAsia="zh-CN"/>
        </w:rPr>
        <w:t>2025</w:t>
      </w:r>
      <w:r>
        <w:rPr>
          <w:rFonts w:hint="eastAsia" w:hAnsi="宋体"/>
          <w:sz w:val="21"/>
          <w:szCs w:val="21"/>
        </w:rPr>
        <w:t>年</w:t>
      </w:r>
      <w:r>
        <w:rPr>
          <w:rFonts w:hint="eastAsia" w:hAnsi="宋体"/>
          <w:sz w:val="21"/>
          <w:szCs w:val="21"/>
          <w:lang w:val="en-US" w:eastAsia="zh-CN"/>
        </w:rPr>
        <w:t>10</w:t>
      </w:r>
      <w:r>
        <w:rPr>
          <w:rFonts w:hint="eastAsia" w:hAnsi="宋体"/>
          <w:sz w:val="21"/>
          <w:szCs w:val="21"/>
        </w:rPr>
        <w:t>月</w:t>
      </w:r>
      <w:r>
        <w:rPr>
          <w:rFonts w:hint="eastAsia" w:hAnsi="宋体"/>
          <w:sz w:val="21"/>
          <w:szCs w:val="21"/>
          <w:lang w:val="en-US" w:eastAsia="zh-CN"/>
        </w:rPr>
        <w:t>20</w:t>
      </w:r>
      <w:r>
        <w:rPr>
          <w:rFonts w:hint="eastAsia" w:hAnsi="宋体"/>
          <w:sz w:val="21"/>
          <w:szCs w:val="21"/>
        </w:rPr>
        <w:t>日</w:t>
      </w:r>
      <w:r>
        <w:rPr>
          <w:rFonts w:hint="eastAsia" w:hAnsi="宋体"/>
          <w:sz w:val="21"/>
          <w:szCs w:val="21"/>
          <w:lang w:val="en-US" w:eastAsia="zh-CN"/>
        </w:rPr>
        <w:t>14</w:t>
      </w:r>
      <w:r>
        <w:rPr>
          <w:rFonts w:hint="eastAsia" w:hAnsi="宋体"/>
          <w:sz w:val="21"/>
          <w:szCs w:val="21"/>
        </w:rPr>
        <w:t>:</w:t>
      </w:r>
      <w:r>
        <w:rPr>
          <w:rFonts w:hint="eastAsia" w:hAnsi="宋体"/>
          <w:sz w:val="21"/>
          <w:szCs w:val="21"/>
          <w:lang w:val="en-US" w:eastAsia="zh-CN"/>
        </w:rPr>
        <w:t>30</w:t>
      </w:r>
      <w:r>
        <w:rPr>
          <w:rFonts w:hint="eastAsia" w:hAnsi="宋体"/>
          <w:sz w:val="21"/>
          <w:szCs w:val="21"/>
        </w:rPr>
        <w:t>。</w:t>
      </w:r>
    </w:p>
    <w:p w14:paraId="64B7B364">
      <w:pPr>
        <w:spacing w:line="360" w:lineRule="auto"/>
        <w:ind w:firstLine="420" w:firstLineChars="200"/>
        <w:rPr>
          <w:rFonts w:hint="eastAsia" w:hAnsi="宋体"/>
          <w:sz w:val="21"/>
          <w:szCs w:val="21"/>
        </w:rPr>
      </w:pPr>
      <w:r>
        <w:rPr>
          <w:rFonts w:hint="eastAsia" w:hAnsi="宋体"/>
          <w:sz w:val="21"/>
          <w:szCs w:val="21"/>
        </w:rPr>
        <w:t>3、接收响应文件地点：东莞市南城区元美路2号财富广场B座13A层13A01室。</w:t>
      </w:r>
    </w:p>
    <w:p w14:paraId="7669F8D0">
      <w:pPr>
        <w:spacing w:line="360" w:lineRule="auto"/>
        <w:rPr>
          <w:rFonts w:hint="eastAsia" w:hAnsi="宋体"/>
          <w:b/>
          <w:sz w:val="21"/>
          <w:szCs w:val="21"/>
        </w:rPr>
      </w:pPr>
      <w:bookmarkStart w:id="8" w:name="_Toc26926"/>
      <w:r>
        <w:rPr>
          <w:rFonts w:hint="eastAsia" w:hAnsi="宋体"/>
          <w:b/>
          <w:sz w:val="21"/>
          <w:szCs w:val="21"/>
        </w:rPr>
        <w:t>五、采购代理机构及采购人的地址和联系方式：</w:t>
      </w:r>
      <w:bookmarkEnd w:id="8"/>
    </w:p>
    <w:p w14:paraId="1E84C91C">
      <w:pPr>
        <w:spacing w:line="360" w:lineRule="auto"/>
        <w:ind w:right="-34" w:firstLine="424" w:firstLineChars="202"/>
        <w:jc w:val="both"/>
        <w:rPr>
          <w:rFonts w:hint="eastAsia" w:hAnsi="宋体"/>
          <w:sz w:val="21"/>
          <w:szCs w:val="21"/>
        </w:rPr>
      </w:pPr>
      <w:r>
        <w:rPr>
          <w:rFonts w:hint="eastAsia" w:hAnsi="宋体"/>
          <w:sz w:val="21"/>
          <w:szCs w:val="21"/>
        </w:rPr>
        <w:t>采 购 人：东莞文旅有限公司</w:t>
      </w:r>
    </w:p>
    <w:p w14:paraId="6C000DF3">
      <w:pPr>
        <w:spacing w:line="360" w:lineRule="auto"/>
        <w:ind w:right="-34" w:firstLine="424" w:firstLineChars="202"/>
        <w:jc w:val="both"/>
        <w:rPr>
          <w:rFonts w:hint="eastAsia" w:hAnsi="宋体"/>
          <w:sz w:val="21"/>
          <w:szCs w:val="21"/>
        </w:rPr>
      </w:pPr>
      <w:r>
        <w:rPr>
          <w:rFonts w:hint="eastAsia" w:hAnsi="宋体"/>
          <w:sz w:val="21"/>
          <w:szCs w:val="21"/>
        </w:rPr>
        <w:t>地    址：东莞市莞城街道博厦社区鳒鱼洲路8号</w:t>
      </w:r>
    </w:p>
    <w:p w14:paraId="6F0DB4EB">
      <w:pPr>
        <w:spacing w:line="360" w:lineRule="auto"/>
        <w:ind w:right="-34" w:firstLine="424" w:firstLineChars="202"/>
        <w:jc w:val="both"/>
        <w:rPr>
          <w:rFonts w:hint="eastAsia" w:hAnsi="宋体"/>
          <w:sz w:val="21"/>
          <w:szCs w:val="21"/>
        </w:rPr>
      </w:pPr>
      <w:r>
        <w:rPr>
          <w:rFonts w:hint="eastAsia" w:hAnsi="宋体"/>
          <w:sz w:val="21"/>
          <w:szCs w:val="21"/>
        </w:rPr>
        <w:t>联 系 人：张先生</w:t>
      </w:r>
    </w:p>
    <w:p w14:paraId="23BB04DB">
      <w:pPr>
        <w:spacing w:line="360" w:lineRule="auto"/>
        <w:ind w:right="-34" w:firstLine="424" w:firstLineChars="202"/>
        <w:jc w:val="both"/>
        <w:rPr>
          <w:b/>
          <w:sz w:val="21"/>
          <w:szCs w:val="21"/>
        </w:rPr>
      </w:pPr>
      <w:r>
        <w:rPr>
          <w:rFonts w:hint="eastAsia" w:hAnsi="宋体"/>
          <w:sz w:val="21"/>
          <w:szCs w:val="21"/>
        </w:rPr>
        <w:t>电    话：0769-23366383</w:t>
      </w:r>
    </w:p>
    <w:p w14:paraId="58B60A7E">
      <w:pPr>
        <w:spacing w:line="360" w:lineRule="auto"/>
        <w:ind w:right="-34" w:firstLine="424" w:firstLineChars="202"/>
        <w:jc w:val="both"/>
        <w:rPr>
          <w:rFonts w:hint="eastAsia" w:hAnsi="宋体"/>
          <w:sz w:val="21"/>
          <w:szCs w:val="21"/>
        </w:rPr>
      </w:pPr>
      <w:r>
        <w:rPr>
          <w:rFonts w:hint="eastAsia" w:hAnsi="宋体"/>
          <w:sz w:val="21"/>
          <w:szCs w:val="21"/>
        </w:rPr>
        <w:t>采购代理机构：</w:t>
      </w:r>
      <w:r>
        <w:rPr>
          <w:rFonts w:hAnsi="宋体"/>
          <w:sz w:val="21"/>
          <w:szCs w:val="21"/>
        </w:rPr>
        <w:t>广东洲际招标代理有限公司</w:t>
      </w:r>
    </w:p>
    <w:p w14:paraId="5ABD61CF">
      <w:pPr>
        <w:spacing w:line="360" w:lineRule="auto"/>
        <w:ind w:right="-34" w:firstLine="424" w:firstLineChars="202"/>
        <w:jc w:val="both"/>
        <w:rPr>
          <w:rFonts w:hint="eastAsia" w:hAnsi="宋体"/>
          <w:sz w:val="21"/>
          <w:szCs w:val="21"/>
        </w:rPr>
      </w:pPr>
      <w:r>
        <w:rPr>
          <w:rFonts w:hAnsi="宋体"/>
          <w:sz w:val="21"/>
          <w:szCs w:val="21"/>
        </w:rPr>
        <w:t>地    址：</w:t>
      </w:r>
      <w:r>
        <w:rPr>
          <w:rFonts w:hint="eastAsia" w:hAnsi="宋体"/>
          <w:sz w:val="21"/>
          <w:szCs w:val="21"/>
        </w:rPr>
        <w:t>东莞市南城区元美路2号财富广场B座13A层13A08室</w:t>
      </w:r>
    </w:p>
    <w:p w14:paraId="2E5E1A77">
      <w:pPr>
        <w:spacing w:line="360" w:lineRule="auto"/>
        <w:ind w:right="-34" w:firstLine="424" w:firstLineChars="202"/>
        <w:jc w:val="both"/>
        <w:rPr>
          <w:rFonts w:hint="default" w:hAnsi="宋体" w:eastAsia="宋体"/>
          <w:sz w:val="21"/>
          <w:szCs w:val="21"/>
          <w:lang w:val="en-US" w:eastAsia="zh-CN"/>
        </w:rPr>
      </w:pPr>
      <w:r>
        <w:rPr>
          <w:rFonts w:hint="eastAsia" w:hAnsi="宋体"/>
          <w:sz w:val="21"/>
          <w:szCs w:val="21"/>
        </w:rPr>
        <w:t>项目</w:t>
      </w:r>
      <w:r>
        <w:rPr>
          <w:rFonts w:hAnsi="宋体"/>
          <w:sz w:val="21"/>
          <w:szCs w:val="21"/>
        </w:rPr>
        <w:t>联系人:</w:t>
      </w:r>
      <w:r>
        <w:rPr>
          <w:rFonts w:hint="eastAsia" w:hAnsi="宋体"/>
          <w:sz w:val="21"/>
          <w:szCs w:val="21"/>
        </w:rPr>
        <w:t xml:space="preserve"> 蔡景辉</w:t>
      </w:r>
      <w:r>
        <w:rPr>
          <w:rFonts w:hint="eastAsia" w:hAnsi="宋体"/>
          <w:sz w:val="21"/>
          <w:szCs w:val="21"/>
          <w:lang w:eastAsia="zh-CN"/>
        </w:rPr>
        <w:t>、</w:t>
      </w:r>
      <w:r>
        <w:rPr>
          <w:rFonts w:hint="eastAsia" w:hAnsi="宋体"/>
          <w:sz w:val="21"/>
          <w:szCs w:val="21"/>
          <w:lang w:val="en-US" w:eastAsia="zh-CN"/>
        </w:rPr>
        <w:t>娄建平、郑新</w:t>
      </w:r>
    </w:p>
    <w:p w14:paraId="6B2A2005">
      <w:pPr>
        <w:spacing w:line="360" w:lineRule="auto"/>
        <w:ind w:right="-34" w:firstLine="424" w:firstLineChars="202"/>
        <w:jc w:val="both"/>
        <w:rPr>
          <w:rFonts w:hint="eastAsia" w:hAnsi="宋体"/>
          <w:sz w:val="21"/>
          <w:szCs w:val="21"/>
        </w:rPr>
      </w:pPr>
      <w:r>
        <w:rPr>
          <w:rFonts w:hAnsi="宋体"/>
          <w:sz w:val="21"/>
          <w:szCs w:val="21"/>
        </w:rPr>
        <w:t>电    话：</w:t>
      </w:r>
      <w:r>
        <w:rPr>
          <w:rFonts w:hint="eastAsia" w:hAnsi="宋体"/>
          <w:sz w:val="21"/>
          <w:szCs w:val="21"/>
        </w:rPr>
        <w:t>0769-23328188</w:t>
      </w:r>
    </w:p>
    <w:p w14:paraId="5BAAC778">
      <w:pPr>
        <w:spacing w:line="360" w:lineRule="auto"/>
        <w:ind w:right="-34" w:firstLine="424" w:firstLineChars="202"/>
        <w:jc w:val="both"/>
        <w:rPr>
          <w:rFonts w:hint="eastAsia" w:hAnsi="宋体"/>
          <w:sz w:val="21"/>
          <w:szCs w:val="21"/>
        </w:rPr>
      </w:pPr>
      <w:r>
        <w:rPr>
          <w:rFonts w:hint="eastAsia" w:hAnsi="宋体"/>
          <w:sz w:val="21"/>
          <w:szCs w:val="21"/>
        </w:rPr>
        <w:t>邮    箱</w:t>
      </w:r>
      <w:r>
        <w:rPr>
          <w:rFonts w:hAnsi="宋体"/>
          <w:sz w:val="21"/>
          <w:szCs w:val="21"/>
        </w:rPr>
        <w:t>：</w:t>
      </w:r>
      <w:r>
        <w:fldChar w:fldCharType="begin"/>
      </w:r>
      <w:r>
        <w:instrText xml:space="preserve"> HYPERLINK "mailto:3478473573@qq.com" </w:instrText>
      </w:r>
      <w:r>
        <w:fldChar w:fldCharType="separate"/>
      </w:r>
      <w:r>
        <w:rPr>
          <w:rStyle w:val="60"/>
          <w:rFonts w:hint="eastAsia" w:hAnsi="宋体"/>
          <w:sz w:val="21"/>
          <w:szCs w:val="21"/>
        </w:rPr>
        <w:t>3478473573@</w:t>
      </w:r>
      <w:r>
        <w:rPr>
          <w:rStyle w:val="60"/>
          <w:rFonts w:hAnsi="宋体"/>
          <w:sz w:val="21"/>
          <w:szCs w:val="21"/>
        </w:rPr>
        <w:t>qq.com</w:t>
      </w:r>
      <w:r>
        <w:rPr>
          <w:rStyle w:val="60"/>
          <w:rFonts w:hAnsi="宋体"/>
          <w:sz w:val="21"/>
          <w:szCs w:val="21"/>
        </w:rPr>
        <w:fldChar w:fldCharType="end"/>
      </w:r>
    </w:p>
    <w:p w14:paraId="12E7038A">
      <w:pPr>
        <w:spacing w:line="360" w:lineRule="auto"/>
        <w:ind w:firstLine="422" w:firstLineChars="200"/>
        <w:jc w:val="right"/>
        <w:rPr>
          <w:rFonts w:hint="eastAsia" w:eastAsia="宋体"/>
          <w:b/>
          <w:sz w:val="21"/>
          <w:szCs w:val="21"/>
          <w:lang w:eastAsia="zh-CN"/>
        </w:rPr>
      </w:pPr>
      <w:r>
        <w:rPr>
          <w:rFonts w:hint="eastAsia"/>
          <w:b/>
          <w:sz w:val="21"/>
          <w:szCs w:val="21"/>
          <w:lang w:eastAsia="zh-CN"/>
        </w:rPr>
        <w:t>东莞文旅有限公司</w:t>
      </w:r>
    </w:p>
    <w:p w14:paraId="437F8E1D">
      <w:pPr>
        <w:spacing w:line="360" w:lineRule="auto"/>
        <w:ind w:firstLine="422" w:firstLineChars="200"/>
        <w:jc w:val="right"/>
        <w:rPr>
          <w:b/>
          <w:sz w:val="21"/>
          <w:szCs w:val="21"/>
        </w:rPr>
      </w:pPr>
      <w:r>
        <w:rPr>
          <w:rFonts w:hint="eastAsia"/>
          <w:b/>
          <w:sz w:val="21"/>
          <w:szCs w:val="21"/>
        </w:rPr>
        <w:t>广东洲际招标代理有限公司</w:t>
      </w:r>
    </w:p>
    <w:p w14:paraId="0F7BC53B">
      <w:pPr>
        <w:wordWrap w:val="0"/>
        <w:spacing w:line="360" w:lineRule="auto"/>
        <w:ind w:right="-34" w:firstLine="426" w:firstLineChars="202"/>
        <w:jc w:val="right"/>
        <w:rPr>
          <w:rFonts w:hint="eastAsia" w:hAnsi="宋体"/>
          <w:sz w:val="21"/>
          <w:szCs w:val="21"/>
        </w:rPr>
      </w:pPr>
      <w:r>
        <w:rPr>
          <w:rFonts w:hint="eastAsia" w:hAnsi="宋体"/>
          <w:b/>
          <w:sz w:val="21"/>
          <w:szCs w:val="21"/>
          <w:lang w:val="en-US" w:eastAsia="zh-CN"/>
        </w:rPr>
        <w:t xml:space="preserve">   2025年10月9日</w:t>
      </w:r>
      <w:bookmarkStart w:id="329" w:name="_GoBack"/>
      <w:bookmarkEnd w:id="329"/>
    </w:p>
    <w:p w14:paraId="1A4A21FB">
      <w:pPr>
        <w:pStyle w:val="5"/>
        <w:keepNext/>
        <w:keepLines/>
        <w:pageBreakBefore/>
        <w:numPr>
          <w:ilvl w:val="0"/>
          <w:numId w:val="10"/>
        </w:numPr>
        <w:tabs>
          <w:tab w:val="left" w:pos="1080"/>
        </w:tabs>
        <w:spacing w:line="360" w:lineRule="auto"/>
        <w:ind w:left="1262" w:hanging="1262" w:hangingChars="449"/>
        <w:jc w:val="center"/>
        <w:rPr>
          <w:rFonts w:hint="eastAsia" w:hAnsi="宋体"/>
          <w:b/>
          <w:bCs/>
          <w:kern w:val="44"/>
          <w:sz w:val="28"/>
          <w:szCs w:val="28"/>
          <w:lang w:val="zh-CN"/>
        </w:rPr>
      </w:pPr>
      <w:bookmarkStart w:id="9" w:name="_Toc16634"/>
      <w:bookmarkStart w:id="10" w:name="_Toc17779"/>
      <w:r>
        <w:rPr>
          <w:rFonts w:hint="eastAsia" w:hAnsi="宋体"/>
          <w:b/>
          <w:bCs/>
          <w:kern w:val="44"/>
          <w:sz w:val="28"/>
          <w:szCs w:val="28"/>
          <w:lang w:val="zh-CN"/>
        </w:rPr>
        <w:t>供应商须知</w:t>
      </w:r>
      <w:bookmarkEnd w:id="7"/>
      <w:bookmarkEnd w:id="9"/>
      <w:bookmarkEnd w:id="10"/>
    </w:p>
    <w:p w14:paraId="290660D8">
      <w:pPr>
        <w:pStyle w:val="6"/>
        <w:adjustRightInd/>
        <w:spacing w:line="360" w:lineRule="auto"/>
        <w:ind w:firstLine="562" w:firstLineChars="200"/>
        <w:jc w:val="center"/>
        <w:rPr>
          <w:rFonts w:hint="eastAsia"/>
          <w:sz w:val="28"/>
          <w:szCs w:val="28"/>
        </w:rPr>
      </w:pPr>
      <w:bookmarkStart w:id="11" w:name="_Toc6968687"/>
      <w:bookmarkStart w:id="12" w:name="_Toc12804"/>
      <w:bookmarkStart w:id="13" w:name="_Toc102277756"/>
      <w:bookmarkStart w:id="14" w:name="_Toc6882675"/>
      <w:bookmarkStart w:id="15" w:name="_Toc466786434"/>
      <w:bookmarkStart w:id="16" w:name="_Toc7897861"/>
      <w:bookmarkStart w:id="17" w:name="_Toc5203"/>
      <w:bookmarkStart w:id="18" w:name="_Toc507407359"/>
      <w:r>
        <w:rPr>
          <w:rFonts w:hint="eastAsia"/>
          <w:sz w:val="28"/>
          <w:szCs w:val="28"/>
        </w:rPr>
        <w:t>一、说  明</w:t>
      </w:r>
      <w:bookmarkEnd w:id="11"/>
      <w:bookmarkEnd w:id="12"/>
      <w:bookmarkEnd w:id="13"/>
      <w:bookmarkEnd w:id="14"/>
      <w:bookmarkEnd w:id="15"/>
      <w:bookmarkEnd w:id="16"/>
      <w:bookmarkEnd w:id="17"/>
      <w:bookmarkEnd w:id="18"/>
    </w:p>
    <w:p w14:paraId="74BDFCF5">
      <w:pPr>
        <w:pStyle w:val="7"/>
        <w:adjustRightInd/>
        <w:spacing w:line="360" w:lineRule="auto"/>
        <w:ind w:firstLine="420" w:firstLineChars="200"/>
        <w:rPr>
          <w:rFonts w:hint="eastAsia" w:hAnsi="宋体"/>
          <w:sz w:val="21"/>
          <w:szCs w:val="21"/>
        </w:rPr>
      </w:pPr>
      <w:bookmarkStart w:id="19" w:name="_Toc24987"/>
      <w:bookmarkStart w:id="20" w:name="_Toc7897862"/>
      <w:bookmarkStart w:id="21" w:name="_Toc475249114"/>
      <w:bookmarkStart w:id="22" w:name="_Toc3730"/>
      <w:r>
        <w:rPr>
          <w:rFonts w:hint="eastAsia" w:hAnsi="宋体"/>
          <w:sz w:val="21"/>
          <w:szCs w:val="21"/>
        </w:rPr>
        <w:t>1.适用范围</w:t>
      </w:r>
      <w:bookmarkEnd w:id="19"/>
      <w:bookmarkEnd w:id="20"/>
      <w:bookmarkEnd w:id="21"/>
      <w:bookmarkEnd w:id="22"/>
    </w:p>
    <w:p w14:paraId="379E2F93">
      <w:pPr>
        <w:spacing w:line="360" w:lineRule="auto"/>
        <w:ind w:firstLine="420" w:firstLineChars="200"/>
        <w:textAlignment w:val="baseline"/>
        <w:rPr>
          <w:rFonts w:hint="eastAsia" w:hAnsi="宋体"/>
          <w:sz w:val="21"/>
          <w:szCs w:val="21"/>
        </w:rPr>
      </w:pPr>
      <w:r>
        <w:rPr>
          <w:rFonts w:hint="eastAsia" w:hAnsi="宋体"/>
          <w:sz w:val="21"/>
          <w:szCs w:val="21"/>
        </w:rPr>
        <w:t>1.1本磋商文件仅适用于本次采购邀请中所叙述的项目。</w:t>
      </w:r>
    </w:p>
    <w:p w14:paraId="4A93FBE2">
      <w:pPr>
        <w:spacing w:line="360" w:lineRule="auto"/>
        <w:ind w:firstLine="420" w:firstLineChars="200"/>
        <w:textAlignment w:val="baseline"/>
        <w:rPr>
          <w:rFonts w:hint="eastAsia" w:hAnsi="宋体"/>
          <w:sz w:val="21"/>
          <w:szCs w:val="21"/>
        </w:rPr>
      </w:pPr>
      <w:r>
        <w:rPr>
          <w:rFonts w:hint="eastAsia" w:hAnsi="宋体"/>
          <w:sz w:val="21"/>
          <w:szCs w:val="21"/>
        </w:rPr>
        <w:t>1.2本磋商文件的解释权在采购代理机构。</w:t>
      </w:r>
    </w:p>
    <w:p w14:paraId="2A32F301">
      <w:pPr>
        <w:pStyle w:val="7"/>
        <w:adjustRightInd/>
        <w:spacing w:line="360" w:lineRule="auto"/>
        <w:ind w:firstLine="420" w:firstLineChars="200"/>
        <w:rPr>
          <w:rFonts w:hint="eastAsia" w:hAnsi="宋体"/>
          <w:sz w:val="21"/>
          <w:szCs w:val="21"/>
        </w:rPr>
      </w:pPr>
      <w:bookmarkStart w:id="23" w:name="_Toc598"/>
      <w:bookmarkStart w:id="24" w:name="_Toc7897863"/>
      <w:bookmarkStart w:id="25" w:name="_Toc9738"/>
      <w:bookmarkStart w:id="26" w:name="_Toc475249115"/>
      <w:r>
        <w:rPr>
          <w:rFonts w:hint="eastAsia" w:hAnsi="宋体"/>
          <w:sz w:val="21"/>
          <w:szCs w:val="21"/>
        </w:rPr>
        <w:t>2.定义</w:t>
      </w:r>
      <w:bookmarkEnd w:id="23"/>
      <w:bookmarkEnd w:id="24"/>
      <w:bookmarkEnd w:id="25"/>
      <w:bookmarkEnd w:id="26"/>
    </w:p>
    <w:p w14:paraId="7FA14866">
      <w:pPr>
        <w:spacing w:line="360" w:lineRule="auto"/>
        <w:ind w:firstLine="420" w:firstLineChars="200"/>
        <w:rPr>
          <w:rFonts w:hint="eastAsia" w:hAnsi="宋体"/>
          <w:sz w:val="21"/>
          <w:szCs w:val="21"/>
        </w:rPr>
      </w:pPr>
      <w:r>
        <w:rPr>
          <w:rFonts w:hint="eastAsia" w:hAnsi="宋体"/>
          <w:sz w:val="21"/>
          <w:szCs w:val="21"/>
        </w:rPr>
        <w:t>2.1“采购人”是指</w:t>
      </w:r>
      <w:r>
        <w:rPr>
          <w:rFonts w:hint="eastAsia" w:hAnsi="宋体"/>
          <w:sz w:val="21"/>
          <w:szCs w:val="21"/>
          <w:lang w:eastAsia="zh-CN"/>
        </w:rPr>
        <w:t>东莞文旅有限公司</w:t>
      </w:r>
      <w:r>
        <w:rPr>
          <w:rFonts w:hint="eastAsia" w:hAnsi="宋体"/>
          <w:sz w:val="21"/>
          <w:szCs w:val="21"/>
        </w:rPr>
        <w:t>。</w:t>
      </w:r>
    </w:p>
    <w:p w14:paraId="6963657E">
      <w:pPr>
        <w:spacing w:line="360" w:lineRule="auto"/>
        <w:ind w:firstLine="420" w:firstLineChars="200"/>
        <w:rPr>
          <w:rFonts w:hint="eastAsia" w:hAnsi="宋体"/>
          <w:b/>
          <w:sz w:val="21"/>
          <w:szCs w:val="21"/>
        </w:rPr>
      </w:pPr>
      <w:r>
        <w:rPr>
          <w:rFonts w:hint="eastAsia" w:hAnsi="宋体"/>
          <w:sz w:val="21"/>
          <w:szCs w:val="21"/>
        </w:rPr>
        <w:t>2.2“采购代理机构”是指广东洲际招标代理有限公司。</w:t>
      </w:r>
    </w:p>
    <w:p w14:paraId="2539771B">
      <w:pPr>
        <w:spacing w:line="360" w:lineRule="auto"/>
        <w:ind w:firstLine="420" w:firstLineChars="200"/>
        <w:rPr>
          <w:rFonts w:hint="eastAsia" w:hAnsi="宋体"/>
          <w:sz w:val="21"/>
          <w:szCs w:val="21"/>
        </w:rPr>
      </w:pPr>
      <w:r>
        <w:rPr>
          <w:rFonts w:hint="eastAsia" w:hAnsi="宋体"/>
          <w:sz w:val="21"/>
          <w:szCs w:val="21"/>
        </w:rPr>
        <w:t>2.3“供应商”指向采购代理机构提交响应文件的法人。</w:t>
      </w:r>
    </w:p>
    <w:p w14:paraId="289B029A">
      <w:pPr>
        <w:spacing w:line="360" w:lineRule="auto"/>
        <w:ind w:firstLine="420" w:firstLineChars="200"/>
        <w:rPr>
          <w:rFonts w:hint="eastAsia" w:hAnsi="宋体"/>
          <w:sz w:val="21"/>
          <w:szCs w:val="21"/>
        </w:rPr>
      </w:pPr>
      <w:r>
        <w:rPr>
          <w:rFonts w:hint="eastAsia" w:hAnsi="宋体"/>
          <w:sz w:val="21"/>
          <w:szCs w:val="21"/>
        </w:rPr>
        <w:t>2.4 货物：卖方按磋商文件规定向买方提供的货物。</w:t>
      </w:r>
    </w:p>
    <w:p w14:paraId="5DBFA5D6">
      <w:pPr>
        <w:spacing w:line="360" w:lineRule="auto"/>
        <w:ind w:firstLine="420" w:firstLineChars="200"/>
        <w:rPr>
          <w:rFonts w:hint="eastAsia" w:hAnsi="宋体"/>
          <w:sz w:val="21"/>
          <w:szCs w:val="21"/>
        </w:rPr>
      </w:pPr>
      <w:r>
        <w:rPr>
          <w:rFonts w:hint="eastAsia" w:hAnsi="宋体"/>
          <w:sz w:val="21"/>
          <w:szCs w:val="21"/>
        </w:rPr>
        <w:t>2.5 服务：磋商文件规定卖方必须承担的咨询、技术协助、培训及其它相关义务。</w:t>
      </w:r>
    </w:p>
    <w:p w14:paraId="1C49DF0E">
      <w:pPr>
        <w:spacing w:line="360" w:lineRule="auto"/>
        <w:ind w:firstLine="420" w:firstLineChars="200"/>
        <w:rPr>
          <w:rFonts w:hint="eastAsia" w:hAnsi="宋体"/>
          <w:sz w:val="21"/>
          <w:szCs w:val="21"/>
        </w:rPr>
      </w:pPr>
      <w:r>
        <w:rPr>
          <w:rFonts w:hint="eastAsia" w:hAnsi="宋体"/>
          <w:sz w:val="21"/>
          <w:szCs w:val="21"/>
        </w:rPr>
        <w:t>2.6 语言：磋商文件的语言为简体中文。</w:t>
      </w:r>
    </w:p>
    <w:p w14:paraId="58FEED88">
      <w:pPr>
        <w:spacing w:line="360" w:lineRule="auto"/>
        <w:ind w:firstLine="420" w:firstLineChars="200"/>
        <w:rPr>
          <w:rFonts w:hint="eastAsia" w:hAnsi="宋体"/>
          <w:sz w:val="21"/>
          <w:szCs w:val="21"/>
        </w:rPr>
      </w:pPr>
      <w:r>
        <w:rPr>
          <w:rFonts w:hint="eastAsia" w:hAnsi="宋体"/>
          <w:sz w:val="21"/>
          <w:szCs w:val="21"/>
        </w:rPr>
        <w:t>2.7 日期：指公历日。</w:t>
      </w:r>
    </w:p>
    <w:p w14:paraId="46EB6541">
      <w:pPr>
        <w:spacing w:line="360" w:lineRule="auto"/>
        <w:ind w:firstLine="420" w:firstLineChars="200"/>
        <w:rPr>
          <w:rFonts w:hint="eastAsia" w:hAnsi="宋体"/>
          <w:sz w:val="21"/>
          <w:szCs w:val="21"/>
        </w:rPr>
      </w:pPr>
      <w:r>
        <w:rPr>
          <w:rFonts w:hint="eastAsia" w:hAnsi="宋体"/>
          <w:sz w:val="21"/>
          <w:szCs w:val="21"/>
        </w:rPr>
        <w:t>2.8 时间：指北京时间。</w:t>
      </w:r>
    </w:p>
    <w:p w14:paraId="4F984933">
      <w:pPr>
        <w:pStyle w:val="7"/>
        <w:adjustRightInd/>
        <w:spacing w:line="360" w:lineRule="auto"/>
        <w:ind w:firstLine="420" w:firstLineChars="200"/>
        <w:rPr>
          <w:rFonts w:hint="eastAsia" w:hAnsi="宋体"/>
          <w:sz w:val="21"/>
          <w:szCs w:val="21"/>
        </w:rPr>
      </w:pPr>
      <w:bookmarkStart w:id="27" w:name="_Toc367"/>
      <w:bookmarkStart w:id="28" w:name="_Toc7897864"/>
      <w:bookmarkStart w:id="29" w:name="_Toc24709"/>
      <w:bookmarkStart w:id="30" w:name="_Toc110953831"/>
      <w:bookmarkStart w:id="31" w:name="_Toc6882676"/>
      <w:bookmarkStart w:id="32" w:name="_Toc507407360"/>
      <w:bookmarkStart w:id="33" w:name="_Toc466786435"/>
      <w:bookmarkStart w:id="34" w:name="_Toc102277757"/>
      <w:bookmarkStart w:id="35" w:name="_Toc6968688"/>
      <w:r>
        <w:rPr>
          <w:rFonts w:hint="eastAsia" w:hAnsi="宋体"/>
          <w:sz w:val="21"/>
          <w:szCs w:val="21"/>
        </w:rPr>
        <w:t>3.适用法律</w:t>
      </w:r>
      <w:bookmarkEnd w:id="27"/>
      <w:bookmarkEnd w:id="28"/>
      <w:bookmarkEnd w:id="29"/>
      <w:bookmarkEnd w:id="30"/>
    </w:p>
    <w:p w14:paraId="203D1A85">
      <w:pPr>
        <w:spacing w:line="360" w:lineRule="auto"/>
        <w:ind w:firstLine="420" w:firstLineChars="200"/>
        <w:rPr>
          <w:rFonts w:hint="eastAsia" w:hAnsi="宋体"/>
          <w:sz w:val="21"/>
          <w:szCs w:val="21"/>
        </w:rPr>
      </w:pPr>
      <w:r>
        <w:rPr>
          <w:rFonts w:hint="eastAsia" w:hAnsi="宋体"/>
          <w:sz w:val="21"/>
          <w:szCs w:val="21"/>
        </w:rPr>
        <w:t>采购人、供应商和采购代理机构均应当参照</w:t>
      </w:r>
      <w:r>
        <w:rPr>
          <w:rFonts w:hint="eastAsia" w:hAnsi="宋体"/>
          <w:sz w:val="21"/>
          <w:szCs w:val="21"/>
          <w:lang w:eastAsia="zh-CN"/>
        </w:rPr>
        <w:t>东莞文旅有限公司</w:t>
      </w:r>
      <w:r>
        <w:rPr>
          <w:rFonts w:hint="eastAsia" w:hAnsi="宋体"/>
          <w:sz w:val="21"/>
          <w:szCs w:val="21"/>
        </w:rPr>
        <w:t>相关招标采购规定执行。</w:t>
      </w:r>
    </w:p>
    <w:p w14:paraId="632F36DB">
      <w:pPr>
        <w:pStyle w:val="7"/>
        <w:adjustRightInd/>
        <w:spacing w:line="360" w:lineRule="auto"/>
        <w:ind w:firstLine="420" w:firstLineChars="200"/>
        <w:rPr>
          <w:rFonts w:hint="eastAsia" w:hAnsi="宋体"/>
          <w:sz w:val="21"/>
          <w:szCs w:val="21"/>
          <w:lang w:val="zh-CN"/>
        </w:rPr>
      </w:pPr>
      <w:bookmarkStart w:id="36" w:name="_Toc20707"/>
      <w:bookmarkStart w:id="37" w:name="_Toc7897866"/>
      <w:bookmarkStart w:id="38" w:name="_Toc10397"/>
      <w:bookmarkStart w:id="39" w:name="_Toc110953833"/>
      <w:r>
        <w:rPr>
          <w:rFonts w:hint="eastAsia" w:hAnsi="宋体"/>
          <w:sz w:val="21"/>
          <w:szCs w:val="21"/>
          <w:lang w:val="zh-CN"/>
        </w:rPr>
        <w:t>4</w:t>
      </w:r>
      <w:r>
        <w:rPr>
          <w:rFonts w:hint="eastAsia" w:hAnsi="宋体"/>
          <w:sz w:val="21"/>
          <w:szCs w:val="21"/>
        </w:rPr>
        <w:t>.</w:t>
      </w:r>
      <w:r>
        <w:rPr>
          <w:rFonts w:hint="eastAsia" w:hAnsi="宋体"/>
          <w:sz w:val="21"/>
          <w:szCs w:val="21"/>
          <w:lang w:val="zh-CN"/>
        </w:rPr>
        <w:t>本项目不接受联合体磋商。</w:t>
      </w:r>
      <w:bookmarkEnd w:id="36"/>
    </w:p>
    <w:p w14:paraId="255867E5">
      <w:pPr>
        <w:pStyle w:val="7"/>
        <w:adjustRightInd/>
        <w:spacing w:line="360" w:lineRule="auto"/>
        <w:ind w:firstLine="420" w:firstLineChars="200"/>
        <w:rPr>
          <w:rFonts w:hint="eastAsia" w:hAnsi="宋体"/>
          <w:bCs/>
          <w:sz w:val="21"/>
          <w:szCs w:val="21"/>
        </w:rPr>
      </w:pPr>
      <w:bookmarkStart w:id="40" w:name="_Toc10368"/>
      <w:r>
        <w:rPr>
          <w:rFonts w:hint="eastAsia" w:hAnsi="宋体"/>
          <w:sz w:val="21"/>
          <w:szCs w:val="21"/>
        </w:rPr>
        <w:t>5.禁止事项</w:t>
      </w:r>
      <w:bookmarkEnd w:id="37"/>
      <w:bookmarkEnd w:id="38"/>
      <w:bookmarkEnd w:id="39"/>
      <w:bookmarkEnd w:id="40"/>
    </w:p>
    <w:p w14:paraId="4B968B17">
      <w:pPr>
        <w:spacing w:line="360" w:lineRule="auto"/>
        <w:ind w:firstLine="420" w:firstLineChars="200"/>
        <w:rPr>
          <w:rFonts w:hint="eastAsia" w:hAnsi="宋体"/>
          <w:sz w:val="21"/>
          <w:szCs w:val="21"/>
        </w:rPr>
      </w:pPr>
      <w:bookmarkStart w:id="41" w:name="_Toc98126218"/>
      <w:bookmarkStart w:id="42" w:name="_Toc98126293"/>
      <w:r>
        <w:rPr>
          <w:rFonts w:hint="eastAsia" w:hAnsi="宋体"/>
          <w:sz w:val="21"/>
          <w:szCs w:val="21"/>
        </w:rPr>
        <w:t>5.1采购人、供应商和采购代理机构不得相互串通损害国家利益、社会公共利益和其他当事人的合法权益。</w:t>
      </w:r>
    </w:p>
    <w:p w14:paraId="6962D575">
      <w:pPr>
        <w:spacing w:line="360" w:lineRule="auto"/>
        <w:ind w:firstLine="420" w:firstLineChars="200"/>
        <w:rPr>
          <w:rFonts w:hint="eastAsia" w:hAnsi="宋体"/>
          <w:sz w:val="21"/>
          <w:szCs w:val="21"/>
        </w:rPr>
      </w:pPr>
      <w:r>
        <w:rPr>
          <w:rFonts w:hint="eastAsia" w:hAnsi="宋体"/>
          <w:sz w:val="21"/>
          <w:szCs w:val="21"/>
        </w:rPr>
        <w:t>5.2供应商不得向采购人、采购代理机构、磋商小组的组成人员行贿或者采取其他不正当手段谋取成交。</w:t>
      </w:r>
      <w:bookmarkEnd w:id="41"/>
      <w:bookmarkEnd w:id="42"/>
    </w:p>
    <w:p w14:paraId="0FA3DD1F">
      <w:pPr>
        <w:spacing w:line="360" w:lineRule="auto"/>
        <w:ind w:firstLine="420" w:firstLineChars="200"/>
        <w:rPr>
          <w:rFonts w:hint="eastAsia" w:hAnsi="宋体"/>
          <w:sz w:val="21"/>
          <w:szCs w:val="21"/>
        </w:rPr>
      </w:pPr>
      <w:bookmarkStart w:id="43" w:name="_Toc98126294"/>
      <w:bookmarkStart w:id="44" w:name="_Toc98126219"/>
      <w:r>
        <w:rPr>
          <w:rFonts w:hint="eastAsia" w:hAnsi="宋体"/>
          <w:sz w:val="21"/>
          <w:szCs w:val="21"/>
        </w:rPr>
        <w:t>5.3采购代理机构不得向采购人行贿或者采取其他不正当手段谋取非法利益。</w:t>
      </w:r>
      <w:bookmarkEnd w:id="43"/>
      <w:bookmarkEnd w:id="44"/>
    </w:p>
    <w:p w14:paraId="1C66AC28">
      <w:pPr>
        <w:spacing w:line="360" w:lineRule="auto"/>
        <w:ind w:firstLine="420" w:firstLineChars="200"/>
        <w:rPr>
          <w:rFonts w:hint="eastAsia" w:hAnsi="宋体"/>
          <w:sz w:val="21"/>
          <w:szCs w:val="21"/>
        </w:rPr>
      </w:pPr>
      <w:bookmarkStart w:id="45" w:name="_Toc98126295"/>
      <w:bookmarkStart w:id="46" w:name="_Toc98126220"/>
      <w:r>
        <w:rPr>
          <w:rFonts w:hint="eastAsia" w:hAnsi="宋体"/>
          <w:sz w:val="21"/>
          <w:szCs w:val="21"/>
        </w:rPr>
        <w:t>5.4除供应商被要求对响应文件进行质疑澄清外，从开启响应文件之时起至授予合同止，供应商不得就与其响应文件有关的事项主动与磋商小组、采购人以及采购代理机构接触。</w:t>
      </w:r>
      <w:bookmarkEnd w:id="45"/>
      <w:bookmarkEnd w:id="46"/>
    </w:p>
    <w:p w14:paraId="29E72F5B">
      <w:pPr>
        <w:pStyle w:val="7"/>
        <w:adjustRightInd/>
        <w:spacing w:line="360" w:lineRule="auto"/>
        <w:ind w:firstLine="420" w:firstLineChars="200"/>
        <w:rPr>
          <w:rFonts w:hint="eastAsia" w:hAnsi="宋体"/>
          <w:bCs/>
          <w:sz w:val="21"/>
          <w:szCs w:val="21"/>
        </w:rPr>
      </w:pPr>
      <w:bookmarkStart w:id="47" w:name="_Toc110953834"/>
      <w:bookmarkStart w:id="48" w:name="_Toc25870"/>
      <w:bookmarkStart w:id="49" w:name="_Toc7897867"/>
      <w:bookmarkStart w:id="50" w:name="_Toc2863"/>
      <w:r>
        <w:rPr>
          <w:rFonts w:hint="eastAsia" w:hAnsi="宋体"/>
          <w:sz w:val="21"/>
          <w:szCs w:val="21"/>
        </w:rPr>
        <w:t>6.保密及其它注意事项</w:t>
      </w:r>
      <w:bookmarkEnd w:id="47"/>
      <w:bookmarkEnd w:id="48"/>
      <w:bookmarkEnd w:id="49"/>
      <w:bookmarkEnd w:id="50"/>
    </w:p>
    <w:p w14:paraId="25109213">
      <w:pPr>
        <w:spacing w:line="360" w:lineRule="auto"/>
        <w:ind w:firstLine="420" w:firstLineChars="200"/>
        <w:rPr>
          <w:rFonts w:hint="eastAsia" w:hAnsi="宋体"/>
          <w:sz w:val="21"/>
          <w:szCs w:val="21"/>
        </w:rPr>
      </w:pPr>
      <w:bookmarkStart w:id="51" w:name="_Toc98126222"/>
      <w:bookmarkStart w:id="52" w:name="_Toc98126297"/>
      <w:r>
        <w:rPr>
          <w:rFonts w:hint="eastAsia" w:hAnsi="宋体"/>
          <w:sz w:val="21"/>
          <w:szCs w:val="21"/>
        </w:rPr>
        <w:t>6.1凡参与采购工作的有关人员均应自觉接受有关主管部门的监督，不得向他人透露可能影响公平竞争的有关情况。</w:t>
      </w:r>
      <w:bookmarkEnd w:id="51"/>
      <w:bookmarkEnd w:id="52"/>
    </w:p>
    <w:p w14:paraId="07C0987B">
      <w:pPr>
        <w:spacing w:line="360" w:lineRule="auto"/>
        <w:ind w:firstLine="420" w:firstLineChars="200"/>
        <w:rPr>
          <w:rFonts w:hint="eastAsia" w:hAnsi="宋体"/>
          <w:sz w:val="21"/>
          <w:szCs w:val="21"/>
        </w:rPr>
      </w:pPr>
      <w:r>
        <w:rPr>
          <w:rFonts w:hint="eastAsia" w:hAnsi="宋体"/>
          <w:sz w:val="21"/>
          <w:szCs w:val="21"/>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磋商小组人员之外。</w:t>
      </w:r>
    </w:p>
    <w:p w14:paraId="02A6554B">
      <w:pPr>
        <w:spacing w:line="360" w:lineRule="auto"/>
        <w:ind w:firstLine="420" w:firstLineChars="200"/>
        <w:rPr>
          <w:rFonts w:hint="eastAsia" w:hAnsi="宋体"/>
          <w:sz w:val="21"/>
          <w:szCs w:val="21"/>
        </w:rPr>
      </w:pPr>
      <w:r>
        <w:rPr>
          <w:rFonts w:hint="eastAsia" w:hAnsi="宋体"/>
          <w:sz w:val="21"/>
          <w:szCs w:val="21"/>
        </w:rPr>
        <w:t>6.3在评审期间，供应商不得向磋商小组成员询问评审情况，不得进行旨在影响评审结果的活动。</w:t>
      </w:r>
    </w:p>
    <w:p w14:paraId="4222D0F9">
      <w:pPr>
        <w:spacing w:line="360" w:lineRule="auto"/>
        <w:ind w:firstLine="420" w:firstLineChars="200"/>
        <w:rPr>
          <w:rFonts w:hint="eastAsia" w:hAnsi="宋体"/>
          <w:sz w:val="21"/>
          <w:szCs w:val="21"/>
        </w:rPr>
      </w:pPr>
      <w:r>
        <w:rPr>
          <w:rFonts w:hint="eastAsia" w:hAnsi="宋体"/>
          <w:sz w:val="21"/>
          <w:szCs w:val="21"/>
        </w:rPr>
        <w:t>6.4磋商小组不向未成交供应商解释落选原因，不退还响应文件。</w:t>
      </w:r>
    </w:p>
    <w:p w14:paraId="4CB7B92D">
      <w:pPr>
        <w:spacing w:line="360" w:lineRule="auto"/>
        <w:ind w:firstLine="420" w:firstLineChars="200"/>
        <w:rPr>
          <w:rFonts w:hint="eastAsia" w:hAnsi="宋体"/>
          <w:sz w:val="21"/>
          <w:szCs w:val="21"/>
        </w:rPr>
      </w:pPr>
      <w:r>
        <w:rPr>
          <w:rFonts w:hint="eastAsia" w:hAnsi="宋体"/>
          <w:sz w:val="21"/>
          <w:szCs w:val="21"/>
        </w:rPr>
        <w:t>6.5所有供应商自行承担与响应有关的全部费用。采购人和采购代理机构在任何情况下均不承担该费用。</w:t>
      </w:r>
    </w:p>
    <w:p w14:paraId="3F47C039">
      <w:pPr>
        <w:pStyle w:val="7"/>
        <w:adjustRightInd/>
        <w:spacing w:line="360" w:lineRule="auto"/>
        <w:ind w:firstLine="420" w:firstLineChars="200"/>
        <w:rPr>
          <w:rFonts w:hint="eastAsia" w:hAnsi="宋体"/>
          <w:sz w:val="21"/>
          <w:szCs w:val="21"/>
        </w:rPr>
      </w:pPr>
      <w:bookmarkStart w:id="53" w:name="_Toc7897868"/>
      <w:bookmarkStart w:id="54" w:name="_Toc497016085"/>
      <w:bookmarkStart w:id="55" w:name="_Toc13371"/>
      <w:bookmarkStart w:id="56" w:name="_Toc27298"/>
      <w:r>
        <w:rPr>
          <w:rFonts w:hint="eastAsia" w:hAnsi="宋体"/>
          <w:sz w:val="21"/>
          <w:szCs w:val="21"/>
        </w:rPr>
        <w:t>7.供应商诚信管理</w:t>
      </w:r>
      <w:bookmarkEnd w:id="53"/>
      <w:bookmarkEnd w:id="54"/>
      <w:bookmarkEnd w:id="55"/>
      <w:bookmarkEnd w:id="56"/>
    </w:p>
    <w:p w14:paraId="3EA6327C">
      <w:pPr>
        <w:spacing w:line="360" w:lineRule="auto"/>
        <w:ind w:firstLine="420" w:firstLineChars="200"/>
        <w:rPr>
          <w:rFonts w:hint="eastAsia" w:hAnsi="宋体"/>
          <w:sz w:val="21"/>
          <w:szCs w:val="21"/>
        </w:rPr>
      </w:pPr>
      <w:r>
        <w:rPr>
          <w:rFonts w:hint="eastAsia" w:hAnsi="宋体"/>
          <w:sz w:val="21"/>
          <w:szCs w:val="21"/>
        </w:rPr>
        <w:t>7.1供应商在本磋商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08EB887B">
      <w:pPr>
        <w:spacing w:line="360" w:lineRule="auto"/>
        <w:ind w:firstLine="420" w:firstLineChars="200"/>
        <w:rPr>
          <w:rFonts w:hint="eastAsia" w:hAnsi="宋体"/>
          <w:sz w:val="21"/>
          <w:szCs w:val="21"/>
        </w:rPr>
      </w:pPr>
      <w:r>
        <w:rPr>
          <w:rFonts w:hint="eastAsia" w:hAnsi="宋体"/>
          <w:sz w:val="21"/>
          <w:szCs w:val="21"/>
        </w:rPr>
        <w:t>7.2如果采购人或采购代理机构有证据表明供应商在本磋商项目的竞争中存在腐败、欺诈或其他严重违背诚信原则的行为，则将拒绝其响应。</w:t>
      </w:r>
    </w:p>
    <w:p w14:paraId="4EDF8A75">
      <w:pPr>
        <w:spacing w:line="360" w:lineRule="auto"/>
        <w:rPr>
          <w:rFonts w:hint="eastAsia" w:hAnsi="宋体"/>
          <w:sz w:val="21"/>
          <w:szCs w:val="21"/>
        </w:rPr>
      </w:pPr>
    </w:p>
    <w:p w14:paraId="70CF980C">
      <w:pPr>
        <w:pStyle w:val="6"/>
        <w:adjustRightInd/>
        <w:spacing w:line="360" w:lineRule="auto"/>
        <w:ind w:firstLine="562" w:firstLineChars="200"/>
        <w:jc w:val="center"/>
        <w:rPr>
          <w:rFonts w:hint="eastAsia"/>
          <w:sz w:val="28"/>
          <w:szCs w:val="28"/>
        </w:rPr>
      </w:pPr>
      <w:bookmarkStart w:id="57" w:name="_Toc7897869"/>
      <w:bookmarkStart w:id="58" w:name="_Toc23741"/>
      <w:bookmarkStart w:id="59" w:name="_Toc17498"/>
      <w:r>
        <w:rPr>
          <w:rFonts w:hint="eastAsia"/>
          <w:sz w:val="28"/>
          <w:szCs w:val="28"/>
        </w:rPr>
        <w:t>二、磋商文件说明</w:t>
      </w:r>
      <w:bookmarkEnd w:id="31"/>
      <w:bookmarkEnd w:id="32"/>
      <w:bookmarkEnd w:id="33"/>
      <w:bookmarkEnd w:id="34"/>
      <w:bookmarkEnd w:id="35"/>
      <w:bookmarkEnd w:id="57"/>
      <w:bookmarkEnd w:id="58"/>
      <w:bookmarkEnd w:id="59"/>
    </w:p>
    <w:p w14:paraId="6708F3A0">
      <w:pPr>
        <w:pStyle w:val="7"/>
        <w:adjustRightInd/>
        <w:spacing w:line="360" w:lineRule="auto"/>
        <w:ind w:firstLine="420" w:firstLineChars="200"/>
        <w:rPr>
          <w:rFonts w:hint="eastAsia" w:hAnsi="宋体"/>
          <w:sz w:val="21"/>
          <w:szCs w:val="21"/>
        </w:rPr>
      </w:pPr>
      <w:bookmarkStart w:id="60" w:name="_Toc29560"/>
      <w:bookmarkStart w:id="61" w:name="_Toc7897870"/>
      <w:bookmarkStart w:id="62" w:name="_Toc110953836"/>
      <w:bookmarkStart w:id="63" w:name="_Toc23606"/>
      <w:bookmarkStart w:id="64" w:name="_Toc102277758"/>
      <w:bookmarkStart w:id="65" w:name="_Toc6882677"/>
      <w:bookmarkStart w:id="66" w:name="_Toc466786436"/>
      <w:bookmarkStart w:id="67" w:name="_Toc6968689"/>
      <w:bookmarkStart w:id="68" w:name="_Toc507407361"/>
      <w:r>
        <w:rPr>
          <w:rFonts w:hint="eastAsia" w:hAnsi="宋体"/>
          <w:sz w:val="21"/>
          <w:szCs w:val="21"/>
        </w:rPr>
        <w:t>8.磋商文件构成</w:t>
      </w:r>
      <w:bookmarkEnd w:id="60"/>
      <w:bookmarkEnd w:id="61"/>
      <w:bookmarkEnd w:id="62"/>
      <w:bookmarkEnd w:id="63"/>
    </w:p>
    <w:p w14:paraId="5D773749">
      <w:pPr>
        <w:spacing w:line="360" w:lineRule="auto"/>
        <w:ind w:firstLine="420" w:firstLineChars="200"/>
        <w:rPr>
          <w:rFonts w:hint="eastAsia" w:hAnsi="宋体"/>
          <w:sz w:val="21"/>
          <w:szCs w:val="21"/>
        </w:rPr>
      </w:pPr>
      <w:r>
        <w:rPr>
          <w:rFonts w:hint="eastAsia" w:hAnsi="宋体"/>
          <w:sz w:val="21"/>
          <w:szCs w:val="21"/>
        </w:rPr>
        <w:t>8.1磋商文件用以阐明项目情况、评审程序、评审办法、定标标准和合同条款参考范本和响应文件的制作等，由磋商邀请书、供应商须知、用户需求书、合同范本和响应文件格式构成。</w:t>
      </w:r>
    </w:p>
    <w:p w14:paraId="4190D684">
      <w:pPr>
        <w:pStyle w:val="7"/>
        <w:adjustRightInd/>
        <w:spacing w:line="360" w:lineRule="auto"/>
        <w:ind w:firstLine="420" w:firstLineChars="200"/>
        <w:rPr>
          <w:rFonts w:hint="eastAsia" w:hAnsi="宋体"/>
          <w:sz w:val="21"/>
          <w:szCs w:val="21"/>
        </w:rPr>
      </w:pPr>
      <w:bookmarkStart w:id="69" w:name="_Toc7897871"/>
      <w:bookmarkStart w:id="70" w:name="_Toc19701"/>
      <w:bookmarkStart w:id="71" w:name="_Toc110953837"/>
      <w:bookmarkStart w:id="72" w:name="_Toc16827"/>
      <w:r>
        <w:rPr>
          <w:rFonts w:hint="eastAsia" w:hAnsi="宋体"/>
          <w:sz w:val="21"/>
          <w:szCs w:val="21"/>
        </w:rPr>
        <w:t>9.磋商文件的修改</w:t>
      </w:r>
      <w:bookmarkEnd w:id="69"/>
      <w:bookmarkEnd w:id="70"/>
      <w:bookmarkEnd w:id="71"/>
      <w:bookmarkEnd w:id="72"/>
    </w:p>
    <w:p w14:paraId="6C826E7A">
      <w:pPr>
        <w:spacing w:line="360" w:lineRule="auto"/>
        <w:ind w:firstLine="420" w:firstLineChars="200"/>
        <w:rPr>
          <w:rFonts w:hint="eastAsia" w:hAnsi="宋体"/>
          <w:sz w:val="21"/>
          <w:szCs w:val="21"/>
        </w:rPr>
      </w:pPr>
      <w:r>
        <w:rPr>
          <w:rFonts w:hint="eastAsia" w:hAnsi="宋体"/>
          <w:sz w:val="21"/>
          <w:szCs w:val="21"/>
        </w:rPr>
        <w:t>9.1提交首次响应文件截止之日前，采购人、采购代理机构或者磋商小组可以对已发出的磋商文件进行必要的澄清或者修改，澄清或者修改的内容作为磋商文件的组成部分。澄清或者修改的内容可能影响响应文件编制的，将在提交首次响应文件截止时间5日前以书面形式通知所有获取磋商文件的供应商。</w:t>
      </w:r>
    </w:p>
    <w:p w14:paraId="62D52711">
      <w:pPr>
        <w:spacing w:line="360" w:lineRule="auto"/>
        <w:ind w:firstLine="420" w:firstLineChars="200"/>
        <w:rPr>
          <w:rFonts w:hint="eastAsia" w:hAnsi="宋体"/>
          <w:sz w:val="21"/>
          <w:szCs w:val="21"/>
        </w:rPr>
      </w:pPr>
      <w:r>
        <w:rPr>
          <w:rFonts w:hint="eastAsia" w:hAnsi="宋体"/>
          <w:sz w:val="21"/>
          <w:szCs w:val="21"/>
        </w:rPr>
        <w:t>9.2如果修改的时间距响应文件递交截止时间不足5日的，将相应顺延递交首次响应文件截止时间。</w:t>
      </w:r>
    </w:p>
    <w:p w14:paraId="2648B4FB">
      <w:pPr>
        <w:pStyle w:val="15"/>
        <w:ind w:firstLine="400"/>
      </w:pPr>
    </w:p>
    <w:bookmarkEnd w:id="64"/>
    <w:bookmarkEnd w:id="65"/>
    <w:bookmarkEnd w:id="66"/>
    <w:bookmarkEnd w:id="67"/>
    <w:bookmarkEnd w:id="68"/>
    <w:p w14:paraId="4E53DA0C">
      <w:pPr>
        <w:pStyle w:val="6"/>
        <w:adjustRightInd/>
        <w:spacing w:line="360" w:lineRule="auto"/>
        <w:ind w:firstLine="562" w:firstLineChars="200"/>
        <w:jc w:val="center"/>
        <w:rPr>
          <w:rFonts w:hint="eastAsia"/>
          <w:sz w:val="28"/>
          <w:szCs w:val="28"/>
        </w:rPr>
      </w:pPr>
      <w:bookmarkStart w:id="73" w:name="_Toc15398"/>
      <w:bookmarkStart w:id="74" w:name="_Toc18245"/>
      <w:bookmarkStart w:id="75" w:name="_Toc110953838"/>
      <w:bookmarkStart w:id="76" w:name="_Toc7897872"/>
      <w:bookmarkStart w:id="77" w:name="_Toc6882678"/>
      <w:bookmarkStart w:id="78" w:name="_Toc507407362"/>
      <w:bookmarkStart w:id="79" w:name="_Toc102277759"/>
      <w:bookmarkStart w:id="80" w:name="_Toc6968690"/>
      <w:bookmarkStart w:id="81" w:name="_Toc466786437"/>
      <w:r>
        <w:rPr>
          <w:rFonts w:hint="eastAsia"/>
          <w:sz w:val="28"/>
          <w:szCs w:val="28"/>
        </w:rPr>
        <w:t>三、响应文件的制作</w:t>
      </w:r>
      <w:bookmarkEnd w:id="73"/>
      <w:bookmarkEnd w:id="74"/>
      <w:bookmarkEnd w:id="75"/>
      <w:bookmarkEnd w:id="76"/>
    </w:p>
    <w:p w14:paraId="01E0E889">
      <w:pPr>
        <w:pStyle w:val="7"/>
        <w:adjustRightInd/>
        <w:spacing w:line="360" w:lineRule="auto"/>
        <w:ind w:firstLine="420" w:firstLineChars="200"/>
        <w:rPr>
          <w:rFonts w:hint="eastAsia" w:hAnsi="宋体"/>
          <w:sz w:val="21"/>
          <w:szCs w:val="21"/>
        </w:rPr>
      </w:pPr>
      <w:bookmarkStart w:id="82" w:name="_Toc23789"/>
      <w:bookmarkStart w:id="83" w:name="_Toc110953839"/>
      <w:bookmarkStart w:id="84" w:name="_Toc15756"/>
      <w:bookmarkStart w:id="85" w:name="_Toc7897873"/>
      <w:r>
        <w:rPr>
          <w:rFonts w:hint="eastAsia" w:hAnsi="宋体"/>
          <w:sz w:val="21"/>
          <w:szCs w:val="21"/>
        </w:rPr>
        <w:t>10.制作要求</w:t>
      </w:r>
      <w:bookmarkEnd w:id="82"/>
      <w:bookmarkEnd w:id="83"/>
      <w:bookmarkEnd w:id="84"/>
      <w:bookmarkEnd w:id="85"/>
    </w:p>
    <w:p w14:paraId="2C459202">
      <w:pPr>
        <w:spacing w:line="360" w:lineRule="auto"/>
        <w:ind w:firstLine="420" w:firstLineChars="200"/>
        <w:rPr>
          <w:rFonts w:hint="eastAsia" w:hAnsi="宋体"/>
          <w:sz w:val="21"/>
          <w:szCs w:val="21"/>
        </w:rPr>
      </w:pPr>
      <w:r>
        <w:rPr>
          <w:rFonts w:hint="eastAsia" w:hAnsi="宋体"/>
          <w:sz w:val="21"/>
          <w:szCs w:val="21"/>
        </w:rPr>
        <w:t>10.1供应商应当仔细阅读磋商文件的所有内容，按磋商文件的要求提供响应文件，并保证所提供的全部资料的真实性及对磋商文件作出实质性响应。</w:t>
      </w:r>
    </w:p>
    <w:p w14:paraId="03FF2016">
      <w:pPr>
        <w:spacing w:line="360" w:lineRule="auto"/>
        <w:ind w:firstLine="420" w:firstLineChars="200"/>
        <w:rPr>
          <w:rFonts w:hint="eastAsia" w:hAnsi="宋体"/>
          <w:sz w:val="21"/>
          <w:szCs w:val="21"/>
        </w:rPr>
      </w:pPr>
      <w:r>
        <w:rPr>
          <w:rFonts w:hint="eastAsia" w:hAnsi="宋体"/>
          <w:sz w:val="21"/>
          <w:szCs w:val="21"/>
        </w:rPr>
        <w:t>10.2供应商应按磋商文件中提供的响应文件格式制作响应文件。如有关表格不能满足填报需要，可以对表格格式作出相应调整，但不得更改表格的实质性内容。</w:t>
      </w:r>
    </w:p>
    <w:p w14:paraId="6D7EAFCD">
      <w:pPr>
        <w:spacing w:line="360" w:lineRule="auto"/>
        <w:ind w:firstLine="420" w:firstLineChars="200"/>
        <w:rPr>
          <w:rFonts w:hint="eastAsia" w:hAnsi="宋体"/>
          <w:sz w:val="21"/>
          <w:szCs w:val="21"/>
        </w:rPr>
      </w:pPr>
      <w:r>
        <w:rPr>
          <w:rFonts w:hint="eastAsia" w:hAnsi="宋体"/>
          <w:sz w:val="21"/>
          <w:szCs w:val="21"/>
        </w:rPr>
        <w:t>10.</w:t>
      </w:r>
      <w:r>
        <w:rPr>
          <w:rFonts w:hint="eastAsia" w:hAnsi="宋体"/>
          <w:b/>
          <w:sz w:val="21"/>
          <w:szCs w:val="21"/>
        </w:rPr>
        <w:t>3供应商应提供正本一份、副本三份、唱标信封一份。</w:t>
      </w:r>
      <w:r>
        <w:rPr>
          <w:rFonts w:hint="eastAsia" w:hAnsi="宋体"/>
          <w:sz w:val="21"/>
          <w:szCs w:val="21"/>
        </w:rPr>
        <w:t>在每一份响应文件上要明确注明“正本”、“副本”或“唱标信封”字样，一旦正本和副本有差异，以正本为准。</w:t>
      </w:r>
    </w:p>
    <w:p w14:paraId="302B3413">
      <w:pPr>
        <w:spacing w:line="360" w:lineRule="auto"/>
        <w:ind w:firstLine="420" w:firstLineChars="200"/>
        <w:rPr>
          <w:rFonts w:hint="eastAsia" w:hAnsi="宋体"/>
          <w:sz w:val="21"/>
          <w:szCs w:val="21"/>
        </w:rPr>
      </w:pPr>
      <w:r>
        <w:rPr>
          <w:rFonts w:hint="eastAsia" w:hAnsi="宋体"/>
          <w:sz w:val="21"/>
          <w:szCs w:val="21"/>
        </w:rPr>
        <w:t>10.4响应文件的正本必须打印，并由供应商的法定代表人或经正式授权对供应商有约束力的委托代理人在响应文件上签字并加盖公章。委托代理人必须出具书面形式的《授权委托书》并附在响应文件中。响应文件的副本可采用正本的复印件。</w:t>
      </w:r>
    </w:p>
    <w:p w14:paraId="04798643">
      <w:pPr>
        <w:spacing w:line="360" w:lineRule="auto"/>
        <w:ind w:firstLine="420" w:firstLineChars="200"/>
        <w:rPr>
          <w:rFonts w:hint="eastAsia" w:hAnsi="宋体"/>
          <w:sz w:val="21"/>
          <w:szCs w:val="21"/>
        </w:rPr>
      </w:pPr>
      <w:r>
        <w:rPr>
          <w:rFonts w:hint="eastAsia" w:hAnsi="宋体"/>
          <w:sz w:val="21"/>
          <w:szCs w:val="21"/>
        </w:rPr>
        <w:t>10.5除供应商对错处作必要修改外，响应文件中不许有加行、涂改或改写。任何行间插字、涂改和增删，必须由供应商的法定代表人或委托代理人在修改处签字或加盖公章才有效。</w:t>
      </w:r>
    </w:p>
    <w:p w14:paraId="45206526">
      <w:pPr>
        <w:spacing w:line="360" w:lineRule="auto"/>
        <w:ind w:firstLine="420" w:firstLineChars="200"/>
        <w:rPr>
          <w:rFonts w:hint="eastAsia" w:hAnsi="宋体"/>
          <w:sz w:val="21"/>
          <w:szCs w:val="21"/>
        </w:rPr>
      </w:pPr>
      <w:r>
        <w:rPr>
          <w:rFonts w:hint="eastAsia" w:hAnsi="宋体"/>
          <w:sz w:val="21"/>
          <w:szCs w:val="21"/>
        </w:rPr>
        <w:t>10.6电报、电话、传真、电子邮件形式的响应概不接受。</w:t>
      </w:r>
    </w:p>
    <w:p w14:paraId="06D52E1D">
      <w:pPr>
        <w:pStyle w:val="7"/>
        <w:adjustRightInd/>
        <w:spacing w:line="360" w:lineRule="auto"/>
        <w:ind w:firstLine="420" w:firstLineChars="200"/>
        <w:rPr>
          <w:rFonts w:hint="eastAsia" w:hAnsi="宋体"/>
          <w:sz w:val="21"/>
          <w:szCs w:val="21"/>
        </w:rPr>
      </w:pPr>
      <w:bookmarkStart w:id="86" w:name="_Toc20552"/>
      <w:bookmarkStart w:id="87" w:name="_Toc110953840"/>
      <w:bookmarkStart w:id="88" w:name="_Toc7897874"/>
      <w:bookmarkStart w:id="89" w:name="_Toc18079"/>
      <w:r>
        <w:rPr>
          <w:rFonts w:hint="eastAsia" w:hAnsi="宋体"/>
          <w:sz w:val="21"/>
          <w:szCs w:val="21"/>
        </w:rPr>
        <w:t>11.响应文件的内容</w:t>
      </w:r>
      <w:bookmarkEnd w:id="86"/>
      <w:bookmarkEnd w:id="87"/>
      <w:bookmarkEnd w:id="88"/>
      <w:bookmarkEnd w:id="89"/>
    </w:p>
    <w:p w14:paraId="3B56B0B4">
      <w:pPr>
        <w:spacing w:line="360" w:lineRule="auto"/>
        <w:ind w:firstLine="420" w:firstLineChars="200"/>
        <w:rPr>
          <w:rFonts w:hint="eastAsia" w:hAnsi="宋体"/>
          <w:sz w:val="21"/>
          <w:szCs w:val="21"/>
        </w:rPr>
      </w:pPr>
      <w:r>
        <w:rPr>
          <w:rFonts w:hint="eastAsia" w:hAnsi="宋体"/>
          <w:sz w:val="21"/>
          <w:szCs w:val="21"/>
        </w:rPr>
        <w:t>11.1响应文件应包括下列部分：</w:t>
      </w:r>
    </w:p>
    <w:p w14:paraId="07C5BCA4">
      <w:pPr>
        <w:spacing w:line="360" w:lineRule="auto"/>
        <w:ind w:firstLine="420" w:firstLineChars="200"/>
        <w:rPr>
          <w:rFonts w:hint="eastAsia" w:hAnsi="宋体"/>
          <w:sz w:val="21"/>
          <w:szCs w:val="21"/>
        </w:rPr>
      </w:pPr>
      <w:r>
        <w:rPr>
          <w:rFonts w:hint="eastAsia" w:hAnsi="宋体"/>
          <w:sz w:val="21"/>
          <w:szCs w:val="21"/>
        </w:rPr>
        <w:t>11.1.1价格文件</w:t>
      </w:r>
    </w:p>
    <w:p w14:paraId="47E28B7C">
      <w:pPr>
        <w:spacing w:line="360" w:lineRule="auto"/>
        <w:ind w:firstLine="420" w:firstLineChars="200"/>
        <w:rPr>
          <w:rFonts w:hint="eastAsia" w:hAnsi="宋体"/>
          <w:sz w:val="21"/>
          <w:szCs w:val="21"/>
        </w:rPr>
      </w:pPr>
      <w:r>
        <w:rPr>
          <w:rFonts w:hint="eastAsia" w:hAnsi="宋体"/>
          <w:sz w:val="21"/>
          <w:szCs w:val="21"/>
        </w:rPr>
        <w:t>11.1.2商务、技术文件</w:t>
      </w:r>
    </w:p>
    <w:p w14:paraId="590DFED2">
      <w:pPr>
        <w:spacing w:line="360" w:lineRule="auto"/>
        <w:ind w:firstLine="420" w:firstLineChars="200"/>
        <w:rPr>
          <w:rFonts w:hint="eastAsia" w:hAnsi="宋体"/>
          <w:sz w:val="21"/>
          <w:szCs w:val="21"/>
        </w:rPr>
      </w:pPr>
      <w:r>
        <w:rPr>
          <w:rFonts w:hint="eastAsia" w:hAnsi="宋体"/>
          <w:sz w:val="21"/>
          <w:szCs w:val="21"/>
        </w:rPr>
        <w:t>11.1.3唱标信封（须独立密封）</w:t>
      </w:r>
    </w:p>
    <w:p w14:paraId="08F591EA">
      <w:pPr>
        <w:spacing w:line="360" w:lineRule="auto"/>
        <w:ind w:firstLine="422" w:firstLineChars="200"/>
        <w:rPr>
          <w:rFonts w:hint="eastAsia" w:hAnsi="宋体"/>
          <w:b/>
          <w:sz w:val="21"/>
          <w:szCs w:val="21"/>
        </w:rPr>
      </w:pPr>
      <w:r>
        <w:rPr>
          <w:rFonts w:hint="eastAsia" w:hAnsi="宋体"/>
          <w:b/>
          <w:sz w:val="21"/>
          <w:szCs w:val="21"/>
        </w:rPr>
        <w:t>供应商应如实详细提供第11.1款所要求的全部资料，价格部分文件必须单独装订成册，商务、技术和其他证明资料等磋商响应文件不能出现磋商价格。</w:t>
      </w:r>
    </w:p>
    <w:p w14:paraId="4FEB6665">
      <w:pPr>
        <w:spacing w:line="360" w:lineRule="auto"/>
        <w:rPr>
          <w:rFonts w:hint="eastAsia" w:hAnsi="宋体"/>
          <w:sz w:val="21"/>
          <w:szCs w:val="21"/>
        </w:rPr>
      </w:pPr>
      <w:r>
        <w:rPr>
          <w:rFonts w:hint="eastAsia" w:hAnsi="宋体"/>
          <w:sz w:val="21"/>
          <w:szCs w:val="21"/>
        </w:rPr>
        <w:t>11.2响应（磋商）报价</w:t>
      </w:r>
    </w:p>
    <w:p w14:paraId="14C406DD">
      <w:pPr>
        <w:spacing w:line="360" w:lineRule="auto"/>
        <w:ind w:firstLine="420" w:firstLineChars="200"/>
        <w:rPr>
          <w:rFonts w:hint="eastAsia" w:hAnsi="宋体"/>
          <w:sz w:val="21"/>
          <w:szCs w:val="21"/>
        </w:rPr>
      </w:pPr>
      <w:r>
        <w:rPr>
          <w:rFonts w:hint="eastAsia" w:hAnsi="宋体"/>
          <w:sz w:val="21"/>
          <w:szCs w:val="21"/>
        </w:rPr>
        <w:t>（1）响应（磋商）报价应为人民币含税全包价，报价应包含服务及所需的各种税费、售后服务费及合同实施过程中的应预见和不可预见费用等完成合同规定责任和义务、达到合同目的的一切费用。</w:t>
      </w:r>
    </w:p>
    <w:p w14:paraId="3F47FB6A">
      <w:pPr>
        <w:spacing w:line="360" w:lineRule="auto"/>
        <w:ind w:firstLine="420" w:firstLineChars="200"/>
        <w:rPr>
          <w:rFonts w:hint="eastAsia" w:hAnsi="宋体"/>
          <w:sz w:val="21"/>
          <w:szCs w:val="21"/>
        </w:rPr>
      </w:pPr>
      <w:r>
        <w:rPr>
          <w:rFonts w:hint="eastAsia" w:hAnsi="宋体"/>
          <w:sz w:val="21"/>
          <w:szCs w:val="21"/>
        </w:rPr>
        <w:t>（2）磋商报价应包括所有应支付的对专利权和版权、设计或其他知识产权而需要向其他方支付的版税。</w:t>
      </w:r>
    </w:p>
    <w:p w14:paraId="4784F503">
      <w:pPr>
        <w:spacing w:line="360" w:lineRule="auto"/>
        <w:ind w:firstLine="420" w:firstLineChars="200"/>
        <w:rPr>
          <w:rFonts w:hint="eastAsia" w:hAnsi="宋体"/>
          <w:sz w:val="21"/>
          <w:szCs w:val="21"/>
        </w:rPr>
      </w:pPr>
      <w:r>
        <w:rPr>
          <w:rFonts w:hint="eastAsia" w:hAnsi="宋体"/>
          <w:sz w:val="21"/>
          <w:szCs w:val="21"/>
        </w:rPr>
        <w:t>（3）供应商应按响应文件的《报价一览表》格式填写响应内容的单价和总价。</w:t>
      </w:r>
    </w:p>
    <w:p w14:paraId="52B85652">
      <w:pPr>
        <w:spacing w:line="360" w:lineRule="auto"/>
        <w:ind w:firstLine="422" w:firstLineChars="200"/>
        <w:rPr>
          <w:rFonts w:hint="eastAsia" w:hAnsi="宋体"/>
          <w:b/>
          <w:sz w:val="21"/>
          <w:szCs w:val="21"/>
        </w:rPr>
      </w:pPr>
      <w:r>
        <w:rPr>
          <w:rFonts w:hint="eastAsia" w:hAnsi="宋体"/>
          <w:b/>
          <w:sz w:val="21"/>
          <w:szCs w:val="21"/>
        </w:rPr>
        <w:t>（4）</w:t>
      </w:r>
      <w:r>
        <w:rPr>
          <w:rFonts w:hint="eastAsia" w:hAnsi="宋体"/>
          <w:b/>
          <w:bCs/>
          <w:sz w:val="21"/>
          <w:szCs w:val="21"/>
        </w:rPr>
        <w:t>供应商每次报价超过最高报价视为非实质性响应磋商而予以拒绝。</w:t>
      </w:r>
    </w:p>
    <w:p w14:paraId="04D466A7">
      <w:pPr>
        <w:spacing w:line="360" w:lineRule="auto"/>
        <w:ind w:firstLine="420" w:firstLineChars="200"/>
        <w:rPr>
          <w:rFonts w:hint="eastAsia" w:hAnsi="宋体"/>
          <w:sz w:val="21"/>
          <w:szCs w:val="21"/>
        </w:rPr>
      </w:pPr>
      <w:r>
        <w:rPr>
          <w:rFonts w:hint="eastAsia" w:hAnsi="宋体"/>
          <w:sz w:val="21"/>
          <w:szCs w:val="21"/>
        </w:rPr>
        <w:t>（5）经磋商后，供应商所报的最后磋商报价在合同执行过程中是固定不变的，不得以任何理由予以变更。</w:t>
      </w:r>
    </w:p>
    <w:p w14:paraId="6372C67E">
      <w:pPr>
        <w:spacing w:line="360" w:lineRule="auto"/>
        <w:ind w:firstLine="422" w:firstLineChars="200"/>
        <w:rPr>
          <w:rFonts w:hint="eastAsia" w:hAnsi="宋体"/>
          <w:b/>
          <w:sz w:val="21"/>
          <w:szCs w:val="21"/>
        </w:rPr>
      </w:pPr>
      <w:r>
        <w:rPr>
          <w:rFonts w:hint="eastAsia" w:hAnsi="宋体"/>
          <w:b/>
          <w:sz w:val="21"/>
          <w:szCs w:val="21"/>
        </w:rPr>
        <w:t>（6）供应商只能就单个项目提供唯一的方案和报价，不接受选择性的方案和报价。</w:t>
      </w:r>
    </w:p>
    <w:p w14:paraId="4535C7F5">
      <w:pPr>
        <w:spacing w:line="360" w:lineRule="auto"/>
        <w:ind w:firstLine="420" w:firstLineChars="200"/>
        <w:rPr>
          <w:rFonts w:hint="eastAsia" w:hAnsi="宋体"/>
          <w:sz w:val="21"/>
          <w:szCs w:val="21"/>
        </w:rPr>
      </w:pPr>
      <w:r>
        <w:rPr>
          <w:rFonts w:hint="eastAsia" w:hAnsi="宋体"/>
          <w:sz w:val="21"/>
          <w:szCs w:val="21"/>
        </w:rPr>
        <w:t>11.3证明供应商合格和资格的文件</w:t>
      </w:r>
    </w:p>
    <w:p w14:paraId="3B44E955">
      <w:pPr>
        <w:spacing w:line="360" w:lineRule="auto"/>
        <w:ind w:firstLine="420" w:firstLineChars="200"/>
        <w:rPr>
          <w:rFonts w:hint="eastAsia" w:hAnsi="宋体"/>
          <w:sz w:val="21"/>
          <w:szCs w:val="21"/>
        </w:rPr>
      </w:pPr>
      <w:r>
        <w:rPr>
          <w:rFonts w:hint="eastAsia" w:hAnsi="宋体"/>
          <w:sz w:val="21"/>
          <w:szCs w:val="21"/>
        </w:rPr>
        <w:t>11.4供应商应当提交具备履行合同的证明文件。</w:t>
      </w:r>
    </w:p>
    <w:p w14:paraId="5DB827DC">
      <w:pPr>
        <w:spacing w:line="360" w:lineRule="auto"/>
        <w:ind w:firstLine="420" w:firstLineChars="200"/>
        <w:rPr>
          <w:rFonts w:hint="eastAsia" w:hAnsi="宋体"/>
          <w:sz w:val="21"/>
          <w:szCs w:val="21"/>
        </w:rPr>
      </w:pPr>
      <w:r>
        <w:rPr>
          <w:rFonts w:hint="eastAsia" w:hAnsi="宋体"/>
          <w:sz w:val="21"/>
          <w:szCs w:val="21"/>
        </w:rPr>
        <w:t>11.5证明文件包括：履行合同所必须具备的财务能力证明、技术能力证明，符合磋商文件资格要求的证明等。</w:t>
      </w:r>
    </w:p>
    <w:p w14:paraId="7CDE15C9">
      <w:pPr>
        <w:spacing w:line="360" w:lineRule="auto"/>
        <w:ind w:firstLine="420" w:firstLineChars="200"/>
        <w:rPr>
          <w:rFonts w:hint="eastAsia" w:hAnsi="宋体"/>
          <w:sz w:val="21"/>
          <w:szCs w:val="21"/>
        </w:rPr>
      </w:pPr>
      <w:r>
        <w:rPr>
          <w:rFonts w:hint="eastAsia" w:hAnsi="宋体"/>
          <w:sz w:val="21"/>
          <w:szCs w:val="21"/>
        </w:rPr>
        <w:t>11.6证明服务的合格性和符合磋商文件规定的文件。</w:t>
      </w:r>
    </w:p>
    <w:p w14:paraId="6EF6AB50">
      <w:pPr>
        <w:spacing w:line="360" w:lineRule="auto"/>
        <w:ind w:firstLine="420" w:firstLineChars="200"/>
        <w:rPr>
          <w:rFonts w:hint="eastAsia" w:hAnsi="宋体"/>
          <w:sz w:val="21"/>
          <w:szCs w:val="21"/>
        </w:rPr>
      </w:pPr>
      <w:r>
        <w:rPr>
          <w:rFonts w:hint="eastAsia" w:hAnsi="宋体"/>
          <w:sz w:val="21"/>
          <w:szCs w:val="21"/>
        </w:rPr>
        <w:t>11.7供应商应提交其拟供的合同项下的服务的合格性符合磋商文件规定的证明文件，并作为其响应文件的一部分。</w:t>
      </w:r>
    </w:p>
    <w:p w14:paraId="08172077">
      <w:pPr>
        <w:spacing w:line="360" w:lineRule="auto"/>
        <w:ind w:firstLine="420" w:firstLineChars="200"/>
        <w:rPr>
          <w:rFonts w:hint="eastAsia" w:hAnsi="宋体"/>
          <w:sz w:val="21"/>
          <w:szCs w:val="21"/>
        </w:rPr>
      </w:pPr>
      <w:r>
        <w:rPr>
          <w:rFonts w:hint="eastAsia" w:hAnsi="宋体"/>
          <w:sz w:val="21"/>
          <w:szCs w:val="21"/>
        </w:rPr>
        <w:t>11.8服务合格性的证明文件应包括服务来源地的说明，服务与磋商文件的要求相一致的证明文件，其他说明所提供服务已对技术要求做出了实质性响应的文件或说明与技术规格条文的偏差和例外等，形式可以是文字说明、图纸及其他资料。</w:t>
      </w:r>
    </w:p>
    <w:p w14:paraId="7A452734">
      <w:pPr>
        <w:pStyle w:val="7"/>
        <w:adjustRightInd/>
        <w:spacing w:line="360" w:lineRule="auto"/>
        <w:ind w:firstLine="420" w:firstLineChars="200"/>
        <w:rPr>
          <w:rFonts w:hint="eastAsia" w:hAnsi="宋体"/>
          <w:sz w:val="21"/>
          <w:szCs w:val="21"/>
        </w:rPr>
      </w:pPr>
      <w:bookmarkStart w:id="90" w:name="_Toc21763"/>
      <w:bookmarkStart w:id="91" w:name="_Toc110953841"/>
      <w:bookmarkStart w:id="92" w:name="_Toc9150"/>
      <w:bookmarkStart w:id="93" w:name="_Toc7897875"/>
      <w:r>
        <w:rPr>
          <w:rFonts w:hint="eastAsia" w:hAnsi="宋体"/>
          <w:sz w:val="21"/>
          <w:szCs w:val="21"/>
        </w:rPr>
        <w:t>12.响应文件格式</w:t>
      </w:r>
      <w:bookmarkEnd w:id="90"/>
      <w:bookmarkEnd w:id="91"/>
      <w:bookmarkEnd w:id="92"/>
      <w:bookmarkEnd w:id="93"/>
    </w:p>
    <w:p w14:paraId="49FDFC03">
      <w:pPr>
        <w:spacing w:line="360" w:lineRule="auto"/>
        <w:ind w:firstLine="420" w:firstLineChars="200"/>
        <w:rPr>
          <w:rFonts w:hint="eastAsia" w:hAnsi="宋体"/>
          <w:sz w:val="21"/>
          <w:szCs w:val="21"/>
        </w:rPr>
      </w:pPr>
      <w:r>
        <w:rPr>
          <w:rFonts w:hint="eastAsia" w:hAnsi="宋体"/>
          <w:sz w:val="21"/>
          <w:szCs w:val="21"/>
        </w:rPr>
        <w:t>12.1供应商应将响应文件装订成册，并填写“响应文件目录”。上述文件及表格为供应商必须提交的文件，各供应商可以根据实际情况增加内容，但不得擅自减少有关内容。响应文件的完整性是评审的内容之一。</w:t>
      </w:r>
    </w:p>
    <w:p w14:paraId="2FB9DE53">
      <w:pPr>
        <w:pStyle w:val="7"/>
        <w:adjustRightInd/>
        <w:spacing w:line="360" w:lineRule="auto"/>
        <w:ind w:firstLine="420" w:firstLineChars="200"/>
        <w:rPr>
          <w:rFonts w:hint="eastAsia" w:hAnsi="宋体"/>
          <w:sz w:val="21"/>
          <w:szCs w:val="21"/>
        </w:rPr>
      </w:pPr>
      <w:bookmarkStart w:id="94" w:name="_Toc185150707"/>
      <w:bookmarkStart w:id="95" w:name="_Toc7897876"/>
      <w:bookmarkStart w:id="96" w:name="_Toc30889"/>
      <w:bookmarkStart w:id="97" w:name="_Toc24570"/>
      <w:r>
        <w:rPr>
          <w:rFonts w:hint="eastAsia" w:hAnsi="宋体"/>
          <w:sz w:val="21"/>
          <w:szCs w:val="21"/>
        </w:rPr>
        <w:t>13.</w:t>
      </w:r>
      <w:bookmarkEnd w:id="94"/>
      <w:r>
        <w:rPr>
          <w:rFonts w:hint="eastAsia" w:hAnsi="宋体"/>
          <w:sz w:val="21"/>
          <w:szCs w:val="21"/>
        </w:rPr>
        <w:t>磋商保证金</w:t>
      </w:r>
      <w:bookmarkEnd w:id="95"/>
      <w:bookmarkEnd w:id="96"/>
      <w:bookmarkEnd w:id="97"/>
    </w:p>
    <w:p w14:paraId="0892EAD3">
      <w:pPr>
        <w:spacing w:line="360" w:lineRule="auto"/>
        <w:ind w:firstLine="420" w:firstLineChars="200"/>
        <w:rPr>
          <w:rFonts w:hint="eastAsia" w:hAnsi="宋体"/>
          <w:sz w:val="21"/>
          <w:szCs w:val="21"/>
        </w:rPr>
      </w:pPr>
      <w:r>
        <w:rPr>
          <w:rFonts w:hint="eastAsia" w:hAnsi="宋体"/>
          <w:sz w:val="21"/>
          <w:szCs w:val="21"/>
        </w:rPr>
        <w:t>13.1供应商应向采购代理机构提交磋商保证金，并作为其响应文件的一部分。磋商保证金的金额：</w:t>
      </w:r>
    </w:p>
    <w:tbl>
      <w:tblPr>
        <w:tblStyle w:val="53"/>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731"/>
      </w:tblGrid>
      <w:tr w14:paraId="1F52B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exact"/>
          <w:jc w:val="center"/>
        </w:trPr>
        <w:tc>
          <w:tcPr>
            <w:tcW w:w="4077" w:type="dxa"/>
            <w:shd w:val="clear" w:color="auto" w:fill="E0E0E0"/>
            <w:vAlign w:val="center"/>
          </w:tcPr>
          <w:p w14:paraId="07475DDF">
            <w:pPr>
              <w:snapToGrid w:val="0"/>
              <w:jc w:val="center"/>
              <w:rPr>
                <w:rFonts w:hint="eastAsia" w:hAnsi="宋体"/>
                <w:b/>
                <w:sz w:val="21"/>
                <w:szCs w:val="21"/>
              </w:rPr>
            </w:pPr>
            <w:r>
              <w:rPr>
                <w:rFonts w:hint="eastAsia" w:hAnsi="宋体"/>
                <w:b/>
                <w:sz w:val="21"/>
                <w:szCs w:val="21"/>
              </w:rPr>
              <w:t>内容</w:t>
            </w:r>
          </w:p>
        </w:tc>
        <w:tc>
          <w:tcPr>
            <w:tcW w:w="4731" w:type="dxa"/>
            <w:shd w:val="clear" w:color="auto" w:fill="E0E0E0"/>
            <w:vAlign w:val="center"/>
          </w:tcPr>
          <w:p w14:paraId="57E8F6D9">
            <w:pPr>
              <w:snapToGrid w:val="0"/>
              <w:jc w:val="center"/>
              <w:rPr>
                <w:rFonts w:hint="eastAsia" w:hAnsi="宋体"/>
                <w:b/>
                <w:sz w:val="21"/>
                <w:szCs w:val="21"/>
              </w:rPr>
            </w:pPr>
            <w:r>
              <w:rPr>
                <w:rFonts w:hint="eastAsia" w:hAnsi="宋体"/>
                <w:b/>
                <w:sz w:val="21"/>
                <w:szCs w:val="21"/>
              </w:rPr>
              <w:t>保证金</w:t>
            </w:r>
          </w:p>
        </w:tc>
      </w:tr>
      <w:tr w14:paraId="4F890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077" w:type="dxa"/>
            <w:vAlign w:val="center"/>
          </w:tcPr>
          <w:p w14:paraId="443F629B">
            <w:pPr>
              <w:widowControl/>
              <w:jc w:val="center"/>
              <w:rPr>
                <w:rFonts w:hint="eastAsia" w:hAnsi="宋体" w:eastAsia="宋体"/>
                <w:sz w:val="21"/>
                <w:szCs w:val="21"/>
                <w:lang w:eastAsia="zh-CN"/>
              </w:rPr>
            </w:pPr>
            <w:r>
              <w:rPr>
                <w:rFonts w:hint="eastAsia" w:hAnsi="宋体"/>
                <w:sz w:val="21"/>
                <w:szCs w:val="21"/>
                <w:lang w:eastAsia="zh-CN"/>
              </w:rPr>
              <w:t>东莞文旅旗云广场项目外广场氛围提升设计施工承包</w:t>
            </w:r>
          </w:p>
        </w:tc>
        <w:tc>
          <w:tcPr>
            <w:tcW w:w="4731" w:type="dxa"/>
            <w:vAlign w:val="center"/>
          </w:tcPr>
          <w:p w14:paraId="4EB6A29C">
            <w:pPr>
              <w:widowControl/>
              <w:jc w:val="center"/>
              <w:rPr>
                <w:rFonts w:hint="eastAsia" w:hAnsi="宋体"/>
                <w:sz w:val="21"/>
                <w:szCs w:val="21"/>
              </w:rPr>
            </w:pPr>
            <w:r>
              <w:rPr>
                <w:rFonts w:hint="eastAsia" w:hAnsi="宋体"/>
                <w:b/>
                <w:sz w:val="21"/>
                <w:szCs w:val="21"/>
              </w:rPr>
              <w:t>人民币</w:t>
            </w:r>
            <w:r>
              <w:rPr>
                <w:rFonts w:hint="eastAsia" w:hAnsi="宋体"/>
                <w:b/>
                <w:bCs/>
                <w:sz w:val="21"/>
                <w:szCs w:val="21"/>
                <w:lang w:val="en-US" w:eastAsia="zh-CN"/>
              </w:rPr>
              <w:t>壹万柒仟捌佰元整</w:t>
            </w:r>
            <w:r>
              <w:rPr>
                <w:rFonts w:hint="eastAsia" w:hAnsi="宋体"/>
                <w:b/>
                <w:bCs/>
                <w:sz w:val="21"/>
                <w:szCs w:val="21"/>
              </w:rPr>
              <w:t>（¥1</w:t>
            </w:r>
            <w:r>
              <w:rPr>
                <w:rFonts w:hint="eastAsia" w:hAnsi="宋体"/>
                <w:b/>
                <w:bCs/>
                <w:sz w:val="21"/>
                <w:szCs w:val="21"/>
                <w:lang w:val="en-US" w:eastAsia="zh-CN"/>
              </w:rPr>
              <w:t>7</w:t>
            </w:r>
            <w:r>
              <w:rPr>
                <w:rFonts w:hint="eastAsia" w:hAnsi="宋体"/>
                <w:b/>
                <w:bCs/>
                <w:sz w:val="21"/>
                <w:szCs w:val="21"/>
              </w:rPr>
              <w:t>,</w:t>
            </w:r>
            <w:r>
              <w:rPr>
                <w:rFonts w:hint="eastAsia" w:hAnsi="宋体"/>
                <w:b/>
                <w:bCs/>
                <w:sz w:val="21"/>
                <w:szCs w:val="21"/>
                <w:lang w:val="en-US" w:eastAsia="zh-CN"/>
              </w:rPr>
              <w:t>8</w:t>
            </w:r>
            <w:r>
              <w:rPr>
                <w:rFonts w:hint="eastAsia" w:hAnsi="宋体"/>
                <w:b/>
                <w:bCs/>
                <w:sz w:val="21"/>
                <w:szCs w:val="21"/>
              </w:rPr>
              <w:t>00.00元）</w:t>
            </w:r>
          </w:p>
        </w:tc>
      </w:tr>
    </w:tbl>
    <w:p w14:paraId="57D3A38C">
      <w:pPr>
        <w:spacing w:line="360" w:lineRule="auto"/>
        <w:ind w:firstLine="420" w:firstLineChars="200"/>
        <w:rPr>
          <w:rFonts w:hint="eastAsia" w:hAnsi="宋体"/>
          <w:sz w:val="21"/>
          <w:szCs w:val="21"/>
        </w:rPr>
      </w:pPr>
      <w:r>
        <w:rPr>
          <w:rFonts w:hint="eastAsia" w:hAnsi="宋体"/>
          <w:sz w:val="21"/>
          <w:szCs w:val="21"/>
        </w:rPr>
        <w:t>13.2供应商应按要求提交磋商保证金，供应商采用银行转账、</w:t>
      </w:r>
      <w:r>
        <w:rPr>
          <w:rFonts w:hint="eastAsia" w:hAnsi="宋体"/>
          <w:kern w:val="2"/>
          <w:sz w:val="21"/>
          <w:szCs w:val="21"/>
          <w:lang w:val="zh-CN"/>
        </w:rPr>
        <w:t>电汇</w:t>
      </w:r>
      <w:r>
        <w:rPr>
          <w:rFonts w:hint="eastAsia" w:hAnsi="宋体"/>
          <w:sz w:val="21"/>
          <w:szCs w:val="21"/>
        </w:rPr>
        <w:t>的形式缴交，磋商供应商与交款人名称必须一致，非磋商供应商缴纳的磋商保证金无效。</w:t>
      </w:r>
    </w:p>
    <w:p w14:paraId="6D36131D">
      <w:pPr>
        <w:spacing w:line="360" w:lineRule="auto"/>
        <w:ind w:firstLine="420" w:firstLineChars="200"/>
        <w:rPr>
          <w:rFonts w:hint="eastAsia" w:hAnsi="宋体"/>
          <w:sz w:val="21"/>
          <w:szCs w:val="21"/>
        </w:rPr>
      </w:pPr>
      <w:r>
        <w:rPr>
          <w:rFonts w:hint="eastAsia" w:hAnsi="宋体"/>
          <w:sz w:val="21"/>
          <w:szCs w:val="21"/>
        </w:rPr>
        <w:t xml:space="preserve">13.3磋商保证金的提交，应符合下列规定： </w:t>
      </w:r>
    </w:p>
    <w:p w14:paraId="4E8836E5">
      <w:pPr>
        <w:tabs>
          <w:tab w:val="left" w:pos="567"/>
        </w:tabs>
        <w:spacing w:line="360" w:lineRule="auto"/>
        <w:ind w:firstLine="420" w:firstLineChars="200"/>
        <w:jc w:val="both"/>
        <w:rPr>
          <w:rFonts w:hint="eastAsia" w:hAnsi="宋体"/>
          <w:b/>
          <w:bCs/>
          <w:kern w:val="2"/>
          <w:sz w:val="21"/>
          <w:szCs w:val="21"/>
          <w:lang w:val="zh-CN"/>
        </w:rPr>
      </w:pPr>
      <w:r>
        <w:rPr>
          <w:rFonts w:hint="eastAsia" w:hAnsi="宋体"/>
          <w:kern w:val="2"/>
          <w:sz w:val="21"/>
          <w:szCs w:val="21"/>
          <w:lang w:val="zh-CN"/>
        </w:rPr>
        <w:t>磋商保证金采用转帐、电汇方式提交，应符合以下要求：保证金汇入以下磋商保证金专用账户，不接收由以供应商分支机构、私人帐户和其他单位转入的保证金。磋商保证金必须在磋商响应文件递交截止前到账，磋商保证金未按规定时间到达指定账户或提交金额不足的，将被视为无效响应。且在备注或用途中注明本项目的项目编号。</w:t>
      </w:r>
    </w:p>
    <w:p w14:paraId="5AAED6AB">
      <w:pPr>
        <w:tabs>
          <w:tab w:val="left" w:pos="567"/>
        </w:tabs>
        <w:spacing w:line="360" w:lineRule="auto"/>
        <w:ind w:left="567" w:hanging="567"/>
        <w:jc w:val="both"/>
        <w:rPr>
          <w:rFonts w:hint="eastAsia" w:hAnsi="宋体"/>
          <w:kern w:val="2"/>
          <w:sz w:val="21"/>
          <w:szCs w:val="21"/>
          <w:lang w:val="zh-CN"/>
        </w:rPr>
      </w:pPr>
      <w:r>
        <w:rPr>
          <w:rFonts w:hint="eastAsia" w:hAnsi="宋体"/>
          <w:kern w:val="2"/>
          <w:sz w:val="21"/>
          <w:szCs w:val="21"/>
          <w:lang w:val="zh-CN"/>
        </w:rPr>
        <w:t>磋商保证金专用账户如下：</w:t>
      </w:r>
    </w:p>
    <w:p w14:paraId="7D43C842">
      <w:pPr>
        <w:shd w:val="clear"/>
        <w:spacing w:line="360" w:lineRule="auto"/>
        <w:ind w:firstLine="422" w:firstLineChars="200"/>
        <w:rPr>
          <w:rFonts w:hint="eastAsia" w:ascii="宋体" w:hAnsi="宋体" w:eastAsia="宋体" w:cs="宋体"/>
          <w:b/>
          <w:bCs/>
          <w:color w:val="000000" w:themeColor="text1"/>
          <w:kern w:val="2"/>
          <w:sz w:val="21"/>
          <w:szCs w:val="21"/>
          <w:highlight w:val="none"/>
          <w:lang w:val="zh-CN"/>
          <w14:textFill>
            <w14:solidFill>
              <w14:schemeClr w14:val="tx1"/>
            </w14:solidFill>
          </w14:textFill>
        </w:rPr>
      </w:pPr>
      <w:r>
        <w:rPr>
          <w:rFonts w:hint="eastAsia" w:ascii="宋体" w:hAnsi="宋体" w:eastAsia="宋体" w:cs="宋体"/>
          <w:b/>
          <w:bCs/>
          <w:color w:val="000000" w:themeColor="text1"/>
          <w:kern w:val="2"/>
          <w:sz w:val="21"/>
          <w:szCs w:val="21"/>
          <w:highlight w:val="none"/>
          <w:lang w:val="zh-CN"/>
          <w14:textFill>
            <w14:solidFill>
              <w14:schemeClr w14:val="tx1"/>
            </w14:solidFill>
          </w14:textFill>
        </w:rPr>
        <w:t>账户名称：</w:t>
      </w:r>
      <w:r>
        <w:rPr>
          <w:rFonts w:hint="eastAsia" w:hAnsi="宋体" w:cs="宋体"/>
          <w:b/>
          <w:bCs/>
          <w:color w:val="000000" w:themeColor="text1"/>
          <w:kern w:val="2"/>
          <w:sz w:val="21"/>
          <w:szCs w:val="21"/>
          <w:highlight w:val="none"/>
          <w:lang w:val="zh-CN"/>
          <w14:textFill>
            <w14:solidFill>
              <w14:schemeClr w14:val="tx1"/>
            </w14:solidFill>
          </w14:textFill>
        </w:rPr>
        <w:t>东莞文旅有限公司</w:t>
      </w:r>
    </w:p>
    <w:p w14:paraId="0FD315AC">
      <w:pPr>
        <w:shd w:val="clear"/>
        <w:spacing w:line="360" w:lineRule="auto"/>
        <w:ind w:firstLine="422" w:firstLineChars="200"/>
        <w:rPr>
          <w:rFonts w:hint="eastAsia" w:ascii="宋体" w:hAnsi="宋体" w:eastAsia="宋体" w:cs="宋体"/>
          <w:b/>
          <w:bCs/>
          <w:color w:val="000000" w:themeColor="text1"/>
          <w:kern w:val="2"/>
          <w:sz w:val="21"/>
          <w:szCs w:val="21"/>
          <w:highlight w:val="none"/>
          <w:lang w:val="zh-CN"/>
          <w14:textFill>
            <w14:solidFill>
              <w14:schemeClr w14:val="tx1"/>
            </w14:solidFill>
          </w14:textFill>
        </w:rPr>
      </w:pPr>
      <w:r>
        <w:rPr>
          <w:rFonts w:hint="eastAsia" w:ascii="宋体" w:hAnsi="宋体" w:eastAsia="宋体" w:cs="宋体"/>
          <w:b/>
          <w:bCs/>
          <w:color w:val="000000" w:themeColor="text1"/>
          <w:kern w:val="2"/>
          <w:sz w:val="21"/>
          <w:szCs w:val="21"/>
          <w:highlight w:val="none"/>
          <w:lang w:val="zh-CN"/>
          <w14:textFill>
            <w14:solidFill>
              <w14:schemeClr w14:val="tx1"/>
            </w14:solidFill>
          </w14:textFill>
        </w:rPr>
        <w:t>开户银行：招商银行股份有限公司东莞分行营业部</w:t>
      </w:r>
    </w:p>
    <w:p w14:paraId="20FC4F09">
      <w:pPr>
        <w:shd w:val="clear"/>
        <w:spacing w:line="360" w:lineRule="auto"/>
        <w:ind w:firstLine="422" w:firstLineChars="200"/>
        <w:rPr>
          <w:rFonts w:hint="eastAsia" w:ascii="宋体" w:hAnsi="宋体" w:eastAsia="宋体" w:cs="宋体"/>
          <w:b/>
          <w:bCs/>
          <w:color w:val="000000" w:themeColor="text1"/>
          <w:kern w:val="2"/>
          <w:sz w:val="21"/>
          <w:szCs w:val="21"/>
          <w:highlight w:val="none"/>
          <w:lang w:val="zh-CN"/>
          <w14:textFill>
            <w14:solidFill>
              <w14:schemeClr w14:val="tx1"/>
            </w14:solidFill>
          </w14:textFill>
        </w:rPr>
      </w:pPr>
      <w:r>
        <w:rPr>
          <w:rFonts w:hint="eastAsia" w:ascii="宋体" w:hAnsi="宋体" w:eastAsia="宋体" w:cs="宋体"/>
          <w:b/>
          <w:bCs/>
          <w:color w:val="000000" w:themeColor="text1"/>
          <w:kern w:val="2"/>
          <w:sz w:val="21"/>
          <w:szCs w:val="21"/>
          <w:highlight w:val="none"/>
          <w:lang w:val="zh-CN"/>
          <w14:textFill>
            <w14:solidFill>
              <w14:schemeClr w14:val="tx1"/>
            </w14:solidFill>
          </w14:textFill>
        </w:rPr>
        <w:t>银行账户：769907509810188</w:t>
      </w:r>
    </w:p>
    <w:p w14:paraId="1741CEE4">
      <w:pPr>
        <w:spacing w:line="360" w:lineRule="auto"/>
        <w:ind w:firstLine="420" w:firstLineChars="200"/>
        <w:rPr>
          <w:rFonts w:hint="eastAsia" w:hAnsi="宋体"/>
          <w:sz w:val="21"/>
          <w:szCs w:val="21"/>
        </w:rPr>
      </w:pPr>
      <w:r>
        <w:rPr>
          <w:rFonts w:hint="eastAsia" w:hAnsi="宋体"/>
          <w:sz w:val="21"/>
          <w:szCs w:val="21"/>
        </w:rPr>
        <w:t>供应商必须保证资金以其供应商的名称（以分公司或子公司汇款无效）在本项目磋商响应文件截止前汇入到保证金专用账户（以银行到帐为准），可采用银行转帐方式提交，但不可以采用现金方式（包括以存现方式）提交，未按要求提交磋商保证金的将导致废标。</w:t>
      </w:r>
    </w:p>
    <w:p w14:paraId="52AABE88">
      <w:pPr>
        <w:spacing w:line="360" w:lineRule="auto"/>
        <w:ind w:firstLine="420" w:firstLineChars="200"/>
        <w:rPr>
          <w:rFonts w:hint="eastAsia" w:hAnsi="宋体"/>
          <w:sz w:val="21"/>
          <w:szCs w:val="21"/>
        </w:rPr>
      </w:pPr>
      <w:r>
        <w:rPr>
          <w:rFonts w:hint="eastAsia" w:hAnsi="宋体"/>
          <w:sz w:val="21"/>
          <w:szCs w:val="21"/>
        </w:rPr>
        <w:t>13.4供应商应将汇款底单复印件附在《磋商保证金汇入情况说明》中。并将《磋商保证金汇入情况说明》密封在单独的唱标信封内。磋商保证金的汇入单位名称须与磋商供应商名称一致，不接受以分支机构名义或个人账户代替供应商进行汇款。</w:t>
      </w:r>
    </w:p>
    <w:p w14:paraId="7B5C445A">
      <w:pPr>
        <w:spacing w:line="360" w:lineRule="auto"/>
        <w:ind w:firstLine="420" w:firstLineChars="200"/>
        <w:rPr>
          <w:rFonts w:hint="eastAsia" w:hAnsi="宋体"/>
          <w:sz w:val="21"/>
          <w:szCs w:val="21"/>
        </w:rPr>
      </w:pPr>
      <w:r>
        <w:rPr>
          <w:rFonts w:hint="eastAsia" w:hAnsi="宋体"/>
          <w:sz w:val="21"/>
          <w:szCs w:val="21"/>
        </w:rPr>
        <w:t>13.5凡没有根据规定递交磋商保证金的，应视为非响应性磋商予以拒绝。</w:t>
      </w:r>
    </w:p>
    <w:p w14:paraId="1DB72A3B">
      <w:pPr>
        <w:spacing w:line="360" w:lineRule="auto"/>
        <w:ind w:firstLine="420" w:firstLineChars="200"/>
        <w:rPr>
          <w:rFonts w:hint="eastAsia" w:hAnsi="宋体"/>
          <w:sz w:val="21"/>
          <w:szCs w:val="21"/>
        </w:rPr>
      </w:pPr>
      <w:r>
        <w:rPr>
          <w:rFonts w:hint="eastAsia" w:hAnsi="宋体"/>
          <w:sz w:val="21"/>
          <w:szCs w:val="21"/>
        </w:rPr>
        <w:t>13.6未成交供应商的磋商保证金自成交通知书发出后5个工作日内退还（不计利息）；成交供应商的磋商保证金，将在其签署合同后，采购代理机构在5个工作日内退还（不计利息）。逾期办理的，采购人不承担迟延退款责任。</w:t>
      </w:r>
    </w:p>
    <w:p w14:paraId="16DBE4E4">
      <w:pPr>
        <w:spacing w:line="360" w:lineRule="auto"/>
        <w:ind w:firstLine="420" w:firstLineChars="200"/>
        <w:rPr>
          <w:rFonts w:hint="eastAsia" w:hAnsi="宋体"/>
          <w:sz w:val="21"/>
          <w:szCs w:val="21"/>
        </w:rPr>
      </w:pPr>
      <w:r>
        <w:rPr>
          <w:rFonts w:hint="eastAsia" w:hAnsi="宋体"/>
          <w:sz w:val="21"/>
          <w:szCs w:val="21"/>
        </w:rPr>
        <w:t>13.7下列任何情况发生时，磋商保证金将被没收：</w:t>
      </w:r>
    </w:p>
    <w:p w14:paraId="0CE8AEEF">
      <w:pPr>
        <w:spacing w:line="360" w:lineRule="auto"/>
        <w:ind w:firstLine="420" w:firstLineChars="200"/>
        <w:rPr>
          <w:rFonts w:hint="eastAsia" w:hAnsi="宋体"/>
          <w:sz w:val="21"/>
          <w:szCs w:val="21"/>
        </w:rPr>
      </w:pPr>
      <w:r>
        <w:rPr>
          <w:rFonts w:hint="eastAsia" w:hAnsi="宋体"/>
          <w:sz w:val="21"/>
          <w:szCs w:val="21"/>
        </w:rPr>
        <w:t>13.7.1供应商在磋商文件中规定的磋商有效期内撤回其磋商；</w:t>
      </w:r>
    </w:p>
    <w:p w14:paraId="558BD1D4">
      <w:pPr>
        <w:spacing w:line="360" w:lineRule="auto"/>
        <w:ind w:firstLine="420" w:firstLineChars="200"/>
        <w:rPr>
          <w:rFonts w:hint="eastAsia" w:hAnsi="宋体"/>
          <w:sz w:val="21"/>
          <w:szCs w:val="21"/>
        </w:rPr>
      </w:pPr>
      <w:r>
        <w:rPr>
          <w:rFonts w:hint="eastAsia" w:hAnsi="宋体"/>
          <w:sz w:val="21"/>
          <w:szCs w:val="21"/>
        </w:rPr>
        <w:t>13.7.2供应商串通磋商或者以其他弄虚作假方式磋商；</w:t>
      </w:r>
    </w:p>
    <w:p w14:paraId="6FFD8509">
      <w:pPr>
        <w:spacing w:line="360" w:lineRule="auto"/>
        <w:ind w:firstLine="420" w:firstLineChars="200"/>
        <w:rPr>
          <w:rFonts w:hint="eastAsia" w:hAnsi="宋体"/>
          <w:sz w:val="21"/>
          <w:szCs w:val="21"/>
        </w:rPr>
      </w:pPr>
      <w:r>
        <w:rPr>
          <w:rFonts w:hint="eastAsia" w:hAnsi="宋体"/>
          <w:sz w:val="21"/>
          <w:szCs w:val="21"/>
        </w:rPr>
        <w:t>13.7.3成交供应商在规定期限内未能按规定签订合同；</w:t>
      </w:r>
    </w:p>
    <w:p w14:paraId="6BE58DFF">
      <w:pPr>
        <w:spacing w:line="360" w:lineRule="auto"/>
        <w:ind w:firstLine="420" w:firstLineChars="200"/>
        <w:rPr>
          <w:rFonts w:hint="eastAsia" w:hAnsi="宋体"/>
          <w:sz w:val="21"/>
          <w:szCs w:val="21"/>
        </w:rPr>
      </w:pPr>
      <w:r>
        <w:rPr>
          <w:rFonts w:hint="eastAsia" w:hAnsi="宋体"/>
          <w:sz w:val="21"/>
          <w:szCs w:val="21"/>
        </w:rPr>
        <w:t>13.7.4法律法规规定和磋商文件中规定的其它情况。</w:t>
      </w:r>
    </w:p>
    <w:p w14:paraId="608566D9">
      <w:pPr>
        <w:pStyle w:val="7"/>
        <w:adjustRightInd/>
        <w:spacing w:line="360" w:lineRule="auto"/>
        <w:ind w:firstLine="420" w:firstLineChars="200"/>
        <w:rPr>
          <w:rFonts w:hint="eastAsia" w:hAnsi="宋体"/>
          <w:sz w:val="21"/>
          <w:szCs w:val="21"/>
        </w:rPr>
      </w:pPr>
      <w:bookmarkStart w:id="98" w:name="_Toc480010709"/>
      <w:bookmarkStart w:id="99" w:name="_Toc7897877"/>
      <w:bookmarkStart w:id="100" w:name="_Toc467987824"/>
      <w:bookmarkStart w:id="101" w:name="_Toc110953842"/>
      <w:bookmarkStart w:id="102" w:name="_Toc480020258"/>
      <w:bookmarkStart w:id="103" w:name="_Toc454701382"/>
      <w:bookmarkStart w:id="104" w:name="_Toc480021054"/>
      <w:bookmarkStart w:id="105" w:name="_Toc458262615"/>
      <w:bookmarkStart w:id="106" w:name="_Toc479991583"/>
      <w:bookmarkStart w:id="107" w:name="_Toc2525"/>
      <w:bookmarkStart w:id="108" w:name="_Toc480171880"/>
      <w:bookmarkStart w:id="109" w:name="_Toc32304"/>
      <w:bookmarkStart w:id="110" w:name="_Toc467236741"/>
      <w:bookmarkStart w:id="111" w:name="_Toc503758471"/>
      <w:bookmarkStart w:id="112" w:name="_Toc468606030"/>
      <w:bookmarkStart w:id="113" w:name="_Toc468157537"/>
      <w:r>
        <w:rPr>
          <w:rFonts w:hint="eastAsia" w:hAnsi="宋体"/>
          <w:sz w:val="21"/>
          <w:szCs w:val="21"/>
        </w:rPr>
        <w:t>14.响应有效期</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78C76C5E">
      <w:pPr>
        <w:spacing w:line="360" w:lineRule="auto"/>
        <w:ind w:firstLine="420" w:firstLineChars="200"/>
        <w:rPr>
          <w:rFonts w:hint="eastAsia" w:hAnsi="宋体"/>
          <w:sz w:val="21"/>
          <w:szCs w:val="21"/>
        </w:rPr>
      </w:pPr>
      <w:r>
        <w:rPr>
          <w:rFonts w:hint="eastAsia" w:hAnsi="宋体"/>
          <w:sz w:val="21"/>
          <w:szCs w:val="21"/>
        </w:rPr>
        <w:t>14.1响应文件从开启响应文件之日起，响应有效期为90个工作日。</w:t>
      </w:r>
    </w:p>
    <w:p w14:paraId="159554AD">
      <w:pPr>
        <w:spacing w:line="360" w:lineRule="auto"/>
        <w:ind w:firstLine="420" w:firstLineChars="200"/>
        <w:rPr>
          <w:rFonts w:hint="eastAsia" w:hAnsi="宋体"/>
          <w:sz w:val="21"/>
          <w:szCs w:val="21"/>
        </w:rPr>
      </w:pPr>
      <w:r>
        <w:rPr>
          <w:rFonts w:hint="eastAsia" w:hAnsi="宋体"/>
          <w:sz w:val="21"/>
          <w:szCs w:val="21"/>
        </w:rPr>
        <w:t>14.2特殊情况下，采购代理机构可于响应有效期期满之前，要求供应商同意延长响应有效期，要求与答复均应为书面形式。对于同意该要求的供应商，既不要求也不允许其修改响应文件。</w:t>
      </w:r>
    </w:p>
    <w:p w14:paraId="1CDE3483">
      <w:pPr>
        <w:pStyle w:val="15"/>
        <w:ind w:firstLine="400"/>
      </w:pPr>
    </w:p>
    <w:bookmarkEnd w:id="77"/>
    <w:bookmarkEnd w:id="78"/>
    <w:bookmarkEnd w:id="79"/>
    <w:bookmarkEnd w:id="80"/>
    <w:bookmarkEnd w:id="81"/>
    <w:p w14:paraId="139139E5">
      <w:pPr>
        <w:pStyle w:val="6"/>
        <w:adjustRightInd/>
        <w:spacing w:line="360" w:lineRule="auto"/>
        <w:ind w:firstLine="562" w:firstLineChars="200"/>
        <w:jc w:val="center"/>
        <w:rPr>
          <w:rFonts w:hint="eastAsia"/>
          <w:sz w:val="28"/>
          <w:szCs w:val="28"/>
        </w:rPr>
      </w:pPr>
      <w:bookmarkStart w:id="114" w:name="_Toc2740"/>
      <w:bookmarkStart w:id="115" w:name="_Toc7897878"/>
      <w:bookmarkStart w:id="116" w:name="_Toc17761"/>
      <w:bookmarkStart w:id="117" w:name="_Toc110953843"/>
      <w:bookmarkStart w:id="118" w:name="_Toc102277760"/>
      <w:bookmarkStart w:id="119" w:name="_Toc6882679"/>
      <w:bookmarkStart w:id="120" w:name="_Toc507407363"/>
      <w:bookmarkStart w:id="121" w:name="_Toc466786438"/>
      <w:bookmarkStart w:id="122" w:name="_Toc6968691"/>
      <w:r>
        <w:rPr>
          <w:rFonts w:hint="eastAsia"/>
          <w:sz w:val="28"/>
          <w:szCs w:val="28"/>
        </w:rPr>
        <w:t>四、响应文件的递交</w:t>
      </w:r>
      <w:bookmarkEnd w:id="114"/>
      <w:bookmarkEnd w:id="115"/>
      <w:bookmarkEnd w:id="116"/>
      <w:bookmarkEnd w:id="117"/>
    </w:p>
    <w:p w14:paraId="4566B16D">
      <w:pPr>
        <w:pStyle w:val="7"/>
        <w:adjustRightInd/>
        <w:spacing w:line="360" w:lineRule="auto"/>
        <w:ind w:firstLine="420" w:firstLineChars="200"/>
        <w:rPr>
          <w:rFonts w:hint="eastAsia" w:hAnsi="宋体"/>
          <w:sz w:val="21"/>
          <w:szCs w:val="21"/>
        </w:rPr>
      </w:pPr>
      <w:bookmarkStart w:id="123" w:name="_Toc2684"/>
      <w:bookmarkStart w:id="124" w:name="_Toc11500"/>
      <w:bookmarkStart w:id="125" w:name="_Toc110953844"/>
      <w:bookmarkStart w:id="126" w:name="_Toc7897879"/>
      <w:r>
        <w:rPr>
          <w:rFonts w:hint="eastAsia" w:hAnsi="宋体"/>
          <w:sz w:val="21"/>
          <w:szCs w:val="21"/>
        </w:rPr>
        <w:t>15.响应文件的密封和标记</w:t>
      </w:r>
      <w:bookmarkEnd w:id="123"/>
      <w:bookmarkEnd w:id="124"/>
      <w:bookmarkEnd w:id="125"/>
      <w:bookmarkEnd w:id="126"/>
    </w:p>
    <w:p w14:paraId="0FB17506">
      <w:pPr>
        <w:spacing w:line="360" w:lineRule="auto"/>
        <w:ind w:firstLine="420" w:firstLineChars="200"/>
        <w:rPr>
          <w:rFonts w:hint="eastAsia" w:hAnsi="宋体"/>
          <w:sz w:val="21"/>
          <w:szCs w:val="21"/>
        </w:rPr>
      </w:pPr>
      <w:r>
        <w:rPr>
          <w:rFonts w:hint="eastAsia" w:hAnsi="宋体"/>
          <w:sz w:val="21"/>
          <w:szCs w:val="21"/>
        </w:rPr>
        <w:t>15.1供应商应将响应文件正本和副本用信封分别密封，并标明供应商的名称、采购编号及“正本”或“副本”字样。</w:t>
      </w:r>
    </w:p>
    <w:p w14:paraId="25E3132A">
      <w:pPr>
        <w:spacing w:line="360" w:lineRule="auto"/>
        <w:ind w:firstLine="422" w:firstLineChars="200"/>
        <w:rPr>
          <w:rFonts w:hint="eastAsia" w:hAnsi="宋体"/>
          <w:b/>
          <w:sz w:val="21"/>
          <w:szCs w:val="21"/>
        </w:rPr>
      </w:pPr>
      <w:r>
        <w:rPr>
          <w:rFonts w:hint="eastAsia" w:hAnsi="宋体"/>
          <w:b/>
          <w:sz w:val="21"/>
          <w:szCs w:val="21"/>
        </w:rPr>
        <w:t>15.2唱标信封应单独密封，与磋商响应文件一同提交。</w:t>
      </w:r>
    </w:p>
    <w:p w14:paraId="1362FDA4">
      <w:pPr>
        <w:tabs>
          <w:tab w:val="left" w:pos="567"/>
        </w:tabs>
        <w:spacing w:line="360" w:lineRule="auto"/>
        <w:ind w:firstLine="420" w:firstLineChars="200"/>
        <w:rPr>
          <w:rFonts w:hint="eastAsia" w:hAnsi="宋体"/>
          <w:sz w:val="21"/>
          <w:szCs w:val="21"/>
        </w:rPr>
      </w:pPr>
      <w:r>
        <w:rPr>
          <w:rFonts w:hint="eastAsia" w:hAnsi="宋体"/>
          <w:sz w:val="21"/>
          <w:szCs w:val="21"/>
        </w:rPr>
        <w:t>15.3在磋商响应文件密封袋上均应标明以下内容：</w:t>
      </w:r>
    </w:p>
    <w:p w14:paraId="57A925B6">
      <w:pPr>
        <w:spacing w:line="360" w:lineRule="auto"/>
        <w:ind w:firstLine="420" w:firstLineChars="200"/>
        <w:rPr>
          <w:rFonts w:hint="eastAsia" w:hAnsi="宋体"/>
          <w:sz w:val="21"/>
          <w:szCs w:val="21"/>
        </w:rPr>
      </w:pPr>
      <w:r>
        <w:rPr>
          <w:rFonts w:hint="eastAsia" w:hAnsi="宋体"/>
          <w:sz w:val="21"/>
          <w:szCs w:val="21"/>
        </w:rPr>
        <w:t>① 收 件 人：；</w:t>
      </w:r>
    </w:p>
    <w:p w14:paraId="0F18AC9C">
      <w:pPr>
        <w:spacing w:line="360" w:lineRule="auto"/>
        <w:ind w:firstLine="420" w:firstLineChars="200"/>
        <w:rPr>
          <w:rFonts w:hint="eastAsia" w:hAnsi="宋体"/>
          <w:sz w:val="21"/>
          <w:szCs w:val="21"/>
        </w:rPr>
      </w:pPr>
      <w:r>
        <w:rPr>
          <w:rFonts w:hint="eastAsia" w:hAnsi="宋体"/>
          <w:sz w:val="21"/>
          <w:szCs w:val="21"/>
        </w:rPr>
        <w:t>② 项目名称：；</w:t>
      </w:r>
    </w:p>
    <w:p w14:paraId="40A288F4">
      <w:pPr>
        <w:spacing w:line="360" w:lineRule="auto"/>
        <w:ind w:firstLine="420" w:firstLineChars="200"/>
        <w:rPr>
          <w:rFonts w:hint="eastAsia" w:hAnsi="宋体"/>
          <w:sz w:val="21"/>
          <w:szCs w:val="21"/>
        </w:rPr>
      </w:pPr>
      <w:r>
        <w:rPr>
          <w:rFonts w:hint="eastAsia" w:hAnsi="宋体"/>
          <w:sz w:val="21"/>
          <w:szCs w:val="21"/>
        </w:rPr>
        <w:t>③ 采购编号：；</w:t>
      </w:r>
    </w:p>
    <w:p w14:paraId="366CDFE5">
      <w:pPr>
        <w:spacing w:line="360" w:lineRule="auto"/>
        <w:ind w:firstLine="420" w:firstLineChars="200"/>
        <w:rPr>
          <w:rFonts w:hint="eastAsia" w:hAnsi="宋体"/>
          <w:sz w:val="21"/>
          <w:szCs w:val="21"/>
        </w:rPr>
      </w:pPr>
      <w:r>
        <w:rPr>
          <w:rFonts w:hint="eastAsia" w:hAnsi="宋体"/>
          <w:sz w:val="21"/>
          <w:szCs w:val="21"/>
        </w:rPr>
        <w:t>④        年   月   日   时   分开标，此时间以前不得开封；</w:t>
      </w:r>
    </w:p>
    <w:p w14:paraId="09D61336">
      <w:pPr>
        <w:spacing w:line="360" w:lineRule="auto"/>
        <w:ind w:firstLine="420" w:firstLineChars="200"/>
        <w:rPr>
          <w:rFonts w:hint="eastAsia" w:hAnsi="宋体"/>
          <w:sz w:val="21"/>
          <w:szCs w:val="21"/>
        </w:rPr>
      </w:pPr>
      <w:r>
        <w:rPr>
          <w:rFonts w:hint="eastAsia" w:hAnsi="宋体"/>
          <w:sz w:val="21"/>
          <w:szCs w:val="21"/>
        </w:rPr>
        <w:t>⑤ 标明供应商名称、地址、联系人和电话以及文件的种类（如价格文件、商务技术文件、唱标信封等）。</w:t>
      </w:r>
    </w:p>
    <w:p w14:paraId="74ABA8E0">
      <w:pPr>
        <w:spacing w:line="360" w:lineRule="auto"/>
        <w:ind w:firstLine="420" w:firstLineChars="200"/>
        <w:rPr>
          <w:rFonts w:hint="eastAsia" w:hAnsi="宋体"/>
          <w:sz w:val="21"/>
          <w:szCs w:val="21"/>
        </w:rPr>
      </w:pPr>
      <w:r>
        <w:rPr>
          <w:rFonts w:hint="eastAsia" w:hAnsi="宋体"/>
          <w:sz w:val="21"/>
          <w:szCs w:val="21"/>
        </w:rPr>
        <w:t>15.4供应商应按上述规定进行密封和标记后，将响应文件按照磋商文件中规定的时间和地址送至采购代理机构。</w:t>
      </w:r>
    </w:p>
    <w:p w14:paraId="787A844B">
      <w:pPr>
        <w:spacing w:line="360" w:lineRule="auto"/>
        <w:ind w:firstLine="420" w:firstLineChars="200"/>
        <w:rPr>
          <w:rFonts w:hint="eastAsia" w:hAnsi="宋体"/>
          <w:sz w:val="21"/>
          <w:szCs w:val="21"/>
        </w:rPr>
      </w:pPr>
      <w:r>
        <w:rPr>
          <w:rFonts w:hint="eastAsia" w:hAnsi="宋体"/>
          <w:sz w:val="21"/>
          <w:szCs w:val="21"/>
        </w:rPr>
        <w:t>15.5未按上述规定进行密封、标记和递交的，采购代理机构对响应文件的不依时间递交、误投、破损、封装不合格或提前拆封不负责。</w:t>
      </w:r>
    </w:p>
    <w:p w14:paraId="0F32393F">
      <w:pPr>
        <w:pStyle w:val="7"/>
        <w:adjustRightInd/>
        <w:spacing w:line="360" w:lineRule="auto"/>
        <w:ind w:firstLine="420" w:firstLineChars="200"/>
        <w:rPr>
          <w:rFonts w:hint="eastAsia" w:hAnsi="宋体"/>
          <w:sz w:val="21"/>
          <w:szCs w:val="21"/>
        </w:rPr>
      </w:pPr>
      <w:bookmarkStart w:id="127" w:name="_Toc10017"/>
      <w:bookmarkStart w:id="128" w:name="_Toc12710"/>
      <w:bookmarkStart w:id="129" w:name="_Toc7897880"/>
      <w:bookmarkStart w:id="130" w:name="_Toc110953845"/>
      <w:r>
        <w:rPr>
          <w:rFonts w:hint="eastAsia" w:hAnsi="宋体"/>
          <w:sz w:val="21"/>
          <w:szCs w:val="21"/>
        </w:rPr>
        <w:t>16.响应文件的递交</w:t>
      </w:r>
      <w:bookmarkEnd w:id="127"/>
      <w:bookmarkEnd w:id="128"/>
      <w:bookmarkEnd w:id="129"/>
      <w:bookmarkEnd w:id="130"/>
    </w:p>
    <w:p w14:paraId="14CACD14">
      <w:pPr>
        <w:spacing w:line="360" w:lineRule="auto"/>
        <w:ind w:firstLine="420" w:firstLineChars="200"/>
        <w:rPr>
          <w:rFonts w:hint="eastAsia" w:hAnsi="宋体"/>
          <w:sz w:val="21"/>
          <w:szCs w:val="21"/>
        </w:rPr>
      </w:pPr>
      <w:r>
        <w:rPr>
          <w:rFonts w:hint="eastAsia" w:hAnsi="宋体"/>
          <w:sz w:val="21"/>
          <w:szCs w:val="21"/>
        </w:rPr>
        <w:t>16.1所有响应文件都必须在响应截止时间之前送至采购代理机构。</w:t>
      </w:r>
    </w:p>
    <w:p w14:paraId="432A2BAB">
      <w:pPr>
        <w:spacing w:line="360" w:lineRule="auto"/>
        <w:ind w:firstLine="420" w:firstLineChars="200"/>
        <w:rPr>
          <w:rFonts w:hint="eastAsia" w:hAnsi="宋体"/>
          <w:sz w:val="21"/>
          <w:szCs w:val="21"/>
        </w:rPr>
      </w:pPr>
      <w:r>
        <w:rPr>
          <w:rFonts w:hint="eastAsia" w:hAnsi="宋体"/>
          <w:sz w:val="21"/>
          <w:szCs w:val="21"/>
        </w:rPr>
        <w:t>16.2采购代理机构拒绝接受以下文件：</w:t>
      </w:r>
    </w:p>
    <w:p w14:paraId="43DA09D3">
      <w:pPr>
        <w:spacing w:line="360" w:lineRule="auto"/>
        <w:ind w:firstLine="420" w:firstLineChars="200"/>
        <w:rPr>
          <w:rFonts w:hint="eastAsia" w:hAnsi="宋体"/>
          <w:sz w:val="21"/>
          <w:szCs w:val="21"/>
        </w:rPr>
      </w:pPr>
      <w:r>
        <w:rPr>
          <w:rFonts w:hint="eastAsia" w:hAnsi="宋体"/>
          <w:sz w:val="21"/>
          <w:szCs w:val="21"/>
        </w:rPr>
        <w:t>（1）提前递交的文件，</w:t>
      </w:r>
    </w:p>
    <w:p w14:paraId="1EB7C12A">
      <w:pPr>
        <w:spacing w:line="360" w:lineRule="auto"/>
        <w:ind w:firstLine="420" w:firstLineChars="200"/>
        <w:rPr>
          <w:rFonts w:hint="eastAsia" w:hAnsi="宋体"/>
          <w:sz w:val="21"/>
          <w:szCs w:val="21"/>
        </w:rPr>
      </w:pPr>
      <w:r>
        <w:rPr>
          <w:rFonts w:hint="eastAsia" w:hAnsi="宋体"/>
          <w:sz w:val="21"/>
          <w:szCs w:val="21"/>
        </w:rPr>
        <w:t>（2）在响应截止时间后递交的响应文件，</w:t>
      </w:r>
    </w:p>
    <w:p w14:paraId="0A7A361D">
      <w:pPr>
        <w:spacing w:line="360" w:lineRule="auto"/>
        <w:ind w:firstLine="420" w:firstLineChars="200"/>
        <w:rPr>
          <w:rFonts w:hint="eastAsia" w:hAnsi="宋体"/>
          <w:sz w:val="21"/>
          <w:szCs w:val="21"/>
        </w:rPr>
      </w:pPr>
      <w:r>
        <w:rPr>
          <w:rFonts w:hint="eastAsia" w:hAnsi="宋体"/>
          <w:sz w:val="21"/>
          <w:szCs w:val="21"/>
        </w:rPr>
        <w:t>（3）未按规定包装和密封的响应文件。</w:t>
      </w:r>
    </w:p>
    <w:p w14:paraId="0D7A9F73">
      <w:pPr>
        <w:spacing w:line="360" w:lineRule="auto"/>
        <w:ind w:firstLine="420" w:firstLineChars="200"/>
        <w:rPr>
          <w:rFonts w:hint="eastAsia" w:hAnsi="宋体"/>
          <w:b/>
          <w:bCs/>
          <w:sz w:val="21"/>
          <w:szCs w:val="21"/>
          <w:lang w:val="zh-CN"/>
        </w:rPr>
      </w:pPr>
      <w:r>
        <w:rPr>
          <w:rFonts w:hint="eastAsia" w:hAnsi="宋体"/>
          <w:sz w:val="21"/>
          <w:szCs w:val="21"/>
        </w:rPr>
        <w:t>16.3响应文件的修改与撤回</w:t>
      </w:r>
    </w:p>
    <w:p w14:paraId="3443B8FF">
      <w:pPr>
        <w:spacing w:line="360" w:lineRule="auto"/>
        <w:ind w:firstLine="420" w:firstLineChars="200"/>
        <w:rPr>
          <w:rFonts w:hint="eastAsia" w:hAnsi="宋体"/>
          <w:sz w:val="21"/>
          <w:szCs w:val="21"/>
        </w:rPr>
      </w:pPr>
      <w:r>
        <w:rPr>
          <w:rFonts w:hint="eastAsia" w:hAnsi="宋体"/>
          <w:sz w:val="21"/>
          <w:szCs w:val="21"/>
        </w:rPr>
        <w:t>（1）供应商在递交响应文件后到响应截止时间之前，可以补充、修改或撤回其响应文件，但供应商必须以书面形式通知采购代理机构。补充、修改的内容与响应文件不一致的，以补偿、修改的内容为准。</w:t>
      </w:r>
    </w:p>
    <w:p w14:paraId="251CEDA6">
      <w:pPr>
        <w:spacing w:line="360" w:lineRule="auto"/>
        <w:ind w:firstLine="420" w:firstLineChars="200"/>
        <w:rPr>
          <w:rFonts w:hint="eastAsia" w:hAnsi="宋体"/>
          <w:sz w:val="21"/>
          <w:szCs w:val="21"/>
        </w:rPr>
      </w:pPr>
      <w:r>
        <w:rPr>
          <w:rFonts w:hint="eastAsia" w:hAnsi="宋体"/>
          <w:sz w:val="21"/>
          <w:szCs w:val="21"/>
        </w:rPr>
        <w:t>（2）除法律法规允许的情况外，在响应截止时间之后至响应有效期之间的这段时间内，供应商不得对其响应文件做任何修改，亦不得撤回其响应，否则磋商保证金将不予退还。</w:t>
      </w:r>
    </w:p>
    <w:p w14:paraId="61D5B911">
      <w:pPr>
        <w:spacing w:line="360" w:lineRule="auto"/>
        <w:ind w:firstLine="420" w:firstLineChars="200"/>
        <w:rPr>
          <w:rFonts w:hint="eastAsia" w:hAnsi="宋体"/>
          <w:sz w:val="21"/>
          <w:szCs w:val="21"/>
        </w:rPr>
      </w:pPr>
    </w:p>
    <w:p w14:paraId="5F29B11E">
      <w:pPr>
        <w:pStyle w:val="6"/>
        <w:adjustRightInd/>
        <w:spacing w:line="360" w:lineRule="auto"/>
        <w:ind w:firstLine="562" w:firstLineChars="200"/>
        <w:jc w:val="center"/>
        <w:rPr>
          <w:rFonts w:hint="eastAsia"/>
          <w:sz w:val="28"/>
          <w:szCs w:val="28"/>
        </w:rPr>
      </w:pPr>
      <w:bookmarkStart w:id="131" w:name="_Toc7897881"/>
      <w:bookmarkStart w:id="132" w:name="_Toc3138"/>
      <w:bookmarkStart w:id="133" w:name="_Toc22874"/>
      <w:r>
        <w:rPr>
          <w:rFonts w:hint="eastAsia"/>
          <w:sz w:val="28"/>
          <w:szCs w:val="28"/>
        </w:rPr>
        <w:t>五、采购仪式和</w:t>
      </w:r>
      <w:bookmarkEnd w:id="118"/>
      <w:bookmarkEnd w:id="119"/>
      <w:bookmarkEnd w:id="120"/>
      <w:bookmarkEnd w:id="121"/>
      <w:bookmarkEnd w:id="122"/>
      <w:r>
        <w:rPr>
          <w:rFonts w:hint="eastAsia"/>
          <w:sz w:val="28"/>
          <w:szCs w:val="28"/>
        </w:rPr>
        <w:t>评审会议</w:t>
      </w:r>
      <w:bookmarkEnd w:id="131"/>
      <w:bookmarkEnd w:id="132"/>
      <w:bookmarkEnd w:id="133"/>
    </w:p>
    <w:p w14:paraId="5D7CB3F9">
      <w:pPr>
        <w:pStyle w:val="7"/>
        <w:adjustRightInd/>
        <w:spacing w:line="360" w:lineRule="auto"/>
        <w:ind w:firstLine="422" w:firstLineChars="200"/>
        <w:rPr>
          <w:rFonts w:hint="eastAsia" w:hAnsi="宋体"/>
          <w:b/>
          <w:sz w:val="21"/>
          <w:szCs w:val="21"/>
        </w:rPr>
      </w:pPr>
      <w:bookmarkStart w:id="134" w:name="_Toc475249134"/>
      <w:r>
        <w:rPr>
          <w:rFonts w:hint="eastAsia" w:hAnsi="宋体"/>
          <w:b/>
          <w:sz w:val="21"/>
          <w:szCs w:val="21"/>
        </w:rPr>
        <w:t>17.</w:t>
      </w:r>
      <w:bookmarkEnd w:id="134"/>
      <w:r>
        <w:rPr>
          <w:rFonts w:hint="eastAsia" w:hAnsi="宋体"/>
          <w:b/>
          <w:sz w:val="21"/>
          <w:szCs w:val="21"/>
        </w:rPr>
        <w:t>开启响应文件</w:t>
      </w:r>
    </w:p>
    <w:p w14:paraId="14113CC3">
      <w:pPr>
        <w:spacing w:line="360" w:lineRule="auto"/>
        <w:ind w:firstLine="420" w:firstLineChars="200"/>
        <w:rPr>
          <w:rFonts w:hint="eastAsia" w:hAnsi="宋体"/>
          <w:sz w:val="21"/>
          <w:szCs w:val="21"/>
        </w:rPr>
      </w:pPr>
      <w:bookmarkStart w:id="135" w:name="_Toc475249135"/>
      <w:bookmarkStart w:id="136" w:name="_Toc475249138"/>
      <w:r>
        <w:rPr>
          <w:rFonts w:hint="eastAsia" w:hAnsi="宋体"/>
          <w:sz w:val="21"/>
          <w:szCs w:val="21"/>
        </w:rPr>
        <w:t>17.1采购代理机构在《磋商邀请书》规定的日期、时间和地点在有供应商代表在场的场合组织采购仪式，参加采购仪式的代表应签名报到以证明其出席。</w:t>
      </w:r>
    </w:p>
    <w:p w14:paraId="7454CE7E">
      <w:pPr>
        <w:spacing w:line="360" w:lineRule="auto"/>
        <w:ind w:firstLine="420" w:firstLineChars="200"/>
        <w:rPr>
          <w:rFonts w:hint="eastAsia" w:hAnsi="宋体"/>
          <w:sz w:val="21"/>
          <w:szCs w:val="21"/>
        </w:rPr>
      </w:pPr>
      <w:r>
        <w:rPr>
          <w:rFonts w:hint="eastAsia" w:hAnsi="宋体"/>
          <w:sz w:val="21"/>
          <w:szCs w:val="21"/>
        </w:rPr>
        <w:t>17.2开启响应文件前，采购人、采购代理机构和供应商将检查响应文件的密封情况。在确认密封完好后，进行拆封唱标。唱标主要内容为响应文件正本中磋商保证金的内容以及采购代理机构认为合适的其他内容，并做记录。</w:t>
      </w:r>
    </w:p>
    <w:p w14:paraId="7482A6D0">
      <w:pPr>
        <w:pStyle w:val="7"/>
        <w:adjustRightInd/>
        <w:spacing w:line="360" w:lineRule="auto"/>
        <w:ind w:firstLine="422" w:firstLineChars="200"/>
        <w:rPr>
          <w:rFonts w:hint="eastAsia" w:hAnsi="宋体"/>
          <w:b/>
          <w:sz w:val="21"/>
          <w:szCs w:val="21"/>
        </w:rPr>
      </w:pPr>
      <w:r>
        <w:rPr>
          <w:rFonts w:hint="eastAsia" w:hAnsi="宋体"/>
          <w:b/>
          <w:sz w:val="21"/>
          <w:szCs w:val="21"/>
        </w:rPr>
        <w:t>18.磋商小组</w:t>
      </w:r>
      <w:bookmarkEnd w:id="135"/>
    </w:p>
    <w:p w14:paraId="53468142">
      <w:pPr>
        <w:spacing w:line="360" w:lineRule="auto"/>
        <w:ind w:firstLine="420" w:firstLineChars="200"/>
        <w:rPr>
          <w:rFonts w:hint="eastAsia" w:hAnsi="宋体"/>
          <w:sz w:val="21"/>
          <w:szCs w:val="21"/>
        </w:rPr>
      </w:pPr>
      <w:r>
        <w:rPr>
          <w:rFonts w:hint="eastAsia" w:hAnsi="宋体"/>
          <w:sz w:val="21"/>
          <w:szCs w:val="21"/>
        </w:rPr>
        <w:t>18.1采购代理机构将根据项目特点组建磋商小组，磋商小组由采购人代表和评审专家共3人或以上单数组成，其中评审专家人数不得少于磋商小组成员总数的2/3。</w:t>
      </w:r>
    </w:p>
    <w:p w14:paraId="52D99904">
      <w:pPr>
        <w:pStyle w:val="7"/>
        <w:adjustRightInd/>
        <w:spacing w:line="360" w:lineRule="auto"/>
        <w:ind w:firstLine="422" w:firstLineChars="200"/>
        <w:rPr>
          <w:rFonts w:hint="eastAsia" w:hAnsi="宋体"/>
          <w:b/>
          <w:sz w:val="21"/>
          <w:szCs w:val="21"/>
        </w:rPr>
      </w:pPr>
      <w:bookmarkStart w:id="137" w:name="_Toc37121259"/>
      <w:bookmarkStart w:id="138" w:name="_Toc535141844"/>
      <w:r>
        <w:rPr>
          <w:rFonts w:hint="eastAsia" w:hAnsi="宋体"/>
          <w:b/>
          <w:sz w:val="21"/>
          <w:szCs w:val="21"/>
        </w:rPr>
        <w:t>19.对响应文件的初审</w:t>
      </w:r>
      <w:bookmarkEnd w:id="137"/>
      <w:bookmarkEnd w:id="138"/>
    </w:p>
    <w:p w14:paraId="00D018B5">
      <w:pPr>
        <w:spacing w:line="360" w:lineRule="auto"/>
        <w:ind w:firstLine="420" w:firstLineChars="200"/>
        <w:rPr>
          <w:rFonts w:hint="eastAsia" w:hAnsi="宋体"/>
          <w:sz w:val="21"/>
          <w:szCs w:val="21"/>
        </w:rPr>
      </w:pPr>
      <w:r>
        <w:rPr>
          <w:rFonts w:hint="eastAsia" w:hAnsi="宋体"/>
          <w:sz w:val="21"/>
          <w:szCs w:val="21"/>
        </w:rPr>
        <w:t>19.1开启响应文件后，采购代理机构将组织磋商小组对响应文件进行初审，初审包括资格性审查和符合性审查。</w:t>
      </w:r>
    </w:p>
    <w:p w14:paraId="4A507A98">
      <w:pPr>
        <w:spacing w:line="360" w:lineRule="auto"/>
        <w:ind w:firstLine="420" w:firstLineChars="200"/>
        <w:rPr>
          <w:rFonts w:hint="eastAsia" w:hAnsi="宋体"/>
          <w:sz w:val="21"/>
          <w:szCs w:val="21"/>
        </w:rPr>
      </w:pPr>
      <w:r>
        <w:rPr>
          <w:rFonts w:hint="eastAsia" w:hAnsi="宋体"/>
          <w:sz w:val="21"/>
          <w:szCs w:val="21"/>
        </w:rPr>
        <w:t>19.2资格性审查是指依据法律规定和磋商文件的规定，对响应文件中的资格证明等进行审查，确定供应商是否具备响应资格。</w:t>
      </w:r>
    </w:p>
    <w:p w14:paraId="0C7C04D2">
      <w:pPr>
        <w:spacing w:line="360" w:lineRule="auto"/>
        <w:ind w:firstLine="420" w:firstLineChars="200"/>
        <w:rPr>
          <w:rFonts w:hint="eastAsia" w:hAnsi="宋体"/>
          <w:sz w:val="21"/>
          <w:szCs w:val="21"/>
        </w:rPr>
      </w:pPr>
      <w:r>
        <w:rPr>
          <w:rFonts w:hint="eastAsia" w:hAnsi="宋体"/>
          <w:sz w:val="21"/>
          <w:szCs w:val="21"/>
        </w:rPr>
        <w:t>19.3符合性审查是指依据磋商文件的规定，从响应文件的有效性、完整性和对磋商文件的响应程度进行审查，以确定是否对磋商文件的实质性要求作出响应，包括审查响应文件是否完整，有否计算错误，文件签署是否合格，响应书的编排是否有序等。</w:t>
      </w:r>
    </w:p>
    <w:p w14:paraId="0CD1A4F0">
      <w:pPr>
        <w:spacing w:line="360" w:lineRule="auto"/>
        <w:ind w:firstLine="420" w:firstLineChars="200"/>
        <w:rPr>
          <w:rFonts w:hint="eastAsia" w:hAnsi="宋体"/>
          <w:sz w:val="21"/>
          <w:szCs w:val="21"/>
        </w:rPr>
      </w:pPr>
      <w:r>
        <w:rPr>
          <w:rFonts w:hint="eastAsia" w:hAnsi="宋体"/>
          <w:sz w:val="21"/>
          <w:szCs w:val="21"/>
        </w:rPr>
        <w:t>19.4在对响应文件进行详细评估之前，磋商小组将审查每份响应文件是否实质上响应了磋商文件的要求。实质性响应的响应应该是与磋商文件要求的全部条款、条件和规格相符，没有重大偏离的响应。对关键条文的偏离、保留或反对，例如关于适用法律、税及关税等的偏离将被认为是实质上的偏离，而纠正这些偏离将影响到其他提交实质性响应响应的供应商的公平竞争地位。</w:t>
      </w:r>
    </w:p>
    <w:p w14:paraId="61B14AF3">
      <w:pPr>
        <w:spacing w:line="360" w:lineRule="auto"/>
        <w:ind w:firstLine="420" w:firstLineChars="200"/>
        <w:rPr>
          <w:rFonts w:hint="eastAsia" w:hAnsi="宋体"/>
          <w:sz w:val="21"/>
          <w:szCs w:val="21"/>
        </w:rPr>
      </w:pPr>
      <w:r>
        <w:rPr>
          <w:rFonts w:hint="eastAsia" w:hAnsi="宋体"/>
          <w:sz w:val="21"/>
          <w:szCs w:val="21"/>
        </w:rPr>
        <w:t>19.5磋商小组确定响应文件的响应性，只根据响应文件本身的内容，而不寻找外部的证据。</w:t>
      </w:r>
    </w:p>
    <w:p w14:paraId="69953C38">
      <w:pPr>
        <w:spacing w:line="360" w:lineRule="auto"/>
        <w:ind w:firstLine="420" w:firstLineChars="200"/>
        <w:rPr>
          <w:rFonts w:hint="eastAsia" w:hAnsi="宋体"/>
          <w:sz w:val="21"/>
          <w:szCs w:val="21"/>
        </w:rPr>
      </w:pPr>
      <w:r>
        <w:rPr>
          <w:rFonts w:hint="eastAsia" w:hAnsi="宋体"/>
          <w:sz w:val="21"/>
          <w:szCs w:val="21"/>
        </w:rPr>
        <w:t>19.6实质上没有响应磋商文件要求的响应文件将被拒绝。供应商不得通过修正或撤销不合要求的偏离或保留从而使其响应成为实质上的响应。</w:t>
      </w:r>
    </w:p>
    <w:p w14:paraId="1D34186C">
      <w:pPr>
        <w:pStyle w:val="7"/>
        <w:adjustRightInd/>
        <w:spacing w:line="360" w:lineRule="auto"/>
        <w:ind w:firstLine="422" w:firstLineChars="200"/>
        <w:rPr>
          <w:rFonts w:hint="eastAsia" w:hAnsi="宋体"/>
          <w:b/>
          <w:sz w:val="21"/>
          <w:szCs w:val="21"/>
        </w:rPr>
      </w:pPr>
      <w:r>
        <w:rPr>
          <w:rFonts w:hint="eastAsia" w:hAnsi="宋体"/>
          <w:b/>
          <w:sz w:val="21"/>
          <w:szCs w:val="21"/>
        </w:rPr>
        <w:t>20.对响应文件的澄清</w:t>
      </w:r>
    </w:p>
    <w:p w14:paraId="7299A62C">
      <w:pPr>
        <w:spacing w:line="360" w:lineRule="auto"/>
        <w:ind w:firstLine="420" w:firstLineChars="200"/>
        <w:rPr>
          <w:rFonts w:hint="eastAsia" w:hAnsi="宋体"/>
          <w:sz w:val="21"/>
          <w:szCs w:val="21"/>
        </w:rPr>
      </w:pPr>
      <w:r>
        <w:rPr>
          <w:rFonts w:hint="eastAsia" w:hAnsi="宋体"/>
          <w:sz w:val="21"/>
          <w:szCs w:val="21"/>
        </w:rPr>
        <w:t>20.1磋商小组在对响应文件的有效性、完整性和响应程度进行审查时，可以要求供应商对响应文件中含义不明确、同类问题表述不一致或者有明显文字和计算错误的内容等作出必要的澄清、说明或者更正。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磋商小组不接受响应人主动提出的澄清、说明或更正。</w:t>
      </w:r>
    </w:p>
    <w:p w14:paraId="0B88D601">
      <w:pPr>
        <w:spacing w:line="360" w:lineRule="auto"/>
        <w:ind w:firstLine="420" w:firstLineChars="200"/>
        <w:rPr>
          <w:rFonts w:hint="eastAsia" w:hAnsi="宋体"/>
          <w:sz w:val="21"/>
          <w:szCs w:val="21"/>
        </w:rPr>
      </w:pPr>
      <w:r>
        <w:rPr>
          <w:rFonts w:hint="eastAsia" w:hAnsi="宋体"/>
          <w:sz w:val="21"/>
          <w:szCs w:val="21"/>
        </w:rPr>
        <w:t>20.2响应文件内容表述不一致按照以下方法处理：响应文件中报价一览表内容与响应文件明细表内容不一致的，以报价一览表为准；响应文件的大写金额和小写金额不一致的，以大写金额为准；总价金额与按单价汇总金额不一致的，以单价金额计算结果为准；单价金额小数点有明显错位的，应以单价为准，并修改总价；对不同文字文本响应文件的解释发生异议的，应以中文文本为准。</w:t>
      </w:r>
    </w:p>
    <w:p w14:paraId="1B86AD1F">
      <w:pPr>
        <w:spacing w:line="360" w:lineRule="auto"/>
        <w:ind w:firstLine="420" w:firstLineChars="200"/>
        <w:rPr>
          <w:rFonts w:hint="eastAsia" w:hAnsi="宋体"/>
          <w:sz w:val="21"/>
          <w:szCs w:val="21"/>
        </w:rPr>
      </w:pPr>
      <w:r>
        <w:rPr>
          <w:rFonts w:hint="eastAsia" w:hAnsi="宋体"/>
          <w:sz w:val="21"/>
          <w:szCs w:val="21"/>
        </w:rPr>
        <w:t>20.3供应商的法定代表人或委托代理人应当按照采购代理机构通知的时间和地点接受询问，对响应文件中含义不明确的内容作必要的澄清、说明或者纠正。</w:t>
      </w:r>
    </w:p>
    <w:p w14:paraId="18AC400D">
      <w:pPr>
        <w:pStyle w:val="7"/>
        <w:adjustRightInd/>
        <w:spacing w:line="360" w:lineRule="auto"/>
        <w:ind w:firstLine="422" w:firstLineChars="200"/>
        <w:rPr>
          <w:rFonts w:hint="eastAsia" w:hAnsi="宋体"/>
          <w:b/>
          <w:sz w:val="21"/>
          <w:szCs w:val="21"/>
        </w:rPr>
      </w:pPr>
      <w:r>
        <w:rPr>
          <w:rFonts w:hint="eastAsia" w:hAnsi="宋体"/>
          <w:b/>
          <w:sz w:val="21"/>
          <w:szCs w:val="21"/>
        </w:rPr>
        <w:t>21.开展磋商</w:t>
      </w:r>
    </w:p>
    <w:p w14:paraId="2321F8A2">
      <w:pPr>
        <w:spacing w:line="360" w:lineRule="auto"/>
        <w:ind w:firstLine="420" w:firstLineChars="200"/>
        <w:rPr>
          <w:rFonts w:hint="eastAsia" w:hAnsi="宋体"/>
          <w:sz w:val="21"/>
          <w:szCs w:val="21"/>
        </w:rPr>
      </w:pPr>
      <w:r>
        <w:rPr>
          <w:rFonts w:hint="eastAsia" w:hAnsi="宋体"/>
          <w:sz w:val="21"/>
          <w:szCs w:val="21"/>
        </w:rPr>
        <w:t>21.1主持人宣布评审纪律，磋商小组所有成员及相关工作人员签名确认。</w:t>
      </w:r>
    </w:p>
    <w:p w14:paraId="694C2462">
      <w:pPr>
        <w:spacing w:line="360" w:lineRule="auto"/>
        <w:ind w:firstLine="420" w:firstLineChars="200"/>
        <w:rPr>
          <w:rFonts w:hint="eastAsia" w:hAnsi="宋体"/>
          <w:sz w:val="21"/>
          <w:szCs w:val="21"/>
        </w:rPr>
      </w:pPr>
      <w:r>
        <w:rPr>
          <w:rFonts w:hint="eastAsia" w:hAnsi="宋体"/>
          <w:sz w:val="21"/>
          <w:szCs w:val="21"/>
        </w:rPr>
        <w:t>21.2磋商小组所有成员应当集中与单一供应商分别进行一轮或多轮的磋商（具体磋商轮次由磋商小组视情况决定）在磋商中，磋商小组及有关当事人应当严格遵循保密原则，任何人不得透露与磋商有关的供应商的技术、价格和其他信息。</w:t>
      </w:r>
    </w:p>
    <w:p w14:paraId="291CB306">
      <w:pPr>
        <w:spacing w:line="360" w:lineRule="auto"/>
        <w:ind w:firstLine="420" w:firstLineChars="200"/>
        <w:rPr>
          <w:rFonts w:hint="eastAsia" w:hAnsi="宋体"/>
          <w:sz w:val="21"/>
          <w:szCs w:val="21"/>
        </w:rPr>
      </w:pPr>
      <w:r>
        <w:rPr>
          <w:rFonts w:hint="eastAsia" w:hAnsi="宋体"/>
          <w:sz w:val="21"/>
          <w:szCs w:val="21"/>
        </w:rPr>
        <w:t>21.3在磋商过程中，磋商小组可以根据磋商文件和磋商情况实质性变动采购需求中的技术、服务要求以及合同草案条款，但不得变动磋商文件中的其他内容，并应当以书面形式通知所有参加磋商的供应商。实质性变动的内容，须经采购人代表确认。对磋商文件作出的实质性变动是磋商文件的有效组成部分。</w:t>
      </w:r>
    </w:p>
    <w:p w14:paraId="4D0CA47A">
      <w:pPr>
        <w:spacing w:line="360" w:lineRule="auto"/>
        <w:ind w:firstLine="420" w:firstLineChars="200"/>
        <w:rPr>
          <w:rFonts w:hint="eastAsia" w:hAnsi="宋体"/>
          <w:sz w:val="21"/>
          <w:szCs w:val="21"/>
        </w:rPr>
      </w:pPr>
      <w:r>
        <w:rPr>
          <w:rFonts w:hint="eastAsia" w:hAnsi="宋体"/>
          <w:sz w:val="21"/>
          <w:szCs w:val="21"/>
        </w:rPr>
        <w:t>21.4供应商应当按照磋商文件的变动情况和磋商小组的要求重新提交响应文件（或补充以书面材料），并由其法定代表人或授权代表签字或者加盖公章。由授权代表签字的，应当附法定代表人授权书。供应商为自然人的，应当由本人签字并附身份证明。补充文件是响应文件的组成部分。</w:t>
      </w:r>
    </w:p>
    <w:p w14:paraId="790EB81B">
      <w:pPr>
        <w:pStyle w:val="7"/>
        <w:adjustRightInd/>
        <w:spacing w:line="360" w:lineRule="auto"/>
        <w:ind w:firstLine="422" w:firstLineChars="200"/>
        <w:rPr>
          <w:rFonts w:hint="eastAsia" w:hAnsi="宋体"/>
          <w:b/>
          <w:sz w:val="21"/>
          <w:szCs w:val="21"/>
        </w:rPr>
      </w:pPr>
      <w:r>
        <w:rPr>
          <w:rFonts w:hint="eastAsia" w:hAnsi="宋体"/>
          <w:b/>
          <w:sz w:val="21"/>
          <w:szCs w:val="21"/>
        </w:rPr>
        <w:t>22.最后报价</w:t>
      </w:r>
    </w:p>
    <w:p w14:paraId="44B9D134">
      <w:pPr>
        <w:spacing w:line="360" w:lineRule="auto"/>
        <w:ind w:firstLine="420" w:firstLineChars="200"/>
        <w:rPr>
          <w:rFonts w:hint="eastAsia" w:hAnsi="宋体"/>
          <w:sz w:val="21"/>
          <w:szCs w:val="21"/>
        </w:rPr>
      </w:pPr>
      <w:r>
        <w:rPr>
          <w:rFonts w:hint="eastAsia" w:hAnsi="宋体"/>
          <w:sz w:val="21"/>
          <w:szCs w:val="21"/>
        </w:rPr>
        <w:t>22.1磋商文件能够详细列明采购标的的技术、服务要求的，磋商结束后，磋商小组应当要求所有实质性响应的供应商在规定时间内提交最后报价，除法律法规规定的允许的情况外，提交最后报价的供应商不得少于3家。最后报价是供应商响应文件的有效组成部分。</w:t>
      </w:r>
    </w:p>
    <w:p w14:paraId="279B9939">
      <w:pPr>
        <w:spacing w:line="360" w:lineRule="auto"/>
        <w:ind w:firstLine="420" w:firstLineChars="200"/>
        <w:rPr>
          <w:rFonts w:hint="eastAsia" w:hAnsi="宋体"/>
          <w:sz w:val="21"/>
          <w:szCs w:val="21"/>
        </w:rPr>
      </w:pPr>
      <w:r>
        <w:rPr>
          <w:rFonts w:hint="eastAsia" w:hAnsi="宋体"/>
          <w:sz w:val="21"/>
          <w:szCs w:val="21"/>
        </w:rPr>
        <w:t>22.2已提交响应文件的供应商，在提交最后报价之前，可以根据磋商情况退出磋商。采购人、采购代理机构应当退还退出磋商的供应商的磋商保证金。</w:t>
      </w:r>
    </w:p>
    <w:bookmarkEnd w:id="136"/>
    <w:p w14:paraId="1751F7AD">
      <w:pPr>
        <w:pStyle w:val="7"/>
        <w:adjustRightInd/>
        <w:spacing w:line="360" w:lineRule="auto"/>
        <w:ind w:firstLine="422" w:firstLineChars="200"/>
        <w:rPr>
          <w:rFonts w:hint="eastAsia" w:hAnsi="宋体"/>
          <w:b/>
          <w:sz w:val="21"/>
          <w:szCs w:val="21"/>
        </w:rPr>
      </w:pPr>
      <w:r>
        <w:rPr>
          <w:rFonts w:hint="eastAsia" w:hAnsi="宋体"/>
          <w:b/>
          <w:sz w:val="21"/>
          <w:szCs w:val="21"/>
        </w:rPr>
        <w:t>23.综合评分</w:t>
      </w:r>
    </w:p>
    <w:p w14:paraId="3E9764C4">
      <w:pPr>
        <w:spacing w:line="360" w:lineRule="auto"/>
        <w:ind w:firstLine="420" w:firstLineChars="200"/>
        <w:rPr>
          <w:rFonts w:hint="eastAsia" w:hAnsi="宋体"/>
          <w:sz w:val="21"/>
          <w:szCs w:val="21"/>
        </w:rPr>
      </w:pPr>
      <w:r>
        <w:rPr>
          <w:rFonts w:hint="eastAsia" w:hAnsi="宋体"/>
          <w:sz w:val="21"/>
          <w:szCs w:val="21"/>
        </w:rPr>
        <w:t>经磋商确定最终采购需求和提交最后报价的供应商后，由磋商小组采用综合评分法对提交最后报价的供应商的响应文件和最后报价进行综合评分。详见本文件《第四篇 评标工作大纲》。</w:t>
      </w:r>
    </w:p>
    <w:p w14:paraId="51018087">
      <w:pPr>
        <w:pStyle w:val="15"/>
        <w:ind w:firstLine="400"/>
      </w:pPr>
    </w:p>
    <w:p w14:paraId="41ACA644">
      <w:pPr>
        <w:pStyle w:val="6"/>
        <w:adjustRightInd/>
        <w:spacing w:line="360" w:lineRule="auto"/>
        <w:ind w:firstLine="562" w:firstLineChars="200"/>
        <w:jc w:val="center"/>
        <w:rPr>
          <w:rFonts w:hint="eastAsia"/>
          <w:sz w:val="28"/>
          <w:szCs w:val="28"/>
        </w:rPr>
      </w:pPr>
      <w:bookmarkStart w:id="139" w:name="_Toc18625"/>
      <w:bookmarkStart w:id="140" w:name="_Toc7897882"/>
      <w:bookmarkStart w:id="141" w:name="_Toc21174"/>
      <w:r>
        <w:rPr>
          <w:rFonts w:hint="eastAsia"/>
          <w:sz w:val="28"/>
          <w:szCs w:val="28"/>
        </w:rPr>
        <w:t>六、确定成交供应商</w:t>
      </w:r>
      <w:bookmarkEnd w:id="139"/>
      <w:bookmarkEnd w:id="140"/>
      <w:bookmarkEnd w:id="141"/>
    </w:p>
    <w:p w14:paraId="177355C6">
      <w:pPr>
        <w:pStyle w:val="7"/>
        <w:adjustRightInd/>
        <w:spacing w:line="360" w:lineRule="auto"/>
        <w:ind w:firstLine="422" w:firstLineChars="200"/>
        <w:rPr>
          <w:rFonts w:hint="eastAsia" w:hAnsi="宋体"/>
          <w:b/>
          <w:sz w:val="21"/>
          <w:szCs w:val="21"/>
        </w:rPr>
      </w:pPr>
      <w:r>
        <w:rPr>
          <w:rFonts w:hint="eastAsia" w:hAnsi="宋体"/>
          <w:b/>
          <w:sz w:val="21"/>
          <w:szCs w:val="21"/>
        </w:rPr>
        <w:t>24.确定成交</w:t>
      </w:r>
    </w:p>
    <w:p w14:paraId="3EAE42F4">
      <w:pPr>
        <w:spacing w:line="360" w:lineRule="auto"/>
        <w:ind w:firstLine="420" w:firstLineChars="200"/>
        <w:rPr>
          <w:rFonts w:hint="eastAsia" w:hAnsi="宋体"/>
          <w:sz w:val="21"/>
          <w:szCs w:val="21"/>
        </w:rPr>
      </w:pPr>
      <w:r>
        <w:rPr>
          <w:rFonts w:hint="eastAsia" w:hAnsi="宋体"/>
          <w:sz w:val="21"/>
          <w:szCs w:val="21"/>
        </w:rPr>
        <w:t>24.1磋商小组完成评审工作后，出具评审报告，推荐3名以上成交候选供应商。符合法律法规允许的情况的，可以推荐2家成交候选供应商。</w:t>
      </w:r>
    </w:p>
    <w:p w14:paraId="3E4B630E">
      <w:pPr>
        <w:spacing w:line="360" w:lineRule="auto"/>
        <w:ind w:firstLine="420" w:firstLineChars="200"/>
        <w:rPr>
          <w:rFonts w:hint="eastAsia" w:hAnsi="宋体"/>
          <w:sz w:val="21"/>
          <w:szCs w:val="21"/>
        </w:rPr>
      </w:pPr>
      <w:r>
        <w:rPr>
          <w:rFonts w:hint="eastAsia" w:hAnsi="宋体"/>
          <w:sz w:val="21"/>
          <w:szCs w:val="21"/>
        </w:rPr>
        <w:t>24.2采购人从成交候选供应商名单中按照综合得分排序确定1名成交供应商。</w:t>
      </w:r>
    </w:p>
    <w:p w14:paraId="6D23F6CF">
      <w:pPr>
        <w:spacing w:line="360" w:lineRule="auto"/>
        <w:ind w:firstLine="420" w:firstLineChars="200"/>
        <w:rPr>
          <w:rFonts w:hint="eastAsia" w:hAnsi="宋体"/>
          <w:sz w:val="21"/>
          <w:szCs w:val="21"/>
        </w:rPr>
      </w:pPr>
      <w:r>
        <w:rPr>
          <w:rFonts w:hint="eastAsia" w:hAnsi="宋体"/>
          <w:sz w:val="21"/>
          <w:szCs w:val="21"/>
        </w:rPr>
        <w:t>24.3根据响应或评审情况，采购代理机构保留在确定成交供应商之前任何时候接受或拒绝任何响应，以及宣布评审程序无效或拒绝所有响应的权力，对受影响的供应商不承担任何责任，也无义务向受影响的供应商解释这一行动的理由。</w:t>
      </w:r>
    </w:p>
    <w:p w14:paraId="17C06487">
      <w:pPr>
        <w:pStyle w:val="7"/>
        <w:adjustRightInd/>
        <w:spacing w:line="360" w:lineRule="auto"/>
        <w:ind w:firstLine="422"/>
        <w:rPr>
          <w:b/>
          <w:sz w:val="21"/>
          <w:szCs w:val="21"/>
        </w:rPr>
      </w:pPr>
      <w:r>
        <w:rPr>
          <w:rFonts w:hint="eastAsia"/>
          <w:b/>
          <w:sz w:val="21"/>
          <w:szCs w:val="21"/>
        </w:rPr>
        <w:t>25.资格后审</w:t>
      </w:r>
    </w:p>
    <w:p w14:paraId="4ADD564D">
      <w:pPr>
        <w:spacing w:line="360" w:lineRule="auto"/>
        <w:ind w:firstLine="420" w:firstLineChars="200"/>
        <w:rPr>
          <w:sz w:val="21"/>
          <w:szCs w:val="21"/>
        </w:rPr>
      </w:pPr>
      <w:r>
        <w:rPr>
          <w:sz w:val="21"/>
          <w:szCs w:val="21"/>
        </w:rPr>
        <w:t>2</w:t>
      </w:r>
      <w:r>
        <w:rPr>
          <w:rFonts w:hint="eastAsia"/>
          <w:sz w:val="21"/>
          <w:szCs w:val="21"/>
        </w:rPr>
        <w:t>5</w:t>
      </w:r>
      <w:r>
        <w:rPr>
          <w:sz w:val="21"/>
          <w:szCs w:val="21"/>
        </w:rPr>
        <w:t>.1</w:t>
      </w:r>
      <w:r>
        <w:rPr>
          <w:rFonts w:hint="eastAsia"/>
          <w:sz w:val="21"/>
          <w:szCs w:val="21"/>
        </w:rPr>
        <w:t>采购人</w:t>
      </w:r>
      <w:r>
        <w:rPr>
          <w:sz w:val="21"/>
          <w:szCs w:val="21"/>
        </w:rPr>
        <w:t>将根据</w:t>
      </w:r>
      <w:r>
        <w:rPr>
          <w:rFonts w:hint="eastAsia"/>
          <w:sz w:val="21"/>
          <w:szCs w:val="21"/>
        </w:rPr>
        <w:t>磋商文件</w:t>
      </w:r>
      <w:r>
        <w:rPr>
          <w:sz w:val="21"/>
          <w:szCs w:val="21"/>
        </w:rPr>
        <w:t>中的要求，对评委会推荐的</w:t>
      </w:r>
      <w:r>
        <w:rPr>
          <w:rFonts w:hint="eastAsia"/>
          <w:sz w:val="21"/>
          <w:szCs w:val="21"/>
        </w:rPr>
        <w:t>成交候选人</w:t>
      </w:r>
      <w:r>
        <w:rPr>
          <w:sz w:val="21"/>
          <w:szCs w:val="21"/>
        </w:rPr>
        <w:t>进行资格后审。</w:t>
      </w:r>
    </w:p>
    <w:p w14:paraId="284497D9">
      <w:pPr>
        <w:spacing w:line="360" w:lineRule="auto"/>
        <w:ind w:firstLine="420" w:firstLineChars="200"/>
        <w:rPr>
          <w:sz w:val="21"/>
          <w:szCs w:val="21"/>
        </w:rPr>
      </w:pPr>
      <w:r>
        <w:rPr>
          <w:sz w:val="21"/>
          <w:szCs w:val="21"/>
        </w:rPr>
        <w:t>2</w:t>
      </w:r>
      <w:r>
        <w:rPr>
          <w:rFonts w:hint="eastAsia"/>
          <w:sz w:val="21"/>
          <w:szCs w:val="21"/>
        </w:rPr>
        <w:t>5</w:t>
      </w:r>
      <w:r>
        <w:rPr>
          <w:sz w:val="21"/>
          <w:szCs w:val="21"/>
        </w:rPr>
        <w:t>.2</w:t>
      </w:r>
      <w:r>
        <w:rPr>
          <w:rFonts w:hint="eastAsia"/>
          <w:sz w:val="21"/>
          <w:szCs w:val="21"/>
        </w:rPr>
        <w:t>成交候选人</w:t>
      </w:r>
      <w:r>
        <w:rPr>
          <w:sz w:val="21"/>
          <w:szCs w:val="21"/>
        </w:rPr>
        <w:t>须无条件配合资格后审，否则</w:t>
      </w:r>
      <w:r>
        <w:rPr>
          <w:rFonts w:hint="eastAsia"/>
          <w:sz w:val="21"/>
          <w:szCs w:val="21"/>
        </w:rPr>
        <w:t>采购人</w:t>
      </w:r>
      <w:r>
        <w:rPr>
          <w:sz w:val="21"/>
          <w:szCs w:val="21"/>
        </w:rPr>
        <w:t>有权取消</w:t>
      </w:r>
      <w:r>
        <w:rPr>
          <w:rFonts w:hint="eastAsia"/>
          <w:sz w:val="21"/>
          <w:szCs w:val="21"/>
        </w:rPr>
        <w:t>成交</w:t>
      </w:r>
      <w:r>
        <w:rPr>
          <w:sz w:val="21"/>
          <w:szCs w:val="21"/>
        </w:rPr>
        <w:t>资格。</w:t>
      </w:r>
    </w:p>
    <w:p w14:paraId="6A822B6F">
      <w:pPr>
        <w:spacing w:line="360" w:lineRule="auto"/>
        <w:ind w:firstLine="420" w:firstLineChars="200"/>
        <w:rPr>
          <w:sz w:val="21"/>
          <w:szCs w:val="21"/>
        </w:rPr>
      </w:pPr>
      <w:r>
        <w:rPr>
          <w:sz w:val="21"/>
          <w:szCs w:val="21"/>
        </w:rPr>
        <w:t>2</w:t>
      </w:r>
      <w:r>
        <w:rPr>
          <w:rFonts w:hint="eastAsia"/>
          <w:sz w:val="21"/>
          <w:szCs w:val="21"/>
        </w:rPr>
        <w:t>5</w:t>
      </w:r>
      <w:r>
        <w:rPr>
          <w:sz w:val="21"/>
          <w:szCs w:val="21"/>
        </w:rPr>
        <w:t>.3资格</w:t>
      </w:r>
      <w:r>
        <w:rPr>
          <w:rFonts w:hint="eastAsia"/>
          <w:sz w:val="21"/>
          <w:szCs w:val="21"/>
        </w:rPr>
        <w:t>后审</w:t>
      </w:r>
      <w:r>
        <w:rPr>
          <w:sz w:val="21"/>
          <w:szCs w:val="21"/>
        </w:rPr>
        <w:t>须提供包括但不限于营业执照、税务登记证和在</w:t>
      </w:r>
      <w:r>
        <w:rPr>
          <w:rFonts w:hint="eastAsia"/>
          <w:sz w:val="21"/>
          <w:szCs w:val="21"/>
        </w:rPr>
        <w:t>磋商响应文件</w:t>
      </w:r>
      <w:r>
        <w:rPr>
          <w:sz w:val="21"/>
          <w:szCs w:val="21"/>
        </w:rPr>
        <w:t>中提供的资质证明文件、合同等重要证明文件的原件进行核对，综合考察</w:t>
      </w:r>
      <w:r>
        <w:rPr>
          <w:rFonts w:hint="eastAsia"/>
          <w:sz w:val="21"/>
          <w:szCs w:val="21"/>
        </w:rPr>
        <w:t>成交供应商</w:t>
      </w:r>
      <w:r>
        <w:rPr>
          <w:sz w:val="21"/>
          <w:szCs w:val="21"/>
        </w:rPr>
        <w:t>的履约能力。如</w:t>
      </w:r>
      <w:r>
        <w:rPr>
          <w:rFonts w:hint="eastAsia"/>
          <w:sz w:val="21"/>
          <w:szCs w:val="21"/>
        </w:rPr>
        <w:t>采购人</w:t>
      </w:r>
      <w:r>
        <w:rPr>
          <w:sz w:val="21"/>
          <w:szCs w:val="21"/>
        </w:rPr>
        <w:t>要求还须提供业绩证明的其他材料,</w:t>
      </w:r>
      <w:r>
        <w:rPr>
          <w:rFonts w:hint="eastAsia"/>
          <w:sz w:val="21"/>
          <w:szCs w:val="21"/>
        </w:rPr>
        <w:t>成交候选人</w:t>
      </w:r>
      <w:r>
        <w:rPr>
          <w:sz w:val="21"/>
          <w:szCs w:val="21"/>
        </w:rPr>
        <w:t>须配合提供。如授权其分支机构进行项目实施或提供售后服务的，亦应提供其与分支机构关系的法律证明材料。</w:t>
      </w:r>
    </w:p>
    <w:p w14:paraId="1EC925BB">
      <w:pPr>
        <w:spacing w:line="360" w:lineRule="auto"/>
        <w:ind w:firstLine="420" w:firstLineChars="200"/>
        <w:rPr>
          <w:sz w:val="21"/>
          <w:szCs w:val="21"/>
        </w:rPr>
      </w:pPr>
      <w:r>
        <w:rPr>
          <w:sz w:val="21"/>
          <w:szCs w:val="21"/>
        </w:rPr>
        <w:t>2</w:t>
      </w:r>
      <w:r>
        <w:rPr>
          <w:rFonts w:hint="eastAsia"/>
          <w:sz w:val="21"/>
          <w:szCs w:val="21"/>
        </w:rPr>
        <w:t>5</w:t>
      </w:r>
      <w:r>
        <w:rPr>
          <w:sz w:val="21"/>
          <w:szCs w:val="21"/>
        </w:rPr>
        <w:t>.4如发现</w:t>
      </w:r>
      <w:r>
        <w:rPr>
          <w:rFonts w:hint="eastAsia"/>
          <w:sz w:val="21"/>
          <w:szCs w:val="21"/>
        </w:rPr>
        <w:t>供应商</w:t>
      </w:r>
      <w:r>
        <w:rPr>
          <w:sz w:val="21"/>
          <w:szCs w:val="21"/>
        </w:rPr>
        <w:t>提交虚假资料谋取</w:t>
      </w:r>
      <w:r>
        <w:rPr>
          <w:rFonts w:hint="eastAsia"/>
          <w:sz w:val="21"/>
          <w:szCs w:val="21"/>
        </w:rPr>
        <w:t>成交</w:t>
      </w:r>
      <w:r>
        <w:rPr>
          <w:sz w:val="21"/>
          <w:szCs w:val="21"/>
        </w:rPr>
        <w:t>的，</w:t>
      </w:r>
      <w:r>
        <w:rPr>
          <w:rFonts w:hint="eastAsia"/>
          <w:sz w:val="21"/>
          <w:szCs w:val="21"/>
        </w:rPr>
        <w:t>采购人</w:t>
      </w:r>
      <w:r>
        <w:rPr>
          <w:sz w:val="21"/>
          <w:szCs w:val="21"/>
        </w:rPr>
        <w:t>有权没收其</w:t>
      </w:r>
      <w:r>
        <w:rPr>
          <w:rFonts w:hint="eastAsia"/>
          <w:sz w:val="21"/>
          <w:szCs w:val="21"/>
        </w:rPr>
        <w:t>磋商</w:t>
      </w:r>
      <w:r>
        <w:rPr>
          <w:sz w:val="21"/>
          <w:szCs w:val="21"/>
        </w:rPr>
        <w:t>保证金，并保留追究其赔偿</w:t>
      </w:r>
      <w:r>
        <w:rPr>
          <w:rFonts w:hint="eastAsia"/>
          <w:sz w:val="21"/>
          <w:szCs w:val="21"/>
        </w:rPr>
        <w:t>采购人</w:t>
      </w:r>
      <w:r>
        <w:rPr>
          <w:sz w:val="21"/>
          <w:szCs w:val="21"/>
        </w:rPr>
        <w:t>由此而造成一切损失的责任。</w:t>
      </w:r>
    </w:p>
    <w:p w14:paraId="25B939B2">
      <w:pPr>
        <w:spacing w:line="360" w:lineRule="auto"/>
        <w:ind w:firstLine="420" w:firstLineChars="200"/>
        <w:rPr>
          <w:sz w:val="21"/>
          <w:szCs w:val="21"/>
        </w:rPr>
      </w:pPr>
      <w:r>
        <w:rPr>
          <w:sz w:val="21"/>
          <w:szCs w:val="21"/>
        </w:rPr>
        <w:t>2</w:t>
      </w:r>
      <w:r>
        <w:rPr>
          <w:rFonts w:hint="eastAsia"/>
          <w:sz w:val="21"/>
          <w:szCs w:val="21"/>
        </w:rPr>
        <w:t>5</w:t>
      </w:r>
      <w:r>
        <w:rPr>
          <w:sz w:val="21"/>
          <w:szCs w:val="21"/>
        </w:rPr>
        <w:t>.5</w:t>
      </w:r>
      <w:r>
        <w:rPr>
          <w:rFonts w:hint="eastAsia"/>
          <w:sz w:val="21"/>
          <w:szCs w:val="21"/>
        </w:rPr>
        <w:t>采购人</w:t>
      </w:r>
      <w:r>
        <w:rPr>
          <w:sz w:val="21"/>
          <w:szCs w:val="21"/>
        </w:rPr>
        <w:t>保留审查</w:t>
      </w:r>
      <w:r>
        <w:rPr>
          <w:rFonts w:hint="eastAsia"/>
          <w:sz w:val="21"/>
          <w:szCs w:val="21"/>
        </w:rPr>
        <w:t>成交供应商</w:t>
      </w:r>
      <w:r>
        <w:rPr>
          <w:sz w:val="21"/>
          <w:szCs w:val="21"/>
        </w:rPr>
        <w:t>是否有能力令</w:t>
      </w:r>
      <w:r>
        <w:rPr>
          <w:rFonts w:hint="eastAsia"/>
          <w:sz w:val="21"/>
          <w:szCs w:val="21"/>
        </w:rPr>
        <w:t>采购人</w:t>
      </w:r>
      <w:r>
        <w:rPr>
          <w:sz w:val="21"/>
          <w:szCs w:val="21"/>
        </w:rPr>
        <w:t>满意的履行合同的权利，包括但不限于对</w:t>
      </w:r>
      <w:r>
        <w:rPr>
          <w:rFonts w:hint="eastAsia"/>
          <w:sz w:val="21"/>
          <w:szCs w:val="21"/>
        </w:rPr>
        <w:t>成交供应商</w:t>
      </w:r>
      <w:r>
        <w:rPr>
          <w:sz w:val="21"/>
          <w:szCs w:val="21"/>
        </w:rPr>
        <w:t>的规模、人员、场地、生产能力、供货能力等方面的核实或现场考察。如果审查通过，</w:t>
      </w:r>
      <w:r>
        <w:rPr>
          <w:rFonts w:hint="eastAsia"/>
          <w:sz w:val="21"/>
          <w:szCs w:val="21"/>
        </w:rPr>
        <w:t>采购人</w:t>
      </w:r>
      <w:r>
        <w:rPr>
          <w:sz w:val="21"/>
          <w:szCs w:val="21"/>
        </w:rPr>
        <w:t>将把合同授予该</w:t>
      </w:r>
      <w:r>
        <w:rPr>
          <w:rFonts w:hint="eastAsia"/>
          <w:sz w:val="21"/>
          <w:szCs w:val="21"/>
        </w:rPr>
        <w:t>供应商；</w:t>
      </w:r>
      <w:r>
        <w:rPr>
          <w:sz w:val="21"/>
          <w:szCs w:val="21"/>
        </w:rPr>
        <w:t>如果审查没有通过，</w:t>
      </w:r>
      <w:r>
        <w:rPr>
          <w:rFonts w:hint="eastAsia"/>
          <w:sz w:val="21"/>
          <w:szCs w:val="21"/>
        </w:rPr>
        <w:t>采购人</w:t>
      </w:r>
      <w:r>
        <w:rPr>
          <w:sz w:val="21"/>
          <w:szCs w:val="21"/>
        </w:rPr>
        <w:t>将拒绝其</w:t>
      </w:r>
      <w:r>
        <w:rPr>
          <w:rFonts w:hint="eastAsia"/>
          <w:sz w:val="21"/>
          <w:szCs w:val="21"/>
        </w:rPr>
        <w:t>磋商</w:t>
      </w:r>
      <w:r>
        <w:rPr>
          <w:sz w:val="21"/>
          <w:szCs w:val="21"/>
        </w:rPr>
        <w:t>，并对下一个候选的</w:t>
      </w:r>
      <w:r>
        <w:rPr>
          <w:rFonts w:hint="eastAsia"/>
          <w:sz w:val="21"/>
          <w:szCs w:val="21"/>
        </w:rPr>
        <w:t>供应商</w:t>
      </w:r>
      <w:r>
        <w:rPr>
          <w:sz w:val="21"/>
          <w:szCs w:val="21"/>
        </w:rPr>
        <w:t>能否令人满意地履行合同作类似的审查或重新采购。</w:t>
      </w:r>
    </w:p>
    <w:p w14:paraId="4DE7356F">
      <w:pPr>
        <w:pStyle w:val="15"/>
        <w:ind w:firstLine="400"/>
      </w:pPr>
      <w:bookmarkStart w:id="142" w:name="_Toc475249142"/>
    </w:p>
    <w:p w14:paraId="39F9C003">
      <w:pPr>
        <w:pStyle w:val="7"/>
        <w:adjustRightInd/>
        <w:spacing w:line="360" w:lineRule="auto"/>
        <w:ind w:firstLine="422" w:firstLineChars="200"/>
        <w:rPr>
          <w:rFonts w:hint="eastAsia" w:hAnsi="宋体"/>
          <w:b/>
          <w:sz w:val="21"/>
          <w:szCs w:val="21"/>
        </w:rPr>
      </w:pPr>
      <w:r>
        <w:rPr>
          <w:rFonts w:hint="eastAsia" w:hAnsi="宋体"/>
          <w:b/>
          <w:sz w:val="21"/>
          <w:szCs w:val="21"/>
        </w:rPr>
        <w:t>26.成交通知</w:t>
      </w:r>
      <w:bookmarkEnd w:id="142"/>
    </w:p>
    <w:p w14:paraId="3D480104">
      <w:pPr>
        <w:spacing w:line="360" w:lineRule="auto"/>
        <w:ind w:firstLine="420" w:firstLineChars="200"/>
        <w:rPr>
          <w:rFonts w:hint="eastAsia" w:hAnsi="宋体"/>
          <w:sz w:val="21"/>
          <w:szCs w:val="21"/>
        </w:rPr>
      </w:pPr>
      <w:r>
        <w:rPr>
          <w:rFonts w:hint="eastAsia" w:hAnsi="宋体"/>
          <w:sz w:val="21"/>
          <w:szCs w:val="21"/>
        </w:rPr>
        <w:t>26.1采购代理机构将在采购人确定成交供应商后之日起的2个工作日内发出《成交通知书》，并公告成交结果。</w:t>
      </w:r>
    </w:p>
    <w:p w14:paraId="0E5BCCB3">
      <w:pPr>
        <w:spacing w:line="360" w:lineRule="auto"/>
        <w:ind w:firstLine="420" w:firstLineChars="200"/>
        <w:rPr>
          <w:rFonts w:hint="eastAsia" w:hAnsi="宋体"/>
          <w:sz w:val="21"/>
          <w:szCs w:val="21"/>
        </w:rPr>
      </w:pPr>
      <w:r>
        <w:rPr>
          <w:rFonts w:hint="eastAsia" w:hAnsi="宋体"/>
          <w:sz w:val="21"/>
          <w:szCs w:val="21"/>
        </w:rPr>
        <w:t>26.2《成交通知书》是签订采购合同的依据和组成部分。</w:t>
      </w:r>
    </w:p>
    <w:p w14:paraId="72C8A51F">
      <w:pPr>
        <w:spacing w:line="360" w:lineRule="auto"/>
        <w:ind w:firstLine="420" w:firstLineChars="200"/>
        <w:rPr>
          <w:rFonts w:hint="eastAsia" w:hAnsi="宋体"/>
          <w:sz w:val="21"/>
          <w:szCs w:val="21"/>
        </w:rPr>
      </w:pPr>
      <w:r>
        <w:rPr>
          <w:rFonts w:hint="eastAsia" w:hAnsi="宋体"/>
          <w:sz w:val="21"/>
          <w:szCs w:val="21"/>
        </w:rPr>
        <w:t>26.3成交结果将在</w:t>
      </w:r>
      <w:r>
        <w:rPr>
          <w:rFonts w:hint="eastAsia" w:hAnsi="宋体"/>
          <w:kern w:val="28"/>
          <w:sz w:val="21"/>
          <w:szCs w:val="21"/>
        </w:rPr>
        <w:t>东莞实业投资控股集团有限公司-招标采购栏目（http://www.dgsy.com.cn/）</w:t>
      </w:r>
      <w:r>
        <w:rPr>
          <w:rFonts w:hint="eastAsia" w:hAnsi="宋体"/>
          <w:sz w:val="21"/>
          <w:szCs w:val="21"/>
        </w:rPr>
        <w:t>上公告，同时向成交供应商发出成交通知书。</w:t>
      </w:r>
    </w:p>
    <w:p w14:paraId="16739C03">
      <w:pPr>
        <w:pStyle w:val="15"/>
        <w:ind w:firstLine="400"/>
      </w:pPr>
    </w:p>
    <w:p w14:paraId="6C34DB68">
      <w:pPr>
        <w:pStyle w:val="6"/>
        <w:adjustRightInd/>
        <w:spacing w:line="360" w:lineRule="auto"/>
        <w:ind w:firstLine="562" w:firstLineChars="200"/>
        <w:jc w:val="center"/>
        <w:rPr>
          <w:rFonts w:hint="eastAsia"/>
          <w:sz w:val="28"/>
          <w:szCs w:val="28"/>
        </w:rPr>
      </w:pPr>
      <w:bookmarkStart w:id="143" w:name="_Toc7897883"/>
      <w:bookmarkStart w:id="144" w:name="_Toc37756778"/>
      <w:bookmarkStart w:id="145" w:name="_Toc110953852"/>
      <w:bookmarkStart w:id="146" w:name="_Toc20980"/>
      <w:bookmarkStart w:id="147" w:name="_Toc28276"/>
      <w:bookmarkStart w:id="148" w:name="_Toc475249143"/>
      <w:r>
        <w:rPr>
          <w:rFonts w:hint="eastAsia"/>
          <w:sz w:val="28"/>
          <w:szCs w:val="28"/>
        </w:rPr>
        <w:t>七、签订采购合同</w:t>
      </w:r>
      <w:bookmarkEnd w:id="143"/>
      <w:bookmarkEnd w:id="144"/>
      <w:bookmarkEnd w:id="145"/>
      <w:bookmarkEnd w:id="146"/>
      <w:bookmarkEnd w:id="147"/>
    </w:p>
    <w:p w14:paraId="42D20716">
      <w:pPr>
        <w:spacing w:line="360" w:lineRule="auto"/>
        <w:ind w:firstLine="420" w:firstLineChars="200"/>
        <w:rPr>
          <w:rFonts w:hint="eastAsia" w:hAnsi="宋体"/>
          <w:sz w:val="21"/>
          <w:szCs w:val="21"/>
        </w:rPr>
      </w:pPr>
      <w:r>
        <w:rPr>
          <w:rFonts w:hint="eastAsia" w:hAnsi="宋体"/>
          <w:sz w:val="21"/>
          <w:szCs w:val="21"/>
        </w:rPr>
        <w:t>27.采购人与成交供应商应当在成交通知书发出之日起30日内，按照磋商文件确定的事项签订采购合同。</w:t>
      </w:r>
    </w:p>
    <w:p w14:paraId="0E66BCD3">
      <w:pPr>
        <w:spacing w:line="360" w:lineRule="auto"/>
        <w:ind w:firstLine="420" w:firstLineChars="200"/>
        <w:rPr>
          <w:rFonts w:hint="eastAsia" w:hAnsi="宋体"/>
          <w:sz w:val="21"/>
          <w:szCs w:val="21"/>
        </w:rPr>
      </w:pPr>
      <w:r>
        <w:rPr>
          <w:rFonts w:hint="eastAsia" w:hAnsi="宋体"/>
          <w:sz w:val="21"/>
          <w:szCs w:val="21"/>
        </w:rPr>
        <w:t>28.合同内容不得与磋商文件和响应文件内容有实质性偏离。</w:t>
      </w:r>
    </w:p>
    <w:p w14:paraId="1666985D">
      <w:pPr>
        <w:spacing w:line="360" w:lineRule="auto"/>
        <w:ind w:firstLine="420" w:firstLineChars="200"/>
        <w:rPr>
          <w:rFonts w:hint="eastAsia" w:hAnsi="宋体"/>
          <w:sz w:val="21"/>
          <w:szCs w:val="21"/>
        </w:rPr>
      </w:pPr>
      <w:r>
        <w:rPr>
          <w:rFonts w:hint="eastAsia" w:hAnsi="宋体"/>
          <w:sz w:val="21"/>
          <w:szCs w:val="21"/>
        </w:rPr>
        <w:t>29.采购合同自签订之日起7个工作日内，采购人应将合同副本报采购代理机构归档。</w:t>
      </w:r>
    </w:p>
    <w:p w14:paraId="78EFD39D">
      <w:pPr>
        <w:spacing w:line="360" w:lineRule="auto"/>
        <w:ind w:firstLine="420" w:firstLineChars="200"/>
        <w:rPr>
          <w:rFonts w:hint="eastAsia" w:hAnsi="宋体"/>
          <w:sz w:val="21"/>
          <w:szCs w:val="21"/>
          <w:lang w:val="zh-CN"/>
        </w:rPr>
      </w:pPr>
      <w:r>
        <w:rPr>
          <w:rFonts w:hint="eastAsia" w:hAnsi="宋体"/>
          <w:sz w:val="21"/>
          <w:szCs w:val="21"/>
        </w:rPr>
        <w:t>30</w:t>
      </w:r>
      <w:r>
        <w:rPr>
          <w:rFonts w:hint="eastAsia" w:hAnsi="宋体"/>
          <w:sz w:val="21"/>
          <w:szCs w:val="21"/>
          <w:lang w:val="zh-CN"/>
        </w:rPr>
        <w:tab/>
      </w:r>
      <w:r>
        <w:rPr>
          <w:rFonts w:hint="eastAsia" w:hAnsi="宋体"/>
          <w:sz w:val="21"/>
          <w:szCs w:val="21"/>
          <w:lang w:val="zh-CN"/>
        </w:rPr>
        <w:t>履约</w:t>
      </w:r>
      <w:r>
        <w:rPr>
          <w:rFonts w:hint="eastAsia" w:hAnsi="宋体"/>
          <w:sz w:val="21"/>
          <w:szCs w:val="21"/>
        </w:rPr>
        <w:t>担保</w:t>
      </w:r>
    </w:p>
    <w:p w14:paraId="23963834">
      <w:pPr>
        <w:spacing w:line="360" w:lineRule="auto"/>
        <w:ind w:firstLine="420" w:firstLineChars="200"/>
        <w:rPr>
          <w:rFonts w:hint="eastAsia" w:hAnsi="宋体"/>
          <w:sz w:val="21"/>
          <w:szCs w:val="21"/>
        </w:rPr>
      </w:pPr>
      <w:r>
        <w:rPr>
          <w:rFonts w:hint="eastAsia" w:hAnsi="宋体"/>
          <w:sz w:val="21"/>
          <w:szCs w:val="21"/>
        </w:rPr>
        <w:t>30.1.履约担保金额为：暂定合同金额的10%。</w:t>
      </w:r>
    </w:p>
    <w:p w14:paraId="54F6FAA1">
      <w:pPr>
        <w:spacing w:line="360" w:lineRule="auto"/>
        <w:ind w:firstLine="420" w:firstLineChars="200"/>
        <w:rPr>
          <w:rFonts w:hint="eastAsia" w:hAnsi="宋体"/>
          <w:sz w:val="21"/>
          <w:szCs w:val="21"/>
        </w:rPr>
      </w:pPr>
      <w:r>
        <w:rPr>
          <w:rFonts w:hint="eastAsia" w:hAnsi="宋体"/>
          <w:sz w:val="21"/>
          <w:szCs w:val="21"/>
        </w:rPr>
        <w:t>30.2.履约保证金账户信息：</w:t>
      </w:r>
    </w:p>
    <w:p w14:paraId="242BDE07">
      <w:pPr>
        <w:shd w:val="clear"/>
        <w:spacing w:line="360" w:lineRule="auto"/>
        <w:ind w:firstLine="422" w:firstLineChars="200"/>
        <w:rPr>
          <w:rFonts w:hint="eastAsia" w:ascii="宋体" w:hAnsi="宋体" w:eastAsia="宋体" w:cs="宋体"/>
          <w:b/>
          <w:bCs/>
          <w:color w:val="000000" w:themeColor="text1"/>
          <w:kern w:val="2"/>
          <w:sz w:val="21"/>
          <w:szCs w:val="21"/>
          <w:highlight w:val="none"/>
          <w:lang w:val="zh-CN"/>
          <w14:textFill>
            <w14:solidFill>
              <w14:schemeClr w14:val="tx1"/>
            </w14:solidFill>
          </w14:textFill>
        </w:rPr>
      </w:pPr>
      <w:r>
        <w:rPr>
          <w:rFonts w:hint="eastAsia" w:ascii="宋体" w:hAnsi="宋体" w:eastAsia="宋体" w:cs="宋体"/>
          <w:b/>
          <w:bCs/>
          <w:color w:val="000000" w:themeColor="text1"/>
          <w:kern w:val="2"/>
          <w:sz w:val="21"/>
          <w:szCs w:val="21"/>
          <w:highlight w:val="none"/>
          <w:lang w:val="zh-CN"/>
          <w14:textFill>
            <w14:solidFill>
              <w14:schemeClr w14:val="tx1"/>
            </w14:solidFill>
          </w14:textFill>
        </w:rPr>
        <w:t>账户名称：</w:t>
      </w:r>
      <w:r>
        <w:rPr>
          <w:rFonts w:hint="eastAsia" w:hAnsi="宋体" w:cs="宋体"/>
          <w:b/>
          <w:bCs/>
          <w:color w:val="000000" w:themeColor="text1"/>
          <w:kern w:val="2"/>
          <w:sz w:val="21"/>
          <w:szCs w:val="21"/>
          <w:highlight w:val="none"/>
          <w:lang w:val="zh-CN"/>
          <w14:textFill>
            <w14:solidFill>
              <w14:schemeClr w14:val="tx1"/>
            </w14:solidFill>
          </w14:textFill>
        </w:rPr>
        <w:t>东莞文旅有限公司</w:t>
      </w:r>
    </w:p>
    <w:p w14:paraId="4577E1A4">
      <w:pPr>
        <w:shd w:val="clear"/>
        <w:spacing w:line="360" w:lineRule="auto"/>
        <w:ind w:firstLine="422" w:firstLineChars="200"/>
        <w:rPr>
          <w:rFonts w:hint="eastAsia" w:ascii="宋体" w:hAnsi="宋体" w:eastAsia="宋体" w:cs="宋体"/>
          <w:b/>
          <w:bCs/>
          <w:color w:val="000000" w:themeColor="text1"/>
          <w:kern w:val="2"/>
          <w:sz w:val="21"/>
          <w:szCs w:val="21"/>
          <w:highlight w:val="none"/>
          <w:lang w:val="zh-CN"/>
          <w14:textFill>
            <w14:solidFill>
              <w14:schemeClr w14:val="tx1"/>
            </w14:solidFill>
          </w14:textFill>
        </w:rPr>
      </w:pPr>
      <w:r>
        <w:rPr>
          <w:rFonts w:hint="eastAsia" w:ascii="宋体" w:hAnsi="宋体" w:eastAsia="宋体" w:cs="宋体"/>
          <w:b/>
          <w:bCs/>
          <w:color w:val="000000" w:themeColor="text1"/>
          <w:kern w:val="2"/>
          <w:sz w:val="21"/>
          <w:szCs w:val="21"/>
          <w:highlight w:val="none"/>
          <w:lang w:val="zh-CN"/>
          <w14:textFill>
            <w14:solidFill>
              <w14:schemeClr w14:val="tx1"/>
            </w14:solidFill>
          </w14:textFill>
        </w:rPr>
        <w:t>开户银行：招商银行股份有限公司东莞分行营业部</w:t>
      </w:r>
    </w:p>
    <w:p w14:paraId="6CC2F7D4">
      <w:pPr>
        <w:shd w:val="clear"/>
        <w:spacing w:line="360" w:lineRule="auto"/>
        <w:ind w:firstLine="422" w:firstLineChars="200"/>
        <w:rPr>
          <w:rFonts w:hint="eastAsia" w:ascii="宋体" w:hAnsi="宋体" w:eastAsia="宋体" w:cs="宋体"/>
          <w:b/>
          <w:bCs/>
          <w:color w:val="000000" w:themeColor="text1"/>
          <w:kern w:val="2"/>
          <w:sz w:val="21"/>
          <w:szCs w:val="21"/>
          <w:highlight w:val="none"/>
          <w:lang w:val="zh-CN"/>
          <w14:textFill>
            <w14:solidFill>
              <w14:schemeClr w14:val="tx1"/>
            </w14:solidFill>
          </w14:textFill>
        </w:rPr>
      </w:pPr>
      <w:r>
        <w:rPr>
          <w:rFonts w:hint="eastAsia" w:ascii="宋体" w:hAnsi="宋体" w:eastAsia="宋体" w:cs="宋体"/>
          <w:b/>
          <w:bCs/>
          <w:color w:val="000000" w:themeColor="text1"/>
          <w:kern w:val="2"/>
          <w:sz w:val="21"/>
          <w:szCs w:val="21"/>
          <w:highlight w:val="none"/>
          <w:lang w:val="zh-CN"/>
          <w14:textFill>
            <w14:solidFill>
              <w14:schemeClr w14:val="tx1"/>
            </w14:solidFill>
          </w14:textFill>
        </w:rPr>
        <w:t>银行账户：769907509810188</w:t>
      </w:r>
    </w:p>
    <w:p w14:paraId="20F05209">
      <w:pPr>
        <w:spacing w:line="360" w:lineRule="auto"/>
        <w:ind w:firstLine="420" w:firstLineChars="200"/>
        <w:rPr>
          <w:rFonts w:hint="eastAsia" w:hAnsi="宋体"/>
          <w:sz w:val="21"/>
          <w:szCs w:val="21"/>
        </w:rPr>
      </w:pPr>
      <w:r>
        <w:rPr>
          <w:rFonts w:hint="eastAsia" w:hAnsi="宋体"/>
          <w:sz w:val="21"/>
          <w:szCs w:val="21"/>
        </w:rPr>
        <w:t>30.3.成交人在采购（合同签署）时提交履约担保，履约担保金额不超过成交合同金额的10%。</w:t>
      </w:r>
    </w:p>
    <w:p w14:paraId="3E87F0BF">
      <w:pPr>
        <w:spacing w:line="360" w:lineRule="auto"/>
        <w:ind w:firstLine="420" w:firstLineChars="200"/>
        <w:rPr>
          <w:rFonts w:hint="eastAsia" w:hAnsi="宋体"/>
          <w:sz w:val="21"/>
          <w:szCs w:val="21"/>
        </w:rPr>
      </w:pPr>
      <w:r>
        <w:rPr>
          <w:rFonts w:hint="eastAsia" w:hAnsi="宋体"/>
          <w:sz w:val="21"/>
          <w:szCs w:val="21"/>
        </w:rPr>
        <w:t>30.4.履约担保期限从合同签订之日起至项目完工验收合格并结算完毕后，经双方签字30天内保持有效。</w:t>
      </w:r>
    </w:p>
    <w:p w14:paraId="002BA230">
      <w:pPr>
        <w:spacing w:line="360" w:lineRule="auto"/>
        <w:ind w:firstLine="420" w:firstLineChars="200"/>
        <w:rPr>
          <w:rFonts w:hint="eastAsia" w:hAnsi="宋体"/>
          <w:sz w:val="21"/>
          <w:szCs w:val="21"/>
        </w:rPr>
      </w:pPr>
      <w:r>
        <w:rPr>
          <w:rFonts w:hint="eastAsia" w:hAnsi="宋体"/>
          <w:sz w:val="21"/>
          <w:szCs w:val="21"/>
        </w:rPr>
        <w:t>30.5.履约担保要求：</w:t>
      </w:r>
    </w:p>
    <w:p w14:paraId="74BD1193">
      <w:pPr>
        <w:spacing w:line="360" w:lineRule="auto"/>
        <w:ind w:firstLine="420" w:firstLineChars="200"/>
        <w:rPr>
          <w:rFonts w:hint="eastAsia" w:hAnsi="宋体"/>
          <w:sz w:val="21"/>
          <w:szCs w:val="21"/>
        </w:rPr>
      </w:pPr>
      <w:r>
        <w:rPr>
          <w:rFonts w:hint="eastAsia" w:hAnsi="宋体"/>
          <w:sz w:val="21"/>
          <w:szCs w:val="21"/>
        </w:rPr>
        <w:t>（</w:t>
      </w:r>
      <w:r>
        <w:rPr>
          <w:rFonts w:hint="eastAsia" w:hAnsi="宋体"/>
          <w:sz w:val="21"/>
          <w:szCs w:val="21"/>
          <w:lang w:val="en-US" w:eastAsia="zh-CN"/>
        </w:rPr>
        <w:t>1</w:t>
      </w:r>
      <w:r>
        <w:rPr>
          <w:rFonts w:hint="eastAsia" w:hAnsi="宋体"/>
          <w:sz w:val="21"/>
          <w:szCs w:val="21"/>
        </w:rPr>
        <w:t>）履约保证金。可采用电汇、银行汇票等银行转帐方式提交，但不可以采用现金方式提交。成交人必须保证履约保证金以成交人名称在签订合同前提交至采购人指定账户。</w:t>
      </w:r>
    </w:p>
    <w:p w14:paraId="14582732">
      <w:pPr>
        <w:spacing w:line="360" w:lineRule="auto"/>
        <w:ind w:firstLine="420" w:firstLineChars="200"/>
        <w:rPr>
          <w:rFonts w:hint="eastAsia" w:hAnsi="宋体"/>
          <w:sz w:val="21"/>
          <w:szCs w:val="21"/>
        </w:rPr>
      </w:pPr>
      <w:r>
        <w:rPr>
          <w:rFonts w:hint="eastAsia" w:hAnsi="宋体"/>
          <w:sz w:val="21"/>
          <w:szCs w:val="21"/>
        </w:rPr>
        <w:t>（</w:t>
      </w:r>
      <w:r>
        <w:rPr>
          <w:rFonts w:hint="eastAsia" w:hAnsi="宋体"/>
          <w:sz w:val="21"/>
          <w:szCs w:val="21"/>
          <w:lang w:val="en-US" w:eastAsia="zh-CN"/>
        </w:rPr>
        <w:t>2</w:t>
      </w:r>
      <w:r>
        <w:rPr>
          <w:rFonts w:hint="eastAsia" w:hAnsi="宋体"/>
          <w:sz w:val="21"/>
          <w:szCs w:val="21"/>
        </w:rPr>
        <w:t>）若成交人不能按本采购文件的规定提交履约保证金的，采购人将有权取消成交人的中标资格（采购人可以按照磋商小组提出的中标候选人名单排序依次确定其他中标候选人为成交人，也可以重新采购），投标保证金不予退还，给采购人造成的损失如果超过投标保证金数额的，还应当对超过部分予以赔偿。</w:t>
      </w:r>
    </w:p>
    <w:p w14:paraId="14E46722">
      <w:pPr>
        <w:spacing w:line="360" w:lineRule="auto"/>
        <w:ind w:firstLine="420" w:firstLineChars="200"/>
        <w:rPr>
          <w:rFonts w:hint="eastAsia" w:hAnsi="宋体"/>
          <w:sz w:val="21"/>
          <w:szCs w:val="21"/>
        </w:rPr>
      </w:pPr>
      <w:r>
        <w:rPr>
          <w:rFonts w:hint="eastAsia" w:hAnsi="宋体"/>
          <w:sz w:val="21"/>
          <w:szCs w:val="21"/>
        </w:rPr>
        <w:t>（</w:t>
      </w:r>
      <w:r>
        <w:rPr>
          <w:rFonts w:hint="eastAsia" w:hAnsi="宋体"/>
          <w:sz w:val="21"/>
          <w:szCs w:val="21"/>
          <w:lang w:val="en-US" w:eastAsia="zh-CN"/>
        </w:rPr>
        <w:t>3</w:t>
      </w:r>
      <w:r>
        <w:rPr>
          <w:rFonts w:hint="eastAsia" w:hAnsi="宋体"/>
          <w:sz w:val="21"/>
          <w:szCs w:val="21"/>
        </w:rPr>
        <w:t>）为取得履约担保所需的费用，由成交人承担；若工期延误，履约担保时间延长，延长费用由成交人承担。</w:t>
      </w:r>
    </w:p>
    <w:p w14:paraId="19553F26">
      <w:pPr>
        <w:spacing w:line="360" w:lineRule="auto"/>
        <w:ind w:firstLine="420" w:firstLineChars="200"/>
        <w:rPr>
          <w:rFonts w:hint="eastAsia" w:hAnsi="宋体"/>
          <w:sz w:val="21"/>
          <w:szCs w:val="21"/>
        </w:rPr>
      </w:pPr>
      <w:r>
        <w:rPr>
          <w:rFonts w:hint="eastAsia" w:hAnsi="宋体"/>
          <w:sz w:val="21"/>
          <w:szCs w:val="21"/>
        </w:rPr>
        <w:t>（</w:t>
      </w:r>
      <w:r>
        <w:rPr>
          <w:rFonts w:hint="eastAsia" w:hAnsi="宋体"/>
          <w:sz w:val="21"/>
          <w:szCs w:val="21"/>
          <w:lang w:val="en-US" w:eastAsia="zh-CN"/>
        </w:rPr>
        <w:t>4</w:t>
      </w:r>
      <w:r>
        <w:rPr>
          <w:rFonts w:hint="eastAsia" w:hAnsi="宋体"/>
          <w:sz w:val="21"/>
          <w:szCs w:val="21"/>
        </w:rPr>
        <w:t>）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14:paraId="76644654">
      <w:pPr>
        <w:spacing w:line="360" w:lineRule="auto"/>
        <w:ind w:firstLine="420" w:firstLineChars="200"/>
        <w:rPr>
          <w:rFonts w:hint="eastAsia" w:hAnsi="宋体"/>
          <w:sz w:val="21"/>
          <w:szCs w:val="21"/>
        </w:rPr>
      </w:pPr>
      <w:r>
        <w:rPr>
          <w:rFonts w:hint="eastAsia" w:hAnsi="宋体"/>
          <w:sz w:val="21"/>
          <w:szCs w:val="21"/>
        </w:rPr>
        <w:t>（</w:t>
      </w:r>
      <w:r>
        <w:rPr>
          <w:rFonts w:hint="eastAsia" w:hAnsi="宋体"/>
          <w:sz w:val="21"/>
          <w:szCs w:val="21"/>
          <w:lang w:val="en-US" w:eastAsia="zh-CN"/>
        </w:rPr>
        <w:t>5</w:t>
      </w:r>
      <w:r>
        <w:rPr>
          <w:rFonts w:hint="eastAsia" w:hAnsi="宋体"/>
          <w:sz w:val="21"/>
          <w:szCs w:val="21"/>
        </w:rPr>
        <w:t>）下列任何情况发生时，采购人有权行使享有的担保权利：</w:t>
      </w:r>
    </w:p>
    <w:p w14:paraId="7FEB0730">
      <w:pPr>
        <w:spacing w:line="360" w:lineRule="auto"/>
        <w:ind w:firstLine="420" w:firstLineChars="200"/>
        <w:rPr>
          <w:rFonts w:hint="eastAsia" w:hAnsi="宋体"/>
          <w:sz w:val="21"/>
          <w:szCs w:val="21"/>
        </w:rPr>
      </w:pPr>
      <w:r>
        <w:rPr>
          <w:rFonts w:hint="eastAsia" w:hAnsi="宋体"/>
          <w:sz w:val="21"/>
          <w:szCs w:val="21"/>
        </w:rPr>
        <w:t>①成交人将本项目转让给他人，或者在响应文件中未说明，且未经采购人同意，将中标项目分包给他人的；</w:t>
      </w:r>
    </w:p>
    <w:p w14:paraId="767FB43F">
      <w:pPr>
        <w:spacing w:line="360" w:lineRule="auto"/>
        <w:ind w:firstLine="420" w:firstLineChars="200"/>
        <w:rPr>
          <w:rFonts w:hint="eastAsia" w:hAnsi="宋体"/>
          <w:sz w:val="21"/>
          <w:szCs w:val="21"/>
        </w:rPr>
      </w:pPr>
      <w:r>
        <w:rPr>
          <w:rFonts w:hint="eastAsia" w:hAnsi="宋体"/>
          <w:sz w:val="21"/>
          <w:szCs w:val="21"/>
        </w:rPr>
        <w:t>②成交人在履行采购合同期间，违反有关法律法规的规定及合同约定的条款，损害了采购人的利益。</w:t>
      </w:r>
    </w:p>
    <w:p w14:paraId="1C32BFD0">
      <w:pPr>
        <w:spacing w:line="360" w:lineRule="auto"/>
        <w:ind w:firstLine="420" w:firstLineChars="200"/>
        <w:rPr>
          <w:rFonts w:hint="eastAsia" w:hAnsi="宋体"/>
          <w:sz w:val="21"/>
          <w:szCs w:val="21"/>
        </w:rPr>
      </w:pPr>
      <w:r>
        <w:rPr>
          <w:rFonts w:hint="eastAsia" w:hAnsi="宋体"/>
          <w:sz w:val="21"/>
          <w:szCs w:val="21"/>
        </w:rPr>
        <w:t>（7）在整个项目验收合格后，成交人向采购人提交退回履约担保的申请，采购人办理履约担保退还手续。</w:t>
      </w:r>
    </w:p>
    <w:p w14:paraId="61F549D4">
      <w:pPr>
        <w:spacing w:line="360" w:lineRule="auto"/>
        <w:ind w:firstLine="420" w:firstLineChars="200"/>
        <w:rPr>
          <w:rFonts w:hint="eastAsia" w:hAnsi="宋体"/>
          <w:sz w:val="21"/>
          <w:szCs w:val="21"/>
          <w:lang w:val="zh-CN"/>
        </w:rPr>
      </w:pPr>
      <w:r>
        <w:rPr>
          <w:rFonts w:hint="eastAsia" w:hAnsi="宋体"/>
          <w:sz w:val="21"/>
          <w:szCs w:val="21"/>
          <w:lang w:val="zh-CN"/>
        </w:rPr>
        <w:t>31.发票</w:t>
      </w:r>
    </w:p>
    <w:p w14:paraId="1A1E3DDB">
      <w:pPr>
        <w:spacing w:line="360" w:lineRule="auto"/>
        <w:ind w:firstLine="420" w:firstLineChars="200"/>
        <w:rPr>
          <w:rFonts w:hint="eastAsia" w:hAnsi="宋体"/>
          <w:sz w:val="21"/>
          <w:szCs w:val="21"/>
          <w:lang w:val="zh-CN"/>
        </w:rPr>
      </w:pPr>
      <w:r>
        <w:rPr>
          <w:rFonts w:hint="eastAsia" w:hAnsi="宋体"/>
          <w:sz w:val="21"/>
          <w:szCs w:val="21"/>
        </w:rPr>
        <w:t>31</w:t>
      </w:r>
      <w:r>
        <w:rPr>
          <w:rFonts w:hint="eastAsia" w:hAnsi="宋体"/>
          <w:sz w:val="21"/>
          <w:szCs w:val="21"/>
          <w:lang w:val="zh-CN"/>
        </w:rPr>
        <w:t>.1该项目获得成交的成交供应商在执行合同过程中，向采购人出具的发票必须是由成交供应商开具，不得以其他单位或个人名义出具。</w:t>
      </w:r>
    </w:p>
    <w:p w14:paraId="1537CD5B">
      <w:pPr>
        <w:spacing w:line="360" w:lineRule="auto"/>
        <w:ind w:firstLine="420" w:firstLineChars="200"/>
        <w:rPr>
          <w:rFonts w:hint="eastAsia" w:hAnsi="宋体"/>
          <w:sz w:val="21"/>
          <w:szCs w:val="21"/>
        </w:rPr>
      </w:pPr>
      <w:r>
        <w:rPr>
          <w:rFonts w:hint="eastAsia" w:hAnsi="宋体"/>
          <w:sz w:val="21"/>
          <w:szCs w:val="21"/>
        </w:rPr>
        <w:t>31.2成交供应商需提交增值税专用发票，并于备注栏写明项目名称及合同名称。</w:t>
      </w:r>
    </w:p>
    <w:p w14:paraId="18CDEAE3">
      <w:pPr>
        <w:spacing w:line="360" w:lineRule="auto"/>
        <w:ind w:firstLine="420" w:firstLineChars="200"/>
        <w:rPr>
          <w:rFonts w:hint="eastAsia" w:hAnsi="宋体"/>
          <w:sz w:val="21"/>
          <w:szCs w:val="21"/>
        </w:rPr>
      </w:pPr>
      <w:r>
        <w:rPr>
          <w:rFonts w:hint="eastAsia" w:hAnsi="宋体"/>
          <w:sz w:val="21"/>
          <w:szCs w:val="21"/>
        </w:rPr>
        <w:t>31.3在合同履行期间，如遇国家的税率调整，则以开具发票的时间为准，以原合同约定价格不含税金额不变作为基准，按照新税率重新计算含税价格。</w:t>
      </w:r>
    </w:p>
    <w:p w14:paraId="2EB8BD3D"/>
    <w:bookmarkEnd w:id="148"/>
    <w:p w14:paraId="00409E89">
      <w:pPr>
        <w:pStyle w:val="6"/>
        <w:adjustRightInd/>
        <w:spacing w:line="360" w:lineRule="auto"/>
        <w:ind w:firstLine="562" w:firstLineChars="200"/>
        <w:jc w:val="center"/>
        <w:rPr>
          <w:rFonts w:hint="eastAsia"/>
          <w:sz w:val="21"/>
          <w:szCs w:val="21"/>
        </w:rPr>
      </w:pPr>
      <w:bookmarkStart w:id="149" w:name="_Toc8766"/>
      <w:bookmarkStart w:id="150" w:name="_Toc7897884"/>
      <w:bookmarkStart w:id="151" w:name="_Toc152"/>
      <w:bookmarkStart w:id="152" w:name="_Toc3498"/>
      <w:bookmarkStart w:id="153" w:name="_Toc396137239"/>
      <w:bookmarkStart w:id="154" w:name="_Toc5141"/>
      <w:bookmarkStart w:id="155" w:name="_Toc396137240"/>
      <w:bookmarkStart w:id="156" w:name="_Toc22751"/>
      <w:r>
        <w:rPr>
          <w:rFonts w:hint="eastAsia"/>
          <w:sz w:val="28"/>
          <w:szCs w:val="28"/>
        </w:rPr>
        <w:t>八、</w:t>
      </w:r>
      <w:bookmarkEnd w:id="149"/>
      <w:bookmarkEnd w:id="150"/>
      <w:bookmarkEnd w:id="151"/>
      <w:r>
        <w:rPr>
          <w:rFonts w:hint="eastAsia"/>
          <w:sz w:val="28"/>
          <w:szCs w:val="28"/>
        </w:rPr>
        <w:t>采购代理服务费</w:t>
      </w:r>
    </w:p>
    <w:p w14:paraId="4A0EAB49">
      <w:pPr>
        <w:spacing w:line="360" w:lineRule="auto"/>
        <w:ind w:firstLine="428" w:firstLineChars="204"/>
        <w:rPr>
          <w:rFonts w:hint="eastAsia" w:hAnsi="宋体"/>
          <w:sz w:val="21"/>
          <w:szCs w:val="21"/>
        </w:rPr>
      </w:pPr>
      <w:r>
        <w:rPr>
          <w:rFonts w:hint="eastAsia" w:hAnsi="宋体"/>
          <w:sz w:val="21"/>
          <w:szCs w:val="21"/>
        </w:rPr>
        <w:t>32.采购代理服务费</w:t>
      </w:r>
    </w:p>
    <w:p w14:paraId="2FCDEE3B">
      <w:pPr>
        <w:spacing w:line="360" w:lineRule="auto"/>
        <w:ind w:firstLine="428" w:firstLineChars="204"/>
        <w:rPr>
          <w:rFonts w:hint="eastAsia" w:hAnsi="宋体"/>
          <w:sz w:val="21"/>
          <w:szCs w:val="21"/>
        </w:rPr>
      </w:pPr>
      <w:r>
        <w:rPr>
          <w:rFonts w:hint="eastAsia" w:hAnsi="宋体"/>
          <w:sz w:val="21"/>
          <w:szCs w:val="21"/>
        </w:rPr>
        <w:t>32.1采购代理服务费由采购人向采购代理机构支付。</w:t>
      </w:r>
    </w:p>
    <w:p w14:paraId="0A392614">
      <w:pPr>
        <w:pStyle w:val="15"/>
        <w:ind w:firstLine="400"/>
      </w:pPr>
    </w:p>
    <w:p w14:paraId="4D767C2C">
      <w:pPr>
        <w:pStyle w:val="6"/>
        <w:adjustRightInd/>
        <w:spacing w:line="360" w:lineRule="auto"/>
        <w:ind w:firstLine="562" w:firstLineChars="200"/>
        <w:jc w:val="center"/>
        <w:rPr>
          <w:rFonts w:hint="eastAsia"/>
          <w:sz w:val="28"/>
          <w:szCs w:val="28"/>
          <w:lang w:val="zh-CN"/>
        </w:rPr>
      </w:pPr>
      <w:bookmarkStart w:id="157" w:name="_Toc17153"/>
      <w:r>
        <w:rPr>
          <w:rFonts w:hint="eastAsia"/>
          <w:sz w:val="28"/>
          <w:szCs w:val="28"/>
          <w:lang w:val="zh-CN"/>
        </w:rPr>
        <w:t>九、质疑与回复</w:t>
      </w:r>
      <w:bookmarkEnd w:id="152"/>
      <w:bookmarkEnd w:id="153"/>
      <w:bookmarkEnd w:id="154"/>
      <w:bookmarkEnd w:id="157"/>
    </w:p>
    <w:p w14:paraId="55867295">
      <w:pPr>
        <w:spacing w:line="360" w:lineRule="auto"/>
        <w:ind w:firstLine="420" w:firstLineChars="200"/>
        <w:rPr>
          <w:rFonts w:hint="eastAsia" w:hAnsi="宋体"/>
          <w:sz w:val="21"/>
          <w:szCs w:val="21"/>
        </w:rPr>
      </w:pPr>
      <w:r>
        <w:rPr>
          <w:rFonts w:hint="eastAsia" w:hAnsi="宋体"/>
          <w:sz w:val="21"/>
          <w:szCs w:val="21"/>
        </w:rPr>
        <w:t>33   质疑与回复</w:t>
      </w:r>
    </w:p>
    <w:p w14:paraId="21E6ACBA">
      <w:pPr>
        <w:spacing w:line="360" w:lineRule="auto"/>
        <w:ind w:firstLine="420" w:firstLineChars="200"/>
        <w:rPr>
          <w:rFonts w:hint="eastAsia" w:hAnsi="宋体"/>
          <w:sz w:val="21"/>
          <w:szCs w:val="21"/>
        </w:rPr>
      </w:pPr>
      <w:r>
        <w:rPr>
          <w:rFonts w:hint="eastAsia" w:hAnsi="宋体"/>
          <w:sz w:val="21"/>
          <w:szCs w:val="21"/>
        </w:rPr>
        <w:t>33.1 质疑书应当包括下列主要内容：</w:t>
      </w:r>
    </w:p>
    <w:p w14:paraId="297D12F2">
      <w:pPr>
        <w:spacing w:line="360" w:lineRule="auto"/>
        <w:ind w:left="539" w:right="17" w:hanging="539"/>
        <w:jc w:val="both"/>
        <w:rPr>
          <w:rFonts w:hint="eastAsia" w:hAnsi="宋体"/>
          <w:sz w:val="21"/>
          <w:szCs w:val="21"/>
        </w:rPr>
      </w:pPr>
      <w:r>
        <w:rPr>
          <w:rFonts w:hint="eastAsia" w:hAnsi="宋体"/>
          <w:sz w:val="21"/>
          <w:szCs w:val="21"/>
        </w:rPr>
        <w:t>　　（1）供应商的姓名或者名称、地址、邮编、联系人及联系电话；</w:t>
      </w:r>
    </w:p>
    <w:p w14:paraId="3E4C8A4F">
      <w:pPr>
        <w:spacing w:line="360" w:lineRule="auto"/>
        <w:ind w:left="539" w:right="17" w:hanging="539"/>
        <w:jc w:val="both"/>
        <w:rPr>
          <w:rFonts w:hint="eastAsia" w:hAnsi="宋体"/>
          <w:sz w:val="21"/>
          <w:szCs w:val="21"/>
        </w:rPr>
      </w:pPr>
      <w:r>
        <w:rPr>
          <w:rFonts w:hint="eastAsia" w:hAnsi="宋体"/>
          <w:sz w:val="21"/>
          <w:szCs w:val="21"/>
        </w:rPr>
        <w:t>　　（2）质疑项目的名称、编号；</w:t>
      </w:r>
    </w:p>
    <w:p w14:paraId="1962BB9D">
      <w:pPr>
        <w:spacing w:line="360" w:lineRule="auto"/>
        <w:ind w:left="539" w:right="17" w:hanging="539"/>
        <w:jc w:val="both"/>
        <w:rPr>
          <w:rFonts w:hint="eastAsia" w:hAnsi="宋体"/>
          <w:sz w:val="21"/>
          <w:szCs w:val="21"/>
        </w:rPr>
      </w:pPr>
      <w:r>
        <w:rPr>
          <w:rFonts w:hint="eastAsia" w:hAnsi="宋体"/>
          <w:sz w:val="21"/>
          <w:szCs w:val="21"/>
        </w:rPr>
        <w:t>　　（3）具体、明确的质疑事项和与质疑事项相关的请求；</w:t>
      </w:r>
    </w:p>
    <w:p w14:paraId="7BC43160">
      <w:pPr>
        <w:spacing w:line="360" w:lineRule="auto"/>
        <w:ind w:left="539" w:right="17" w:hanging="539"/>
        <w:jc w:val="both"/>
        <w:rPr>
          <w:rFonts w:hint="eastAsia" w:hAnsi="宋体"/>
          <w:sz w:val="21"/>
          <w:szCs w:val="21"/>
        </w:rPr>
      </w:pPr>
      <w:r>
        <w:rPr>
          <w:rFonts w:hint="eastAsia" w:hAnsi="宋体"/>
          <w:sz w:val="21"/>
          <w:szCs w:val="21"/>
        </w:rPr>
        <w:t>　　（4）事实依据；</w:t>
      </w:r>
    </w:p>
    <w:p w14:paraId="30A72AAF">
      <w:pPr>
        <w:spacing w:line="360" w:lineRule="auto"/>
        <w:ind w:left="539" w:right="17" w:hanging="539"/>
        <w:jc w:val="both"/>
        <w:rPr>
          <w:rFonts w:hint="eastAsia" w:hAnsi="宋体"/>
          <w:sz w:val="21"/>
          <w:szCs w:val="21"/>
        </w:rPr>
      </w:pPr>
      <w:r>
        <w:rPr>
          <w:rFonts w:hint="eastAsia" w:hAnsi="宋体"/>
          <w:sz w:val="21"/>
          <w:szCs w:val="21"/>
        </w:rPr>
        <w:t>　　（5）必要的法律依据；</w:t>
      </w:r>
    </w:p>
    <w:p w14:paraId="181D4A54">
      <w:pPr>
        <w:spacing w:line="360" w:lineRule="auto"/>
        <w:ind w:left="539" w:right="17" w:hanging="539"/>
        <w:jc w:val="both"/>
        <w:rPr>
          <w:rFonts w:hint="eastAsia" w:hAnsi="宋体"/>
          <w:sz w:val="21"/>
          <w:szCs w:val="21"/>
        </w:rPr>
      </w:pPr>
      <w:r>
        <w:rPr>
          <w:rFonts w:hint="eastAsia" w:hAnsi="宋体"/>
          <w:sz w:val="21"/>
          <w:szCs w:val="21"/>
        </w:rPr>
        <w:t>　　（6）提出质疑的日期。</w:t>
      </w:r>
    </w:p>
    <w:p w14:paraId="36B92852">
      <w:pPr>
        <w:spacing w:line="360" w:lineRule="auto"/>
        <w:ind w:firstLine="420" w:firstLineChars="200"/>
        <w:rPr>
          <w:rFonts w:hint="eastAsia" w:hAnsi="宋体"/>
          <w:sz w:val="21"/>
          <w:szCs w:val="21"/>
        </w:rPr>
      </w:pPr>
      <w:r>
        <w:rPr>
          <w:rFonts w:hint="eastAsia" w:hAnsi="宋体"/>
          <w:kern w:val="2"/>
          <w:sz w:val="21"/>
          <w:szCs w:val="21"/>
        </w:rPr>
        <w:t>33</w:t>
      </w:r>
      <w:r>
        <w:rPr>
          <w:rFonts w:hint="eastAsia" w:hAnsi="宋体"/>
          <w:sz w:val="21"/>
          <w:szCs w:val="21"/>
        </w:rPr>
        <w:t>.2. 质疑书应当署名。质疑人为自然人的，应当由本人签名；质疑人为法人或者</w:t>
      </w:r>
      <w:r>
        <w:rPr>
          <w:rFonts w:hint="eastAsia" w:hAnsi="宋体"/>
          <w:kern w:val="2"/>
          <w:sz w:val="21"/>
          <w:szCs w:val="21"/>
          <w:lang w:val="zh-CN"/>
        </w:rPr>
        <w:t>其他</w:t>
      </w:r>
      <w:r>
        <w:rPr>
          <w:rFonts w:hint="eastAsia" w:hAnsi="宋体"/>
          <w:sz w:val="21"/>
          <w:szCs w:val="21"/>
        </w:rPr>
        <w:t>组织的，应当由法定代表人或者主要负责人签名并加盖公章。</w:t>
      </w:r>
    </w:p>
    <w:p w14:paraId="784CA747">
      <w:pPr>
        <w:spacing w:line="360" w:lineRule="auto"/>
        <w:ind w:firstLine="420" w:firstLineChars="200"/>
        <w:rPr>
          <w:rFonts w:hint="eastAsia" w:hAnsi="宋体"/>
          <w:sz w:val="21"/>
          <w:szCs w:val="21"/>
        </w:rPr>
      </w:pPr>
      <w:r>
        <w:rPr>
          <w:rFonts w:hint="eastAsia" w:hAnsi="宋体"/>
          <w:sz w:val="21"/>
          <w:szCs w:val="21"/>
        </w:rPr>
        <w:t>33.3. 供应商认为磋商文件的内容损害其权益的，应当以书面形式（加盖公章）在磋商文件公示期间或者自期满之日起7个工作日内向采购代理机构提交质疑书原件，逾期质疑无效。供应商以电话、传真或电邮形式提交的质疑属于无效质疑。</w:t>
      </w:r>
    </w:p>
    <w:p w14:paraId="2FBA58AA">
      <w:pPr>
        <w:spacing w:line="360" w:lineRule="auto"/>
        <w:ind w:firstLine="420" w:firstLineChars="200"/>
        <w:rPr>
          <w:rFonts w:hint="eastAsia" w:hAnsi="宋体"/>
          <w:sz w:val="21"/>
          <w:szCs w:val="21"/>
        </w:rPr>
      </w:pPr>
      <w:r>
        <w:rPr>
          <w:rFonts w:hint="eastAsia" w:hAnsi="宋体"/>
          <w:sz w:val="21"/>
          <w:szCs w:val="21"/>
        </w:rPr>
        <w:t>33.4. 供应商认为采购过程和成交结果使自己的权益受到损害的，应当以书面形式（加盖公章）在知道或者应知其权益受到损害之日起7个工作日内向采购代理机构提交质疑书原件，逾期质疑无效。供应商以电话、传真或电邮形式提交的质疑属于无效质疑。联系人：蔡景辉/0769-23328188；联系地址：东莞市南城区元美路2号财富广场B座13A层13A08室。</w:t>
      </w:r>
    </w:p>
    <w:p w14:paraId="1AE82DA1">
      <w:pPr>
        <w:spacing w:line="360" w:lineRule="auto"/>
        <w:ind w:firstLine="420" w:firstLineChars="200"/>
        <w:rPr>
          <w:rFonts w:hint="eastAsia" w:hAnsi="宋体"/>
          <w:sz w:val="21"/>
          <w:szCs w:val="21"/>
        </w:rPr>
      </w:pPr>
      <w:r>
        <w:rPr>
          <w:rFonts w:hint="eastAsia" w:hAnsi="宋体"/>
          <w:sz w:val="21"/>
          <w:szCs w:val="21"/>
        </w:rPr>
        <w:t>33.5.供应商在法定质疑期内一次性提出针对同一采购程序环节的质疑。</w:t>
      </w:r>
    </w:p>
    <w:p w14:paraId="582B31FC">
      <w:pPr>
        <w:spacing w:line="360" w:lineRule="auto"/>
        <w:ind w:firstLine="420" w:firstLineChars="200"/>
        <w:rPr>
          <w:rFonts w:hint="eastAsia" w:hAnsi="宋体"/>
          <w:sz w:val="21"/>
          <w:szCs w:val="21"/>
        </w:rPr>
      </w:pPr>
      <w:r>
        <w:rPr>
          <w:rFonts w:hint="eastAsia" w:hAnsi="宋体"/>
          <w:sz w:val="21"/>
          <w:szCs w:val="21"/>
        </w:rPr>
        <w:t>33.6.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或授权代表签名并加盖公章。采购代理机构受理书面质疑书原件之日起，在规定的期限内作出答复。供应商捏造事实、提供虚假材料或者以非法手段取得证明材料进行投诉的，列入不良行为记录名单，禁止其1至3年内参加采购活动。</w:t>
      </w:r>
    </w:p>
    <w:p w14:paraId="0C2968BE">
      <w:pPr>
        <w:spacing w:line="360" w:lineRule="auto"/>
        <w:ind w:firstLine="420" w:firstLineChars="200"/>
        <w:rPr>
          <w:bCs/>
          <w:sz w:val="21"/>
          <w:szCs w:val="21"/>
        </w:rPr>
      </w:pPr>
      <w:bookmarkStart w:id="158" w:name="_Toc29421"/>
      <w:r>
        <w:rPr>
          <w:rFonts w:hint="eastAsia"/>
          <w:sz w:val="21"/>
          <w:szCs w:val="21"/>
        </w:rPr>
        <w:t>33.7.采购代理机构在收到供应商的有效书面质疑后7个工作日内作出答复，但答复的内容不涉及商业秘密。</w:t>
      </w:r>
      <w:bookmarkEnd w:id="158"/>
    </w:p>
    <w:p w14:paraId="2BA3EC7C">
      <w:pPr>
        <w:pStyle w:val="5"/>
        <w:keepNext/>
        <w:keepLines/>
        <w:pageBreakBefore/>
        <w:numPr>
          <w:ilvl w:val="0"/>
          <w:numId w:val="10"/>
        </w:numPr>
        <w:tabs>
          <w:tab w:val="left" w:pos="1080"/>
        </w:tabs>
        <w:spacing w:line="360" w:lineRule="auto"/>
        <w:ind w:left="1262" w:hanging="1262" w:hangingChars="449"/>
        <w:jc w:val="center"/>
        <w:rPr>
          <w:rFonts w:hint="eastAsia" w:hAnsi="宋体"/>
          <w:b/>
          <w:bCs/>
          <w:kern w:val="44"/>
          <w:sz w:val="28"/>
          <w:szCs w:val="28"/>
          <w:lang w:val="zh-CN"/>
        </w:rPr>
      </w:pPr>
      <w:bookmarkStart w:id="159" w:name="_Toc22134"/>
      <w:r>
        <w:rPr>
          <w:rFonts w:hint="eastAsia" w:hAnsi="宋体"/>
          <w:b/>
          <w:bCs/>
          <w:kern w:val="44"/>
          <w:sz w:val="28"/>
          <w:szCs w:val="28"/>
          <w:lang w:val="zh-CN"/>
        </w:rPr>
        <w:t>用户需求书</w:t>
      </w:r>
      <w:bookmarkEnd w:id="155"/>
      <w:bookmarkEnd w:id="156"/>
      <w:bookmarkEnd w:id="159"/>
    </w:p>
    <w:p w14:paraId="4AB41202">
      <w:pPr>
        <w:pStyle w:val="7"/>
        <w:spacing w:line="360" w:lineRule="auto"/>
        <w:jc w:val="center"/>
        <w:rPr>
          <w:rFonts w:hint="eastAsia" w:hAnsi="宋体"/>
          <w:b/>
          <w:bCs/>
        </w:rPr>
      </w:pPr>
      <w:bookmarkStart w:id="160" w:name="_Toc1593"/>
      <w:bookmarkStart w:id="161" w:name="_Toc20858"/>
      <w:bookmarkStart w:id="162" w:name="_Toc308786492"/>
      <w:bookmarkStart w:id="163" w:name="_Toc13957"/>
      <w:bookmarkStart w:id="164" w:name="_Toc15266"/>
      <w:r>
        <w:rPr>
          <w:rFonts w:hint="eastAsia" w:hAnsi="宋体"/>
          <w:b/>
          <w:bCs/>
        </w:rPr>
        <w:t>第一章 商务需求书</w:t>
      </w:r>
    </w:p>
    <w:tbl>
      <w:tblPr>
        <w:tblStyle w:val="5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06"/>
        <w:gridCol w:w="1704"/>
        <w:gridCol w:w="7345"/>
      </w:tblGrid>
      <w:tr w14:paraId="17F838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409" w:type="pct"/>
            <w:vAlign w:val="center"/>
          </w:tcPr>
          <w:p w14:paraId="7923C312">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864" w:type="pct"/>
            <w:vAlign w:val="center"/>
          </w:tcPr>
          <w:p w14:paraId="6BFF7C67">
            <w:pPr>
              <w:spacing w:line="360" w:lineRule="auto"/>
              <w:jc w:val="center"/>
              <w:rPr>
                <w:rFonts w:hint="eastAsia" w:ascii="宋体" w:hAnsi="宋体" w:eastAsia="宋体" w:cs="宋体"/>
                <w:sz w:val="21"/>
                <w:szCs w:val="21"/>
              </w:rPr>
            </w:pPr>
            <w:r>
              <w:rPr>
                <w:rFonts w:hint="eastAsia" w:ascii="宋体" w:hAnsi="宋体" w:eastAsia="宋体" w:cs="宋体"/>
                <w:sz w:val="21"/>
                <w:szCs w:val="21"/>
              </w:rPr>
              <w:t>条款名称</w:t>
            </w:r>
          </w:p>
        </w:tc>
        <w:tc>
          <w:tcPr>
            <w:tcW w:w="3725" w:type="pct"/>
            <w:vAlign w:val="center"/>
          </w:tcPr>
          <w:p w14:paraId="435466CA">
            <w:pPr>
              <w:spacing w:line="360" w:lineRule="auto"/>
              <w:jc w:val="center"/>
              <w:rPr>
                <w:rFonts w:hint="eastAsia" w:ascii="宋体" w:hAnsi="宋体" w:eastAsia="宋体" w:cs="宋体"/>
                <w:sz w:val="21"/>
                <w:szCs w:val="21"/>
              </w:rPr>
            </w:pPr>
            <w:r>
              <w:rPr>
                <w:rFonts w:hint="eastAsia" w:ascii="宋体" w:hAnsi="宋体" w:eastAsia="宋体" w:cs="宋体"/>
                <w:sz w:val="21"/>
                <w:szCs w:val="21"/>
              </w:rPr>
              <w:t>说  明</w:t>
            </w:r>
          </w:p>
        </w:tc>
      </w:tr>
      <w:tr w14:paraId="0A015A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409" w:type="pct"/>
            <w:vAlign w:val="center"/>
          </w:tcPr>
          <w:p w14:paraId="289AE1FB">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864" w:type="pct"/>
            <w:vAlign w:val="center"/>
          </w:tcPr>
          <w:p w14:paraId="58DC2F3A">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合格供应商</w:t>
            </w:r>
          </w:p>
        </w:tc>
        <w:tc>
          <w:tcPr>
            <w:tcW w:w="3725" w:type="pct"/>
            <w:vAlign w:val="center"/>
          </w:tcPr>
          <w:p w14:paraId="120CA422">
            <w:pPr>
              <w:pStyle w:val="147"/>
              <w:spacing w:line="360" w:lineRule="auto"/>
              <w:ind w:left="0" w:leftChars="0" w:firstLine="0" w:firstLineChars="0"/>
              <w:rPr>
                <w:rFonts w:hint="eastAsia" w:ascii="宋体" w:hAnsi="宋体" w:eastAsia="宋体" w:cs="宋体"/>
                <w:bCs/>
                <w:kern w:val="44"/>
                <w:sz w:val="21"/>
                <w:szCs w:val="21"/>
              </w:rPr>
            </w:pPr>
            <w:r>
              <w:rPr>
                <w:rFonts w:hint="eastAsia" w:ascii="宋体" w:hAnsi="宋体" w:eastAsia="宋体" w:cs="宋体"/>
                <w:sz w:val="21"/>
                <w:szCs w:val="21"/>
              </w:rPr>
              <w:t>详见“第一部分 投标邀请”中“二、供应商资格要求”</w:t>
            </w:r>
          </w:p>
        </w:tc>
      </w:tr>
      <w:tr w14:paraId="4D89D2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409" w:type="pct"/>
            <w:vAlign w:val="center"/>
          </w:tcPr>
          <w:p w14:paraId="70FCE2BD">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864" w:type="pct"/>
            <w:vAlign w:val="center"/>
          </w:tcPr>
          <w:p w14:paraId="309359FB">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完工期</w:t>
            </w:r>
          </w:p>
        </w:tc>
        <w:tc>
          <w:tcPr>
            <w:tcW w:w="3725" w:type="pct"/>
            <w:vAlign w:val="center"/>
          </w:tcPr>
          <w:p w14:paraId="1FEFCCA0">
            <w:pPr>
              <w:spacing w:line="360" w:lineRule="auto"/>
              <w:rPr>
                <w:rFonts w:hint="eastAsia" w:ascii="宋体" w:hAnsi="宋体" w:eastAsia="宋体" w:cs="宋体"/>
                <w:sz w:val="21"/>
                <w:szCs w:val="21"/>
              </w:rPr>
            </w:pPr>
            <w:r>
              <w:rPr>
                <w:rFonts w:hint="eastAsia" w:ascii="宋体" w:hAnsi="宋体" w:eastAsia="宋体" w:cs="宋体"/>
                <w:sz w:val="21"/>
                <w:szCs w:val="21"/>
              </w:rPr>
              <w:t>签订合同后</w:t>
            </w:r>
            <w:r>
              <w:rPr>
                <w:rFonts w:hint="eastAsia" w:hAnsi="宋体" w:cs="宋体"/>
                <w:sz w:val="21"/>
                <w:szCs w:val="21"/>
                <w:lang w:val="en-US" w:eastAsia="zh-CN"/>
              </w:rPr>
              <w:t>60</w:t>
            </w:r>
            <w:r>
              <w:rPr>
                <w:rFonts w:hint="eastAsia" w:ascii="宋体" w:hAnsi="宋体" w:eastAsia="宋体" w:cs="宋体"/>
                <w:sz w:val="21"/>
                <w:szCs w:val="21"/>
              </w:rPr>
              <w:t>个日历日内完工并通过验收合格。</w:t>
            </w:r>
          </w:p>
        </w:tc>
      </w:tr>
      <w:tr w14:paraId="1F8C06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09" w:type="pct"/>
            <w:vAlign w:val="center"/>
          </w:tcPr>
          <w:p w14:paraId="3B697AB6">
            <w:pPr>
              <w:spacing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864" w:type="pct"/>
            <w:vAlign w:val="center"/>
          </w:tcPr>
          <w:p w14:paraId="58956957">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质量</w:t>
            </w:r>
            <w:r>
              <w:rPr>
                <w:rFonts w:hint="eastAsia" w:ascii="宋体" w:hAnsi="宋体" w:eastAsia="宋体" w:cs="宋体"/>
                <w:sz w:val="21"/>
                <w:szCs w:val="21"/>
              </w:rPr>
              <w:t>缺陷责任期</w:t>
            </w:r>
          </w:p>
        </w:tc>
        <w:tc>
          <w:tcPr>
            <w:tcW w:w="3725" w:type="pct"/>
            <w:vAlign w:val="center"/>
          </w:tcPr>
          <w:p w14:paraId="4A14EB19">
            <w:pPr>
              <w:spacing w:line="360" w:lineRule="auto"/>
              <w:rPr>
                <w:rFonts w:hint="eastAsia" w:ascii="宋体" w:hAnsi="宋体" w:eastAsia="宋体" w:cs="宋体"/>
                <w:sz w:val="21"/>
                <w:szCs w:val="21"/>
              </w:rPr>
            </w:pPr>
            <w:r>
              <w:rPr>
                <w:rFonts w:hint="eastAsia" w:ascii="宋体" w:hAnsi="宋体" w:eastAsia="宋体" w:cs="宋体"/>
                <w:sz w:val="21"/>
                <w:szCs w:val="21"/>
              </w:rPr>
              <w:t>自验收合格之日起</w:t>
            </w:r>
            <w:r>
              <w:rPr>
                <w:rFonts w:hint="eastAsia" w:hAnsi="宋体" w:cs="宋体"/>
                <w:sz w:val="21"/>
                <w:szCs w:val="21"/>
                <w:lang w:val="en-US" w:eastAsia="zh-CN"/>
              </w:rPr>
              <w:t>一</w:t>
            </w:r>
            <w:r>
              <w:rPr>
                <w:rFonts w:hint="eastAsia" w:ascii="宋体" w:hAnsi="宋体" w:eastAsia="宋体" w:cs="宋体"/>
                <w:sz w:val="21"/>
                <w:szCs w:val="21"/>
              </w:rPr>
              <w:t>年。</w:t>
            </w:r>
          </w:p>
        </w:tc>
      </w:tr>
      <w:tr w14:paraId="37DA59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409" w:type="pct"/>
            <w:vAlign w:val="center"/>
          </w:tcPr>
          <w:p w14:paraId="59D7F1B4">
            <w:pPr>
              <w:spacing w:line="360"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864" w:type="pct"/>
            <w:vAlign w:val="center"/>
          </w:tcPr>
          <w:p w14:paraId="4C607249">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付款方法和条件</w:t>
            </w:r>
          </w:p>
        </w:tc>
        <w:tc>
          <w:tcPr>
            <w:tcW w:w="3725" w:type="pct"/>
            <w:vAlign w:val="center"/>
          </w:tcPr>
          <w:p w14:paraId="031AC99D">
            <w:pPr>
              <w:spacing w:line="360" w:lineRule="auto"/>
              <w:rPr>
                <w:rFonts w:hint="eastAsia" w:ascii="宋体" w:hAnsi="宋体" w:eastAsia="宋体" w:cs="宋体"/>
                <w:sz w:val="21"/>
                <w:szCs w:val="21"/>
              </w:rPr>
            </w:pPr>
            <w:r>
              <w:rPr>
                <w:rFonts w:hint="eastAsia" w:ascii="宋体" w:hAnsi="宋体" w:eastAsia="宋体" w:cs="宋体"/>
                <w:sz w:val="21"/>
                <w:szCs w:val="21"/>
              </w:rPr>
              <w:t>本项目以银行转账方式支付款项：</w:t>
            </w:r>
          </w:p>
          <w:p w14:paraId="4C00A999">
            <w:pPr>
              <w:pStyle w:val="6"/>
              <w:spacing w:line="360" w:lineRule="auto"/>
              <w:rPr>
                <w:rFonts w:hint="eastAsia" w:ascii="宋体" w:hAnsi="宋体" w:eastAsia="宋体" w:cs="宋体"/>
                <w:b w:val="0"/>
                <w:sz w:val="21"/>
                <w:szCs w:val="21"/>
                <w:lang w:val="en-US" w:eastAsia="zh-CN" w:bidi="ar-SA"/>
              </w:rPr>
            </w:pPr>
            <w:r>
              <w:rPr>
                <w:rFonts w:hint="eastAsia" w:ascii="宋体" w:hAnsi="宋体" w:eastAsia="宋体" w:cs="宋体"/>
                <w:b w:val="0"/>
                <w:sz w:val="21"/>
                <w:szCs w:val="21"/>
                <w:lang w:val="en-US" w:eastAsia="zh-CN" w:bidi="ar-SA"/>
              </w:rPr>
              <w:t>1.合同签订生效后，成交人完成设计方案，包括平面图、效果图等及成本测算文件，向采购人汇报并验收通过后，支付合同总价的30%；</w:t>
            </w:r>
          </w:p>
          <w:p w14:paraId="695C9C9B">
            <w:pPr>
              <w:spacing w:line="360" w:lineRule="auto"/>
              <w:rPr>
                <w:rFonts w:hint="eastAsia" w:ascii="宋体" w:hAnsi="宋体" w:eastAsia="宋体" w:cs="宋体"/>
                <w:sz w:val="21"/>
                <w:szCs w:val="21"/>
                <w:lang w:eastAsia="zh-CN"/>
              </w:rPr>
            </w:pPr>
            <w:r>
              <w:rPr>
                <w:rFonts w:hint="eastAsia" w:hAnsi="宋体" w:cs="宋体"/>
                <w:sz w:val="21"/>
                <w:szCs w:val="21"/>
                <w:lang w:val="en-US" w:eastAsia="zh-CN"/>
              </w:rPr>
              <w:t>2</w:t>
            </w:r>
            <w:r>
              <w:rPr>
                <w:rFonts w:hint="eastAsia" w:ascii="宋体" w:hAnsi="宋体" w:eastAsia="宋体" w:cs="宋体"/>
                <w:sz w:val="21"/>
                <w:szCs w:val="21"/>
              </w:rPr>
              <w:t>.项目竣工验收后，在收到</w:t>
            </w:r>
            <w:r>
              <w:rPr>
                <w:rFonts w:hint="eastAsia" w:ascii="宋体" w:hAnsi="宋体" w:eastAsia="宋体" w:cs="宋体"/>
                <w:sz w:val="21"/>
                <w:szCs w:val="21"/>
                <w:lang w:eastAsia="zh-CN"/>
              </w:rPr>
              <w:t>成交人</w:t>
            </w:r>
            <w:r>
              <w:rPr>
                <w:rFonts w:hint="eastAsia" w:ascii="宋体" w:hAnsi="宋体" w:eastAsia="宋体" w:cs="宋体"/>
                <w:sz w:val="21"/>
                <w:szCs w:val="21"/>
              </w:rPr>
              <w:t>相应金额增值税专用发票后，支付合同总价的</w:t>
            </w:r>
            <w:r>
              <w:rPr>
                <w:rFonts w:hint="eastAsia" w:hAnsi="宋体" w:cs="宋体"/>
                <w:sz w:val="21"/>
                <w:szCs w:val="21"/>
                <w:lang w:val="en-US" w:eastAsia="zh-CN"/>
              </w:rPr>
              <w:t>67</w:t>
            </w:r>
            <w:r>
              <w:rPr>
                <w:rFonts w:hint="eastAsia" w:ascii="宋体" w:hAnsi="宋体" w:eastAsia="宋体" w:cs="宋体"/>
                <w:sz w:val="21"/>
                <w:szCs w:val="21"/>
              </w:rPr>
              <w:t>%</w:t>
            </w:r>
            <w:r>
              <w:rPr>
                <w:rFonts w:hint="eastAsia" w:hAnsi="宋体" w:cs="宋体"/>
                <w:sz w:val="21"/>
                <w:szCs w:val="21"/>
                <w:lang w:eastAsia="zh-CN"/>
              </w:rPr>
              <w:t>；</w:t>
            </w:r>
          </w:p>
          <w:p w14:paraId="68F2F55C">
            <w:pPr>
              <w:spacing w:line="360" w:lineRule="auto"/>
              <w:rPr>
                <w:rFonts w:hint="eastAsia" w:ascii="宋体" w:hAnsi="宋体" w:eastAsia="宋体" w:cs="宋体"/>
                <w:sz w:val="21"/>
                <w:szCs w:val="21"/>
              </w:rPr>
            </w:pPr>
            <w:r>
              <w:rPr>
                <w:rFonts w:hint="eastAsia" w:ascii="宋体" w:hAnsi="宋体" w:eastAsia="宋体" w:cs="宋体"/>
                <w:sz w:val="21"/>
                <w:szCs w:val="21"/>
              </w:rPr>
              <w:t>3.剩余结算价的</w:t>
            </w:r>
            <w:r>
              <w:rPr>
                <w:rFonts w:hint="eastAsia" w:hAnsi="宋体" w:cs="宋体"/>
                <w:sz w:val="21"/>
                <w:szCs w:val="21"/>
                <w:lang w:val="en-US" w:eastAsia="zh-CN"/>
              </w:rPr>
              <w:t>3</w:t>
            </w:r>
            <w:r>
              <w:rPr>
                <w:rFonts w:hint="eastAsia" w:ascii="宋体" w:hAnsi="宋体" w:eastAsia="宋体" w:cs="宋体"/>
                <w:sz w:val="21"/>
                <w:szCs w:val="21"/>
              </w:rPr>
              <w:t>%款项在全部项目质量缺陷责任期满后，一次性付清。</w:t>
            </w:r>
          </w:p>
        </w:tc>
      </w:tr>
      <w:tr w14:paraId="109EFD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409" w:type="pct"/>
            <w:vAlign w:val="center"/>
          </w:tcPr>
          <w:p w14:paraId="6C602555">
            <w:pPr>
              <w:spacing w:line="360" w:lineRule="auto"/>
              <w:jc w:val="center"/>
              <w:rPr>
                <w:rFonts w:hint="eastAsia" w:ascii="宋体" w:hAnsi="宋体" w:eastAsia="宋体" w:cs="宋体"/>
                <w:sz w:val="21"/>
                <w:szCs w:val="21"/>
              </w:rPr>
            </w:pPr>
            <w:r>
              <w:rPr>
                <w:rFonts w:hint="eastAsia" w:ascii="宋体" w:hAnsi="宋体" w:eastAsia="宋体" w:cs="宋体"/>
                <w:sz w:val="21"/>
                <w:szCs w:val="21"/>
              </w:rPr>
              <w:t>5</w:t>
            </w:r>
          </w:p>
        </w:tc>
        <w:tc>
          <w:tcPr>
            <w:tcW w:w="864" w:type="pct"/>
            <w:vAlign w:val="center"/>
          </w:tcPr>
          <w:p w14:paraId="3F851B6D">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履约保证金</w:t>
            </w:r>
          </w:p>
        </w:tc>
        <w:tc>
          <w:tcPr>
            <w:tcW w:w="3725" w:type="pct"/>
            <w:vAlign w:val="center"/>
          </w:tcPr>
          <w:p w14:paraId="6B71B77D">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本项目是否需要交纳履约保证金：是。</w:t>
            </w:r>
          </w:p>
          <w:p w14:paraId="1516718E">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hAnsi="宋体" w:cs="宋体"/>
                <w:bCs/>
                <w:sz w:val="21"/>
                <w:szCs w:val="21"/>
                <w:lang w:eastAsia="zh-CN"/>
              </w:rPr>
              <w:t>成交人</w:t>
            </w:r>
            <w:r>
              <w:rPr>
                <w:rFonts w:hint="eastAsia" w:ascii="宋体" w:hAnsi="宋体" w:eastAsia="宋体" w:cs="宋体"/>
                <w:bCs/>
                <w:sz w:val="21"/>
                <w:szCs w:val="21"/>
              </w:rPr>
              <w:t>在签订合同前须提交</w:t>
            </w:r>
            <w:r>
              <w:rPr>
                <w:rFonts w:hint="eastAsia" w:hAnsi="宋体" w:cs="宋体"/>
                <w:bCs/>
                <w:sz w:val="21"/>
                <w:szCs w:val="21"/>
                <w:lang w:eastAsia="zh-CN"/>
              </w:rPr>
              <w:t>采购人</w:t>
            </w:r>
            <w:r>
              <w:rPr>
                <w:rFonts w:hint="eastAsia" w:ascii="宋体" w:hAnsi="宋体" w:eastAsia="宋体" w:cs="宋体"/>
                <w:bCs/>
                <w:sz w:val="21"/>
                <w:szCs w:val="21"/>
              </w:rPr>
              <w:t>合同金额的10%作为项目履约保证金（以银行转账提交）。</w:t>
            </w:r>
          </w:p>
          <w:p w14:paraId="6DA54BED">
            <w:pPr>
              <w:tabs>
                <w:tab w:val="left" w:pos="709"/>
              </w:tabs>
              <w:spacing w:line="360" w:lineRule="auto"/>
              <w:jc w:val="left"/>
              <w:rPr>
                <w:rFonts w:hint="eastAsia"/>
              </w:rPr>
            </w:pPr>
            <w:r>
              <w:rPr>
                <w:rFonts w:hint="eastAsia" w:ascii="宋体" w:hAnsi="宋体" w:eastAsia="宋体" w:cs="宋体"/>
                <w:bCs/>
                <w:sz w:val="21"/>
                <w:szCs w:val="21"/>
              </w:rPr>
              <w:t>2、履约保证金</w:t>
            </w:r>
            <w:r>
              <w:rPr>
                <w:rFonts w:hint="eastAsia" w:hAnsi="宋体" w:cs="宋体"/>
                <w:bCs/>
                <w:sz w:val="21"/>
                <w:szCs w:val="21"/>
                <w:lang w:val="en-US" w:eastAsia="zh-CN"/>
              </w:rPr>
              <w:t>以银行转账的方式</w:t>
            </w:r>
            <w:r>
              <w:rPr>
                <w:rFonts w:hint="eastAsia" w:ascii="宋体" w:hAnsi="宋体" w:eastAsia="宋体" w:cs="宋体"/>
                <w:bCs/>
                <w:sz w:val="21"/>
                <w:szCs w:val="21"/>
              </w:rPr>
              <w:t>交至</w:t>
            </w:r>
            <w:r>
              <w:rPr>
                <w:rFonts w:hint="eastAsia" w:hAnsi="宋体" w:cs="宋体"/>
                <w:bCs/>
                <w:sz w:val="21"/>
                <w:szCs w:val="21"/>
                <w:lang w:eastAsia="zh-CN"/>
              </w:rPr>
              <w:t>采购人</w:t>
            </w:r>
            <w:r>
              <w:rPr>
                <w:rFonts w:hint="eastAsia" w:ascii="宋体" w:hAnsi="宋体" w:eastAsia="宋体" w:cs="宋体"/>
                <w:bCs/>
                <w:sz w:val="21"/>
                <w:szCs w:val="21"/>
              </w:rPr>
              <w:t>履约保证金汇入账户。履约保证金汇入账户情况：</w:t>
            </w:r>
          </w:p>
          <w:p w14:paraId="4A5D4CC3">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履约保证金账户名称：</w:t>
            </w:r>
            <w:r>
              <w:rPr>
                <w:rFonts w:hint="eastAsia" w:hAnsi="宋体" w:cs="宋体"/>
                <w:b/>
                <w:bCs/>
                <w:color w:val="000000" w:themeColor="text1"/>
                <w:kern w:val="2"/>
                <w:sz w:val="21"/>
                <w:szCs w:val="21"/>
                <w:highlight w:val="none"/>
                <w:lang w:val="zh-CN"/>
                <w14:textFill>
                  <w14:solidFill>
                    <w14:schemeClr w14:val="tx1"/>
                  </w14:solidFill>
                </w14:textFill>
              </w:rPr>
              <w:t>东莞文旅有限公司</w:t>
            </w:r>
            <w:r>
              <w:rPr>
                <w:rFonts w:hint="eastAsia" w:ascii="宋体" w:hAnsi="宋体" w:eastAsia="宋体" w:cs="宋体"/>
                <w:bCs/>
                <w:sz w:val="21"/>
                <w:szCs w:val="21"/>
              </w:rPr>
              <w:t>；</w:t>
            </w:r>
          </w:p>
          <w:p w14:paraId="09A9726A">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履约保证金账户账号：</w:t>
            </w:r>
            <w:r>
              <w:rPr>
                <w:rFonts w:hint="eastAsia" w:ascii="宋体" w:hAnsi="宋体" w:eastAsia="宋体" w:cs="宋体"/>
                <w:b/>
                <w:bCs/>
                <w:color w:val="000000" w:themeColor="text1"/>
                <w:kern w:val="2"/>
                <w:sz w:val="21"/>
                <w:szCs w:val="21"/>
                <w:highlight w:val="none"/>
                <w:lang w:val="zh-CN"/>
                <w14:textFill>
                  <w14:solidFill>
                    <w14:schemeClr w14:val="tx1"/>
                  </w14:solidFill>
                </w14:textFill>
              </w:rPr>
              <w:t>769907509810188</w:t>
            </w:r>
            <w:r>
              <w:rPr>
                <w:rFonts w:hint="eastAsia" w:ascii="宋体" w:hAnsi="宋体" w:eastAsia="宋体" w:cs="宋体"/>
                <w:bCs/>
                <w:sz w:val="21"/>
                <w:szCs w:val="21"/>
              </w:rPr>
              <w:t>；</w:t>
            </w:r>
          </w:p>
          <w:p w14:paraId="24CE9AB9">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履约保证金账户支行：</w:t>
            </w:r>
            <w:r>
              <w:rPr>
                <w:rFonts w:hint="eastAsia" w:ascii="宋体" w:hAnsi="宋体" w:eastAsia="宋体" w:cs="宋体"/>
                <w:b/>
                <w:bCs/>
                <w:color w:val="000000" w:themeColor="text1"/>
                <w:kern w:val="2"/>
                <w:sz w:val="21"/>
                <w:szCs w:val="21"/>
                <w:highlight w:val="none"/>
                <w:lang w:val="zh-CN"/>
                <w14:textFill>
                  <w14:solidFill>
                    <w14:schemeClr w14:val="tx1"/>
                  </w14:solidFill>
                </w14:textFill>
              </w:rPr>
              <w:t>招商银行股份有限公司东莞分行营业部</w:t>
            </w:r>
            <w:r>
              <w:rPr>
                <w:rFonts w:hint="eastAsia" w:ascii="宋体" w:hAnsi="宋体" w:eastAsia="宋体" w:cs="宋体"/>
                <w:bCs/>
                <w:sz w:val="21"/>
                <w:szCs w:val="21"/>
              </w:rPr>
              <w:t>；</w:t>
            </w:r>
          </w:p>
          <w:p w14:paraId="3A808A0E">
            <w:pPr>
              <w:tabs>
                <w:tab w:val="left" w:pos="709"/>
              </w:tabs>
              <w:spacing w:line="360" w:lineRule="auto"/>
              <w:jc w:val="left"/>
              <w:rPr>
                <w:rFonts w:hint="eastAsia" w:ascii="宋体" w:hAnsi="宋体" w:eastAsia="宋体" w:cs="宋体"/>
                <w:bCs/>
                <w:sz w:val="21"/>
                <w:szCs w:val="21"/>
              </w:rPr>
            </w:pPr>
            <w:r>
              <w:rPr>
                <w:rFonts w:hint="eastAsia" w:hAnsi="宋体" w:cs="宋体"/>
                <w:bCs/>
                <w:sz w:val="21"/>
                <w:szCs w:val="21"/>
                <w:lang w:eastAsia="zh-CN"/>
              </w:rPr>
              <w:t>成交人</w:t>
            </w:r>
            <w:r>
              <w:rPr>
                <w:rFonts w:hint="eastAsia" w:ascii="宋体" w:hAnsi="宋体" w:eastAsia="宋体" w:cs="宋体"/>
                <w:bCs/>
                <w:sz w:val="21"/>
                <w:szCs w:val="21"/>
              </w:rPr>
              <w:t>应在汇入履约保证金时在汇款单备注中注明：项目编号+履约保证金。</w:t>
            </w:r>
          </w:p>
          <w:p w14:paraId="3AD7C861">
            <w:pPr>
              <w:tabs>
                <w:tab w:val="left" w:pos="709"/>
              </w:tabs>
              <w:spacing w:line="360" w:lineRule="auto"/>
              <w:jc w:val="left"/>
              <w:rPr>
                <w:rFonts w:hint="eastAsia" w:ascii="宋体" w:hAnsi="宋体" w:eastAsia="宋体" w:cs="宋体"/>
                <w:sz w:val="21"/>
                <w:szCs w:val="21"/>
              </w:rPr>
            </w:pPr>
            <w:r>
              <w:rPr>
                <w:rFonts w:hint="eastAsia" w:ascii="宋体" w:hAnsi="宋体" w:eastAsia="宋体" w:cs="宋体"/>
                <w:bCs/>
                <w:sz w:val="21"/>
                <w:szCs w:val="21"/>
              </w:rPr>
              <w:t>3、履约保证金采用银行转账方式递交的，验收合格后</w:t>
            </w:r>
            <w:r>
              <w:rPr>
                <w:rFonts w:hint="eastAsia" w:hAnsi="宋体" w:cs="宋体"/>
                <w:bCs/>
                <w:sz w:val="21"/>
                <w:szCs w:val="21"/>
                <w:lang w:eastAsia="zh-CN"/>
              </w:rPr>
              <w:t>成交人</w:t>
            </w:r>
            <w:r>
              <w:rPr>
                <w:rFonts w:hint="eastAsia" w:ascii="宋体" w:hAnsi="宋体" w:eastAsia="宋体" w:cs="宋体"/>
                <w:bCs/>
                <w:sz w:val="21"/>
                <w:szCs w:val="21"/>
              </w:rPr>
              <w:t>无违约的情形发生，</w:t>
            </w:r>
            <w:r>
              <w:rPr>
                <w:rFonts w:hint="eastAsia" w:hAnsi="宋体" w:cs="宋体"/>
                <w:bCs/>
                <w:sz w:val="21"/>
                <w:szCs w:val="21"/>
                <w:lang w:eastAsia="zh-CN"/>
              </w:rPr>
              <w:t>成交人</w:t>
            </w:r>
            <w:r>
              <w:rPr>
                <w:rFonts w:hint="eastAsia" w:ascii="宋体" w:hAnsi="宋体" w:eastAsia="宋体" w:cs="宋体"/>
                <w:bCs/>
                <w:sz w:val="21"/>
                <w:szCs w:val="21"/>
              </w:rPr>
              <w:t>可向</w:t>
            </w:r>
            <w:r>
              <w:rPr>
                <w:rFonts w:hint="eastAsia" w:hAnsi="宋体" w:cs="宋体"/>
                <w:bCs/>
                <w:sz w:val="21"/>
                <w:szCs w:val="21"/>
                <w:lang w:eastAsia="zh-CN"/>
              </w:rPr>
              <w:t>采购人</w:t>
            </w:r>
            <w:r>
              <w:rPr>
                <w:rFonts w:hint="eastAsia" w:ascii="宋体" w:hAnsi="宋体" w:eastAsia="宋体" w:cs="宋体"/>
                <w:bCs/>
                <w:sz w:val="21"/>
                <w:szCs w:val="21"/>
              </w:rPr>
              <w:t>提交退回履约保证金的申请。</w:t>
            </w:r>
            <w:r>
              <w:rPr>
                <w:rFonts w:hint="eastAsia" w:hAnsi="宋体" w:cs="宋体"/>
                <w:bCs/>
                <w:sz w:val="21"/>
                <w:szCs w:val="21"/>
                <w:lang w:eastAsia="zh-CN"/>
              </w:rPr>
              <w:t>采购人</w:t>
            </w:r>
            <w:r>
              <w:rPr>
                <w:rFonts w:hint="eastAsia" w:ascii="宋体" w:hAnsi="宋体" w:eastAsia="宋体" w:cs="宋体"/>
                <w:bCs/>
                <w:sz w:val="21"/>
                <w:szCs w:val="21"/>
              </w:rPr>
              <w:t>收到</w:t>
            </w:r>
            <w:r>
              <w:rPr>
                <w:rFonts w:hint="eastAsia" w:hAnsi="宋体" w:cs="宋体"/>
                <w:bCs/>
                <w:sz w:val="21"/>
                <w:szCs w:val="21"/>
                <w:lang w:eastAsia="zh-CN"/>
              </w:rPr>
              <w:t>成交人</w:t>
            </w:r>
            <w:r>
              <w:rPr>
                <w:rFonts w:hint="eastAsia" w:ascii="宋体" w:hAnsi="宋体" w:eastAsia="宋体" w:cs="宋体"/>
                <w:bCs/>
                <w:sz w:val="21"/>
                <w:szCs w:val="21"/>
              </w:rPr>
              <w:t>的退回履约保证金申请材料并经审核无误后，将履约保证金无息退还。</w:t>
            </w:r>
          </w:p>
        </w:tc>
      </w:tr>
      <w:tr w14:paraId="726FBB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409" w:type="pct"/>
            <w:vAlign w:val="center"/>
          </w:tcPr>
          <w:p w14:paraId="7DFE28CD">
            <w:pPr>
              <w:spacing w:line="360" w:lineRule="auto"/>
              <w:jc w:val="center"/>
              <w:rPr>
                <w:rFonts w:hint="eastAsia" w:ascii="宋体" w:hAnsi="宋体" w:eastAsia="宋体" w:cs="宋体"/>
                <w:sz w:val="21"/>
                <w:szCs w:val="21"/>
              </w:rPr>
            </w:pPr>
            <w:r>
              <w:rPr>
                <w:rFonts w:hint="eastAsia" w:ascii="宋体" w:hAnsi="宋体" w:eastAsia="宋体" w:cs="宋体"/>
                <w:sz w:val="21"/>
                <w:szCs w:val="21"/>
              </w:rPr>
              <w:t>6</w:t>
            </w:r>
          </w:p>
        </w:tc>
        <w:tc>
          <w:tcPr>
            <w:tcW w:w="864" w:type="pct"/>
            <w:vAlign w:val="center"/>
          </w:tcPr>
          <w:p w14:paraId="1A70404E">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合同条款</w:t>
            </w:r>
          </w:p>
        </w:tc>
        <w:tc>
          <w:tcPr>
            <w:tcW w:w="3725" w:type="pct"/>
            <w:vAlign w:val="center"/>
          </w:tcPr>
          <w:p w14:paraId="5F5F9F50">
            <w:pPr>
              <w:tabs>
                <w:tab w:val="left" w:pos="709"/>
              </w:tabs>
              <w:spacing w:line="360" w:lineRule="auto"/>
              <w:jc w:val="left"/>
              <w:rPr>
                <w:rFonts w:hint="eastAsia" w:ascii="宋体" w:hAnsi="宋体" w:eastAsia="宋体" w:cs="宋体"/>
                <w:sz w:val="21"/>
                <w:szCs w:val="21"/>
              </w:rPr>
            </w:pPr>
            <w:r>
              <w:rPr>
                <w:rFonts w:hint="eastAsia" w:ascii="宋体" w:hAnsi="宋体" w:eastAsia="宋体" w:cs="宋体"/>
                <w:sz w:val="21"/>
                <w:szCs w:val="21"/>
              </w:rPr>
              <w:t>详见第</w:t>
            </w:r>
            <w:r>
              <w:rPr>
                <w:rFonts w:hint="eastAsia" w:ascii="宋体" w:hAnsi="宋体" w:eastAsia="宋体" w:cs="宋体"/>
                <w:sz w:val="21"/>
                <w:szCs w:val="21"/>
                <w:lang w:val="en-US" w:eastAsia="zh-CN"/>
              </w:rPr>
              <w:t>五篇</w:t>
            </w:r>
            <w:r>
              <w:rPr>
                <w:rFonts w:hint="eastAsia" w:ascii="宋体" w:hAnsi="宋体" w:eastAsia="宋体" w:cs="宋体"/>
                <w:sz w:val="21"/>
                <w:szCs w:val="21"/>
              </w:rPr>
              <w:t xml:space="preserve"> 合同条款。</w:t>
            </w:r>
          </w:p>
        </w:tc>
      </w:tr>
      <w:tr w14:paraId="509C43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409" w:type="pct"/>
            <w:vAlign w:val="center"/>
          </w:tcPr>
          <w:p w14:paraId="4EB5B59E">
            <w:pPr>
              <w:spacing w:line="360" w:lineRule="auto"/>
              <w:jc w:val="center"/>
              <w:rPr>
                <w:rFonts w:hint="eastAsia" w:ascii="宋体" w:hAnsi="宋体" w:eastAsia="宋体" w:cs="宋体"/>
                <w:sz w:val="21"/>
                <w:szCs w:val="21"/>
              </w:rPr>
            </w:pPr>
            <w:r>
              <w:rPr>
                <w:rFonts w:hint="eastAsia" w:ascii="宋体" w:hAnsi="宋体" w:eastAsia="宋体" w:cs="宋体"/>
                <w:sz w:val="21"/>
                <w:szCs w:val="21"/>
              </w:rPr>
              <w:t>7</w:t>
            </w:r>
          </w:p>
        </w:tc>
        <w:tc>
          <w:tcPr>
            <w:tcW w:w="864" w:type="pct"/>
            <w:vAlign w:val="center"/>
          </w:tcPr>
          <w:p w14:paraId="2C055BCC">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报价要求</w:t>
            </w:r>
          </w:p>
        </w:tc>
        <w:tc>
          <w:tcPr>
            <w:tcW w:w="3725" w:type="pct"/>
            <w:vAlign w:val="center"/>
          </w:tcPr>
          <w:p w14:paraId="1F843183">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★1.本项目设计费用预算：¥</w:t>
            </w:r>
            <w:r>
              <w:rPr>
                <w:rFonts w:hint="eastAsia" w:hAnsi="宋体" w:cs="宋体"/>
                <w:bCs/>
                <w:sz w:val="21"/>
                <w:szCs w:val="21"/>
                <w:lang w:val="en-US" w:eastAsia="zh-CN"/>
              </w:rPr>
              <w:t>42,506.00</w:t>
            </w:r>
            <w:r>
              <w:rPr>
                <w:rFonts w:hint="eastAsia" w:ascii="宋体" w:hAnsi="宋体" w:eastAsia="宋体" w:cs="宋体"/>
                <w:bCs/>
                <w:sz w:val="21"/>
                <w:szCs w:val="21"/>
              </w:rPr>
              <w:t>元（设计费报价系数</w:t>
            </w:r>
            <w:r>
              <w:rPr>
                <w:rFonts w:hint="eastAsia" w:ascii="宋体" w:hAnsi="宋体" w:eastAsia="宋体" w:cs="宋体"/>
                <w:b/>
                <w:bCs w:val="0"/>
                <w:sz w:val="21"/>
                <w:szCs w:val="21"/>
              </w:rPr>
              <w:t>固定为0.8</w:t>
            </w:r>
            <w:r>
              <w:rPr>
                <w:rFonts w:hint="eastAsia" w:ascii="宋体" w:hAnsi="宋体" w:eastAsia="宋体" w:cs="宋体"/>
                <w:bCs/>
                <w:sz w:val="21"/>
                <w:szCs w:val="21"/>
              </w:rPr>
              <w:t>），建安费预算：¥847,494</w:t>
            </w:r>
            <w:r>
              <w:rPr>
                <w:rFonts w:hint="eastAsia" w:hAnsi="宋体" w:cs="宋体"/>
                <w:bCs/>
                <w:sz w:val="21"/>
                <w:szCs w:val="21"/>
                <w:lang w:val="en-US" w:eastAsia="zh-CN"/>
              </w:rPr>
              <w:t>.00</w:t>
            </w:r>
            <w:r>
              <w:rPr>
                <w:rFonts w:hint="eastAsia" w:ascii="宋体" w:hAnsi="宋体" w:eastAsia="宋体" w:cs="宋体"/>
                <w:bCs/>
                <w:sz w:val="21"/>
                <w:szCs w:val="21"/>
              </w:rPr>
              <w:t>。</w:t>
            </w:r>
          </w:p>
          <w:p w14:paraId="3324B389">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2.本项目的报价包括项目完成验收合格所需的一切成本、费用、税金和利润，包含但不限于：设计费用、设备费用、安装费用、运输费用、保险费用、工程费用、绿色施工安全防护措施费、机械措施费、施工管理费验收费用等全部费用，且在合同执行过程中不作任何调整。</w:t>
            </w:r>
          </w:p>
          <w:p w14:paraId="0AF8F1AE">
            <w:pPr>
              <w:tabs>
                <w:tab w:val="left" w:pos="709"/>
              </w:tabs>
              <w:spacing w:line="360" w:lineRule="auto"/>
              <w:jc w:val="left"/>
              <w:rPr>
                <w:rFonts w:hint="eastAsia" w:ascii="宋体" w:hAnsi="宋体" w:eastAsia="宋体" w:cs="宋体"/>
                <w:sz w:val="21"/>
                <w:szCs w:val="21"/>
              </w:rPr>
            </w:pPr>
            <w:r>
              <w:rPr>
                <w:rFonts w:hint="eastAsia" w:ascii="宋体" w:hAnsi="宋体" w:eastAsia="宋体" w:cs="宋体"/>
                <w:bCs/>
                <w:sz w:val="21"/>
                <w:szCs w:val="21"/>
              </w:rPr>
              <w:t>3.投标人应对采购范围的全部工程进行报价。</w:t>
            </w:r>
          </w:p>
        </w:tc>
      </w:tr>
      <w:tr w14:paraId="62E18E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409" w:type="pct"/>
            <w:vAlign w:val="center"/>
          </w:tcPr>
          <w:p w14:paraId="15CC11B7">
            <w:pPr>
              <w:spacing w:line="360" w:lineRule="auto"/>
              <w:jc w:val="center"/>
              <w:rPr>
                <w:rFonts w:hint="eastAsia" w:ascii="宋体" w:hAnsi="宋体" w:eastAsia="宋体" w:cs="宋体"/>
                <w:sz w:val="21"/>
                <w:szCs w:val="21"/>
              </w:rPr>
            </w:pPr>
            <w:r>
              <w:rPr>
                <w:rFonts w:hint="eastAsia" w:ascii="宋体" w:hAnsi="宋体" w:eastAsia="宋体" w:cs="宋体"/>
                <w:sz w:val="21"/>
                <w:szCs w:val="21"/>
              </w:rPr>
              <w:t>8</w:t>
            </w:r>
          </w:p>
        </w:tc>
        <w:tc>
          <w:tcPr>
            <w:tcW w:w="864" w:type="pct"/>
            <w:vAlign w:val="center"/>
          </w:tcPr>
          <w:p w14:paraId="50D066CE">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验收要求</w:t>
            </w:r>
          </w:p>
        </w:tc>
        <w:tc>
          <w:tcPr>
            <w:tcW w:w="3725" w:type="pct"/>
            <w:vAlign w:val="center"/>
          </w:tcPr>
          <w:p w14:paraId="3ABB1EE6">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1、设计部分：</w:t>
            </w:r>
          </w:p>
          <w:p w14:paraId="2DD9924A">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验收标准：提供重点区域提升设计方案，包括平面图、效果图等及成本测算文件，达到服务需求书的要求并通过东莞文旅有限公司组织的评审；</w:t>
            </w:r>
          </w:p>
          <w:p w14:paraId="0A37E1B8">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相关设计成果归东莞文旅有限公司所有。</w:t>
            </w:r>
          </w:p>
          <w:p w14:paraId="60DBD406">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2、施工部分：</w:t>
            </w:r>
          </w:p>
          <w:p w14:paraId="29FD7AF6">
            <w:pPr>
              <w:tabs>
                <w:tab w:val="left" w:pos="709"/>
              </w:tabs>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验收标准：完成全部施工内容后，组织我方进行现场竣工验收，最终成果达到服务需求书的要求并通过东莞文旅有限公司组织的评审；</w:t>
            </w:r>
          </w:p>
        </w:tc>
      </w:tr>
      <w:tr w14:paraId="64F1A8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trPr>
        <w:tc>
          <w:tcPr>
            <w:tcW w:w="409" w:type="pct"/>
            <w:vAlign w:val="center"/>
          </w:tcPr>
          <w:p w14:paraId="02253A58">
            <w:pPr>
              <w:spacing w:line="360" w:lineRule="auto"/>
              <w:jc w:val="center"/>
              <w:rPr>
                <w:rFonts w:hint="eastAsia" w:ascii="宋体" w:hAnsi="宋体" w:eastAsia="宋体" w:cs="宋体"/>
                <w:sz w:val="21"/>
                <w:szCs w:val="21"/>
              </w:rPr>
            </w:pPr>
            <w:r>
              <w:rPr>
                <w:rFonts w:hint="eastAsia" w:ascii="宋体" w:hAnsi="宋体" w:eastAsia="宋体" w:cs="宋体"/>
                <w:sz w:val="21"/>
                <w:szCs w:val="21"/>
              </w:rPr>
              <w:t>9</w:t>
            </w:r>
          </w:p>
        </w:tc>
        <w:tc>
          <w:tcPr>
            <w:tcW w:w="864" w:type="pct"/>
            <w:vAlign w:val="center"/>
          </w:tcPr>
          <w:p w14:paraId="693BF405">
            <w:pPr>
              <w:spacing w:line="360" w:lineRule="auto"/>
              <w:jc w:val="center"/>
              <w:rPr>
                <w:rFonts w:hint="eastAsia" w:ascii="宋体" w:hAnsi="宋体" w:eastAsia="宋体" w:cs="宋体"/>
                <w:sz w:val="21"/>
                <w:szCs w:val="21"/>
              </w:rPr>
            </w:pPr>
            <w:r>
              <w:rPr>
                <w:rFonts w:hint="eastAsia" w:ascii="宋体" w:hAnsi="宋体" w:eastAsia="宋体" w:cs="宋体"/>
                <w:bCs/>
                <w:sz w:val="21"/>
                <w:szCs w:val="21"/>
              </w:rPr>
              <w:t>售后服务要求</w:t>
            </w:r>
          </w:p>
        </w:tc>
        <w:tc>
          <w:tcPr>
            <w:tcW w:w="3725" w:type="pct"/>
            <w:vAlign w:val="center"/>
          </w:tcPr>
          <w:p w14:paraId="54516EEA">
            <w:pPr>
              <w:tabs>
                <w:tab w:val="left" w:pos="709"/>
              </w:tabs>
              <w:spacing w:line="360" w:lineRule="auto"/>
              <w:jc w:val="left"/>
              <w:rPr>
                <w:rFonts w:hint="eastAsia" w:ascii="宋体" w:hAnsi="宋体" w:eastAsia="宋体" w:cs="宋体"/>
                <w:sz w:val="21"/>
                <w:szCs w:val="21"/>
              </w:rPr>
            </w:pPr>
            <w:r>
              <w:rPr>
                <w:rFonts w:hint="eastAsia" w:ascii="宋体" w:hAnsi="宋体" w:eastAsia="宋体" w:cs="宋体"/>
                <w:sz w:val="21"/>
                <w:szCs w:val="21"/>
              </w:rPr>
              <w:t>1.质量缺陷责任期内，属于保修范围和内容的项目，</w:t>
            </w:r>
            <w:r>
              <w:rPr>
                <w:rFonts w:hint="eastAsia" w:hAnsi="宋体" w:cs="宋体"/>
                <w:sz w:val="21"/>
                <w:szCs w:val="21"/>
                <w:lang w:eastAsia="zh-CN"/>
              </w:rPr>
              <w:t>成交人</w:t>
            </w:r>
            <w:r>
              <w:rPr>
                <w:rFonts w:hint="eastAsia" w:ascii="宋体" w:hAnsi="宋体" w:eastAsia="宋体" w:cs="宋体"/>
                <w:sz w:val="21"/>
                <w:szCs w:val="21"/>
              </w:rPr>
              <w:t>应在接到</w:t>
            </w:r>
            <w:r>
              <w:rPr>
                <w:rFonts w:hint="eastAsia" w:hAnsi="宋体" w:cs="宋体"/>
                <w:sz w:val="21"/>
                <w:szCs w:val="21"/>
                <w:lang w:eastAsia="zh-CN"/>
              </w:rPr>
              <w:t>采购人</w:t>
            </w:r>
            <w:r>
              <w:rPr>
                <w:rFonts w:hint="eastAsia" w:ascii="宋体" w:hAnsi="宋体" w:eastAsia="宋体" w:cs="宋体"/>
                <w:sz w:val="21"/>
                <w:szCs w:val="21"/>
              </w:rPr>
              <w:t>修理通知之日后2小时内到达</w:t>
            </w:r>
            <w:r>
              <w:rPr>
                <w:rFonts w:hint="eastAsia" w:hAnsi="宋体" w:cs="宋体"/>
                <w:sz w:val="21"/>
                <w:szCs w:val="21"/>
                <w:lang w:eastAsia="zh-CN"/>
              </w:rPr>
              <w:t>采购人</w:t>
            </w:r>
            <w:r>
              <w:rPr>
                <w:rFonts w:hint="eastAsia" w:ascii="宋体" w:hAnsi="宋体" w:eastAsia="宋体" w:cs="宋体"/>
                <w:sz w:val="21"/>
                <w:szCs w:val="21"/>
              </w:rPr>
              <w:t>指定地点处理问题，24小时内处理完成。</w:t>
            </w:r>
            <w:r>
              <w:rPr>
                <w:rFonts w:hint="eastAsia" w:hAnsi="宋体" w:cs="宋体"/>
                <w:sz w:val="21"/>
                <w:szCs w:val="21"/>
                <w:lang w:eastAsia="zh-CN"/>
              </w:rPr>
              <w:t>成交人</w:t>
            </w:r>
            <w:r>
              <w:rPr>
                <w:rFonts w:hint="eastAsia" w:ascii="宋体" w:hAnsi="宋体" w:eastAsia="宋体" w:cs="宋体"/>
                <w:sz w:val="21"/>
                <w:szCs w:val="21"/>
              </w:rPr>
              <w:t>未在约定期限内派人修理，</w:t>
            </w:r>
            <w:r>
              <w:rPr>
                <w:rFonts w:hint="eastAsia" w:hAnsi="宋体" w:cs="宋体"/>
                <w:sz w:val="21"/>
                <w:szCs w:val="21"/>
                <w:lang w:eastAsia="zh-CN"/>
              </w:rPr>
              <w:t>采购人</w:t>
            </w:r>
            <w:r>
              <w:rPr>
                <w:rFonts w:hint="eastAsia" w:ascii="宋体" w:hAnsi="宋体" w:eastAsia="宋体" w:cs="宋体"/>
                <w:sz w:val="21"/>
                <w:szCs w:val="21"/>
              </w:rPr>
              <w:t>可委托其它人员修理，保修费用由</w:t>
            </w:r>
            <w:r>
              <w:rPr>
                <w:rFonts w:hint="eastAsia" w:hAnsi="宋体" w:cs="宋体"/>
                <w:sz w:val="21"/>
                <w:szCs w:val="21"/>
                <w:lang w:eastAsia="zh-CN"/>
              </w:rPr>
              <w:t>成交人</w:t>
            </w:r>
            <w:r>
              <w:rPr>
                <w:rFonts w:hint="eastAsia" w:ascii="宋体" w:hAnsi="宋体" w:eastAsia="宋体" w:cs="宋体"/>
                <w:sz w:val="21"/>
                <w:szCs w:val="21"/>
              </w:rPr>
              <w:t>承担。</w:t>
            </w:r>
          </w:p>
          <w:p w14:paraId="3A416403">
            <w:pPr>
              <w:tabs>
                <w:tab w:val="left" w:pos="709"/>
              </w:tabs>
              <w:spacing w:line="360" w:lineRule="auto"/>
              <w:jc w:val="left"/>
              <w:rPr>
                <w:rFonts w:hint="eastAsia" w:ascii="宋体" w:hAnsi="宋体" w:eastAsia="宋体" w:cs="宋体"/>
                <w:sz w:val="21"/>
                <w:szCs w:val="21"/>
              </w:rPr>
            </w:pPr>
            <w:r>
              <w:rPr>
                <w:rFonts w:hint="eastAsia" w:ascii="宋体" w:hAnsi="宋体" w:eastAsia="宋体" w:cs="宋体"/>
                <w:sz w:val="21"/>
                <w:szCs w:val="21"/>
              </w:rPr>
              <w:t>2.保修完成后，由</w:t>
            </w:r>
            <w:r>
              <w:rPr>
                <w:rFonts w:hint="eastAsia" w:hAnsi="宋体" w:cs="宋体"/>
                <w:sz w:val="21"/>
                <w:szCs w:val="21"/>
                <w:lang w:eastAsia="zh-CN"/>
              </w:rPr>
              <w:t>采购人</w:t>
            </w:r>
            <w:r>
              <w:rPr>
                <w:rFonts w:hint="eastAsia" w:ascii="宋体" w:hAnsi="宋体" w:eastAsia="宋体" w:cs="宋体"/>
                <w:sz w:val="21"/>
                <w:szCs w:val="21"/>
              </w:rPr>
              <w:t>组织验收。</w:t>
            </w:r>
          </w:p>
        </w:tc>
      </w:tr>
      <w:tr w14:paraId="2FD454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6" w:hRule="atLeast"/>
        </w:trPr>
        <w:tc>
          <w:tcPr>
            <w:tcW w:w="409" w:type="pct"/>
            <w:vAlign w:val="center"/>
          </w:tcPr>
          <w:p w14:paraId="0EAB2628">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864" w:type="pct"/>
            <w:vAlign w:val="center"/>
          </w:tcPr>
          <w:p w14:paraId="0F16A82E">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施工地点</w:t>
            </w:r>
          </w:p>
        </w:tc>
        <w:tc>
          <w:tcPr>
            <w:tcW w:w="3725" w:type="pct"/>
            <w:vAlign w:val="center"/>
          </w:tcPr>
          <w:p w14:paraId="1EE90654">
            <w:pPr>
              <w:tabs>
                <w:tab w:val="left" w:pos="709"/>
              </w:tabs>
              <w:spacing w:line="360" w:lineRule="auto"/>
              <w:jc w:val="left"/>
              <w:rPr>
                <w:rFonts w:hint="eastAsia" w:ascii="宋体" w:hAnsi="宋体" w:eastAsia="宋体" w:cs="宋体"/>
                <w:sz w:val="21"/>
                <w:szCs w:val="21"/>
              </w:rPr>
            </w:pPr>
            <w:r>
              <w:rPr>
                <w:rFonts w:hint="eastAsia" w:ascii="宋体" w:hAnsi="宋体" w:eastAsia="宋体" w:cs="宋体"/>
                <w:bCs/>
                <w:sz w:val="21"/>
                <w:szCs w:val="21"/>
              </w:rPr>
              <w:t>东莞市旗云广场项目（广东省东莞市石龙镇西湖环湖中路28号）（</w:t>
            </w:r>
            <w:r>
              <w:rPr>
                <w:rFonts w:hint="eastAsia" w:ascii="宋体" w:hAnsi="宋体" w:eastAsia="宋体" w:cs="宋体"/>
                <w:sz w:val="21"/>
                <w:szCs w:val="21"/>
                <w:lang w:val="en-US" w:eastAsia="zh-CN"/>
              </w:rPr>
              <w:t>采购人</w:t>
            </w:r>
            <w:r>
              <w:rPr>
                <w:rFonts w:hint="eastAsia" w:ascii="宋体" w:hAnsi="宋体" w:eastAsia="宋体" w:cs="宋体"/>
                <w:sz w:val="21"/>
                <w:szCs w:val="21"/>
              </w:rPr>
              <w:t>指定地点</w:t>
            </w:r>
            <w:r>
              <w:rPr>
                <w:rFonts w:hint="eastAsia" w:ascii="宋体" w:hAnsi="宋体" w:eastAsia="宋体" w:cs="宋体"/>
                <w:bCs/>
                <w:sz w:val="21"/>
                <w:szCs w:val="21"/>
              </w:rPr>
              <w:t>）。</w:t>
            </w:r>
          </w:p>
        </w:tc>
      </w:tr>
    </w:tbl>
    <w:p w14:paraId="68719E17">
      <w:pPr>
        <w:rPr>
          <w:rFonts w:hint="eastAsia" w:hAnsi="宋体"/>
        </w:rPr>
      </w:pPr>
    </w:p>
    <w:p w14:paraId="01C98F32">
      <w:pPr>
        <w:rPr>
          <w:rFonts w:hint="eastAsia" w:hAnsi="宋体"/>
        </w:rPr>
      </w:pPr>
      <w:bookmarkStart w:id="165" w:name="_Toc19316"/>
      <w:bookmarkStart w:id="166" w:name="_Toc30066"/>
      <w:r>
        <w:rPr>
          <w:rFonts w:hint="eastAsia" w:hAnsi="宋体"/>
        </w:rPr>
        <w:br w:type="page"/>
      </w:r>
    </w:p>
    <w:p w14:paraId="2C871E92">
      <w:pPr>
        <w:pStyle w:val="7"/>
        <w:spacing w:line="360" w:lineRule="auto"/>
        <w:jc w:val="center"/>
        <w:rPr>
          <w:rFonts w:hint="eastAsia" w:hAnsi="宋体"/>
          <w:b/>
          <w:bCs/>
        </w:rPr>
      </w:pPr>
      <w:r>
        <w:rPr>
          <w:rFonts w:hint="eastAsia" w:hAnsi="宋体"/>
          <w:b/>
          <w:bCs/>
        </w:rPr>
        <w:t>第二章 技术需求书</w:t>
      </w:r>
      <w:bookmarkEnd w:id="165"/>
      <w:bookmarkEnd w:id="166"/>
    </w:p>
    <w:p w14:paraId="448CE251">
      <w:pPr>
        <w:pStyle w:val="62"/>
      </w:pPr>
    </w:p>
    <w:p w14:paraId="2F5FE9F8">
      <w:pPr>
        <w:autoSpaceDE/>
        <w:autoSpaceDN/>
        <w:adjustRightInd/>
        <w:spacing w:line="360" w:lineRule="auto"/>
        <w:jc w:val="both"/>
        <w:rPr>
          <w:rFonts w:hint="eastAsia" w:ascii="宋体" w:hAnsi="宋体" w:eastAsia="宋体" w:cs="宋体"/>
          <w:b/>
          <w:kern w:val="2"/>
          <w:sz w:val="21"/>
          <w:szCs w:val="21"/>
        </w:rPr>
      </w:pPr>
      <w:r>
        <w:rPr>
          <w:rFonts w:hint="eastAsia" w:ascii="宋体" w:hAnsi="宋体" w:eastAsia="宋体" w:cs="宋体"/>
          <w:b/>
          <w:kern w:val="2"/>
          <w:sz w:val="21"/>
          <w:szCs w:val="21"/>
        </w:rPr>
        <w:t>一、项目概况</w:t>
      </w:r>
    </w:p>
    <w:p w14:paraId="2175301F">
      <w:pPr>
        <w:pStyle w:val="28"/>
        <w:numPr>
          <w:ilvl w:val="0"/>
          <w:numId w:val="0"/>
        </w:numPr>
        <w:spacing w:line="360" w:lineRule="auto"/>
        <w:ind w:firstLine="210" w:firstLineChars="100"/>
        <w:contextualSpacing/>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东实旗云广场位于东莞火车站TOD核心区，现需对核心区域广场、北侧入口区域、北侧入口主界面、楼梯装饰、南北两侧沿街氛围这5处区域进行功能改造提升的设计与施工。</w:t>
      </w:r>
    </w:p>
    <w:p w14:paraId="3022E01A">
      <w:pPr>
        <w:autoSpaceDE/>
        <w:autoSpaceDN/>
        <w:adjustRightInd/>
        <w:spacing w:line="360" w:lineRule="auto"/>
        <w:jc w:val="both"/>
        <w:rPr>
          <w:rFonts w:hint="default" w:ascii="宋体" w:hAnsi="宋体" w:eastAsia="宋体" w:cs="宋体"/>
          <w:b/>
          <w:kern w:val="2"/>
          <w:sz w:val="21"/>
          <w:szCs w:val="21"/>
          <w:lang w:val="en-US" w:eastAsia="zh-CN"/>
        </w:rPr>
      </w:pPr>
      <w:r>
        <w:rPr>
          <w:rFonts w:hint="eastAsia" w:ascii="宋体" w:hAnsi="宋体" w:eastAsia="宋体" w:cs="宋体"/>
          <w:b/>
          <w:kern w:val="2"/>
          <w:sz w:val="21"/>
          <w:szCs w:val="21"/>
        </w:rPr>
        <w:t>二、项目要求</w:t>
      </w:r>
    </w:p>
    <w:p w14:paraId="5C109B89">
      <w:pPr>
        <w:autoSpaceDE/>
        <w:autoSpaceDN/>
        <w:adjustRightInd/>
        <w:spacing w:line="360" w:lineRule="auto"/>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1、提供整体空间提升主题策划概念方案；</w:t>
      </w:r>
    </w:p>
    <w:p w14:paraId="4F57D9F2">
      <w:pPr>
        <w:autoSpaceDE/>
        <w:autoSpaceDN/>
        <w:adjustRightInd/>
        <w:spacing w:line="360" w:lineRule="auto"/>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2、提供重点区域提升设计方案，包括平面图、效果图等及成本测算文件；</w:t>
      </w:r>
    </w:p>
    <w:p w14:paraId="7305EC3A">
      <w:pPr>
        <w:autoSpaceDE/>
        <w:autoSpaceDN/>
        <w:adjustRightInd/>
        <w:spacing w:line="360" w:lineRule="auto"/>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3、提供通过评审方案对应的深化图、清单等能用于施工招采的材料；</w:t>
      </w:r>
    </w:p>
    <w:p w14:paraId="7E427E0B">
      <w:pPr>
        <w:autoSpaceDE/>
        <w:autoSpaceDN/>
        <w:adjustRightInd/>
        <w:spacing w:line="360" w:lineRule="auto"/>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4、提供方案汇报、定样定版、二次深化图复核及现场巡查等工作；</w:t>
      </w:r>
    </w:p>
    <w:p w14:paraId="3DA7F4D2">
      <w:pPr>
        <w:autoSpaceDE/>
        <w:autoSpaceDN/>
        <w:adjustRightInd/>
        <w:spacing w:line="360" w:lineRule="auto"/>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5、编制施工计划方案，配备专业施工团队负责所有设计范围内的材料采购、安装、调试及现场施工工作；</w:t>
      </w:r>
    </w:p>
    <w:p w14:paraId="2F78D8D0">
      <w:pPr>
        <w:autoSpaceDE/>
        <w:autoSpaceDN/>
        <w:adjustRightInd/>
        <w:spacing w:line="360" w:lineRule="auto"/>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6、完成全部施工内容后，组织我方进行现场竣工验收，提交完整的竣工图及设备质保书、合格证等全套竣工资料。</w:t>
      </w:r>
    </w:p>
    <w:p w14:paraId="3AF7B7D6">
      <w:pPr>
        <w:autoSpaceDE/>
        <w:autoSpaceDN/>
        <w:adjustRightInd/>
        <w:spacing w:line="360" w:lineRule="auto"/>
        <w:jc w:val="both"/>
        <w:rPr>
          <w:rFonts w:hint="eastAsia" w:ascii="宋体" w:hAnsi="宋体" w:eastAsia="宋体" w:cs="宋体"/>
          <w:b/>
          <w:kern w:val="2"/>
          <w:sz w:val="21"/>
          <w:szCs w:val="21"/>
        </w:rPr>
      </w:pPr>
      <w:r>
        <w:rPr>
          <w:rFonts w:hint="eastAsia" w:hAnsi="宋体" w:cs="宋体"/>
          <w:b/>
          <w:kern w:val="2"/>
          <w:sz w:val="21"/>
          <w:szCs w:val="21"/>
          <w:lang w:val="en-US" w:eastAsia="zh-CN"/>
        </w:rPr>
        <w:t>三</w:t>
      </w:r>
      <w:r>
        <w:rPr>
          <w:rFonts w:hint="eastAsia" w:ascii="宋体" w:hAnsi="宋体" w:eastAsia="宋体" w:cs="宋体"/>
          <w:b/>
          <w:kern w:val="2"/>
          <w:sz w:val="21"/>
          <w:szCs w:val="21"/>
        </w:rPr>
        <w:t>、质量保证要求</w:t>
      </w:r>
    </w:p>
    <w:p w14:paraId="2772FCB2">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1、中标人购买的材料、设备必须符合设计、规范和招标文件要求。招标人可随时对中标人所购买的材料、设备进行监督、检查。</w:t>
      </w:r>
    </w:p>
    <w:p w14:paraId="7065C257">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2、中标人必须按招标文件和施工技术标准要求施工，不得擅自修改工程内容，不得偷工减料。</w:t>
      </w:r>
    </w:p>
    <w:p w14:paraId="083444D1">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3、中标人应建立并实施符合项目各项要求的质量管理体系，如因质量问题或中标人自身管理原因使得对应类型项目工作受到影响或造成责任事故的，所有责任一概由中标人承担。</w:t>
      </w:r>
    </w:p>
    <w:p w14:paraId="3EBC5AA1">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4、招标人代表有权在工作时间内进入中标人的工作地点，对其工作实行与合同有关的质保监查。</w:t>
      </w:r>
    </w:p>
    <w:p w14:paraId="0ECD3692">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5、按照施工要求及国家相关施工及验收规范进行项目验收，达到合格标准。</w:t>
      </w:r>
    </w:p>
    <w:p w14:paraId="0BEA589E">
      <w:pPr>
        <w:autoSpaceDE/>
        <w:autoSpaceDN/>
        <w:adjustRightInd/>
        <w:spacing w:line="360" w:lineRule="auto"/>
        <w:jc w:val="both"/>
        <w:rPr>
          <w:rFonts w:hint="eastAsia" w:ascii="宋体" w:hAnsi="宋体" w:eastAsia="宋体" w:cs="宋体"/>
          <w:b/>
          <w:kern w:val="2"/>
          <w:sz w:val="21"/>
          <w:szCs w:val="21"/>
        </w:rPr>
      </w:pPr>
      <w:r>
        <w:rPr>
          <w:rFonts w:hint="eastAsia" w:hAnsi="宋体" w:cs="宋体"/>
          <w:b/>
          <w:kern w:val="2"/>
          <w:sz w:val="21"/>
          <w:szCs w:val="21"/>
          <w:lang w:val="en-US" w:eastAsia="zh-CN"/>
        </w:rPr>
        <w:t>四</w:t>
      </w:r>
      <w:r>
        <w:rPr>
          <w:rFonts w:hint="eastAsia" w:ascii="宋体" w:hAnsi="宋体" w:eastAsia="宋体" w:cs="宋体"/>
          <w:b/>
          <w:kern w:val="2"/>
          <w:sz w:val="21"/>
          <w:szCs w:val="21"/>
        </w:rPr>
        <w:t>、进度保证要求</w:t>
      </w:r>
    </w:p>
    <w:p w14:paraId="33EDDA30">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1、</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应制定详细的进度计划安排（包括但不限于设计、施工进度安排）；</w:t>
      </w:r>
    </w:p>
    <w:p w14:paraId="6508FF27">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2、</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应对项目实施全过程进行监督检查，确保工序合理；</w:t>
      </w:r>
    </w:p>
    <w:p w14:paraId="7326FAE9">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3、</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应做好各阶段与招标人的密切沟通，保证工程进度能够按期完成。</w:t>
      </w:r>
    </w:p>
    <w:p w14:paraId="7F7566BD">
      <w:pPr>
        <w:autoSpaceDE/>
        <w:autoSpaceDN/>
        <w:adjustRightInd/>
        <w:spacing w:line="360" w:lineRule="auto"/>
        <w:jc w:val="both"/>
        <w:rPr>
          <w:rFonts w:hint="eastAsia" w:ascii="宋体" w:hAnsi="宋体" w:eastAsia="宋体" w:cs="宋体"/>
          <w:b/>
          <w:kern w:val="2"/>
          <w:sz w:val="21"/>
          <w:szCs w:val="21"/>
        </w:rPr>
      </w:pPr>
      <w:r>
        <w:rPr>
          <w:rFonts w:hint="eastAsia" w:hAnsi="宋体" w:cs="宋体"/>
          <w:b/>
          <w:kern w:val="2"/>
          <w:sz w:val="21"/>
          <w:szCs w:val="21"/>
          <w:lang w:val="en-US" w:eastAsia="zh-CN"/>
        </w:rPr>
        <w:t>五</w:t>
      </w:r>
      <w:r>
        <w:rPr>
          <w:rFonts w:hint="eastAsia" w:ascii="宋体" w:hAnsi="宋体" w:eastAsia="宋体" w:cs="宋体"/>
          <w:b/>
          <w:kern w:val="2"/>
          <w:sz w:val="21"/>
          <w:szCs w:val="21"/>
        </w:rPr>
        <w:t>、安全文明施工要求</w:t>
      </w:r>
    </w:p>
    <w:p w14:paraId="45CE50BC">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1、</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应遵守工程建设安全的有关管理规定，严格按安全标准组织施工，采取必要的安全防护措施，消除事故隐患，如果由于</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违规操作或安全措施不力造成的事故而发生的费用，由</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自行承担，并负相关法律责任。</w:t>
      </w:r>
    </w:p>
    <w:p w14:paraId="66ACFD54">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2、</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在施工过程中须提供符合相关工程标准的围蔽措施，招标人有权要求</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对不合格的围蔽措施进行整改，直至</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整改合格，否则按违约责任处理。如因</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原因对招标人工作人员、服务对象或第三者造成的损伤，由</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赔偿，并负相关法律责任。</w:t>
      </w:r>
    </w:p>
    <w:p w14:paraId="66F74E13">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3、</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应遵守国家及行业文明施工生产的有关规定，保持施工现场的整洁、有序。</w:t>
      </w:r>
    </w:p>
    <w:p w14:paraId="61933A72">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4、</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在施工中存在安全隐患的，招标人应书面或口头通知，不及时整改的，招标人有权处罚，情节严重的按国家相关规定执行。</w:t>
      </w:r>
    </w:p>
    <w:p w14:paraId="2A9135E6">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5、</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在施工中不遵守文明施工的有关规定，如材料乱堆、乱放，垃圾乱丢弃、施工场地混乱的，招标人在责令整改同时，有权进行经济处罚。</w:t>
      </w:r>
    </w:p>
    <w:p w14:paraId="078AA7C7">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6、施工安全：切实做好安全生产各项防范措施，加强安全施工管理，</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须遵守国家、广东省、东莞市安全文明施工有关规定。</w:t>
      </w:r>
    </w:p>
    <w:p w14:paraId="60DC91E5">
      <w:pPr>
        <w:autoSpaceDE/>
        <w:autoSpaceDN/>
        <w:adjustRightInd/>
        <w:spacing w:line="360" w:lineRule="auto"/>
        <w:jc w:val="both"/>
        <w:rPr>
          <w:rFonts w:hint="eastAsia" w:ascii="宋体" w:hAnsi="宋体" w:eastAsia="宋体" w:cs="宋体"/>
          <w:b/>
          <w:kern w:val="2"/>
          <w:sz w:val="21"/>
          <w:szCs w:val="21"/>
        </w:rPr>
      </w:pPr>
      <w:r>
        <w:rPr>
          <w:rFonts w:hint="eastAsia" w:hAnsi="宋体" w:cs="宋体"/>
          <w:b/>
          <w:kern w:val="2"/>
          <w:sz w:val="21"/>
          <w:szCs w:val="21"/>
          <w:lang w:val="en-US" w:eastAsia="zh-CN"/>
        </w:rPr>
        <w:t>六</w:t>
      </w:r>
      <w:r>
        <w:rPr>
          <w:rFonts w:hint="eastAsia" w:ascii="宋体" w:hAnsi="宋体" w:eastAsia="宋体" w:cs="宋体"/>
          <w:b/>
          <w:kern w:val="2"/>
          <w:sz w:val="21"/>
          <w:szCs w:val="21"/>
        </w:rPr>
        <w:t>、应急处理要求</w:t>
      </w:r>
    </w:p>
    <w:p w14:paraId="297A8B59">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1、</w:t>
      </w:r>
      <w:r>
        <w:rPr>
          <w:rFonts w:hint="eastAsia" w:hAnsi="宋体" w:cs="宋体"/>
          <w:bCs/>
          <w:color w:val="000000"/>
          <w:kern w:val="2"/>
          <w:sz w:val="21"/>
          <w:szCs w:val="21"/>
          <w:lang w:val="en-US" w:eastAsia="zh-CN" w:bidi="ar-SA"/>
        </w:rPr>
        <w:t>供应商</w:t>
      </w:r>
      <w:r>
        <w:rPr>
          <w:rFonts w:hint="eastAsia" w:ascii="宋体" w:hAnsi="宋体" w:eastAsia="宋体" w:cs="宋体"/>
          <w:bCs/>
          <w:color w:val="000000"/>
          <w:kern w:val="2"/>
          <w:sz w:val="21"/>
          <w:szCs w:val="21"/>
          <w:lang w:val="en-US" w:eastAsia="zh-CN" w:bidi="ar-SA"/>
        </w:rPr>
        <w:t>应针对各类意外情况（如：恶劣天气、火灾、夏日中暑、突发停电、坍塌事故等情况）制定相应的应急处理方案，保证项目顺利进行。</w:t>
      </w:r>
    </w:p>
    <w:p w14:paraId="3CE45E98">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2、供应商应建立救援机制，落实好传达机制、人员和设备调配。</w:t>
      </w:r>
    </w:p>
    <w:p w14:paraId="31200DE5">
      <w:pPr>
        <w:autoSpaceDE/>
        <w:autoSpaceDN/>
        <w:adjustRightInd/>
        <w:spacing w:line="360" w:lineRule="auto"/>
        <w:jc w:val="both"/>
        <w:rPr>
          <w:rFonts w:hint="default" w:hAnsi="宋体" w:cs="宋体"/>
          <w:b/>
          <w:kern w:val="2"/>
          <w:sz w:val="21"/>
          <w:szCs w:val="21"/>
          <w:lang w:val="en-US" w:eastAsia="zh-CN"/>
        </w:rPr>
      </w:pPr>
      <w:r>
        <w:rPr>
          <w:rFonts w:hint="eastAsia" w:ascii="宋体" w:hAnsi="宋体" w:eastAsia="宋体" w:cs="宋体"/>
          <w:bCs/>
          <w:sz w:val="21"/>
          <w:szCs w:val="21"/>
        </w:rPr>
        <w:t>★</w:t>
      </w:r>
      <w:r>
        <w:rPr>
          <w:rFonts w:hint="eastAsia" w:hAnsi="宋体" w:cs="宋体"/>
          <w:b/>
          <w:kern w:val="2"/>
          <w:sz w:val="21"/>
          <w:szCs w:val="21"/>
          <w:lang w:val="en-US" w:eastAsia="zh-CN"/>
        </w:rPr>
        <w:t>七、驻场要求【须提供承诺函，加盖供应商公章】</w:t>
      </w:r>
    </w:p>
    <w:p w14:paraId="38C0D588">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1</w:t>
      </w:r>
      <w:r>
        <w:rPr>
          <w:rFonts w:hint="eastAsia" w:hAnsi="宋体" w:cs="宋体"/>
          <w:bCs/>
          <w:color w:val="000000"/>
          <w:kern w:val="2"/>
          <w:sz w:val="21"/>
          <w:szCs w:val="21"/>
          <w:lang w:val="en-US" w:eastAsia="zh-CN" w:bidi="ar-SA"/>
        </w:rPr>
        <w:t>、</w:t>
      </w:r>
      <w:r>
        <w:rPr>
          <w:rFonts w:hint="eastAsia" w:ascii="宋体" w:hAnsi="宋体" w:eastAsia="宋体" w:cs="宋体"/>
          <w:bCs/>
          <w:color w:val="000000"/>
          <w:kern w:val="2"/>
          <w:sz w:val="21"/>
          <w:szCs w:val="21"/>
          <w:lang w:val="zh-CN" w:eastAsia="zh-CN" w:bidi="ar-SA"/>
        </w:rPr>
        <w:t>施工阶段，施工负责人须全程驻场，负责现场施工管理与协调工作，确保施工活动按照设计图纸、技术规范及合同要求顺利实施，及时处理施工过程中的问题，保障工程进度与质量。</w:t>
      </w:r>
    </w:p>
    <w:p w14:paraId="401E9CF3">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2</w:t>
      </w:r>
      <w:r>
        <w:rPr>
          <w:rFonts w:hint="eastAsia" w:hAnsi="宋体" w:cs="宋体"/>
          <w:bCs/>
          <w:color w:val="000000"/>
          <w:kern w:val="2"/>
          <w:sz w:val="21"/>
          <w:szCs w:val="21"/>
          <w:lang w:val="en-US" w:eastAsia="zh-CN" w:bidi="ar-SA"/>
        </w:rPr>
        <w:t>、</w:t>
      </w:r>
      <w:r>
        <w:rPr>
          <w:rFonts w:hint="eastAsia" w:ascii="宋体" w:hAnsi="宋体" w:eastAsia="宋体" w:cs="宋体"/>
          <w:bCs/>
          <w:color w:val="000000"/>
          <w:kern w:val="2"/>
          <w:sz w:val="21"/>
          <w:szCs w:val="21"/>
          <w:lang w:val="en-US" w:eastAsia="zh-CN" w:bidi="ar-SA"/>
        </w:rPr>
        <w:t>设计师应根据项目实际进展及需求，在涉及重大设计变更需即时技术论证与方案调整，或远程沟通无法满足设计问题解决需求时驻场，确保设计意图精准实现、方案优化及设计与施工的无缝衔接。</w:t>
      </w:r>
    </w:p>
    <w:p w14:paraId="6ED85554">
      <w:pPr>
        <w:rPr>
          <w:rFonts w:hint="default" w:ascii="宋体" w:hAnsi="宋体" w:eastAsia="宋体" w:cs="宋体"/>
          <w:b w:val="0"/>
          <w:bCs/>
          <w:color w:val="000000"/>
          <w:kern w:val="2"/>
          <w:sz w:val="21"/>
          <w:szCs w:val="21"/>
          <w:lang w:val="en-US" w:eastAsia="zh-CN" w:bidi="ar-SA"/>
        </w:rPr>
      </w:pPr>
      <w:r>
        <w:rPr>
          <w:rFonts w:hint="default" w:ascii="宋体" w:hAnsi="宋体" w:eastAsia="宋体" w:cs="宋体"/>
          <w:b w:val="0"/>
          <w:bCs/>
          <w:color w:val="000000"/>
          <w:kern w:val="2"/>
          <w:sz w:val="21"/>
          <w:szCs w:val="21"/>
          <w:lang w:val="en-US" w:eastAsia="zh-CN" w:bidi="ar-SA"/>
        </w:rPr>
        <w:br w:type="page"/>
      </w:r>
    </w:p>
    <w:bookmarkEnd w:id="160"/>
    <w:bookmarkEnd w:id="161"/>
    <w:bookmarkEnd w:id="162"/>
    <w:bookmarkEnd w:id="163"/>
    <w:bookmarkEnd w:id="164"/>
    <w:p w14:paraId="2634A725">
      <w:pPr>
        <w:pStyle w:val="5"/>
        <w:keepNext/>
        <w:keepLines/>
        <w:pageBreakBefore/>
        <w:numPr>
          <w:ilvl w:val="0"/>
          <w:numId w:val="11"/>
        </w:numPr>
        <w:spacing w:line="360" w:lineRule="auto"/>
        <w:jc w:val="center"/>
        <w:rPr>
          <w:rFonts w:hint="eastAsia" w:hAnsi="宋体"/>
          <w:b/>
          <w:bCs/>
          <w:kern w:val="44"/>
          <w:sz w:val="28"/>
          <w:szCs w:val="28"/>
          <w:lang w:val="zh-CN"/>
        </w:rPr>
      </w:pPr>
      <w:bookmarkStart w:id="167" w:name="_Toc28792"/>
      <w:bookmarkStart w:id="168" w:name="_Toc4437"/>
      <w:r>
        <w:rPr>
          <w:rFonts w:hint="eastAsia" w:hAnsi="宋体"/>
          <w:b/>
          <w:bCs/>
          <w:kern w:val="44"/>
          <w:sz w:val="28"/>
          <w:szCs w:val="28"/>
          <w:lang w:val="zh-CN"/>
        </w:rPr>
        <w:t>评审工作大纲</w:t>
      </w:r>
      <w:bookmarkEnd w:id="167"/>
    </w:p>
    <w:p w14:paraId="4CFCED5D">
      <w:pPr>
        <w:pStyle w:val="2"/>
        <w:spacing w:line="360" w:lineRule="auto"/>
        <w:ind w:firstLine="422" w:firstLineChars="200"/>
        <w:jc w:val="both"/>
        <w:rPr>
          <w:rFonts w:hint="eastAsia" w:hAnsi="宋体"/>
          <w:sz w:val="21"/>
          <w:szCs w:val="21"/>
        </w:rPr>
      </w:pPr>
      <w:r>
        <w:rPr>
          <w:rFonts w:hint="eastAsia" w:hAnsi="宋体"/>
          <w:sz w:val="21"/>
          <w:szCs w:val="21"/>
        </w:rPr>
        <w:t>一、磋商小组对响应文件进行初审，初审包括资格性审查和符合性审查。</w:t>
      </w:r>
    </w:p>
    <w:p w14:paraId="1E2AE819">
      <w:pPr>
        <w:jc w:val="center"/>
        <w:rPr>
          <w:rFonts w:hint="eastAsia" w:hAnsi="宋体"/>
          <w:b/>
          <w:bCs/>
          <w:sz w:val="21"/>
          <w:szCs w:val="21"/>
        </w:rPr>
      </w:pPr>
      <w:r>
        <w:rPr>
          <w:rFonts w:hint="eastAsia" w:hAnsi="宋体"/>
          <w:b/>
          <w:bCs/>
          <w:sz w:val="21"/>
          <w:szCs w:val="21"/>
        </w:rPr>
        <w:t>《资格性、符合性审查表》</w:t>
      </w:r>
    </w:p>
    <w:tbl>
      <w:tblPr>
        <w:tblStyle w:val="5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28B38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F16BC5A">
            <w:pPr>
              <w:jc w:val="center"/>
              <w:rPr>
                <w:rFonts w:hint="eastAsia" w:hAnsi="宋体"/>
                <w:b/>
                <w:sz w:val="21"/>
                <w:szCs w:val="21"/>
              </w:rPr>
            </w:pPr>
            <w:r>
              <w:rPr>
                <w:rFonts w:hint="eastAsia" w:hAnsi="宋体"/>
                <w:b/>
                <w:sz w:val="21"/>
                <w:szCs w:val="21"/>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644CE84">
            <w:pPr>
              <w:jc w:val="center"/>
              <w:rPr>
                <w:rFonts w:hint="eastAsia" w:hAnsi="宋体"/>
                <w:b/>
                <w:sz w:val="21"/>
                <w:szCs w:val="21"/>
              </w:rPr>
            </w:pPr>
            <w:r>
              <w:rPr>
                <w:rFonts w:hint="eastAsia" w:hAnsi="宋体"/>
                <w:b/>
                <w:sz w:val="21"/>
                <w:szCs w:val="21"/>
              </w:rPr>
              <w:t>评 审 内 容</w:t>
            </w:r>
          </w:p>
        </w:tc>
      </w:tr>
      <w:tr w14:paraId="52C89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0A68DD01">
            <w:pPr>
              <w:numPr>
                <w:ilvl w:val="0"/>
                <w:numId w:val="12"/>
              </w:numPr>
              <w:tabs>
                <w:tab w:val="left" w:pos="176"/>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73F32B14">
            <w:pPr>
              <w:tabs>
                <w:tab w:val="left" w:pos="612"/>
              </w:tabs>
              <w:rPr>
                <w:rFonts w:hint="eastAsia" w:hAnsi="宋体"/>
                <w:sz w:val="21"/>
                <w:szCs w:val="21"/>
              </w:rPr>
            </w:pPr>
            <w:r>
              <w:rPr>
                <w:rFonts w:hint="eastAsia" w:hAnsi="宋体"/>
                <w:sz w:val="21"/>
                <w:szCs w:val="21"/>
              </w:rPr>
              <w:t>（1）供应商须为在中华人民共和国境内登记注册的具有独立承担民事责任能力的法人或其他组织【提供《营业执照》复印件（加盖公章）或《事业单位法人证书》复印件（加盖公章）或其他主体证书复印件（加盖公章）】；</w:t>
            </w:r>
          </w:p>
        </w:tc>
      </w:tr>
      <w:tr w14:paraId="6454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41E22A7">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324581B">
            <w:pPr>
              <w:tabs>
                <w:tab w:val="left" w:pos="612"/>
              </w:tabs>
              <w:rPr>
                <w:rFonts w:hint="eastAsia" w:hAnsi="宋体"/>
                <w:sz w:val="21"/>
                <w:szCs w:val="21"/>
              </w:rPr>
            </w:pPr>
            <w:r>
              <w:rPr>
                <w:rFonts w:hint="eastAsia" w:hAnsi="宋体"/>
                <w:sz w:val="21"/>
                <w:szCs w:val="21"/>
              </w:rPr>
              <w:t>（2）参加采购活动前三年内，在经营活动中没有重大违法记录（须提供书面声明）；</w:t>
            </w:r>
          </w:p>
        </w:tc>
      </w:tr>
      <w:tr w14:paraId="06774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4219980">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80A8404">
            <w:pPr>
              <w:tabs>
                <w:tab w:val="left" w:pos="612"/>
              </w:tabs>
              <w:rPr>
                <w:rFonts w:hint="eastAsia" w:hAnsi="宋体"/>
                <w:sz w:val="21"/>
                <w:szCs w:val="21"/>
              </w:rPr>
            </w:pPr>
            <w:r>
              <w:rPr>
                <w:rFonts w:hint="eastAsia" w:hAnsi="宋体"/>
                <w:sz w:val="21"/>
                <w:szCs w:val="21"/>
              </w:rPr>
              <w:t>（3）供应商的单位负责人为同一人或者存在直接控股、管理关系的不同供应商，不得参加同一合同项下的采购活动；</w:t>
            </w:r>
          </w:p>
        </w:tc>
      </w:tr>
      <w:tr w14:paraId="6450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A448224">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14161C4">
            <w:pPr>
              <w:tabs>
                <w:tab w:val="left" w:pos="612"/>
              </w:tabs>
              <w:rPr>
                <w:rFonts w:hint="eastAsia" w:hAnsi="宋体"/>
                <w:sz w:val="21"/>
                <w:szCs w:val="21"/>
              </w:rPr>
            </w:pPr>
            <w:r>
              <w:rPr>
                <w:rFonts w:hint="eastAsia" w:hAnsi="宋体"/>
                <w:sz w:val="21"/>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)“记录失信被执行人或重大税收违法失信主体或政府采购严重违法失信行为”记录名单。以代理机构于投标截止日当天在“信用中国”网站查询结果为准，如相关失信记录已失效，供应商需提供相关证明资料；</w:t>
            </w:r>
          </w:p>
        </w:tc>
      </w:tr>
      <w:tr w14:paraId="392A9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7BD92C2B">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5806189">
            <w:pPr>
              <w:tabs>
                <w:tab w:val="left" w:pos="612"/>
              </w:tabs>
              <w:rPr>
                <w:rFonts w:hint="eastAsia" w:hAnsi="宋体"/>
                <w:sz w:val="21"/>
                <w:szCs w:val="21"/>
              </w:rPr>
            </w:pPr>
            <w:r>
              <w:rPr>
                <w:rFonts w:hint="eastAsia" w:hAnsi="宋体"/>
                <w:sz w:val="21"/>
                <w:szCs w:val="21"/>
              </w:rPr>
              <w:t>（5）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tc>
      </w:tr>
      <w:tr w14:paraId="4A803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33139858">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119A442">
            <w:pPr>
              <w:spacing w:line="360" w:lineRule="auto"/>
              <w:rPr>
                <w:rFonts w:hint="eastAsia" w:hAnsi="宋体"/>
                <w:sz w:val="21"/>
                <w:szCs w:val="21"/>
              </w:rPr>
            </w:pPr>
            <w:r>
              <w:rPr>
                <w:rFonts w:hint="eastAsia" w:hAnsi="宋体"/>
                <w:sz w:val="21"/>
                <w:szCs w:val="21"/>
                <w:lang w:eastAsia="zh-CN"/>
              </w:rPr>
              <w:t>（</w:t>
            </w:r>
            <w:r>
              <w:rPr>
                <w:rFonts w:hint="eastAsia" w:hAnsi="宋体"/>
                <w:sz w:val="21"/>
                <w:szCs w:val="21"/>
                <w:lang w:val="en-US" w:eastAsia="zh-CN"/>
              </w:rPr>
              <w:t>6</w:t>
            </w:r>
            <w:r>
              <w:rPr>
                <w:rFonts w:hint="eastAsia" w:hAnsi="宋体"/>
                <w:sz w:val="21"/>
                <w:szCs w:val="21"/>
                <w:lang w:eastAsia="zh-CN"/>
              </w:rPr>
              <w:t>）</w:t>
            </w:r>
            <w:r>
              <w:rPr>
                <w:rFonts w:hint="eastAsia" w:hAnsi="宋体"/>
                <w:sz w:val="21"/>
                <w:szCs w:val="21"/>
              </w:rPr>
              <w:t>其他要求</w:t>
            </w:r>
          </w:p>
          <w:p w14:paraId="0F6703F2">
            <w:pPr>
              <w:spacing w:line="360" w:lineRule="auto"/>
              <w:rPr>
                <w:rFonts w:hint="eastAsia" w:hAnsi="宋体"/>
                <w:b/>
                <w:bCs/>
                <w:sz w:val="21"/>
                <w:szCs w:val="21"/>
              </w:rPr>
            </w:pPr>
            <w:r>
              <w:rPr>
                <w:rFonts w:hint="eastAsia" w:hAnsi="宋体"/>
                <w:sz w:val="21"/>
                <w:szCs w:val="21"/>
              </w:rPr>
              <w:t>①投标人须具有有效期内的建筑工程施工总承包乙级或以上资质或有效期内的建筑装修装饰工程专业承包乙级或以上资质。</w:t>
            </w:r>
            <w:r>
              <w:rPr>
                <w:rFonts w:hint="eastAsia" w:hAnsi="宋体"/>
                <w:b/>
                <w:bCs/>
                <w:sz w:val="21"/>
                <w:szCs w:val="21"/>
              </w:rPr>
              <w:t>（须提供证书复印件加盖投标人公章）</w:t>
            </w:r>
          </w:p>
          <w:p w14:paraId="282FD0DE">
            <w:pPr>
              <w:spacing w:line="360" w:lineRule="auto"/>
              <w:rPr>
                <w:rFonts w:hint="eastAsia" w:eastAsia="宋体"/>
                <w:lang w:val="en-US" w:eastAsia="zh-CN"/>
              </w:rPr>
            </w:pPr>
            <w:r>
              <w:rPr>
                <w:rFonts w:hint="eastAsia" w:hAnsi="宋体"/>
                <w:sz w:val="21"/>
                <w:szCs w:val="21"/>
              </w:rPr>
              <w:t>②投标人须具有由国家建设主管部门或安全生产监督管理部门颁发的有效期内的安全生产许可证。</w:t>
            </w:r>
            <w:r>
              <w:rPr>
                <w:rFonts w:hint="eastAsia" w:hAnsi="宋体"/>
                <w:b/>
                <w:bCs/>
                <w:sz w:val="21"/>
                <w:szCs w:val="21"/>
              </w:rPr>
              <w:t>（须提供证书复印件加盖投标人公章）</w:t>
            </w:r>
          </w:p>
        </w:tc>
      </w:tr>
      <w:tr w14:paraId="1AAB5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02EDF44E">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940696F">
            <w:pPr>
              <w:spacing w:line="360" w:lineRule="auto"/>
              <w:rPr>
                <w:rFonts w:hint="default" w:ascii="宋体" w:hAnsi="宋体" w:eastAsia="宋体" w:cs="宋体"/>
                <w:sz w:val="21"/>
                <w:szCs w:val="21"/>
                <w:lang w:val="en-US" w:eastAsia="zh-CN"/>
              </w:rPr>
            </w:pPr>
            <w:r>
              <w:rPr>
                <w:rFonts w:hint="eastAsia" w:hAnsi="宋体" w:cs="宋体"/>
                <w:sz w:val="21"/>
                <w:szCs w:val="21"/>
                <w:lang w:val="en-US" w:eastAsia="zh-CN"/>
              </w:rPr>
              <w:t>（7）</w:t>
            </w:r>
            <w:r>
              <w:rPr>
                <w:rFonts w:hint="eastAsia" w:ascii="宋体" w:hAnsi="宋体" w:eastAsia="宋体" w:cs="宋体"/>
                <w:sz w:val="21"/>
                <w:szCs w:val="21"/>
                <w:lang w:val="en-US" w:eastAsia="zh-CN"/>
              </w:rPr>
              <w:t>业绩要求</w:t>
            </w:r>
          </w:p>
          <w:p w14:paraId="2E26CD56">
            <w:pPr>
              <w:spacing w:line="360" w:lineRule="auto"/>
              <w:rPr>
                <w:rFonts w:hint="eastAsia" w:hAnsi="宋体"/>
                <w:sz w:val="21"/>
                <w:szCs w:val="21"/>
                <w:lang w:bidi="ar"/>
              </w:rPr>
            </w:pPr>
            <w:r>
              <w:rPr>
                <w:rFonts w:hint="eastAsia" w:ascii="宋体" w:hAnsi="宋体" w:eastAsia="宋体" w:cs="宋体"/>
                <w:sz w:val="21"/>
                <w:szCs w:val="21"/>
                <w:lang w:val="en-US" w:eastAsia="zh-CN"/>
              </w:rPr>
              <w:t>供应商2022年1月1日至今有</w:t>
            </w:r>
            <w:r>
              <w:rPr>
                <w:rFonts w:hint="eastAsia" w:hAnsi="宋体" w:cs="宋体"/>
                <w:sz w:val="21"/>
                <w:szCs w:val="21"/>
                <w:lang w:val="en-US" w:eastAsia="zh-CN"/>
              </w:rPr>
              <w:t>2个</w:t>
            </w:r>
            <w:r>
              <w:rPr>
                <w:rFonts w:hint="eastAsia" w:ascii="宋体" w:hAnsi="宋体" w:eastAsia="宋体" w:cs="宋体"/>
                <w:sz w:val="21"/>
                <w:szCs w:val="21"/>
                <w:lang w:val="en-US" w:eastAsia="zh-CN"/>
              </w:rPr>
              <w:t>商业地产类项目（含商业街、购物中心、文化产业园、复合功能综合体等）设计施工服务</w:t>
            </w:r>
            <w:r>
              <w:rPr>
                <w:rFonts w:hint="eastAsia" w:hAnsi="宋体" w:cs="宋体"/>
                <w:sz w:val="21"/>
                <w:szCs w:val="21"/>
                <w:lang w:val="en-US" w:eastAsia="zh-CN"/>
              </w:rPr>
              <w:t>（设计面积须≥20000㎡）</w:t>
            </w:r>
            <w:r>
              <w:rPr>
                <w:rFonts w:hint="eastAsia" w:ascii="宋体" w:hAnsi="宋体" w:eastAsia="宋体" w:cs="宋体"/>
                <w:sz w:val="21"/>
                <w:szCs w:val="21"/>
                <w:lang w:val="en-US" w:eastAsia="zh-CN"/>
              </w:rPr>
              <w:t>的合同业绩，须提供业绩合同复印件</w:t>
            </w:r>
            <w:r>
              <w:rPr>
                <w:rFonts w:hint="eastAsia" w:ascii="宋体" w:hAnsi="宋体" w:eastAsia="宋体" w:cs="宋体"/>
                <w:b/>
                <w:bCs/>
                <w:sz w:val="21"/>
                <w:szCs w:val="21"/>
                <w:lang w:val="en-US" w:eastAsia="zh-CN"/>
              </w:rPr>
              <w:t>（合同复印件须至少包含：合同双方盖章页、合同签订时间和关键信息页，以合同签订时间为准</w:t>
            </w:r>
            <w:r>
              <w:rPr>
                <w:rFonts w:hint="eastAsia" w:hAnsi="宋体" w:cs="宋体"/>
                <w:b/>
                <w:bCs/>
                <w:sz w:val="21"/>
                <w:szCs w:val="21"/>
                <w:lang w:val="en-US" w:eastAsia="zh-CN"/>
              </w:rPr>
              <w:t>。如提供的合同无法体现设计面积的，可提供供应商另行出具的有效证明材料复印件并加盖供应商公章</w:t>
            </w:r>
            <w:r>
              <w:rPr>
                <w:rFonts w:hint="eastAsia" w:ascii="宋体" w:hAnsi="宋体" w:eastAsia="宋体" w:cs="宋体"/>
                <w:b/>
                <w:bCs/>
                <w:sz w:val="21"/>
                <w:szCs w:val="21"/>
                <w:lang w:val="en-US" w:eastAsia="zh-CN"/>
              </w:rPr>
              <w:t>）。</w:t>
            </w:r>
          </w:p>
        </w:tc>
      </w:tr>
      <w:tr w14:paraId="334A0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bottom w:val="single" w:color="auto" w:sz="4" w:space="0"/>
              <w:right w:val="single" w:color="auto" w:sz="4" w:space="0"/>
              <w:tl2br w:val="nil"/>
              <w:tr2bl w:val="nil"/>
            </w:tcBorders>
            <w:vAlign w:val="center"/>
          </w:tcPr>
          <w:p w14:paraId="7412080F">
            <w:pPr>
              <w:tabs>
                <w:tab w:val="left" w:pos="176"/>
                <w:tab w:val="left" w:pos="420"/>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91F6317">
            <w:pPr>
              <w:spacing w:line="360" w:lineRule="auto"/>
              <w:rPr>
                <w:rFonts w:hint="eastAsia" w:hAnsi="宋体"/>
                <w:sz w:val="21"/>
                <w:szCs w:val="21"/>
                <w:lang w:val="en-US" w:eastAsia="zh-CN"/>
              </w:rPr>
            </w:pPr>
            <w:r>
              <w:rPr>
                <w:rFonts w:hint="eastAsia" w:hAnsi="宋体"/>
                <w:sz w:val="21"/>
                <w:szCs w:val="21"/>
                <w:lang w:val="en-US" w:eastAsia="zh-CN"/>
              </w:rPr>
              <w:t>（8）联合体投标说明</w:t>
            </w:r>
          </w:p>
          <w:p w14:paraId="0BAFEB23">
            <w:pPr>
              <w:spacing w:line="360" w:lineRule="auto"/>
              <w:rPr>
                <w:rFonts w:hint="eastAsia" w:hAnsi="宋体"/>
                <w:sz w:val="21"/>
                <w:szCs w:val="21"/>
                <w:lang w:val="en-US" w:eastAsia="zh-CN"/>
              </w:rPr>
            </w:pPr>
            <w:r>
              <w:rPr>
                <w:rFonts w:hint="eastAsia" w:hAnsi="宋体"/>
                <w:sz w:val="21"/>
                <w:szCs w:val="21"/>
                <w:lang w:val="en-US" w:eastAsia="zh-CN"/>
              </w:rPr>
              <w:t>①本项目接受联合体投标，联合体成员不超过两家（含牵头单位在内）。</w:t>
            </w:r>
          </w:p>
          <w:p w14:paraId="1F054F5C">
            <w:pPr>
              <w:spacing w:line="360" w:lineRule="auto"/>
              <w:rPr>
                <w:rFonts w:hint="eastAsia" w:hAnsi="宋体"/>
                <w:sz w:val="21"/>
                <w:szCs w:val="21"/>
              </w:rPr>
            </w:pPr>
            <w:r>
              <w:rPr>
                <w:rFonts w:hint="eastAsia" w:hAnsi="宋体"/>
                <w:sz w:val="21"/>
                <w:szCs w:val="21"/>
                <w:lang w:val="en-US" w:eastAsia="zh-CN"/>
              </w:rPr>
              <w:t>②</w:t>
            </w:r>
            <w:r>
              <w:rPr>
                <w:rFonts w:hint="eastAsia" w:hAnsi="宋体"/>
                <w:sz w:val="21"/>
                <w:szCs w:val="21"/>
              </w:rPr>
              <w:t>联合体中有同类资质的投标人按照联合体分工承担相同工作的，按照资质等级较</w:t>
            </w:r>
            <w:r>
              <w:rPr>
                <w:rFonts w:hint="eastAsia" w:hAnsi="宋体"/>
                <w:sz w:val="21"/>
                <w:szCs w:val="21"/>
                <w:lang w:val="en-US" w:eastAsia="zh-CN"/>
              </w:rPr>
              <w:t>低</w:t>
            </w:r>
            <w:r>
              <w:rPr>
                <w:rFonts w:hint="eastAsia" w:hAnsi="宋体"/>
                <w:sz w:val="21"/>
                <w:szCs w:val="21"/>
              </w:rPr>
              <w:t>的投标人确定资质等级。</w:t>
            </w:r>
          </w:p>
          <w:p w14:paraId="22688946">
            <w:pPr>
              <w:spacing w:line="360" w:lineRule="auto"/>
              <w:rPr>
                <w:rFonts w:hint="eastAsia" w:hAnsi="宋体"/>
                <w:sz w:val="21"/>
                <w:szCs w:val="21"/>
              </w:rPr>
            </w:pPr>
            <w:r>
              <w:rPr>
                <w:rFonts w:hint="eastAsia" w:hAnsi="宋体"/>
                <w:sz w:val="21"/>
                <w:szCs w:val="21"/>
                <w:lang w:val="en-US" w:eastAsia="zh-CN"/>
              </w:rPr>
              <w:t>③</w:t>
            </w:r>
            <w:r>
              <w:rPr>
                <w:rFonts w:hint="eastAsia" w:hAnsi="宋体"/>
                <w:sz w:val="21"/>
                <w:szCs w:val="21"/>
              </w:rPr>
              <w:t>组成联合体各方须同时在“法定代表人授权书”中授权同一人作为本项目的投标人代表，该授权书作为投标文件的组成部分一并提交。</w:t>
            </w:r>
          </w:p>
          <w:p w14:paraId="38AF480B">
            <w:pPr>
              <w:spacing w:line="360" w:lineRule="auto"/>
              <w:rPr>
                <w:rFonts w:hint="eastAsia" w:hAnsi="宋体"/>
                <w:sz w:val="21"/>
                <w:szCs w:val="21"/>
              </w:rPr>
            </w:pPr>
            <w:r>
              <w:rPr>
                <w:rFonts w:hint="eastAsia" w:hAnsi="宋体"/>
                <w:sz w:val="21"/>
                <w:szCs w:val="21"/>
                <w:lang w:val="en-US" w:eastAsia="zh-CN"/>
              </w:rPr>
              <w:t>④</w:t>
            </w:r>
            <w:r>
              <w:rPr>
                <w:rFonts w:hint="eastAsia" w:hAnsi="宋体"/>
                <w:sz w:val="21"/>
                <w:szCs w:val="21"/>
              </w:rPr>
              <w:t>联合体各方应签订联合体共同投标协议书，明确约定各方拟承担的工作和责任，并将该联合体共同投标协议书随投标文件一并提交。</w:t>
            </w:r>
          </w:p>
          <w:p w14:paraId="6C9C3279">
            <w:pPr>
              <w:spacing w:line="360" w:lineRule="auto"/>
              <w:rPr>
                <w:rFonts w:hint="eastAsia" w:hAnsi="宋体"/>
                <w:sz w:val="21"/>
                <w:szCs w:val="21"/>
              </w:rPr>
            </w:pPr>
            <w:r>
              <w:rPr>
                <w:rFonts w:hint="eastAsia" w:hAnsi="宋体"/>
                <w:sz w:val="21"/>
                <w:szCs w:val="21"/>
                <w:lang w:val="en-US" w:eastAsia="zh-CN"/>
              </w:rPr>
              <w:t>⑤</w:t>
            </w:r>
            <w:r>
              <w:rPr>
                <w:rFonts w:hint="eastAsia" w:hAnsi="宋体"/>
                <w:sz w:val="21"/>
                <w:szCs w:val="21"/>
              </w:rPr>
              <w:t xml:space="preserve">投标人的投标文件及中标后签署的合同协议书对联合体各方均具法律约束力。 </w:t>
            </w:r>
          </w:p>
          <w:p w14:paraId="7B6D6AF6">
            <w:pPr>
              <w:spacing w:line="360" w:lineRule="auto"/>
              <w:rPr>
                <w:rFonts w:hint="eastAsia" w:hAnsi="宋体"/>
                <w:sz w:val="21"/>
                <w:szCs w:val="21"/>
              </w:rPr>
            </w:pPr>
            <w:r>
              <w:rPr>
                <w:rFonts w:hint="eastAsia" w:hAnsi="宋体"/>
                <w:sz w:val="21"/>
                <w:szCs w:val="21"/>
                <w:lang w:val="en-US" w:eastAsia="zh-CN"/>
              </w:rPr>
              <w:t>⑥</w:t>
            </w:r>
            <w:r>
              <w:rPr>
                <w:rFonts w:hint="eastAsia" w:hAnsi="宋体"/>
                <w:sz w:val="21"/>
                <w:szCs w:val="21"/>
              </w:rPr>
              <w:t>组成联合体投标的，联合体各方不得再以自己的名义单独投标，也不得同时参加两个或两个以上的联合体投标，出现上述情况者，其投标和与此有关的联合体的投标将被拒绝。</w:t>
            </w:r>
          </w:p>
          <w:p w14:paraId="7B5704CE">
            <w:pPr>
              <w:textAlignment w:val="center"/>
              <w:rPr>
                <w:rFonts w:hint="eastAsia" w:hAnsi="宋体"/>
                <w:sz w:val="21"/>
                <w:szCs w:val="21"/>
                <w:lang w:bidi="ar"/>
              </w:rPr>
            </w:pPr>
            <w:r>
              <w:rPr>
                <w:rFonts w:hint="eastAsia" w:hAnsi="宋体"/>
                <w:sz w:val="21"/>
                <w:szCs w:val="21"/>
                <w:lang w:val="en-US" w:eastAsia="zh-CN"/>
              </w:rPr>
              <w:t>⑦</w:t>
            </w:r>
            <w:r>
              <w:rPr>
                <w:rFonts w:hint="eastAsia" w:hAnsi="宋体"/>
                <w:sz w:val="21"/>
                <w:szCs w:val="21"/>
              </w:rPr>
              <w:t>联合体中标后，联合体各方应当共同与</w:t>
            </w:r>
            <w:r>
              <w:rPr>
                <w:rFonts w:hint="eastAsia" w:hAnsi="宋体"/>
                <w:sz w:val="21"/>
                <w:szCs w:val="21"/>
                <w:lang w:eastAsia="zh-CN"/>
              </w:rPr>
              <w:t>采购人</w:t>
            </w:r>
            <w:r>
              <w:rPr>
                <w:rFonts w:hint="eastAsia" w:hAnsi="宋体"/>
                <w:sz w:val="21"/>
                <w:szCs w:val="21"/>
              </w:rPr>
              <w:t>签订合同，为履行合同向</w:t>
            </w:r>
            <w:r>
              <w:rPr>
                <w:rFonts w:hint="eastAsia" w:hAnsi="宋体"/>
                <w:sz w:val="21"/>
                <w:szCs w:val="21"/>
                <w:lang w:eastAsia="zh-CN"/>
              </w:rPr>
              <w:t>采购人</w:t>
            </w:r>
            <w:r>
              <w:rPr>
                <w:rFonts w:hint="eastAsia" w:hAnsi="宋体"/>
                <w:sz w:val="21"/>
                <w:szCs w:val="21"/>
              </w:rPr>
              <w:t>承担连带责任。</w:t>
            </w:r>
          </w:p>
        </w:tc>
      </w:tr>
      <w:tr w14:paraId="18E74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9E66AE5">
            <w:pPr>
              <w:numPr>
                <w:ilvl w:val="0"/>
                <w:numId w:val="12"/>
              </w:numPr>
              <w:tabs>
                <w:tab w:val="left" w:pos="176"/>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0535B6E">
            <w:pPr>
              <w:textAlignment w:val="center"/>
              <w:rPr>
                <w:rFonts w:hint="eastAsia" w:hAnsi="宋体"/>
                <w:sz w:val="21"/>
                <w:szCs w:val="21"/>
                <w:lang w:bidi="ar"/>
              </w:rPr>
            </w:pPr>
            <w:r>
              <w:rPr>
                <w:rFonts w:hint="eastAsia" w:hAnsi="宋体"/>
                <w:sz w:val="21"/>
                <w:szCs w:val="21"/>
                <w:lang w:bidi="ar"/>
              </w:rPr>
              <w:t>供应商按照采购文件要求提交投标保证金；</w:t>
            </w:r>
          </w:p>
        </w:tc>
      </w:tr>
      <w:tr w14:paraId="69F59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B615433">
            <w:pPr>
              <w:numPr>
                <w:ilvl w:val="0"/>
                <w:numId w:val="12"/>
              </w:numPr>
              <w:tabs>
                <w:tab w:val="left" w:pos="176"/>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FE832E6">
            <w:pPr>
              <w:textAlignment w:val="center"/>
              <w:rPr>
                <w:rFonts w:hint="eastAsia" w:hAnsi="宋体"/>
                <w:sz w:val="21"/>
                <w:szCs w:val="21"/>
              </w:rPr>
            </w:pPr>
            <w:r>
              <w:rPr>
                <w:rFonts w:hint="eastAsia" w:hAnsi="宋体"/>
                <w:sz w:val="21"/>
                <w:szCs w:val="21"/>
                <w:lang w:bidi="ar"/>
              </w:rPr>
              <w:t>响应文件按照采购文件要求签署盖章；</w:t>
            </w:r>
          </w:p>
        </w:tc>
      </w:tr>
      <w:tr w14:paraId="36BE1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D8AF554">
            <w:pPr>
              <w:numPr>
                <w:ilvl w:val="0"/>
                <w:numId w:val="12"/>
              </w:numPr>
              <w:tabs>
                <w:tab w:val="left" w:pos="176"/>
                <w:tab w:val="left" w:pos="612"/>
              </w:tabs>
              <w:jc w:val="center"/>
              <w:rPr>
                <w:rFonts w:hint="eastAsia" w:hAnsi="宋体"/>
                <w:sz w:val="21"/>
                <w:szCs w:val="21"/>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6F24141">
            <w:pPr>
              <w:textAlignment w:val="center"/>
              <w:rPr>
                <w:rFonts w:hint="eastAsia" w:hAnsi="宋体"/>
                <w:sz w:val="21"/>
                <w:szCs w:val="21"/>
              </w:rPr>
            </w:pPr>
            <w:r>
              <w:rPr>
                <w:rFonts w:hint="eastAsia" w:hAnsi="宋体"/>
                <w:sz w:val="21"/>
                <w:szCs w:val="21"/>
                <w:lang w:bidi="ar"/>
              </w:rPr>
              <w:t>投标总价未超出采购预算或最高限价；</w:t>
            </w:r>
          </w:p>
        </w:tc>
      </w:tr>
      <w:tr w14:paraId="3962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52F2E85">
            <w:pPr>
              <w:tabs>
                <w:tab w:val="left" w:pos="176"/>
                <w:tab w:val="left" w:pos="612"/>
              </w:tabs>
              <w:ind w:firstLine="210" w:firstLineChars="100"/>
              <w:jc w:val="both"/>
              <w:rPr>
                <w:rFonts w:hint="eastAsia" w:hAnsi="宋体"/>
                <w:sz w:val="21"/>
                <w:szCs w:val="21"/>
              </w:rPr>
            </w:pPr>
            <w:r>
              <w:rPr>
                <w:rFonts w:hint="eastAsia" w:hAnsi="宋体"/>
                <w:sz w:val="21"/>
                <w:szCs w:val="21"/>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E186833">
            <w:pPr>
              <w:textAlignment w:val="center"/>
              <w:rPr>
                <w:rFonts w:hint="eastAsia" w:hAnsi="宋体"/>
                <w:sz w:val="21"/>
                <w:szCs w:val="21"/>
                <w:lang w:bidi="ar"/>
              </w:rPr>
            </w:pPr>
            <w:r>
              <w:rPr>
                <w:rFonts w:hint="eastAsia" w:hAnsi="宋体"/>
                <w:sz w:val="21"/>
                <w:szCs w:val="21"/>
                <w:lang w:bidi="ar"/>
              </w:rPr>
              <w:t>响应文件未含有采购人不能接受的附加条件；</w:t>
            </w:r>
          </w:p>
        </w:tc>
      </w:tr>
      <w:tr w14:paraId="4E455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D73F065">
            <w:pPr>
              <w:tabs>
                <w:tab w:val="left" w:pos="176"/>
                <w:tab w:val="left" w:pos="612"/>
              </w:tabs>
              <w:ind w:firstLine="210" w:firstLineChars="100"/>
              <w:jc w:val="both"/>
              <w:rPr>
                <w:rFonts w:hint="eastAsia" w:hAnsi="宋体"/>
                <w:sz w:val="21"/>
                <w:szCs w:val="21"/>
              </w:rPr>
            </w:pPr>
            <w:r>
              <w:rPr>
                <w:rFonts w:hint="eastAsia" w:hAnsi="宋体"/>
                <w:sz w:val="21"/>
                <w:szCs w:val="21"/>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3DA06D8">
            <w:pPr>
              <w:textAlignment w:val="center"/>
              <w:rPr>
                <w:rFonts w:hint="eastAsia" w:hAnsi="宋体"/>
                <w:sz w:val="21"/>
                <w:szCs w:val="21"/>
              </w:rPr>
            </w:pPr>
            <w:r>
              <w:rPr>
                <w:rFonts w:hint="eastAsia" w:hAnsi="宋体"/>
                <w:sz w:val="21"/>
                <w:szCs w:val="21"/>
                <w:lang w:bidi="ar"/>
              </w:rPr>
              <w:t>无负偏离标注“★”符号的条款。</w:t>
            </w:r>
          </w:p>
        </w:tc>
      </w:tr>
      <w:tr w14:paraId="4C56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541FDCA7">
            <w:pPr>
              <w:tabs>
                <w:tab w:val="left" w:pos="176"/>
                <w:tab w:val="left" w:pos="612"/>
              </w:tabs>
              <w:ind w:firstLine="210" w:firstLineChars="100"/>
              <w:jc w:val="both"/>
              <w:rPr>
                <w:rFonts w:hint="eastAsia" w:hAnsi="宋体"/>
                <w:sz w:val="21"/>
                <w:szCs w:val="21"/>
              </w:rPr>
            </w:pPr>
            <w:r>
              <w:rPr>
                <w:rFonts w:hint="eastAsia" w:hAnsi="宋体"/>
                <w:sz w:val="21"/>
                <w:szCs w:val="21"/>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560C443">
            <w:pPr>
              <w:textAlignment w:val="center"/>
              <w:rPr>
                <w:rFonts w:hint="eastAsia" w:hAnsi="宋体"/>
                <w:sz w:val="21"/>
                <w:szCs w:val="21"/>
                <w:lang w:bidi="ar"/>
              </w:rPr>
            </w:pPr>
            <w:r>
              <w:rPr>
                <w:rFonts w:hint="eastAsia" w:hAnsi="宋体"/>
                <w:sz w:val="21"/>
                <w:szCs w:val="21"/>
              </w:rPr>
              <w:t>未出现</w:t>
            </w:r>
            <w:r>
              <w:rPr>
                <w:rFonts w:hint="eastAsia" w:hAnsi="宋体"/>
                <w:sz w:val="21"/>
                <w:szCs w:val="21"/>
                <w:lang w:bidi="ar"/>
              </w:rPr>
              <w:t>法律、法规和招标文件规定的其他无效情形。</w:t>
            </w:r>
          </w:p>
        </w:tc>
      </w:tr>
    </w:tbl>
    <w:p w14:paraId="228D98F9">
      <w:pPr>
        <w:pStyle w:val="2"/>
        <w:spacing w:line="360" w:lineRule="auto"/>
        <w:ind w:right="-28" w:firstLine="422" w:firstLineChars="200"/>
        <w:jc w:val="left"/>
        <w:rPr>
          <w:rFonts w:hint="eastAsia" w:hAnsi="宋体"/>
          <w:sz w:val="21"/>
          <w:szCs w:val="21"/>
        </w:rPr>
      </w:pPr>
      <w:r>
        <w:rPr>
          <w:rFonts w:hint="eastAsia" w:hAnsi="宋体"/>
          <w:sz w:val="21"/>
          <w:szCs w:val="21"/>
        </w:rPr>
        <w:t>以上资格性、符合性审查中带有不合格分项的响应文件，将作无效响应处理。经磋商小组确认的无效响应文件，采购人和采购代理机构将予以拒绝，并且不允许通过修正或撤消其不符合要求的差异，使之成为具有符合性的响应文件。经磋商小组资格性、符合性审查确认具有有效响应文件的供应商不足三家时将重新组织采购。</w:t>
      </w:r>
    </w:p>
    <w:p w14:paraId="2D3253D6">
      <w:pPr>
        <w:pStyle w:val="2"/>
        <w:spacing w:line="360" w:lineRule="auto"/>
        <w:ind w:right="-28" w:firstLine="422" w:firstLineChars="200"/>
        <w:jc w:val="left"/>
        <w:rPr>
          <w:rFonts w:hint="eastAsia" w:hAnsi="宋体"/>
          <w:sz w:val="21"/>
          <w:szCs w:val="21"/>
        </w:rPr>
      </w:pPr>
      <w:r>
        <w:rPr>
          <w:rFonts w:hint="eastAsia" w:hAnsi="宋体"/>
          <w:sz w:val="21"/>
          <w:szCs w:val="21"/>
        </w:rPr>
        <w:t>二、经过磋商阶段后，磋商小组按照磋商文件确定的评审标准和方法对提交最后报价的供应商的响应文件进行评审和比较，推荐候选成交供应商，编制评审报告。</w:t>
      </w:r>
    </w:p>
    <w:p w14:paraId="7EC7083D">
      <w:pPr>
        <w:pStyle w:val="28"/>
        <w:spacing w:line="360" w:lineRule="auto"/>
        <w:ind w:firstLine="422" w:firstLineChars="200"/>
        <w:outlineLvl w:val="0"/>
        <w:rPr>
          <w:rFonts w:hint="eastAsia" w:hAnsi="宋体"/>
          <w:b/>
          <w:bCs/>
          <w:szCs w:val="21"/>
        </w:rPr>
      </w:pPr>
      <w:r>
        <w:rPr>
          <w:rFonts w:hint="eastAsia" w:hAnsi="宋体"/>
          <w:b/>
          <w:bCs/>
          <w:szCs w:val="21"/>
        </w:rPr>
        <w:t>三、评审因素及评分权重</w:t>
      </w:r>
      <w:bookmarkEnd w:id="168"/>
    </w:p>
    <w:p w14:paraId="349401A6">
      <w:pPr>
        <w:tabs>
          <w:tab w:val="left" w:pos="660"/>
        </w:tabs>
        <w:autoSpaceDE/>
        <w:autoSpaceDN/>
        <w:adjustRightInd/>
        <w:spacing w:line="360" w:lineRule="auto"/>
        <w:ind w:firstLine="420" w:firstLineChars="200"/>
        <w:jc w:val="both"/>
        <w:rPr>
          <w:rFonts w:hint="eastAsia" w:hAnsi="宋体"/>
          <w:sz w:val="21"/>
          <w:szCs w:val="21"/>
        </w:rPr>
      </w:pPr>
      <w:r>
        <w:rPr>
          <w:rFonts w:hint="eastAsia" w:hAnsi="宋体"/>
          <w:sz w:val="21"/>
          <w:szCs w:val="21"/>
        </w:rPr>
        <w:t>1、评委考核打分的评分因素及分值:总分100分</w:t>
      </w:r>
    </w:p>
    <w:tbl>
      <w:tblPr>
        <w:tblStyle w:val="53"/>
        <w:tblW w:w="9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734"/>
        <w:gridCol w:w="28"/>
        <w:gridCol w:w="6186"/>
      </w:tblGrid>
      <w:tr w14:paraId="5FC43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9EF9749">
            <w:pPr>
              <w:pStyle w:val="78"/>
              <w:spacing w:line="360" w:lineRule="auto"/>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478B87E9">
            <w:pPr>
              <w:pStyle w:val="78"/>
              <w:spacing w:line="360" w:lineRule="auto"/>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评审项目</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4EE9DEEB">
            <w:pPr>
              <w:pStyle w:val="78"/>
              <w:spacing w:line="360" w:lineRule="auto"/>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分值</w:t>
            </w:r>
          </w:p>
        </w:tc>
        <w:tc>
          <w:tcPr>
            <w:tcW w:w="6186" w:type="dxa"/>
            <w:tcBorders>
              <w:top w:val="single" w:color="auto" w:sz="4" w:space="0"/>
              <w:left w:val="single" w:color="auto" w:sz="4" w:space="0"/>
              <w:bottom w:val="single" w:color="auto" w:sz="4" w:space="0"/>
              <w:right w:val="single" w:color="auto" w:sz="4" w:space="0"/>
            </w:tcBorders>
            <w:vAlign w:val="center"/>
          </w:tcPr>
          <w:p w14:paraId="7D19BF13">
            <w:pPr>
              <w:pStyle w:val="78"/>
              <w:spacing w:line="360" w:lineRule="auto"/>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评审细则</w:t>
            </w:r>
          </w:p>
        </w:tc>
      </w:tr>
      <w:tr w14:paraId="42A1C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0573B2DF">
            <w:pPr>
              <w:pStyle w:val="78"/>
              <w:spacing w:line="360" w:lineRule="auto"/>
              <w:ind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商务评审（10分）</w:t>
            </w:r>
          </w:p>
        </w:tc>
      </w:tr>
      <w:tr w14:paraId="59EF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3085B6B">
            <w:pPr>
              <w:pStyle w:val="78"/>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02A7FB61">
            <w:pPr>
              <w:pStyle w:val="78"/>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企业业绩</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0163741C">
            <w:pPr>
              <w:pStyle w:val="78"/>
              <w:spacing w:line="360" w:lineRule="auto"/>
              <w:ind w:firstLine="0" w:firstLineChars="0"/>
              <w:jc w:val="center"/>
              <w:rPr>
                <w:rFonts w:hint="eastAsia" w:ascii="宋体" w:hAnsi="宋体" w:eastAsia="宋体" w:cs="宋体"/>
                <w:sz w:val="21"/>
                <w:szCs w:val="21"/>
              </w:rPr>
            </w:pPr>
            <w:r>
              <w:rPr>
                <w:rFonts w:hint="eastAsia" w:ascii="宋体" w:eastAsia="宋体" w:cs="宋体"/>
                <w:sz w:val="21"/>
                <w:szCs w:val="21"/>
                <w:lang w:val="en-US" w:eastAsia="zh-CN"/>
              </w:rPr>
              <w:t>4</w:t>
            </w:r>
          </w:p>
        </w:tc>
        <w:tc>
          <w:tcPr>
            <w:tcW w:w="6186" w:type="dxa"/>
            <w:tcBorders>
              <w:top w:val="single" w:color="auto" w:sz="4" w:space="0"/>
              <w:left w:val="single" w:color="auto" w:sz="4" w:space="0"/>
              <w:bottom w:val="single" w:color="auto" w:sz="4" w:space="0"/>
              <w:right w:val="single" w:color="auto" w:sz="4" w:space="0"/>
            </w:tcBorders>
            <w:vAlign w:val="center"/>
          </w:tcPr>
          <w:p w14:paraId="101E11D8">
            <w:pPr>
              <w:pStyle w:val="78"/>
              <w:spacing w:line="360" w:lineRule="auto"/>
              <w:ind w:firstLine="0" w:firstLineChars="0"/>
              <w:rPr>
                <w:rFonts w:hint="eastAsia" w:ascii="宋体" w:hAnsi="宋体" w:eastAsia="宋体" w:cs="宋体"/>
                <w:bCs/>
                <w:kern w:val="2"/>
                <w:sz w:val="21"/>
                <w:szCs w:val="21"/>
                <w:lang w:val="zh-CN" w:eastAsia="zh-CN" w:bidi="ar-SA"/>
              </w:rPr>
            </w:pPr>
            <w:r>
              <w:rPr>
                <w:rFonts w:hint="eastAsia" w:ascii="宋体" w:hAnsi="宋体" w:eastAsia="宋体" w:cs="宋体"/>
                <w:bCs/>
                <w:kern w:val="2"/>
                <w:sz w:val="21"/>
                <w:szCs w:val="21"/>
                <w:lang w:val="zh-CN" w:eastAsia="zh-CN" w:bidi="ar-SA"/>
              </w:rPr>
              <w:t>根据供应商自2020年09月01日至响应截止日前签署的合同金额20万元或以上，为商业地产类项目（含商业街、购物中心、文化产业园、复合功能综合体等）提供设计施工服务的合同业绩进行评审，每提供一个得2分，本项最高得</w:t>
            </w:r>
            <w:r>
              <w:rPr>
                <w:rFonts w:hint="eastAsia" w:ascii="宋体" w:eastAsia="宋体" w:cs="宋体"/>
                <w:bCs/>
                <w:kern w:val="2"/>
                <w:sz w:val="21"/>
                <w:szCs w:val="21"/>
                <w:lang w:val="en-US" w:eastAsia="zh-CN" w:bidi="ar-SA"/>
              </w:rPr>
              <w:t>4</w:t>
            </w:r>
            <w:r>
              <w:rPr>
                <w:rFonts w:hint="eastAsia" w:ascii="宋体" w:hAnsi="宋体" w:eastAsia="宋体" w:cs="宋体"/>
                <w:bCs/>
                <w:kern w:val="2"/>
                <w:sz w:val="21"/>
                <w:szCs w:val="21"/>
                <w:lang w:val="zh-CN" w:eastAsia="zh-CN" w:bidi="ar-SA"/>
              </w:rPr>
              <w:t>分。</w:t>
            </w:r>
          </w:p>
          <w:p w14:paraId="5D66390D">
            <w:pPr>
              <w:pStyle w:val="78"/>
              <w:spacing w:line="360" w:lineRule="auto"/>
              <w:ind w:firstLine="0" w:firstLineChars="0"/>
              <w:rPr>
                <w:rFonts w:hint="eastAsia" w:ascii="宋体" w:hAnsi="宋体" w:eastAsia="宋体" w:cs="宋体"/>
                <w:b/>
                <w:sz w:val="21"/>
                <w:szCs w:val="21"/>
                <w:u w:val="single"/>
                <w:lang w:val="zh-CN"/>
              </w:rPr>
            </w:pPr>
            <w:r>
              <w:rPr>
                <w:rFonts w:hint="eastAsia" w:ascii="宋体" w:hAnsi="宋体" w:eastAsia="宋体" w:cs="宋体"/>
                <w:b/>
                <w:bCs w:val="0"/>
                <w:kern w:val="2"/>
                <w:sz w:val="21"/>
                <w:szCs w:val="21"/>
                <w:lang w:val="zh-CN" w:eastAsia="zh-CN" w:bidi="ar-SA"/>
              </w:rPr>
              <w:t>注：①业绩证明资料须提供合同（或协议书）关键页复印件，及与项目相关的发票或完税证明（张数不限）复印件并加盖供应商公章。②时间以合同（或协议书）签订时间为准。③如提供的合同（或协议书）无法体现合同金额的，可提供供应商另行出具的有效证明材料复印件并加盖供应商公章。资格条件中所提供的业绩不参与本项计分。</w:t>
            </w:r>
          </w:p>
        </w:tc>
      </w:tr>
      <w:tr w14:paraId="696E4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5968590E">
            <w:pPr>
              <w:pStyle w:val="78"/>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1609" w:type="dxa"/>
            <w:tcBorders>
              <w:top w:val="single" w:color="auto" w:sz="4" w:space="0"/>
              <w:left w:val="single" w:color="auto" w:sz="4" w:space="0"/>
              <w:right w:val="single" w:color="auto" w:sz="4" w:space="0"/>
            </w:tcBorders>
            <w:vAlign w:val="center"/>
          </w:tcPr>
          <w:p w14:paraId="132D5A10">
            <w:pPr>
              <w:pStyle w:val="78"/>
              <w:spacing w:line="360" w:lineRule="auto"/>
              <w:ind w:firstLine="0" w:firstLineChars="0"/>
              <w:jc w:val="center"/>
              <w:rPr>
                <w:rFonts w:hint="eastAsia" w:ascii="宋体" w:hAnsi="宋体" w:eastAsia="宋体" w:cs="宋体"/>
                <w:sz w:val="21"/>
                <w:szCs w:val="21"/>
                <w:u w:val="single"/>
              </w:rPr>
            </w:pPr>
            <w:r>
              <w:rPr>
                <w:rFonts w:hint="eastAsia" w:ascii="宋体" w:hAnsi="宋体" w:eastAsia="宋体" w:cs="宋体"/>
                <w:sz w:val="21"/>
                <w:szCs w:val="21"/>
              </w:rPr>
              <w:t>拟投入人员情况</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4DE4C179">
            <w:pPr>
              <w:spacing w:line="360" w:lineRule="auto"/>
              <w:jc w:val="center"/>
              <w:rPr>
                <w:rFonts w:hint="eastAsia" w:ascii="宋体" w:hAnsi="宋体" w:eastAsia="宋体" w:cs="宋体"/>
                <w:sz w:val="21"/>
                <w:szCs w:val="21"/>
                <w:u w:val="single"/>
              </w:rPr>
            </w:pPr>
            <w:r>
              <w:rPr>
                <w:rFonts w:hint="eastAsia" w:ascii="宋体" w:hAnsi="宋体" w:eastAsia="宋体" w:cs="宋体"/>
                <w:kern w:val="2"/>
                <w:sz w:val="21"/>
                <w:szCs w:val="21"/>
              </w:rPr>
              <w:t>3</w:t>
            </w:r>
          </w:p>
        </w:tc>
        <w:tc>
          <w:tcPr>
            <w:tcW w:w="6186" w:type="dxa"/>
            <w:tcBorders>
              <w:top w:val="single" w:color="auto" w:sz="4" w:space="0"/>
              <w:left w:val="single" w:color="auto" w:sz="4" w:space="0"/>
              <w:bottom w:val="single" w:color="auto" w:sz="4" w:space="0"/>
              <w:right w:val="single" w:color="auto" w:sz="4" w:space="0"/>
            </w:tcBorders>
            <w:vAlign w:val="center"/>
          </w:tcPr>
          <w:p w14:paraId="64AB023D">
            <w:pPr>
              <w:pStyle w:val="78"/>
              <w:spacing w:line="360" w:lineRule="auto"/>
              <w:ind w:firstLine="0" w:firstLineChars="0"/>
              <w:rPr>
                <w:rFonts w:hint="default" w:ascii="宋体" w:hAnsi="宋体" w:eastAsia="宋体" w:cs="宋体"/>
                <w:bCs/>
                <w:kern w:val="2"/>
                <w:sz w:val="21"/>
                <w:szCs w:val="21"/>
                <w:lang w:val="en-US" w:eastAsia="zh-CN" w:bidi="ar-SA"/>
              </w:rPr>
            </w:pPr>
            <w:r>
              <w:rPr>
                <w:rFonts w:hint="eastAsia" w:ascii="宋体" w:hAnsi="宋体" w:eastAsia="宋体" w:cs="宋体"/>
                <w:bCs/>
                <w:kern w:val="2"/>
                <w:sz w:val="21"/>
                <w:szCs w:val="21"/>
                <w:lang w:val="zh-CN" w:eastAsia="zh-CN" w:bidi="ar-SA"/>
              </w:rPr>
              <w:t>对投入本项目的服务技术人员的专业经验进行</w:t>
            </w:r>
            <w:r>
              <w:rPr>
                <w:rFonts w:hint="eastAsia" w:ascii="宋体" w:hAnsi="宋体" w:eastAsia="宋体" w:cs="宋体"/>
                <w:bCs/>
                <w:kern w:val="2"/>
                <w:sz w:val="21"/>
                <w:szCs w:val="21"/>
                <w:lang w:val="en-US" w:eastAsia="zh-CN" w:bidi="ar-SA"/>
              </w:rPr>
              <w:t>评分：</w:t>
            </w:r>
          </w:p>
          <w:p w14:paraId="1B69E6A3">
            <w:pPr>
              <w:pStyle w:val="78"/>
              <w:spacing w:line="360" w:lineRule="auto"/>
              <w:ind w:firstLine="0" w:firstLineChars="0"/>
              <w:rPr>
                <w:rFonts w:hint="eastAsia" w:ascii="宋体" w:hAnsi="宋体" w:eastAsia="宋体" w:cs="宋体"/>
                <w:bCs/>
                <w:kern w:val="2"/>
                <w:sz w:val="21"/>
                <w:szCs w:val="21"/>
                <w:lang w:val="zh-CN" w:eastAsia="zh-CN" w:bidi="ar-SA"/>
              </w:rPr>
            </w:pP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1</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具有3个（或以上）面积</w:t>
            </w:r>
            <w:r>
              <w:rPr>
                <w:rFonts w:hint="eastAsia" w:ascii="宋体" w:hAnsi="宋体" w:eastAsia="宋体" w:cs="宋体"/>
                <w:bCs/>
                <w:kern w:val="2"/>
                <w:sz w:val="21"/>
                <w:szCs w:val="21"/>
                <w:lang w:val="en-US" w:eastAsia="zh-CN" w:bidi="ar-SA"/>
              </w:rPr>
              <w:t>≥</w:t>
            </w:r>
            <w:r>
              <w:rPr>
                <w:rFonts w:hint="eastAsia" w:ascii="宋体" w:hAnsi="宋体" w:eastAsia="宋体" w:cs="宋体"/>
                <w:bCs/>
                <w:kern w:val="2"/>
                <w:sz w:val="21"/>
                <w:szCs w:val="21"/>
                <w:lang w:val="zh-CN" w:eastAsia="zh-CN" w:bidi="ar-SA"/>
              </w:rPr>
              <w:t>10万㎡商业地产类项目（含商业街、购物中心、文化产业园、复合功能综合体等）提供设计施工服务</w:t>
            </w:r>
            <w:r>
              <w:rPr>
                <w:rFonts w:hint="eastAsia" w:ascii="宋体" w:eastAsia="宋体" w:cs="宋体"/>
                <w:bCs/>
                <w:kern w:val="2"/>
                <w:sz w:val="21"/>
                <w:szCs w:val="21"/>
                <w:lang w:val="en-US" w:eastAsia="zh-CN" w:bidi="ar-SA"/>
              </w:rPr>
              <w:t>经验</w:t>
            </w:r>
            <w:r>
              <w:rPr>
                <w:rFonts w:hint="eastAsia" w:ascii="宋体" w:hAns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且</w:t>
            </w:r>
            <w:r>
              <w:rPr>
                <w:rFonts w:hint="eastAsia" w:ascii="宋体" w:hAnsi="宋体" w:eastAsia="宋体" w:cs="宋体"/>
                <w:bCs/>
                <w:kern w:val="2"/>
                <w:sz w:val="21"/>
                <w:szCs w:val="21"/>
                <w:lang w:val="zh-CN" w:eastAsia="zh-CN" w:bidi="ar-SA"/>
              </w:rPr>
              <w:t>主要设计负责人有10年</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或以上</w:t>
            </w:r>
            <w:r>
              <w:rPr>
                <w:rFonts w:hint="eastAsia" w:ascii="宋体" w:eastAsia="宋体" w:cs="宋体"/>
                <w:bCs/>
                <w:kern w:val="2"/>
                <w:sz w:val="21"/>
                <w:szCs w:val="21"/>
                <w:lang w:val="zh-CN" w:eastAsia="zh-CN" w:bidi="ar-SA"/>
              </w:rPr>
              <w:t>）</w:t>
            </w:r>
            <w:r>
              <w:rPr>
                <w:rFonts w:hint="eastAsia" w:ascii="宋体" w:hAnsi="宋体" w:eastAsia="宋体" w:cs="宋体"/>
                <w:bCs/>
                <w:kern w:val="2"/>
                <w:sz w:val="21"/>
                <w:szCs w:val="21"/>
                <w:lang w:val="zh-CN" w:eastAsia="zh-CN" w:bidi="ar-SA"/>
              </w:rPr>
              <w:t>工作经验，主要团队人员</w:t>
            </w:r>
            <w:r>
              <w:rPr>
                <w:rFonts w:hint="eastAsia" w:ascii="宋体" w:eastAsia="宋体" w:cs="宋体"/>
                <w:bCs/>
                <w:kern w:val="2"/>
                <w:sz w:val="21"/>
                <w:szCs w:val="21"/>
                <w:lang w:val="en-US" w:eastAsia="zh-CN" w:bidi="ar-SA"/>
              </w:rPr>
              <w:t>有</w:t>
            </w:r>
            <w:r>
              <w:rPr>
                <w:rFonts w:hint="eastAsia" w:ascii="宋体" w:hAnsi="宋体" w:eastAsia="宋体" w:cs="宋体"/>
                <w:bCs/>
                <w:kern w:val="2"/>
                <w:sz w:val="21"/>
                <w:szCs w:val="21"/>
                <w:lang w:val="zh-CN" w:eastAsia="zh-CN" w:bidi="ar-SA"/>
              </w:rPr>
              <w:t>5年</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或以上</w:t>
            </w:r>
            <w:r>
              <w:rPr>
                <w:rFonts w:hint="eastAsia" w:ascii="宋体" w:eastAsia="宋体" w:cs="宋体"/>
                <w:bCs/>
                <w:kern w:val="2"/>
                <w:sz w:val="21"/>
                <w:szCs w:val="21"/>
                <w:lang w:val="zh-CN" w:eastAsia="zh-CN" w:bidi="ar-SA"/>
              </w:rPr>
              <w:t>）</w:t>
            </w:r>
            <w:r>
              <w:rPr>
                <w:rFonts w:hint="eastAsia" w:ascii="宋体" w:hAnsi="宋体" w:eastAsia="宋体" w:cs="宋体"/>
                <w:bCs/>
                <w:kern w:val="2"/>
                <w:sz w:val="21"/>
                <w:szCs w:val="21"/>
                <w:lang w:val="zh-CN" w:eastAsia="zh-CN" w:bidi="ar-SA"/>
              </w:rPr>
              <w:t>工作经验，得</w:t>
            </w:r>
            <w:r>
              <w:rPr>
                <w:rFonts w:hint="eastAsia" w:ascii="宋体" w:eastAsia="宋体" w:cs="宋体"/>
                <w:bCs/>
                <w:kern w:val="2"/>
                <w:sz w:val="21"/>
                <w:szCs w:val="21"/>
                <w:lang w:val="en-US" w:eastAsia="zh-CN" w:bidi="ar-SA"/>
              </w:rPr>
              <w:t>3</w:t>
            </w:r>
            <w:r>
              <w:rPr>
                <w:rFonts w:hint="eastAsia" w:ascii="宋体" w:hAnsi="宋体" w:eastAsia="宋体" w:cs="宋体"/>
                <w:bCs/>
                <w:kern w:val="2"/>
                <w:sz w:val="21"/>
                <w:szCs w:val="21"/>
                <w:lang w:val="zh-CN" w:eastAsia="zh-CN" w:bidi="ar-SA"/>
              </w:rPr>
              <w:t>分；</w:t>
            </w:r>
          </w:p>
          <w:p w14:paraId="623768D7">
            <w:pPr>
              <w:pStyle w:val="78"/>
              <w:spacing w:line="360" w:lineRule="auto"/>
              <w:ind w:firstLine="0" w:firstLineChars="0"/>
              <w:rPr>
                <w:rFonts w:hint="eastAsia" w:ascii="宋体" w:hAnsi="宋体" w:eastAsia="宋体" w:cs="宋体"/>
                <w:bCs/>
                <w:kern w:val="2"/>
                <w:sz w:val="21"/>
                <w:szCs w:val="21"/>
                <w:lang w:val="zh-CN" w:eastAsia="zh-CN" w:bidi="ar-SA"/>
              </w:rPr>
            </w:pP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2</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具有2</w:t>
            </w:r>
            <w:r>
              <w:rPr>
                <w:rFonts w:hint="eastAsia" w:ascii="宋体" w:hAnsi="宋体" w:eastAsia="宋体" w:cs="宋体"/>
                <w:bCs/>
                <w:kern w:val="2"/>
                <w:sz w:val="21"/>
                <w:szCs w:val="21"/>
                <w:lang w:val="zh-CN" w:eastAsia="zh-CN" w:bidi="ar-SA"/>
              </w:rPr>
              <w:t>个</w:t>
            </w:r>
            <w:r>
              <w:rPr>
                <w:rFonts w:hint="eastAsia" w:ascii="宋体" w:eastAsia="宋体" w:cs="宋体"/>
                <w:bCs/>
                <w:kern w:val="2"/>
                <w:sz w:val="21"/>
                <w:szCs w:val="21"/>
                <w:lang w:val="en-US" w:eastAsia="zh-CN" w:bidi="ar-SA"/>
              </w:rPr>
              <w:t>面积</w:t>
            </w:r>
            <w:r>
              <w:rPr>
                <w:rFonts w:hint="eastAsia" w:ascii="宋体" w:hAnsi="宋体" w:eastAsia="宋体" w:cs="宋体"/>
                <w:bCs/>
                <w:kern w:val="2"/>
                <w:sz w:val="21"/>
                <w:szCs w:val="21"/>
                <w:lang w:val="en-US" w:eastAsia="zh-CN" w:bidi="ar-SA"/>
              </w:rPr>
              <w:t>≥</w:t>
            </w:r>
            <w:r>
              <w:rPr>
                <w:rFonts w:hint="eastAsia" w:ascii="宋体" w:hAnsi="宋体" w:eastAsia="宋体" w:cs="宋体"/>
                <w:bCs/>
                <w:kern w:val="2"/>
                <w:sz w:val="21"/>
                <w:szCs w:val="21"/>
                <w:lang w:val="zh-CN" w:eastAsia="zh-CN" w:bidi="ar-SA"/>
              </w:rPr>
              <w:t>10万㎡商业地产类项目（含商业街、购物中心、文化产业园、复合功能综合体等）提供设计施工服务</w:t>
            </w:r>
            <w:r>
              <w:rPr>
                <w:rFonts w:hint="eastAsia" w:ascii="宋体" w:eastAsia="宋体" w:cs="宋体"/>
                <w:bCs/>
                <w:kern w:val="2"/>
                <w:sz w:val="21"/>
                <w:szCs w:val="21"/>
                <w:lang w:val="en-US" w:eastAsia="zh-CN" w:bidi="ar-SA"/>
              </w:rPr>
              <w:t>经验</w:t>
            </w:r>
            <w:r>
              <w:rPr>
                <w:rFonts w:hint="eastAsia" w:ascii="宋体" w:hAns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且</w:t>
            </w:r>
            <w:r>
              <w:rPr>
                <w:rFonts w:hint="eastAsia" w:ascii="宋体" w:hAnsi="宋体" w:eastAsia="宋体" w:cs="宋体"/>
                <w:bCs/>
                <w:kern w:val="2"/>
                <w:sz w:val="21"/>
                <w:szCs w:val="21"/>
                <w:lang w:val="zh-CN" w:eastAsia="zh-CN" w:bidi="ar-SA"/>
              </w:rPr>
              <w:t>主要设计负责人有10年</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或以上</w:t>
            </w:r>
            <w:r>
              <w:rPr>
                <w:rFonts w:hint="eastAsia" w:ascii="宋体" w:eastAsia="宋体" w:cs="宋体"/>
                <w:bCs/>
                <w:kern w:val="2"/>
                <w:sz w:val="21"/>
                <w:szCs w:val="21"/>
                <w:lang w:val="zh-CN" w:eastAsia="zh-CN" w:bidi="ar-SA"/>
              </w:rPr>
              <w:t>）</w:t>
            </w:r>
            <w:r>
              <w:rPr>
                <w:rFonts w:hint="eastAsia" w:ascii="宋体" w:hAnsi="宋体" w:eastAsia="宋体" w:cs="宋体"/>
                <w:bCs/>
                <w:kern w:val="2"/>
                <w:sz w:val="21"/>
                <w:szCs w:val="21"/>
                <w:lang w:val="zh-CN" w:eastAsia="zh-CN" w:bidi="ar-SA"/>
              </w:rPr>
              <w:t>工作经验，主要团队人员</w:t>
            </w:r>
            <w:r>
              <w:rPr>
                <w:rFonts w:hint="eastAsia" w:ascii="宋体" w:eastAsia="宋体" w:cs="宋体"/>
                <w:bCs/>
                <w:kern w:val="2"/>
                <w:sz w:val="21"/>
                <w:szCs w:val="21"/>
                <w:lang w:val="en-US" w:eastAsia="zh-CN" w:bidi="ar-SA"/>
              </w:rPr>
              <w:t>有</w:t>
            </w:r>
            <w:r>
              <w:rPr>
                <w:rFonts w:hint="eastAsia" w:ascii="宋体" w:hAnsi="宋体" w:eastAsia="宋体" w:cs="宋体"/>
                <w:bCs/>
                <w:kern w:val="2"/>
                <w:sz w:val="21"/>
                <w:szCs w:val="21"/>
                <w:lang w:val="zh-CN" w:eastAsia="zh-CN" w:bidi="ar-SA"/>
              </w:rPr>
              <w:t>5年</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或以上</w:t>
            </w:r>
            <w:r>
              <w:rPr>
                <w:rFonts w:hint="eastAsia" w:ascii="宋体" w:eastAsia="宋体" w:cs="宋体"/>
                <w:bCs/>
                <w:kern w:val="2"/>
                <w:sz w:val="21"/>
                <w:szCs w:val="21"/>
                <w:lang w:val="zh-CN" w:eastAsia="zh-CN" w:bidi="ar-SA"/>
              </w:rPr>
              <w:t>）</w:t>
            </w:r>
            <w:r>
              <w:rPr>
                <w:rFonts w:hint="eastAsia" w:ascii="宋体" w:hAnsi="宋体" w:eastAsia="宋体" w:cs="宋体"/>
                <w:bCs/>
                <w:kern w:val="2"/>
                <w:sz w:val="21"/>
                <w:szCs w:val="21"/>
                <w:lang w:val="zh-CN" w:eastAsia="zh-CN" w:bidi="ar-SA"/>
              </w:rPr>
              <w:t>工作经验，得</w:t>
            </w:r>
            <w:r>
              <w:rPr>
                <w:rFonts w:hint="eastAsia" w:ascii="宋体" w:eastAsia="宋体" w:cs="宋体"/>
                <w:bCs/>
                <w:kern w:val="2"/>
                <w:sz w:val="21"/>
                <w:szCs w:val="21"/>
                <w:lang w:val="en-US" w:eastAsia="zh-CN" w:bidi="ar-SA"/>
              </w:rPr>
              <w:t>2</w:t>
            </w:r>
            <w:r>
              <w:rPr>
                <w:rFonts w:hint="eastAsia" w:ascii="宋体" w:hAnsi="宋体" w:eastAsia="宋体" w:cs="宋体"/>
                <w:bCs/>
                <w:kern w:val="2"/>
                <w:sz w:val="21"/>
                <w:szCs w:val="21"/>
                <w:lang w:val="zh-CN" w:eastAsia="zh-CN" w:bidi="ar-SA"/>
              </w:rPr>
              <w:t>分；</w:t>
            </w:r>
          </w:p>
          <w:p w14:paraId="1E45B9E1">
            <w:pPr>
              <w:pStyle w:val="78"/>
              <w:spacing w:line="360" w:lineRule="auto"/>
              <w:ind w:firstLine="0" w:firstLineChars="0"/>
              <w:rPr>
                <w:rFonts w:hint="eastAsia" w:ascii="宋体" w:hAnsi="宋体" w:eastAsia="宋体" w:cs="宋体"/>
                <w:bCs/>
                <w:kern w:val="2"/>
                <w:sz w:val="21"/>
                <w:szCs w:val="21"/>
                <w:lang w:val="zh-CN" w:eastAsia="zh-CN" w:bidi="ar-SA"/>
              </w:rPr>
            </w:pP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3</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具有</w:t>
            </w:r>
            <w:r>
              <w:rPr>
                <w:rFonts w:hint="eastAsia" w:ascii="宋体" w:hAnsi="宋体" w:eastAsia="宋体" w:cs="宋体"/>
                <w:bCs/>
                <w:kern w:val="2"/>
                <w:sz w:val="21"/>
                <w:szCs w:val="21"/>
                <w:lang w:val="zh-CN" w:eastAsia="zh-CN" w:bidi="ar-SA"/>
              </w:rPr>
              <w:t>商业商业地产类项目（含商业街、购物中心、文化产业园、复合功能综合体等）提供设计施工服务</w:t>
            </w:r>
            <w:r>
              <w:rPr>
                <w:rFonts w:hint="eastAsia" w:ascii="宋体" w:eastAsia="宋体" w:cs="宋体"/>
                <w:bCs/>
                <w:kern w:val="2"/>
                <w:sz w:val="21"/>
                <w:szCs w:val="21"/>
                <w:lang w:val="en-US" w:eastAsia="zh-CN" w:bidi="ar-SA"/>
              </w:rPr>
              <w:t>经验</w:t>
            </w:r>
            <w:r>
              <w:rPr>
                <w:rFonts w:hint="eastAsia" w:ascii="宋体" w:hAns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且</w:t>
            </w:r>
            <w:r>
              <w:rPr>
                <w:rFonts w:hint="eastAsia" w:ascii="宋体" w:hAnsi="宋体" w:eastAsia="宋体" w:cs="宋体"/>
                <w:bCs/>
                <w:kern w:val="2"/>
                <w:sz w:val="21"/>
                <w:szCs w:val="21"/>
                <w:lang w:val="zh-CN" w:eastAsia="zh-CN" w:bidi="ar-SA"/>
              </w:rPr>
              <w:t>主要设计负责人有10年</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或以上</w:t>
            </w:r>
            <w:r>
              <w:rPr>
                <w:rFonts w:hint="eastAsia" w:ascii="宋体" w:eastAsia="宋体" w:cs="宋体"/>
                <w:bCs/>
                <w:kern w:val="2"/>
                <w:sz w:val="21"/>
                <w:szCs w:val="21"/>
                <w:lang w:val="zh-CN" w:eastAsia="zh-CN" w:bidi="ar-SA"/>
              </w:rPr>
              <w:t>）</w:t>
            </w:r>
            <w:r>
              <w:rPr>
                <w:rFonts w:hint="eastAsia" w:ascii="宋体" w:hAnsi="宋体" w:eastAsia="宋体" w:cs="宋体"/>
                <w:bCs/>
                <w:kern w:val="2"/>
                <w:sz w:val="21"/>
                <w:szCs w:val="21"/>
                <w:lang w:val="zh-CN" w:eastAsia="zh-CN" w:bidi="ar-SA"/>
              </w:rPr>
              <w:t>工作经验，主要团队人员</w:t>
            </w:r>
            <w:r>
              <w:rPr>
                <w:rFonts w:hint="eastAsia" w:ascii="宋体" w:eastAsia="宋体" w:cs="宋体"/>
                <w:bCs/>
                <w:kern w:val="2"/>
                <w:sz w:val="21"/>
                <w:szCs w:val="21"/>
                <w:lang w:val="en-US" w:eastAsia="zh-CN" w:bidi="ar-SA"/>
              </w:rPr>
              <w:t>有</w:t>
            </w:r>
            <w:r>
              <w:rPr>
                <w:rFonts w:hint="eastAsia" w:ascii="宋体" w:hAnsi="宋体" w:eastAsia="宋体" w:cs="宋体"/>
                <w:bCs/>
                <w:kern w:val="2"/>
                <w:sz w:val="21"/>
                <w:szCs w:val="21"/>
                <w:lang w:val="zh-CN" w:eastAsia="zh-CN" w:bidi="ar-SA"/>
              </w:rPr>
              <w:t>5年</w:t>
            </w:r>
            <w:r>
              <w:rPr>
                <w:rFonts w:hint="eastAsia" w:ascii="宋体" w:eastAsia="宋体" w:cs="宋体"/>
                <w:bCs/>
                <w:kern w:val="2"/>
                <w:sz w:val="21"/>
                <w:szCs w:val="21"/>
                <w:lang w:val="zh-CN" w:eastAsia="zh-CN" w:bidi="ar-SA"/>
              </w:rPr>
              <w:t>（</w:t>
            </w:r>
            <w:r>
              <w:rPr>
                <w:rFonts w:hint="eastAsia" w:ascii="宋体" w:eastAsia="宋体" w:cs="宋体"/>
                <w:bCs/>
                <w:kern w:val="2"/>
                <w:sz w:val="21"/>
                <w:szCs w:val="21"/>
                <w:lang w:val="en-US" w:eastAsia="zh-CN" w:bidi="ar-SA"/>
              </w:rPr>
              <w:t>或以上</w:t>
            </w:r>
            <w:r>
              <w:rPr>
                <w:rFonts w:hint="eastAsia" w:ascii="宋体" w:eastAsia="宋体" w:cs="宋体"/>
                <w:bCs/>
                <w:kern w:val="2"/>
                <w:sz w:val="21"/>
                <w:szCs w:val="21"/>
                <w:lang w:val="zh-CN" w:eastAsia="zh-CN" w:bidi="ar-SA"/>
              </w:rPr>
              <w:t>）</w:t>
            </w:r>
            <w:r>
              <w:rPr>
                <w:rFonts w:hint="eastAsia" w:ascii="宋体" w:hAnsi="宋体" w:eastAsia="宋体" w:cs="宋体"/>
                <w:bCs/>
                <w:kern w:val="2"/>
                <w:sz w:val="21"/>
                <w:szCs w:val="21"/>
                <w:lang w:val="zh-CN" w:eastAsia="zh-CN" w:bidi="ar-SA"/>
              </w:rPr>
              <w:t>工作经验，得</w:t>
            </w:r>
            <w:r>
              <w:rPr>
                <w:rFonts w:hint="eastAsia" w:ascii="宋体" w:eastAsia="宋体" w:cs="宋体"/>
                <w:bCs/>
                <w:kern w:val="2"/>
                <w:sz w:val="21"/>
                <w:szCs w:val="21"/>
                <w:lang w:val="en-US" w:eastAsia="zh-CN" w:bidi="ar-SA"/>
              </w:rPr>
              <w:t>1</w:t>
            </w:r>
            <w:r>
              <w:rPr>
                <w:rFonts w:hint="eastAsia" w:ascii="宋体" w:hAnsi="宋体" w:eastAsia="宋体" w:cs="宋体"/>
                <w:bCs/>
                <w:kern w:val="2"/>
                <w:sz w:val="21"/>
                <w:szCs w:val="21"/>
                <w:lang w:val="zh-CN" w:eastAsia="zh-CN" w:bidi="ar-SA"/>
              </w:rPr>
              <w:t>分；</w:t>
            </w:r>
          </w:p>
          <w:p w14:paraId="5816918A">
            <w:pPr>
              <w:pStyle w:val="78"/>
              <w:spacing w:line="360" w:lineRule="auto"/>
              <w:ind w:firstLine="0" w:firstLineChars="0"/>
              <w:rPr>
                <w:rFonts w:hint="default" w:ascii="宋体" w:hAnsi="宋体" w:eastAsia="宋体" w:cs="宋体"/>
                <w:bCs/>
                <w:kern w:val="2"/>
                <w:sz w:val="21"/>
                <w:szCs w:val="21"/>
                <w:lang w:val="en-US" w:eastAsia="zh-CN" w:bidi="ar-SA"/>
              </w:rPr>
            </w:pPr>
            <w:r>
              <w:rPr>
                <w:rFonts w:hint="eastAsia" w:ascii="宋体" w:hAnsi="宋体" w:eastAsia="宋体" w:cs="宋体"/>
                <w:b/>
                <w:bCs w:val="0"/>
                <w:kern w:val="2"/>
                <w:sz w:val="21"/>
                <w:szCs w:val="21"/>
                <w:lang w:val="en-US" w:eastAsia="zh-CN" w:bidi="ar-SA"/>
              </w:rPr>
              <w:t>【须提供以下证明材料：①人员履历表</w:t>
            </w:r>
            <w:r>
              <w:rPr>
                <w:rFonts w:hint="eastAsia" w:ascii="宋体" w:eastAsia="宋体" w:cs="宋体"/>
                <w:b/>
                <w:bCs w:val="0"/>
                <w:kern w:val="2"/>
                <w:sz w:val="21"/>
                <w:szCs w:val="21"/>
                <w:lang w:val="en-US" w:eastAsia="zh-CN" w:bidi="ar-SA"/>
              </w:rPr>
              <w:t>，格式自拟</w:t>
            </w:r>
            <w:r>
              <w:rPr>
                <w:rFonts w:hint="eastAsia" w:ascii="宋体" w:hAnsi="宋体" w:eastAsia="宋体" w:cs="宋体"/>
                <w:b/>
                <w:bCs w:val="0"/>
                <w:kern w:val="2"/>
                <w:sz w:val="21"/>
                <w:szCs w:val="21"/>
                <w:lang w:val="en-US" w:eastAsia="zh-CN" w:bidi="ar-SA"/>
              </w:rPr>
              <w:t>（须</w:t>
            </w:r>
            <w:r>
              <w:rPr>
                <w:rFonts w:hint="eastAsia" w:ascii="宋体" w:eastAsia="宋体" w:cs="宋体"/>
                <w:b/>
                <w:bCs w:val="0"/>
                <w:kern w:val="2"/>
                <w:sz w:val="21"/>
                <w:szCs w:val="21"/>
                <w:lang w:val="en-US" w:eastAsia="zh-CN" w:bidi="ar-SA"/>
              </w:rPr>
              <w:t>体现</w:t>
            </w:r>
            <w:r>
              <w:rPr>
                <w:rFonts w:hint="eastAsia" w:ascii="宋体" w:hAnsi="宋体" w:eastAsia="宋体" w:cs="宋体"/>
                <w:b/>
                <w:bCs w:val="0"/>
                <w:kern w:val="2"/>
                <w:sz w:val="21"/>
                <w:szCs w:val="21"/>
                <w:lang w:val="en-US" w:eastAsia="zh-CN" w:bidi="ar-SA"/>
              </w:rPr>
              <w:t>人员基本信息、工作经验年份、职位等）；②合同（须体现面积）复印件</w:t>
            </w:r>
            <w:r>
              <w:rPr>
                <w:rFonts w:hint="eastAsia" w:ascii="宋体" w:eastAsia="宋体" w:cs="宋体"/>
                <w:b/>
                <w:bCs w:val="0"/>
                <w:kern w:val="2"/>
                <w:sz w:val="21"/>
                <w:szCs w:val="21"/>
                <w:lang w:val="en-US" w:eastAsia="zh-CN" w:bidi="ar-SA"/>
              </w:rPr>
              <w:t>。</w:t>
            </w:r>
            <w:r>
              <w:rPr>
                <w:rFonts w:hint="eastAsia" w:ascii="宋体" w:hAnsi="宋体" w:eastAsia="宋体" w:cs="宋体"/>
                <w:b/>
                <w:bCs w:val="0"/>
                <w:kern w:val="2"/>
                <w:sz w:val="21"/>
                <w:szCs w:val="21"/>
                <w:lang w:val="zh-CN" w:eastAsia="zh-CN" w:bidi="ar-SA"/>
              </w:rPr>
              <w:t>如提供的合同无法体现</w:t>
            </w:r>
            <w:r>
              <w:rPr>
                <w:rFonts w:hint="eastAsia" w:ascii="宋体" w:eastAsia="宋体" w:cs="宋体"/>
                <w:b/>
                <w:bCs w:val="0"/>
                <w:kern w:val="2"/>
                <w:sz w:val="21"/>
                <w:szCs w:val="21"/>
                <w:lang w:val="en-US" w:eastAsia="zh-CN" w:bidi="ar-SA"/>
              </w:rPr>
              <w:t>面积大小</w:t>
            </w:r>
            <w:r>
              <w:rPr>
                <w:rFonts w:hint="eastAsia" w:ascii="宋体" w:hAnsi="宋体" w:eastAsia="宋体" w:cs="宋体"/>
                <w:b/>
                <w:bCs w:val="0"/>
                <w:kern w:val="2"/>
                <w:sz w:val="21"/>
                <w:szCs w:val="21"/>
                <w:lang w:val="zh-CN" w:eastAsia="zh-CN" w:bidi="ar-SA"/>
              </w:rPr>
              <w:t>的，可提供供应商另行出具的有效证明材料复印件并加盖供应商公章</w:t>
            </w:r>
            <w:r>
              <w:rPr>
                <w:rFonts w:hint="eastAsia" w:ascii="宋体" w:eastAsia="宋体" w:cs="宋体"/>
                <w:b/>
                <w:bCs w:val="0"/>
                <w:kern w:val="2"/>
                <w:sz w:val="21"/>
                <w:szCs w:val="21"/>
                <w:lang w:val="zh-CN" w:eastAsia="zh-CN" w:bidi="ar-SA"/>
              </w:rPr>
              <w:t>】</w:t>
            </w:r>
          </w:p>
        </w:tc>
      </w:tr>
      <w:tr w14:paraId="427CE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50239348">
            <w:pPr>
              <w:pStyle w:val="78"/>
              <w:spacing w:line="36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609" w:type="dxa"/>
            <w:tcBorders>
              <w:top w:val="single" w:color="auto" w:sz="4" w:space="0"/>
              <w:left w:val="single" w:color="auto" w:sz="4" w:space="0"/>
              <w:right w:val="single" w:color="auto" w:sz="4" w:space="0"/>
            </w:tcBorders>
            <w:vAlign w:val="center"/>
          </w:tcPr>
          <w:p w14:paraId="6D64CEF6">
            <w:pPr>
              <w:pStyle w:val="78"/>
              <w:spacing w:line="360" w:lineRule="auto"/>
              <w:ind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企业实力</w:t>
            </w:r>
          </w:p>
        </w:tc>
        <w:tc>
          <w:tcPr>
            <w:tcW w:w="762" w:type="dxa"/>
            <w:gridSpan w:val="2"/>
            <w:tcBorders>
              <w:top w:val="single" w:color="auto" w:sz="4" w:space="0"/>
              <w:left w:val="single" w:color="auto" w:sz="4" w:space="0"/>
              <w:bottom w:val="single" w:color="auto" w:sz="4" w:space="0"/>
              <w:right w:val="single" w:color="auto" w:sz="4" w:space="0"/>
            </w:tcBorders>
            <w:vAlign w:val="center"/>
          </w:tcPr>
          <w:p w14:paraId="0F329559">
            <w:pPr>
              <w:spacing w:line="360" w:lineRule="auto"/>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w:t>
            </w:r>
          </w:p>
        </w:tc>
        <w:tc>
          <w:tcPr>
            <w:tcW w:w="6186" w:type="dxa"/>
            <w:tcBorders>
              <w:top w:val="single" w:color="auto" w:sz="4" w:space="0"/>
              <w:left w:val="single" w:color="auto" w:sz="4" w:space="0"/>
              <w:bottom w:val="single" w:color="auto" w:sz="4" w:space="0"/>
              <w:right w:val="single" w:color="auto" w:sz="4" w:space="0"/>
            </w:tcBorders>
            <w:vAlign w:val="center"/>
          </w:tcPr>
          <w:p w14:paraId="09163511">
            <w:pPr>
              <w:pStyle w:val="78"/>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lang w:eastAsia="zh-CN"/>
              </w:rPr>
              <w:t>供应商</w:t>
            </w:r>
            <w:r>
              <w:rPr>
                <w:rFonts w:hint="eastAsia" w:ascii="宋体" w:hAnsi="宋体" w:eastAsia="宋体" w:cs="宋体"/>
                <w:bCs/>
                <w:sz w:val="21"/>
                <w:szCs w:val="21"/>
              </w:rPr>
              <w:t>具有由国家认证认可监督管理部门批准设立的认证机构颁发的有效期内认证证书：</w:t>
            </w:r>
          </w:p>
          <w:p w14:paraId="33FE8C91">
            <w:pPr>
              <w:pStyle w:val="78"/>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①质量管理体系认证；</w:t>
            </w:r>
          </w:p>
          <w:p w14:paraId="476363C7">
            <w:pPr>
              <w:pStyle w:val="78"/>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②环境管理体系认证；</w:t>
            </w:r>
          </w:p>
          <w:p w14:paraId="4AF79F9C">
            <w:pPr>
              <w:pStyle w:val="78"/>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③职业健康安全管理体系认证；</w:t>
            </w:r>
          </w:p>
          <w:p w14:paraId="18B3071B">
            <w:pPr>
              <w:pStyle w:val="78"/>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每提供一个证书得1分，本项最高得3分。</w:t>
            </w:r>
          </w:p>
          <w:p w14:paraId="0B1D310F">
            <w:pPr>
              <w:pStyle w:val="78"/>
              <w:spacing w:line="360" w:lineRule="auto"/>
              <w:ind w:firstLine="0" w:firstLineChars="0"/>
              <w:rPr>
                <w:rFonts w:hint="eastAsia" w:ascii="宋体" w:hAnsi="宋体" w:eastAsia="宋体" w:cs="宋体"/>
                <w:b/>
                <w:sz w:val="21"/>
                <w:szCs w:val="21"/>
                <w:u w:val="single"/>
              </w:rPr>
            </w:pPr>
            <w:r>
              <w:rPr>
                <w:rFonts w:hint="eastAsia" w:ascii="宋体" w:hAnsi="宋体" w:eastAsia="宋体" w:cs="宋体"/>
                <w:b/>
                <w:sz w:val="21"/>
                <w:szCs w:val="21"/>
              </w:rPr>
              <w:t>注：须提供有效期内的证书复印件及“全国认证认可信息公共服务平台”网站（http://cx.cnca.cn/）查询状态为有效的截图（截图界面显示有“全国认证认可信息公共服务平台”或“认证证书网址cx.cnca.cn”），上述材料加盖</w:t>
            </w:r>
            <w:r>
              <w:rPr>
                <w:rFonts w:hint="eastAsia" w:ascii="宋体" w:hAnsi="宋体" w:eastAsia="宋体" w:cs="宋体"/>
                <w:b/>
                <w:sz w:val="21"/>
                <w:szCs w:val="21"/>
                <w:lang w:eastAsia="zh-CN"/>
              </w:rPr>
              <w:t>供应商</w:t>
            </w:r>
            <w:r>
              <w:rPr>
                <w:rFonts w:hint="eastAsia" w:ascii="宋体" w:hAnsi="宋体" w:eastAsia="宋体" w:cs="宋体"/>
                <w:b/>
                <w:sz w:val="21"/>
                <w:szCs w:val="21"/>
              </w:rPr>
              <w:t>公章。</w:t>
            </w:r>
          </w:p>
        </w:tc>
      </w:tr>
      <w:tr w14:paraId="3B696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300E9B52">
            <w:pPr>
              <w:pStyle w:val="78"/>
              <w:spacing w:line="360" w:lineRule="auto"/>
              <w:ind w:firstLine="0" w:firstLineChars="0"/>
              <w:jc w:val="center"/>
              <w:rPr>
                <w:rFonts w:hint="eastAsia" w:ascii="宋体" w:hAnsi="宋体" w:eastAsia="宋体" w:cs="宋体"/>
                <w:sz w:val="21"/>
                <w:szCs w:val="21"/>
              </w:rPr>
            </w:pPr>
            <w:r>
              <w:rPr>
                <w:rFonts w:hint="eastAsia" w:ascii="宋体" w:hAnsi="宋体" w:eastAsia="宋体" w:cs="宋体"/>
                <w:b/>
                <w:bCs/>
                <w:sz w:val="21"/>
                <w:szCs w:val="21"/>
              </w:rPr>
              <w:t>技术评审（</w:t>
            </w:r>
            <w:r>
              <w:rPr>
                <w:rFonts w:hint="eastAsia" w:ascii="宋体" w:eastAsia="宋体" w:cs="宋体"/>
                <w:b/>
                <w:bCs/>
                <w:sz w:val="21"/>
                <w:szCs w:val="21"/>
                <w:lang w:val="en-US" w:eastAsia="zh-CN"/>
              </w:rPr>
              <w:t>50</w:t>
            </w:r>
            <w:r>
              <w:rPr>
                <w:rFonts w:hint="eastAsia" w:ascii="宋体" w:hAnsi="宋体" w:eastAsia="宋体" w:cs="宋体"/>
                <w:b/>
                <w:bCs/>
                <w:sz w:val="21"/>
                <w:szCs w:val="21"/>
              </w:rPr>
              <w:t>分）</w:t>
            </w:r>
          </w:p>
        </w:tc>
      </w:tr>
      <w:tr w14:paraId="7C112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0" w:type="dxa"/>
            <w:noWrap w:val="0"/>
            <w:vAlign w:val="center"/>
          </w:tcPr>
          <w:p w14:paraId="1943C7B4">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609" w:type="dxa"/>
            <w:noWrap w:val="0"/>
            <w:vAlign w:val="center"/>
          </w:tcPr>
          <w:p w14:paraId="064B68A5">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项目理解与现状分析</w:t>
            </w:r>
          </w:p>
        </w:tc>
        <w:tc>
          <w:tcPr>
            <w:tcW w:w="734" w:type="dxa"/>
            <w:noWrap w:val="0"/>
            <w:vAlign w:val="center"/>
          </w:tcPr>
          <w:p w14:paraId="75285E82">
            <w:pPr>
              <w:widowControl/>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6214" w:type="dxa"/>
            <w:gridSpan w:val="2"/>
            <w:noWrap w:val="0"/>
            <w:vAlign w:val="center"/>
          </w:tcPr>
          <w:p w14:paraId="123B0996">
            <w:pPr>
              <w:spacing w:line="360" w:lineRule="auto"/>
              <w:rPr>
                <w:rFonts w:hint="eastAsia" w:ascii="宋体" w:hAnsi="宋体" w:eastAsia="宋体" w:cs="宋体"/>
                <w:sz w:val="21"/>
                <w:szCs w:val="21"/>
              </w:rPr>
            </w:pPr>
            <w:r>
              <w:rPr>
                <w:rFonts w:hint="eastAsia" w:ascii="宋体" w:hAnsi="宋体" w:eastAsia="宋体" w:cs="宋体"/>
                <w:sz w:val="21"/>
                <w:szCs w:val="21"/>
              </w:rPr>
              <w:t>对项目背景、区位、规划要求、周边环境、业主需求的理解深度；对现状条件的调研与分析准确性：</w:t>
            </w:r>
          </w:p>
          <w:p w14:paraId="11B0D280">
            <w:pPr>
              <w:spacing w:line="360" w:lineRule="auto"/>
              <w:rPr>
                <w:rFonts w:hint="eastAsia" w:ascii="宋体" w:hAnsi="宋体" w:eastAsia="宋体" w:cs="宋体"/>
                <w:sz w:val="21"/>
                <w:szCs w:val="21"/>
              </w:rPr>
            </w:pPr>
            <w:r>
              <w:rPr>
                <w:rFonts w:hint="eastAsia" w:ascii="宋体" w:hAnsi="宋体" w:eastAsia="宋体" w:cs="宋体"/>
                <w:sz w:val="21"/>
                <w:szCs w:val="21"/>
              </w:rPr>
              <w:t>优：理解深刻，分析全面精准，能敏锐发现核心问题与机遇，得</w:t>
            </w:r>
            <w:r>
              <w:rPr>
                <w:rFonts w:hint="eastAsia" w:ascii="宋体" w:hAnsi="宋体" w:eastAsia="宋体" w:cs="宋体"/>
                <w:sz w:val="21"/>
                <w:szCs w:val="21"/>
                <w:lang w:val="en-US" w:eastAsia="zh-CN"/>
              </w:rPr>
              <w:t>10</w:t>
            </w:r>
            <w:r>
              <w:rPr>
                <w:rFonts w:hint="eastAsia" w:ascii="宋体" w:hAnsi="宋体" w:eastAsia="宋体" w:cs="宋体"/>
                <w:sz w:val="21"/>
                <w:szCs w:val="21"/>
              </w:rPr>
              <w:t>分；</w:t>
            </w:r>
          </w:p>
          <w:p w14:paraId="5EBA59BF">
            <w:pPr>
              <w:spacing w:line="360" w:lineRule="auto"/>
              <w:rPr>
                <w:rFonts w:hint="eastAsia" w:ascii="宋体" w:hAnsi="宋体" w:eastAsia="宋体" w:cs="宋体"/>
                <w:sz w:val="21"/>
                <w:szCs w:val="21"/>
              </w:rPr>
            </w:pPr>
            <w:r>
              <w:rPr>
                <w:rFonts w:hint="eastAsia" w:ascii="宋体" w:hAnsi="宋体" w:eastAsia="宋体" w:cs="宋体"/>
                <w:sz w:val="21"/>
                <w:szCs w:val="21"/>
              </w:rPr>
              <w:t>良：理解较全面，分析基本准确，能识别主要问题，得</w:t>
            </w:r>
            <w:r>
              <w:rPr>
                <w:rFonts w:hint="eastAsia" w:ascii="宋体" w:hAnsi="宋体" w:eastAsia="宋体" w:cs="宋体"/>
                <w:sz w:val="21"/>
                <w:szCs w:val="21"/>
                <w:lang w:val="en-US" w:eastAsia="zh-CN"/>
              </w:rPr>
              <w:t>8</w:t>
            </w:r>
            <w:r>
              <w:rPr>
                <w:rFonts w:hint="eastAsia" w:ascii="宋体" w:hAnsi="宋体" w:eastAsia="宋体" w:cs="宋体"/>
                <w:sz w:val="21"/>
                <w:szCs w:val="21"/>
              </w:rPr>
              <w:t>分；</w:t>
            </w:r>
          </w:p>
          <w:p w14:paraId="2312D342">
            <w:pPr>
              <w:spacing w:line="360" w:lineRule="auto"/>
              <w:rPr>
                <w:rFonts w:hint="eastAsia" w:ascii="宋体" w:hAnsi="宋体" w:eastAsia="宋体" w:cs="宋体"/>
                <w:sz w:val="21"/>
                <w:szCs w:val="21"/>
              </w:rPr>
            </w:pPr>
            <w:r>
              <w:rPr>
                <w:rFonts w:hint="eastAsia" w:ascii="宋体" w:hAnsi="宋体" w:eastAsia="宋体" w:cs="宋体"/>
                <w:sz w:val="21"/>
                <w:szCs w:val="21"/>
              </w:rPr>
              <w:t>中：理解一般，分析有部分遗漏或偏差，得</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p w14:paraId="4A1FF52D">
            <w:pPr>
              <w:spacing w:line="360" w:lineRule="auto"/>
              <w:rPr>
                <w:rFonts w:hint="eastAsia" w:ascii="宋体" w:hAnsi="宋体" w:eastAsia="宋体" w:cs="宋体"/>
                <w:sz w:val="21"/>
                <w:szCs w:val="21"/>
                <w:lang w:eastAsia="zh-CN"/>
              </w:rPr>
            </w:pPr>
            <w:r>
              <w:rPr>
                <w:rFonts w:hint="eastAsia" w:ascii="宋体" w:hAnsi="宋体" w:eastAsia="宋体" w:cs="宋体"/>
                <w:sz w:val="21"/>
                <w:szCs w:val="21"/>
              </w:rPr>
              <w:t>差：理解肤浅，分析严重不足或错误，得</w:t>
            </w:r>
            <w:r>
              <w:rPr>
                <w:rFonts w:hint="eastAsia" w:ascii="宋体" w:hAnsi="宋体" w:eastAsia="宋体" w:cs="宋体"/>
                <w:sz w:val="21"/>
                <w:szCs w:val="21"/>
                <w:lang w:val="en-US" w:eastAsia="zh-CN"/>
              </w:rPr>
              <w:t>3</w:t>
            </w:r>
            <w:r>
              <w:rPr>
                <w:rFonts w:hint="eastAsia" w:ascii="宋体" w:hAnsi="宋体" w:eastAsia="宋体" w:cs="宋体"/>
                <w:sz w:val="21"/>
                <w:szCs w:val="21"/>
              </w:rPr>
              <w:t>分</w:t>
            </w:r>
            <w:r>
              <w:rPr>
                <w:rFonts w:hint="eastAsia" w:ascii="宋体" w:hAnsi="宋体" w:eastAsia="宋体" w:cs="宋体"/>
                <w:sz w:val="21"/>
                <w:szCs w:val="21"/>
                <w:lang w:eastAsia="zh-CN"/>
              </w:rPr>
              <w:t>。</w:t>
            </w:r>
          </w:p>
          <w:p w14:paraId="542BDA30">
            <w:pPr>
              <w:spacing w:line="360" w:lineRule="auto"/>
              <w:rPr>
                <w:rFonts w:hint="eastAsia" w:ascii="宋体" w:hAnsi="宋体" w:eastAsia="宋体" w:cs="宋体"/>
                <w:b/>
                <w:bCs/>
                <w:sz w:val="21"/>
                <w:szCs w:val="21"/>
                <w:lang w:eastAsia="zh-CN"/>
              </w:rPr>
            </w:pPr>
            <w:r>
              <w:rPr>
                <w:rFonts w:hint="eastAsia" w:ascii="宋体" w:hAnsi="宋体" w:eastAsia="宋体" w:cs="宋体"/>
                <w:sz w:val="21"/>
                <w:szCs w:val="21"/>
                <w:lang w:val="zh-CN"/>
              </w:rPr>
              <w:t>未提供不得分。</w:t>
            </w:r>
          </w:p>
        </w:tc>
      </w:tr>
      <w:tr w14:paraId="1A35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0" w:type="dxa"/>
            <w:noWrap w:val="0"/>
            <w:vAlign w:val="center"/>
          </w:tcPr>
          <w:p w14:paraId="6054C886">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1609" w:type="dxa"/>
            <w:noWrap w:val="0"/>
            <w:vAlign w:val="center"/>
          </w:tcPr>
          <w:p w14:paraId="0589A0E9">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设计理念与策略</w:t>
            </w:r>
          </w:p>
        </w:tc>
        <w:tc>
          <w:tcPr>
            <w:tcW w:w="734" w:type="dxa"/>
            <w:noWrap w:val="0"/>
            <w:vAlign w:val="center"/>
          </w:tcPr>
          <w:p w14:paraId="3E5E84C7">
            <w:pPr>
              <w:widowControl/>
              <w:spacing w:line="360" w:lineRule="auto"/>
              <w:jc w:val="center"/>
              <w:rPr>
                <w:rFonts w:hint="default" w:ascii="宋体" w:hAnsi="宋体" w:eastAsia="宋体" w:cs="宋体"/>
                <w:sz w:val="21"/>
                <w:szCs w:val="21"/>
                <w:lang w:val="en-US" w:eastAsia="zh-CN"/>
              </w:rPr>
            </w:pPr>
            <w:r>
              <w:rPr>
                <w:rFonts w:hint="eastAsia" w:hAnsi="宋体" w:cs="宋体"/>
                <w:sz w:val="21"/>
                <w:szCs w:val="21"/>
                <w:lang w:val="en-US" w:eastAsia="zh-CN"/>
              </w:rPr>
              <w:t>10</w:t>
            </w:r>
          </w:p>
        </w:tc>
        <w:tc>
          <w:tcPr>
            <w:tcW w:w="6214" w:type="dxa"/>
            <w:gridSpan w:val="2"/>
            <w:noWrap w:val="0"/>
            <w:vAlign w:val="center"/>
          </w:tcPr>
          <w:p w14:paraId="56005F56">
            <w:pPr>
              <w:spacing w:line="360" w:lineRule="auto"/>
              <w:rPr>
                <w:rFonts w:hint="eastAsia" w:ascii="宋体" w:hAnsi="宋体" w:eastAsia="宋体" w:cs="宋体"/>
                <w:sz w:val="21"/>
                <w:szCs w:val="21"/>
              </w:rPr>
            </w:pPr>
            <w:r>
              <w:rPr>
                <w:rFonts w:hint="eastAsia" w:ascii="宋体" w:hAnsi="宋体" w:eastAsia="宋体" w:cs="宋体"/>
                <w:sz w:val="21"/>
                <w:szCs w:val="21"/>
              </w:rPr>
              <w:t>设计理念的创意性、前瞻性与文化内涵；整体设计策略的合理性、系统性及与商业目标的契合度：</w:t>
            </w:r>
          </w:p>
          <w:p w14:paraId="74965482">
            <w:pPr>
              <w:spacing w:line="360" w:lineRule="auto"/>
              <w:rPr>
                <w:rFonts w:hint="eastAsia" w:ascii="宋体" w:hAnsi="宋体" w:eastAsia="宋体" w:cs="宋体"/>
                <w:sz w:val="21"/>
                <w:szCs w:val="21"/>
              </w:rPr>
            </w:pPr>
            <w:r>
              <w:rPr>
                <w:rFonts w:hint="eastAsia" w:ascii="宋体" w:hAnsi="宋体" w:eastAsia="宋体" w:cs="宋体"/>
                <w:sz w:val="21"/>
                <w:szCs w:val="21"/>
              </w:rPr>
              <w:t>优：理念创新独特，策略系统高效，极具前瞻性和生态性，完美契合项目愿景，得</w:t>
            </w:r>
            <w:r>
              <w:rPr>
                <w:rFonts w:hint="eastAsia" w:hAnsi="宋体" w:cs="宋体"/>
                <w:sz w:val="21"/>
                <w:szCs w:val="21"/>
                <w:lang w:val="en-US" w:eastAsia="zh-CN"/>
              </w:rPr>
              <w:t>10</w:t>
            </w:r>
            <w:r>
              <w:rPr>
                <w:rFonts w:hint="eastAsia" w:ascii="宋体" w:hAnsi="宋体" w:eastAsia="宋体" w:cs="宋体"/>
                <w:sz w:val="21"/>
                <w:szCs w:val="21"/>
              </w:rPr>
              <w:t>分；</w:t>
            </w:r>
          </w:p>
          <w:p w14:paraId="7ECD5FFE">
            <w:pPr>
              <w:spacing w:line="360" w:lineRule="auto"/>
              <w:rPr>
                <w:rFonts w:hint="eastAsia" w:ascii="宋体" w:hAnsi="宋体" w:eastAsia="宋体" w:cs="宋体"/>
                <w:sz w:val="21"/>
                <w:szCs w:val="21"/>
              </w:rPr>
            </w:pPr>
            <w:r>
              <w:rPr>
                <w:rFonts w:hint="eastAsia" w:ascii="宋体" w:hAnsi="宋体" w:eastAsia="宋体" w:cs="宋体"/>
                <w:sz w:val="21"/>
                <w:szCs w:val="21"/>
              </w:rPr>
              <w:t>良：理念清晰，策略合理，具有一定的特色和可持续性考虑，得</w:t>
            </w:r>
            <w:r>
              <w:rPr>
                <w:rFonts w:hint="eastAsia" w:hAnsi="宋体" w:cs="宋体"/>
                <w:sz w:val="21"/>
                <w:szCs w:val="21"/>
                <w:lang w:val="en-US" w:eastAsia="zh-CN"/>
              </w:rPr>
              <w:t>8</w:t>
            </w:r>
            <w:r>
              <w:rPr>
                <w:rFonts w:hint="eastAsia" w:ascii="宋体" w:hAnsi="宋体" w:eastAsia="宋体" w:cs="宋体"/>
                <w:sz w:val="21"/>
                <w:szCs w:val="21"/>
              </w:rPr>
              <w:t>分；</w:t>
            </w:r>
          </w:p>
          <w:p w14:paraId="3FE8827B">
            <w:pPr>
              <w:spacing w:line="360" w:lineRule="auto"/>
              <w:rPr>
                <w:rFonts w:hint="eastAsia" w:ascii="宋体" w:hAnsi="宋体" w:eastAsia="宋体" w:cs="宋体"/>
                <w:sz w:val="21"/>
                <w:szCs w:val="21"/>
              </w:rPr>
            </w:pPr>
            <w:r>
              <w:rPr>
                <w:rFonts w:hint="eastAsia" w:ascii="宋体" w:hAnsi="宋体" w:eastAsia="宋体" w:cs="宋体"/>
                <w:sz w:val="21"/>
                <w:szCs w:val="21"/>
              </w:rPr>
              <w:t>中：理念普通，策略基本可行，但缺乏亮点和深度，得</w:t>
            </w:r>
            <w:r>
              <w:rPr>
                <w:rFonts w:hint="eastAsia" w:hAnsi="宋体" w:cs="宋体"/>
                <w:sz w:val="21"/>
                <w:szCs w:val="21"/>
                <w:lang w:val="en-US" w:eastAsia="zh-CN"/>
              </w:rPr>
              <w:t>5</w:t>
            </w:r>
            <w:r>
              <w:rPr>
                <w:rFonts w:hint="eastAsia" w:ascii="宋体" w:hAnsi="宋体" w:eastAsia="宋体" w:cs="宋体"/>
                <w:sz w:val="21"/>
                <w:szCs w:val="21"/>
              </w:rPr>
              <w:t>分；</w:t>
            </w:r>
          </w:p>
          <w:p w14:paraId="13FD94C0">
            <w:pPr>
              <w:spacing w:line="360" w:lineRule="auto"/>
              <w:rPr>
                <w:rFonts w:hint="eastAsia" w:ascii="宋体" w:hAnsi="宋体" w:eastAsia="宋体" w:cs="宋体"/>
                <w:sz w:val="21"/>
                <w:szCs w:val="21"/>
              </w:rPr>
            </w:pPr>
            <w:r>
              <w:rPr>
                <w:rFonts w:hint="eastAsia" w:ascii="宋体" w:hAnsi="宋体" w:eastAsia="宋体" w:cs="宋体"/>
                <w:sz w:val="21"/>
                <w:szCs w:val="21"/>
              </w:rPr>
              <w:t>差：理念模糊，策略混乱或不可行，无可持续性考虑，得</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p w14:paraId="7F518DD6">
            <w:pPr>
              <w:spacing w:line="360" w:lineRule="auto"/>
              <w:rPr>
                <w:rFonts w:hint="eastAsia" w:ascii="宋体" w:hAnsi="宋体" w:eastAsia="宋体" w:cs="宋体"/>
                <w:b/>
                <w:bCs/>
                <w:sz w:val="21"/>
                <w:szCs w:val="21"/>
              </w:rPr>
            </w:pPr>
            <w:r>
              <w:rPr>
                <w:rFonts w:hint="eastAsia" w:ascii="宋体" w:hAnsi="宋体" w:eastAsia="宋体" w:cs="宋体"/>
                <w:sz w:val="21"/>
                <w:szCs w:val="21"/>
                <w:lang w:val="zh-CN"/>
              </w:rPr>
              <w:t>未提供不得分。</w:t>
            </w:r>
          </w:p>
        </w:tc>
      </w:tr>
      <w:tr w14:paraId="598E6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0" w:type="dxa"/>
            <w:noWrap w:val="0"/>
            <w:vAlign w:val="center"/>
          </w:tcPr>
          <w:p w14:paraId="14DC2FFB">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609" w:type="dxa"/>
            <w:noWrap w:val="0"/>
            <w:vAlign w:val="center"/>
          </w:tcPr>
          <w:p w14:paraId="32AB379E">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方案设计与空间营造</w:t>
            </w:r>
          </w:p>
        </w:tc>
        <w:tc>
          <w:tcPr>
            <w:tcW w:w="734" w:type="dxa"/>
            <w:noWrap w:val="0"/>
            <w:vAlign w:val="center"/>
          </w:tcPr>
          <w:p w14:paraId="74D8C4EC">
            <w:pPr>
              <w:spacing w:line="360" w:lineRule="auto"/>
              <w:jc w:val="center"/>
              <w:rPr>
                <w:rFonts w:hint="default" w:ascii="宋体" w:hAnsi="宋体" w:eastAsia="宋体" w:cs="宋体"/>
                <w:sz w:val="21"/>
                <w:szCs w:val="21"/>
                <w:lang w:val="en-US" w:eastAsia="zh-CN"/>
              </w:rPr>
            </w:pPr>
            <w:r>
              <w:rPr>
                <w:rFonts w:hint="eastAsia" w:hAnsi="宋体" w:cs="宋体"/>
                <w:sz w:val="21"/>
                <w:szCs w:val="21"/>
                <w:lang w:val="en-US" w:eastAsia="zh-CN"/>
              </w:rPr>
              <w:t>10</w:t>
            </w:r>
          </w:p>
        </w:tc>
        <w:tc>
          <w:tcPr>
            <w:tcW w:w="6214" w:type="dxa"/>
            <w:gridSpan w:val="2"/>
            <w:noWrap w:val="0"/>
            <w:vAlign w:val="center"/>
          </w:tcPr>
          <w:p w14:paraId="50B733A3">
            <w:pPr>
              <w:spacing w:line="360" w:lineRule="auto"/>
              <w:jc w:val="left"/>
              <w:rPr>
                <w:rFonts w:hint="eastAsia" w:ascii="宋体" w:hAnsi="宋体" w:eastAsia="宋体" w:cs="宋体"/>
                <w:sz w:val="21"/>
                <w:szCs w:val="21"/>
              </w:rPr>
            </w:pPr>
            <w:r>
              <w:rPr>
                <w:rFonts w:hint="eastAsia" w:ascii="宋体" w:hAnsi="宋体" w:eastAsia="宋体" w:cs="宋体"/>
                <w:sz w:val="21"/>
                <w:szCs w:val="21"/>
              </w:rPr>
              <w:t>总体布局的合理性、功能分区的科学性、交通流线的流畅性；空间序列、景观节点、视觉焦点的营造；竖向设计的丰富性与合理性：</w:t>
            </w:r>
          </w:p>
          <w:p w14:paraId="68B7F7A8">
            <w:pPr>
              <w:spacing w:line="360" w:lineRule="auto"/>
              <w:jc w:val="left"/>
              <w:rPr>
                <w:rFonts w:hint="eastAsia" w:ascii="宋体" w:hAnsi="宋体" w:eastAsia="宋体" w:cs="宋体"/>
                <w:sz w:val="21"/>
                <w:szCs w:val="21"/>
              </w:rPr>
            </w:pPr>
            <w:r>
              <w:rPr>
                <w:rFonts w:hint="eastAsia" w:ascii="宋体" w:hAnsi="宋体" w:eastAsia="宋体" w:cs="宋体"/>
                <w:sz w:val="21"/>
                <w:szCs w:val="21"/>
              </w:rPr>
              <w:t>优：布局卓越，功能完美，空间体验丰富有趣，竖向设计精巧，符合要求得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r>
              <w:rPr>
                <w:rFonts w:hint="eastAsia" w:ascii="宋体" w:hAnsi="宋体" w:eastAsia="宋体" w:cs="宋体"/>
                <w:sz w:val="21"/>
                <w:szCs w:val="21"/>
              </w:rPr>
              <w:t>；</w:t>
            </w:r>
          </w:p>
          <w:p w14:paraId="06390860">
            <w:pPr>
              <w:spacing w:line="360" w:lineRule="auto"/>
              <w:jc w:val="left"/>
              <w:rPr>
                <w:rFonts w:hint="eastAsia" w:ascii="宋体" w:hAnsi="宋体" w:eastAsia="宋体" w:cs="宋体"/>
                <w:sz w:val="21"/>
                <w:szCs w:val="21"/>
              </w:rPr>
            </w:pPr>
            <w:r>
              <w:rPr>
                <w:rFonts w:hint="eastAsia" w:ascii="宋体" w:hAnsi="宋体" w:eastAsia="宋体" w:cs="宋体"/>
                <w:sz w:val="21"/>
                <w:szCs w:val="21"/>
              </w:rPr>
              <w:t>良：布局合理，功能齐全，空间组织有序，竖向设计得当，大部分符合要求得</w:t>
            </w:r>
            <w:r>
              <w:rPr>
                <w:rFonts w:hint="eastAsia" w:hAnsi="宋体" w:cs="宋体"/>
                <w:sz w:val="21"/>
                <w:szCs w:val="21"/>
                <w:lang w:val="en-US" w:eastAsia="zh-CN"/>
              </w:rPr>
              <w:t>8</w:t>
            </w:r>
            <w:r>
              <w:rPr>
                <w:rFonts w:hint="eastAsia" w:ascii="宋体" w:hAnsi="宋体" w:eastAsia="宋体" w:cs="宋体"/>
                <w:sz w:val="21"/>
                <w:szCs w:val="21"/>
                <w:lang w:val="en-US" w:eastAsia="zh-CN"/>
              </w:rPr>
              <w:t>分</w:t>
            </w:r>
            <w:r>
              <w:rPr>
                <w:rFonts w:hint="eastAsia" w:ascii="宋体" w:hAnsi="宋体" w:eastAsia="宋体" w:cs="宋体"/>
                <w:sz w:val="21"/>
                <w:szCs w:val="21"/>
              </w:rPr>
              <w:t>；</w:t>
            </w:r>
          </w:p>
          <w:p w14:paraId="50225B56">
            <w:pPr>
              <w:spacing w:line="360" w:lineRule="auto"/>
              <w:jc w:val="left"/>
              <w:rPr>
                <w:rFonts w:hint="eastAsia" w:ascii="宋体" w:hAnsi="宋体" w:eastAsia="宋体" w:cs="宋体"/>
                <w:sz w:val="21"/>
                <w:szCs w:val="21"/>
              </w:rPr>
            </w:pPr>
            <w:r>
              <w:rPr>
                <w:rFonts w:hint="eastAsia" w:ascii="宋体" w:hAnsi="宋体" w:eastAsia="宋体" w:cs="宋体"/>
                <w:sz w:val="21"/>
                <w:szCs w:val="21"/>
              </w:rPr>
              <w:t>中：布局基本合理，功能基本满足，但空间平淡，竖向设计简单，部分符合要求得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r>
              <w:rPr>
                <w:rFonts w:hint="eastAsia" w:ascii="宋体" w:hAnsi="宋体" w:eastAsia="宋体" w:cs="宋体"/>
                <w:sz w:val="21"/>
                <w:szCs w:val="21"/>
              </w:rPr>
              <w:t>；</w:t>
            </w:r>
          </w:p>
          <w:p w14:paraId="127953A1">
            <w:pPr>
              <w:spacing w:line="360" w:lineRule="auto"/>
              <w:rPr>
                <w:rFonts w:hint="eastAsia" w:ascii="宋体" w:hAnsi="宋体" w:eastAsia="宋体" w:cs="宋体"/>
                <w:sz w:val="21"/>
                <w:szCs w:val="21"/>
              </w:rPr>
            </w:pPr>
            <w:r>
              <w:rPr>
                <w:rFonts w:hint="eastAsia" w:ascii="宋体" w:hAnsi="宋体" w:eastAsia="宋体" w:cs="宋体"/>
                <w:sz w:val="21"/>
                <w:szCs w:val="21"/>
              </w:rPr>
              <w:t>差：布局混乱，功能欠缺，空间呆板无序，勉强符合要求得</w:t>
            </w:r>
            <w:r>
              <w:rPr>
                <w:rFonts w:hint="eastAsia" w:hAnsi="宋体" w:cs="宋体"/>
                <w:sz w:val="21"/>
                <w:szCs w:val="21"/>
                <w:lang w:val="en-US" w:eastAsia="zh-CN"/>
              </w:rPr>
              <w:t>3</w:t>
            </w:r>
            <w:r>
              <w:rPr>
                <w:rFonts w:hint="eastAsia" w:ascii="宋体" w:hAnsi="宋体" w:eastAsia="宋体" w:cs="宋体"/>
                <w:sz w:val="21"/>
                <w:szCs w:val="21"/>
              </w:rPr>
              <w:t>分；</w:t>
            </w:r>
          </w:p>
          <w:p w14:paraId="2DD51140">
            <w:pPr>
              <w:spacing w:line="360" w:lineRule="auto"/>
              <w:rPr>
                <w:rFonts w:hint="eastAsia" w:ascii="宋体" w:hAnsi="宋体" w:eastAsia="宋体" w:cs="宋体"/>
                <w:sz w:val="21"/>
                <w:szCs w:val="21"/>
                <w:lang w:val="zh-CN"/>
              </w:rPr>
            </w:pPr>
            <w:r>
              <w:rPr>
                <w:rFonts w:hint="eastAsia" w:ascii="宋体" w:hAnsi="宋体" w:eastAsia="宋体" w:cs="宋体"/>
                <w:sz w:val="21"/>
                <w:szCs w:val="21"/>
              </w:rPr>
              <w:t>未提供不得分。</w:t>
            </w:r>
          </w:p>
        </w:tc>
      </w:tr>
      <w:tr w14:paraId="23ACC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0" w:type="dxa"/>
            <w:noWrap w:val="0"/>
            <w:vAlign w:val="center"/>
          </w:tcPr>
          <w:p w14:paraId="608433C7">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609" w:type="dxa"/>
            <w:noWrap w:val="0"/>
            <w:vAlign w:val="center"/>
          </w:tcPr>
          <w:p w14:paraId="67781F4F">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效果表达与呈现</w:t>
            </w:r>
          </w:p>
        </w:tc>
        <w:tc>
          <w:tcPr>
            <w:tcW w:w="734" w:type="dxa"/>
            <w:noWrap w:val="0"/>
            <w:vAlign w:val="center"/>
          </w:tcPr>
          <w:p w14:paraId="054AAEF3">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6214" w:type="dxa"/>
            <w:gridSpan w:val="2"/>
            <w:noWrap w:val="0"/>
            <w:vAlign w:val="center"/>
          </w:tcPr>
          <w:p w14:paraId="37AD5695">
            <w:pPr>
              <w:spacing w:line="360" w:lineRule="auto"/>
              <w:jc w:val="left"/>
              <w:rPr>
                <w:rFonts w:hint="eastAsia" w:ascii="宋体" w:hAnsi="宋体" w:eastAsia="宋体" w:cs="宋体"/>
                <w:sz w:val="21"/>
                <w:szCs w:val="21"/>
              </w:rPr>
            </w:pPr>
            <w:r>
              <w:rPr>
                <w:rFonts w:hint="eastAsia" w:ascii="宋体" w:hAnsi="宋体" w:eastAsia="宋体" w:cs="宋体"/>
                <w:sz w:val="21"/>
                <w:szCs w:val="21"/>
              </w:rPr>
              <w:t>方案汇报文件（文本、PPT）的逻辑性、完整性和美观度；效果图、鸟瞰图、剖面图等图纸的表现力与真实感；关键节点方案的深化程度：</w:t>
            </w:r>
          </w:p>
          <w:p w14:paraId="5468022A">
            <w:pPr>
              <w:spacing w:line="360" w:lineRule="auto"/>
              <w:jc w:val="left"/>
              <w:rPr>
                <w:rFonts w:hint="eastAsia" w:ascii="宋体" w:hAnsi="宋体" w:eastAsia="宋体" w:cs="宋体"/>
                <w:sz w:val="21"/>
                <w:szCs w:val="21"/>
              </w:rPr>
            </w:pPr>
            <w:r>
              <w:rPr>
                <w:rFonts w:hint="eastAsia" w:ascii="宋体" w:hAnsi="宋体" w:eastAsia="宋体" w:cs="宋体"/>
                <w:sz w:val="21"/>
                <w:szCs w:val="21"/>
              </w:rPr>
              <w:t>优：表达极具冲击力和感染力，图纸精美、准确、全面，能充分展现设计效果，符合要求得</w:t>
            </w:r>
            <w:r>
              <w:rPr>
                <w:rFonts w:hint="eastAsia" w:ascii="宋体" w:hAnsi="宋体" w:eastAsia="宋体" w:cs="宋体"/>
                <w:sz w:val="21"/>
                <w:szCs w:val="21"/>
                <w:lang w:val="en-US" w:eastAsia="zh-CN"/>
              </w:rPr>
              <w:t>10分</w:t>
            </w:r>
            <w:r>
              <w:rPr>
                <w:rFonts w:hint="eastAsia" w:ascii="宋体" w:hAnsi="宋体" w:eastAsia="宋体" w:cs="宋体"/>
                <w:sz w:val="21"/>
                <w:szCs w:val="21"/>
              </w:rPr>
              <w:t>；</w:t>
            </w:r>
          </w:p>
          <w:p w14:paraId="422239C8">
            <w:pPr>
              <w:spacing w:line="360" w:lineRule="auto"/>
              <w:jc w:val="left"/>
              <w:rPr>
                <w:rFonts w:hint="eastAsia" w:ascii="宋体" w:hAnsi="宋体" w:eastAsia="宋体" w:cs="宋体"/>
                <w:sz w:val="21"/>
                <w:szCs w:val="21"/>
              </w:rPr>
            </w:pPr>
            <w:r>
              <w:rPr>
                <w:rFonts w:hint="eastAsia" w:ascii="宋体" w:hAnsi="宋体" w:eastAsia="宋体" w:cs="宋体"/>
                <w:sz w:val="21"/>
                <w:szCs w:val="21"/>
              </w:rPr>
              <w:t>良：表达清晰，图纸齐全、规范，能较好地展现设计意图，大部分符合要求得</w:t>
            </w:r>
            <w:r>
              <w:rPr>
                <w:rFonts w:hint="eastAsia" w:ascii="宋体" w:hAnsi="宋体" w:eastAsia="宋体" w:cs="宋体"/>
                <w:sz w:val="21"/>
                <w:szCs w:val="21"/>
                <w:lang w:val="en-US" w:eastAsia="zh-CN"/>
              </w:rPr>
              <w:t>8分</w:t>
            </w:r>
            <w:r>
              <w:rPr>
                <w:rFonts w:hint="eastAsia" w:ascii="宋体" w:hAnsi="宋体" w:eastAsia="宋体" w:cs="宋体"/>
                <w:sz w:val="21"/>
                <w:szCs w:val="21"/>
              </w:rPr>
              <w:t>；中：表达基本清晰，图纸基本齐全，但表现力一般，部分符合要求得</w:t>
            </w:r>
            <w:r>
              <w:rPr>
                <w:rFonts w:hint="eastAsia" w:ascii="宋体" w:hAnsi="宋体" w:eastAsia="宋体" w:cs="宋体"/>
                <w:sz w:val="21"/>
                <w:szCs w:val="21"/>
                <w:lang w:val="en-US" w:eastAsia="zh-CN"/>
              </w:rPr>
              <w:t>5分</w:t>
            </w:r>
            <w:r>
              <w:rPr>
                <w:rFonts w:hint="eastAsia" w:ascii="宋体" w:hAnsi="宋体" w:eastAsia="宋体" w:cs="宋体"/>
                <w:sz w:val="21"/>
                <w:szCs w:val="21"/>
              </w:rPr>
              <w:t>；</w:t>
            </w:r>
          </w:p>
          <w:p w14:paraId="68C73F2A">
            <w:pPr>
              <w:spacing w:line="360" w:lineRule="auto"/>
              <w:rPr>
                <w:rFonts w:hint="eastAsia" w:ascii="宋体" w:hAnsi="宋体" w:eastAsia="宋体" w:cs="宋体"/>
                <w:sz w:val="21"/>
                <w:szCs w:val="21"/>
              </w:rPr>
            </w:pPr>
            <w:r>
              <w:rPr>
                <w:rFonts w:hint="eastAsia" w:ascii="宋体" w:hAnsi="宋体" w:eastAsia="宋体" w:cs="宋体"/>
                <w:sz w:val="21"/>
                <w:szCs w:val="21"/>
              </w:rPr>
              <w:t>差：表达混乱，图纸缺失或粗糙，无法有效传达设计，勉强符合要求得</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p w14:paraId="64B8E34D">
            <w:pPr>
              <w:spacing w:line="360" w:lineRule="auto"/>
              <w:rPr>
                <w:rFonts w:hint="eastAsia" w:ascii="宋体" w:hAnsi="宋体" w:eastAsia="宋体" w:cs="宋体"/>
                <w:sz w:val="21"/>
                <w:szCs w:val="21"/>
              </w:rPr>
            </w:pPr>
            <w:r>
              <w:rPr>
                <w:rFonts w:hint="eastAsia" w:ascii="宋体" w:hAnsi="宋体" w:eastAsia="宋体" w:cs="宋体"/>
                <w:sz w:val="21"/>
                <w:szCs w:val="21"/>
              </w:rPr>
              <w:t>未提供不得分。</w:t>
            </w:r>
          </w:p>
        </w:tc>
      </w:tr>
      <w:tr w14:paraId="4709A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0" w:type="dxa"/>
            <w:noWrap w:val="0"/>
            <w:vAlign w:val="center"/>
          </w:tcPr>
          <w:p w14:paraId="2914F6CF">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1609" w:type="dxa"/>
            <w:noWrap w:val="0"/>
            <w:vAlign w:val="center"/>
          </w:tcPr>
          <w:p w14:paraId="53F2C4A3">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施工组织与技术方案</w:t>
            </w:r>
          </w:p>
        </w:tc>
        <w:tc>
          <w:tcPr>
            <w:tcW w:w="734" w:type="dxa"/>
            <w:noWrap w:val="0"/>
            <w:vAlign w:val="center"/>
          </w:tcPr>
          <w:p w14:paraId="4322B606">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6214" w:type="dxa"/>
            <w:gridSpan w:val="2"/>
            <w:noWrap w:val="0"/>
            <w:vAlign w:val="center"/>
          </w:tcPr>
          <w:p w14:paraId="2DF6C380">
            <w:pPr>
              <w:spacing w:line="360" w:lineRule="auto"/>
              <w:jc w:val="left"/>
              <w:rPr>
                <w:rFonts w:hint="eastAsia" w:ascii="宋体" w:hAnsi="宋体" w:eastAsia="宋体" w:cs="宋体"/>
                <w:sz w:val="21"/>
                <w:szCs w:val="21"/>
              </w:rPr>
            </w:pPr>
            <w:r>
              <w:rPr>
                <w:rFonts w:hint="eastAsia" w:ascii="宋体" w:hAnsi="宋体" w:eastAsia="宋体" w:cs="宋体"/>
                <w:sz w:val="21"/>
                <w:szCs w:val="21"/>
              </w:rPr>
              <w:t>施工组织设计的合理性、可行性；关键施工工艺、技术的说明；苗木选型、材料选择的品质要求与合理性；质量、安全、文明施工保证措施：</w:t>
            </w:r>
          </w:p>
          <w:p w14:paraId="13DF4E3E">
            <w:pPr>
              <w:spacing w:line="360" w:lineRule="auto"/>
              <w:jc w:val="left"/>
              <w:rPr>
                <w:rFonts w:hint="eastAsia" w:ascii="宋体" w:hAnsi="宋体" w:eastAsia="宋体" w:cs="宋体"/>
                <w:sz w:val="21"/>
                <w:szCs w:val="21"/>
              </w:rPr>
            </w:pPr>
            <w:r>
              <w:rPr>
                <w:rFonts w:hint="eastAsia" w:ascii="宋体" w:hAnsi="宋体" w:eastAsia="宋体" w:cs="宋体"/>
                <w:sz w:val="21"/>
                <w:szCs w:val="21"/>
              </w:rPr>
              <w:t>优：组织计划周密，技术方案先进可靠，材料选择优质环保，保障措施全面有力，符合要求得</w:t>
            </w:r>
            <w:r>
              <w:rPr>
                <w:rFonts w:hint="eastAsia" w:ascii="宋体" w:hAnsi="宋体" w:eastAsia="宋体" w:cs="宋体"/>
                <w:sz w:val="21"/>
                <w:szCs w:val="21"/>
                <w:lang w:val="en-US" w:eastAsia="zh-CN"/>
              </w:rPr>
              <w:t>10分</w:t>
            </w:r>
            <w:r>
              <w:rPr>
                <w:rFonts w:hint="eastAsia" w:ascii="宋体" w:hAnsi="宋体" w:eastAsia="宋体" w:cs="宋体"/>
                <w:sz w:val="21"/>
                <w:szCs w:val="21"/>
              </w:rPr>
              <w:t>；</w:t>
            </w:r>
          </w:p>
          <w:p w14:paraId="24F79C00">
            <w:pPr>
              <w:spacing w:line="360" w:lineRule="auto"/>
              <w:jc w:val="left"/>
              <w:rPr>
                <w:rFonts w:hint="eastAsia" w:ascii="宋体" w:hAnsi="宋体" w:eastAsia="宋体" w:cs="宋体"/>
                <w:sz w:val="21"/>
                <w:szCs w:val="21"/>
              </w:rPr>
            </w:pPr>
            <w:r>
              <w:rPr>
                <w:rFonts w:hint="eastAsia" w:ascii="宋体" w:hAnsi="宋体" w:eastAsia="宋体" w:cs="宋体"/>
                <w:sz w:val="21"/>
                <w:szCs w:val="21"/>
              </w:rPr>
              <w:t>良：组织计划可行，技术方案合理，材料选择恰当，保障措施齐全，大部分符合要求得</w:t>
            </w:r>
            <w:r>
              <w:rPr>
                <w:rFonts w:hint="eastAsia" w:ascii="宋体" w:hAnsi="宋体" w:eastAsia="宋体" w:cs="宋体"/>
                <w:sz w:val="21"/>
                <w:szCs w:val="21"/>
                <w:lang w:val="en-US" w:eastAsia="zh-CN"/>
              </w:rPr>
              <w:t>8分</w:t>
            </w:r>
            <w:r>
              <w:rPr>
                <w:rFonts w:hint="eastAsia" w:ascii="宋体" w:hAnsi="宋体" w:eastAsia="宋体" w:cs="宋体"/>
                <w:sz w:val="21"/>
                <w:szCs w:val="21"/>
              </w:rPr>
              <w:t>；</w:t>
            </w:r>
          </w:p>
          <w:p w14:paraId="537DEA31">
            <w:pPr>
              <w:spacing w:line="360" w:lineRule="auto"/>
              <w:jc w:val="left"/>
              <w:rPr>
                <w:rFonts w:hint="eastAsia" w:ascii="宋体" w:hAnsi="宋体" w:eastAsia="宋体" w:cs="宋体"/>
                <w:sz w:val="21"/>
                <w:szCs w:val="21"/>
              </w:rPr>
            </w:pPr>
            <w:r>
              <w:rPr>
                <w:rFonts w:hint="eastAsia" w:ascii="宋体" w:hAnsi="宋体" w:eastAsia="宋体" w:cs="宋体"/>
                <w:sz w:val="21"/>
                <w:szCs w:val="21"/>
              </w:rPr>
              <w:t>中：组织计划基本可行，但技术细节不足，保障措施一般，部分符合要求得</w:t>
            </w:r>
            <w:r>
              <w:rPr>
                <w:rFonts w:hint="eastAsia" w:ascii="宋体" w:hAnsi="宋体" w:eastAsia="宋体" w:cs="宋体"/>
                <w:sz w:val="21"/>
                <w:szCs w:val="21"/>
                <w:lang w:val="en-US" w:eastAsia="zh-CN"/>
              </w:rPr>
              <w:t>5分</w:t>
            </w:r>
            <w:r>
              <w:rPr>
                <w:rFonts w:hint="eastAsia" w:ascii="宋体" w:hAnsi="宋体" w:eastAsia="宋体" w:cs="宋体"/>
                <w:sz w:val="21"/>
                <w:szCs w:val="21"/>
              </w:rPr>
              <w:t>；</w:t>
            </w:r>
          </w:p>
          <w:p w14:paraId="4EC7BDBA">
            <w:pPr>
              <w:spacing w:line="360" w:lineRule="auto"/>
              <w:rPr>
                <w:rFonts w:hint="eastAsia" w:ascii="宋体" w:hAnsi="宋体" w:eastAsia="宋体" w:cs="宋体"/>
                <w:sz w:val="21"/>
                <w:szCs w:val="21"/>
              </w:rPr>
            </w:pPr>
            <w:r>
              <w:rPr>
                <w:rFonts w:hint="eastAsia" w:ascii="宋体" w:hAnsi="宋体" w:eastAsia="宋体" w:cs="宋体"/>
                <w:sz w:val="21"/>
                <w:szCs w:val="21"/>
              </w:rPr>
              <w:t>差：组织计划粗糙，技术方案不可行，缺乏有效保障措施，勉强符合要求得</w:t>
            </w:r>
            <w:r>
              <w:rPr>
                <w:rFonts w:hint="eastAsia" w:ascii="宋体" w:hAnsi="宋体" w:eastAsia="宋体" w:cs="宋体"/>
                <w:sz w:val="21"/>
                <w:szCs w:val="21"/>
                <w:lang w:val="en-US" w:eastAsia="zh-CN"/>
              </w:rPr>
              <w:t>3</w:t>
            </w:r>
            <w:r>
              <w:rPr>
                <w:rFonts w:hint="eastAsia" w:ascii="宋体" w:hAnsi="宋体" w:eastAsia="宋体" w:cs="宋体"/>
                <w:sz w:val="21"/>
                <w:szCs w:val="21"/>
              </w:rPr>
              <w:t>分；</w:t>
            </w:r>
          </w:p>
          <w:p w14:paraId="28328BE2">
            <w:pPr>
              <w:spacing w:line="360" w:lineRule="auto"/>
              <w:rPr>
                <w:rFonts w:hint="eastAsia" w:ascii="宋体" w:hAnsi="宋体" w:eastAsia="宋体" w:cs="宋体"/>
                <w:sz w:val="21"/>
                <w:szCs w:val="21"/>
              </w:rPr>
            </w:pPr>
            <w:r>
              <w:rPr>
                <w:rFonts w:hint="eastAsia" w:ascii="宋体" w:hAnsi="宋体" w:eastAsia="宋体" w:cs="宋体"/>
                <w:sz w:val="21"/>
                <w:szCs w:val="21"/>
              </w:rPr>
              <w:t>未提供不得分。</w:t>
            </w:r>
          </w:p>
        </w:tc>
      </w:tr>
      <w:tr w14:paraId="68DE9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431555F5">
            <w:pPr>
              <w:tabs>
                <w:tab w:val="left" w:pos="907"/>
              </w:tabs>
              <w:adjustRightInd/>
              <w:spacing w:line="360" w:lineRule="auto"/>
              <w:ind w:firstLine="422" w:firstLineChars="200"/>
              <w:jc w:val="both"/>
              <w:rPr>
                <w:rFonts w:hint="eastAsia" w:ascii="宋体" w:hAnsi="宋体" w:eastAsia="宋体" w:cs="宋体"/>
                <w:b/>
                <w:sz w:val="21"/>
                <w:szCs w:val="21"/>
              </w:rPr>
            </w:pPr>
            <w:r>
              <w:rPr>
                <w:rFonts w:hint="eastAsia" w:ascii="宋体" w:hAnsi="宋体" w:eastAsia="宋体" w:cs="宋体"/>
                <w:b/>
                <w:sz w:val="21"/>
                <w:szCs w:val="21"/>
              </w:rPr>
              <w:t>注：</w:t>
            </w:r>
          </w:p>
          <w:p w14:paraId="248F6542">
            <w:pPr>
              <w:tabs>
                <w:tab w:val="left" w:pos="907"/>
              </w:tabs>
              <w:adjustRightInd/>
              <w:spacing w:line="360" w:lineRule="auto"/>
              <w:ind w:firstLine="422" w:firstLineChars="200"/>
              <w:jc w:val="both"/>
              <w:rPr>
                <w:rFonts w:hint="eastAsia" w:ascii="宋体" w:hAnsi="宋体" w:eastAsia="宋体" w:cs="宋体"/>
                <w:b/>
                <w:sz w:val="21"/>
                <w:szCs w:val="21"/>
              </w:rPr>
            </w:pPr>
            <w:r>
              <w:rPr>
                <w:rFonts w:hint="eastAsia" w:ascii="宋体" w:hAnsi="宋体" w:eastAsia="宋体" w:cs="宋体"/>
                <w:b/>
                <w:sz w:val="21"/>
                <w:szCs w:val="21"/>
              </w:rPr>
              <w:t>（1）无特殊说明外，以上评审项，同一证明文件不重复计分。</w:t>
            </w:r>
          </w:p>
          <w:p w14:paraId="3B73E9D6">
            <w:pPr>
              <w:tabs>
                <w:tab w:val="left" w:pos="907"/>
              </w:tabs>
              <w:adjustRightInd/>
              <w:spacing w:line="360" w:lineRule="auto"/>
              <w:ind w:firstLine="422" w:firstLineChars="200"/>
              <w:jc w:val="both"/>
              <w:rPr>
                <w:rFonts w:hint="eastAsia" w:ascii="宋体" w:hAnsi="宋体" w:eastAsia="宋体" w:cs="宋体"/>
                <w:sz w:val="21"/>
                <w:szCs w:val="21"/>
              </w:rPr>
            </w:pPr>
            <w:r>
              <w:rPr>
                <w:rFonts w:hint="eastAsia" w:ascii="宋体" w:hAnsi="宋体" w:eastAsia="宋体" w:cs="宋体"/>
                <w:b/>
                <w:sz w:val="21"/>
                <w:szCs w:val="21"/>
              </w:rPr>
              <w:t>（2）供应商根据以上评分要求提供的投标材料因模糊不清导致磋商小组无法清晰辨认进行评审的，视为无效材料。</w:t>
            </w:r>
          </w:p>
        </w:tc>
      </w:tr>
      <w:tr w14:paraId="43771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247" w:type="dxa"/>
            <w:gridSpan w:val="5"/>
            <w:tcBorders>
              <w:top w:val="single" w:color="auto" w:sz="4" w:space="0"/>
              <w:left w:val="single" w:color="auto" w:sz="4" w:space="0"/>
              <w:bottom w:val="single" w:color="auto" w:sz="4" w:space="0"/>
              <w:right w:val="single" w:color="auto" w:sz="4" w:space="0"/>
            </w:tcBorders>
            <w:vAlign w:val="center"/>
          </w:tcPr>
          <w:p w14:paraId="3DB0D20D">
            <w:pPr>
              <w:pStyle w:val="78"/>
              <w:spacing w:line="360" w:lineRule="auto"/>
              <w:ind w:firstLine="0" w:firstLineChars="0"/>
              <w:jc w:val="center"/>
              <w:rPr>
                <w:rFonts w:hint="eastAsia" w:ascii="宋体" w:hAnsi="宋体" w:eastAsia="宋体" w:cs="宋体"/>
                <w:sz w:val="21"/>
                <w:szCs w:val="21"/>
                <w:lang w:val="zh-CN"/>
              </w:rPr>
            </w:pPr>
            <w:r>
              <w:rPr>
                <w:rFonts w:hint="eastAsia" w:ascii="宋体" w:hAnsi="宋体" w:eastAsia="宋体" w:cs="宋体"/>
                <w:b/>
                <w:bCs/>
                <w:sz w:val="21"/>
                <w:szCs w:val="21"/>
              </w:rPr>
              <w:t>价格评审（</w:t>
            </w:r>
            <w:r>
              <w:rPr>
                <w:rFonts w:hint="eastAsia" w:ascii="宋体" w:eastAsia="宋体" w:cs="宋体"/>
                <w:b/>
                <w:bCs/>
                <w:sz w:val="21"/>
                <w:szCs w:val="21"/>
                <w:lang w:val="en-US" w:eastAsia="zh-CN"/>
              </w:rPr>
              <w:t>40</w:t>
            </w:r>
            <w:r>
              <w:rPr>
                <w:rFonts w:hint="eastAsia" w:ascii="宋体" w:hAnsi="宋体" w:eastAsia="宋体" w:cs="宋体"/>
                <w:b/>
                <w:bCs/>
                <w:sz w:val="21"/>
                <w:szCs w:val="21"/>
              </w:rPr>
              <w:t>分）</w:t>
            </w:r>
          </w:p>
        </w:tc>
      </w:tr>
      <w:tr w14:paraId="4B169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9EE8C64">
            <w:pPr>
              <w:pStyle w:val="78"/>
              <w:spacing w:line="360" w:lineRule="auto"/>
              <w:ind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1609" w:type="dxa"/>
            <w:tcBorders>
              <w:top w:val="single" w:color="auto" w:sz="4" w:space="0"/>
              <w:left w:val="single" w:color="auto" w:sz="4" w:space="0"/>
              <w:bottom w:val="single" w:color="auto" w:sz="4" w:space="0"/>
              <w:right w:val="single" w:color="auto" w:sz="4" w:space="0"/>
            </w:tcBorders>
            <w:vAlign w:val="center"/>
          </w:tcPr>
          <w:p w14:paraId="5F8CB10B">
            <w:pPr>
              <w:adjustRightInd/>
              <w:spacing w:line="360" w:lineRule="auto"/>
              <w:jc w:val="center"/>
              <w:rPr>
                <w:rFonts w:hint="eastAsia" w:ascii="宋体" w:hAnsi="宋体" w:eastAsia="宋体" w:cs="宋体"/>
                <w:kern w:val="2"/>
                <w:sz w:val="21"/>
                <w:szCs w:val="21"/>
              </w:rPr>
            </w:pPr>
            <w:r>
              <w:rPr>
                <w:rFonts w:hint="eastAsia" w:ascii="宋体" w:hAnsi="宋体" w:eastAsia="宋体" w:cs="宋体"/>
                <w:kern w:val="0"/>
                <w:sz w:val="21"/>
                <w:szCs w:val="21"/>
              </w:rPr>
              <w:t>价格评分（建安费</w:t>
            </w:r>
            <w:r>
              <w:rPr>
                <w:rFonts w:hint="eastAsia" w:ascii="宋体" w:hAnsi="宋体" w:eastAsia="宋体" w:cs="宋体"/>
                <w:kern w:val="0"/>
                <w:sz w:val="21"/>
                <w:szCs w:val="21"/>
                <w:lang w:val="en-US" w:eastAsia="zh-CN"/>
              </w:rPr>
              <w:t>投标报价</w:t>
            </w:r>
            <w:r>
              <w:rPr>
                <w:rFonts w:hint="eastAsia" w:ascii="宋体" w:hAnsi="宋体" w:eastAsia="宋体" w:cs="宋体"/>
                <w:kern w:val="0"/>
                <w:sz w:val="21"/>
                <w:szCs w:val="21"/>
              </w:rPr>
              <w:t>）</w:t>
            </w:r>
          </w:p>
        </w:tc>
        <w:tc>
          <w:tcPr>
            <w:tcW w:w="734" w:type="dxa"/>
            <w:tcBorders>
              <w:top w:val="single" w:color="auto" w:sz="4" w:space="0"/>
              <w:left w:val="single" w:color="auto" w:sz="4" w:space="0"/>
              <w:bottom w:val="single" w:color="auto" w:sz="4" w:space="0"/>
              <w:right w:val="single" w:color="auto" w:sz="4" w:space="0"/>
            </w:tcBorders>
            <w:vAlign w:val="center"/>
          </w:tcPr>
          <w:p w14:paraId="3370CF3C">
            <w:pPr>
              <w:adjustRightInd/>
              <w:spacing w:line="360" w:lineRule="auto"/>
              <w:jc w:val="center"/>
              <w:rPr>
                <w:rFonts w:hint="eastAsia" w:ascii="宋体" w:hAnsi="宋体" w:eastAsia="宋体" w:cs="宋体"/>
                <w:kern w:val="2"/>
                <w:sz w:val="21"/>
                <w:szCs w:val="21"/>
              </w:rPr>
            </w:pPr>
            <w:r>
              <w:rPr>
                <w:rFonts w:hint="eastAsia" w:hAnsi="宋体" w:cs="宋体"/>
                <w:kern w:val="2"/>
                <w:sz w:val="21"/>
                <w:szCs w:val="21"/>
                <w:lang w:val="en-US" w:eastAsia="zh-CN"/>
              </w:rPr>
              <w:t>40</w:t>
            </w:r>
            <w:r>
              <w:rPr>
                <w:rFonts w:hint="eastAsia" w:ascii="宋体" w:hAnsi="宋体" w:eastAsia="宋体" w:cs="宋体"/>
                <w:kern w:val="2"/>
                <w:sz w:val="21"/>
                <w:szCs w:val="21"/>
              </w:rPr>
              <w:t>分</w:t>
            </w:r>
          </w:p>
        </w:tc>
        <w:tc>
          <w:tcPr>
            <w:tcW w:w="6214" w:type="dxa"/>
            <w:gridSpan w:val="2"/>
            <w:tcBorders>
              <w:top w:val="single" w:color="auto" w:sz="4" w:space="0"/>
              <w:left w:val="single" w:color="auto" w:sz="4" w:space="0"/>
              <w:bottom w:val="single" w:color="auto" w:sz="4" w:space="0"/>
              <w:right w:val="single" w:color="auto" w:sz="4" w:space="0"/>
            </w:tcBorders>
            <w:vAlign w:val="center"/>
          </w:tcPr>
          <w:p w14:paraId="3D38DC20">
            <w:pPr>
              <w:spacing w:line="360" w:lineRule="auto"/>
              <w:rPr>
                <w:rFonts w:hint="eastAsia" w:ascii="宋体" w:hAnsi="宋体" w:eastAsia="宋体" w:cs="宋体"/>
                <w:kern w:val="0"/>
                <w:sz w:val="21"/>
                <w:szCs w:val="21"/>
              </w:rPr>
            </w:pPr>
            <w:r>
              <w:rPr>
                <w:rFonts w:hint="eastAsia" w:ascii="宋体" w:hAnsi="宋体" w:eastAsia="宋体" w:cs="宋体"/>
                <w:kern w:val="0"/>
                <w:sz w:val="21"/>
                <w:szCs w:val="21"/>
              </w:rPr>
              <w:t>进入价格评比</w:t>
            </w:r>
            <w:r>
              <w:rPr>
                <w:rFonts w:hint="eastAsia" w:ascii="宋体" w:hAnsi="宋体" w:eastAsia="宋体" w:cs="宋体"/>
                <w:kern w:val="0"/>
                <w:sz w:val="21"/>
                <w:szCs w:val="21"/>
                <w:lang w:eastAsia="zh-CN"/>
              </w:rPr>
              <w:t>供应商</w:t>
            </w:r>
            <w:r>
              <w:rPr>
                <w:rFonts w:hint="eastAsia" w:ascii="宋体" w:hAnsi="宋体" w:eastAsia="宋体" w:cs="宋体"/>
                <w:kern w:val="0"/>
                <w:sz w:val="21"/>
                <w:szCs w:val="21"/>
              </w:rPr>
              <w:t>的投标报价以低价优先的原则计算，即报价最低的投标报价为评标基准价，该</w:t>
            </w:r>
            <w:r>
              <w:rPr>
                <w:rFonts w:hint="eastAsia" w:ascii="宋体" w:hAnsi="宋体" w:eastAsia="宋体" w:cs="宋体"/>
                <w:kern w:val="0"/>
                <w:sz w:val="21"/>
                <w:szCs w:val="21"/>
                <w:lang w:eastAsia="zh-CN"/>
              </w:rPr>
              <w:t>供应商</w:t>
            </w:r>
            <w:r>
              <w:rPr>
                <w:rFonts w:hint="eastAsia" w:ascii="宋体" w:hAnsi="宋体" w:eastAsia="宋体" w:cs="宋体"/>
                <w:kern w:val="0"/>
                <w:sz w:val="21"/>
                <w:szCs w:val="21"/>
              </w:rPr>
              <w:t>的价格分为满分，价格得分保留小数点后两位数，高于评标基准价的报价得分公式如下：</w:t>
            </w:r>
          </w:p>
          <w:p w14:paraId="49619CA1">
            <w:pPr>
              <w:spacing w:line="360" w:lineRule="auto"/>
              <w:rPr>
                <w:rFonts w:hint="eastAsia" w:ascii="宋体" w:hAnsi="宋体" w:eastAsia="宋体" w:cs="宋体"/>
                <w:kern w:val="0"/>
                <w:sz w:val="21"/>
                <w:szCs w:val="21"/>
              </w:rPr>
            </w:pPr>
            <w:r>
              <w:rPr>
                <w:rFonts w:hint="eastAsia" w:ascii="宋体" w:hAnsi="宋体" w:eastAsia="宋体" w:cs="宋体"/>
                <w:kern w:val="0"/>
                <w:sz w:val="21"/>
                <w:szCs w:val="21"/>
              </w:rPr>
              <w:t>报价得分＝（Y/X）×</w:t>
            </w:r>
            <w:r>
              <w:rPr>
                <w:rFonts w:hint="eastAsia" w:hAnsi="宋体" w:cs="宋体"/>
                <w:kern w:val="0"/>
                <w:sz w:val="21"/>
                <w:szCs w:val="21"/>
                <w:lang w:val="en-US" w:eastAsia="zh-CN"/>
              </w:rPr>
              <w:t>4</w:t>
            </w:r>
            <w:r>
              <w:rPr>
                <w:rFonts w:hint="eastAsia" w:ascii="宋体" w:hAnsi="宋体" w:eastAsia="宋体" w:cs="宋体"/>
                <w:kern w:val="0"/>
                <w:sz w:val="21"/>
                <w:szCs w:val="21"/>
              </w:rPr>
              <w:t>0</w:t>
            </w:r>
          </w:p>
          <w:p w14:paraId="40C2A0A2">
            <w:pPr>
              <w:spacing w:line="360" w:lineRule="auto"/>
              <w:rPr>
                <w:rFonts w:hint="eastAsia" w:ascii="宋体" w:hAnsi="宋体" w:eastAsia="宋体" w:cs="宋体"/>
                <w:kern w:val="0"/>
                <w:sz w:val="21"/>
                <w:szCs w:val="21"/>
              </w:rPr>
            </w:pPr>
            <w:r>
              <w:rPr>
                <w:rFonts w:hint="eastAsia" w:ascii="宋体" w:hAnsi="宋体" w:eastAsia="宋体" w:cs="宋体"/>
                <w:kern w:val="0"/>
                <w:sz w:val="21"/>
                <w:szCs w:val="21"/>
              </w:rPr>
              <w:t>X：进入价格评比的某</w:t>
            </w:r>
            <w:r>
              <w:rPr>
                <w:rFonts w:hint="eastAsia" w:ascii="宋体" w:hAnsi="宋体" w:eastAsia="宋体" w:cs="宋体"/>
                <w:kern w:val="0"/>
                <w:sz w:val="21"/>
                <w:szCs w:val="21"/>
                <w:lang w:eastAsia="zh-CN"/>
              </w:rPr>
              <w:t>供应商</w:t>
            </w:r>
            <w:r>
              <w:rPr>
                <w:rFonts w:hint="eastAsia" w:ascii="宋体" w:hAnsi="宋体" w:eastAsia="宋体" w:cs="宋体"/>
                <w:kern w:val="0"/>
                <w:sz w:val="21"/>
                <w:szCs w:val="21"/>
              </w:rPr>
              <w:t>的报价；</w:t>
            </w:r>
          </w:p>
          <w:p w14:paraId="1FD3D7A3">
            <w:pPr>
              <w:adjustRightInd/>
              <w:spacing w:line="360" w:lineRule="auto"/>
              <w:rPr>
                <w:rFonts w:hint="eastAsia" w:ascii="宋体" w:hAnsi="宋体" w:eastAsia="宋体" w:cs="宋体"/>
                <w:kern w:val="2"/>
                <w:sz w:val="21"/>
                <w:szCs w:val="21"/>
              </w:rPr>
            </w:pPr>
            <w:r>
              <w:rPr>
                <w:rFonts w:hint="eastAsia" w:ascii="宋体" w:hAnsi="宋体" w:eastAsia="宋体" w:cs="宋体"/>
                <w:kern w:val="0"/>
                <w:sz w:val="21"/>
                <w:szCs w:val="21"/>
              </w:rPr>
              <w:t>Y：评标基准价（进入价格评比</w:t>
            </w:r>
            <w:r>
              <w:rPr>
                <w:rFonts w:hint="eastAsia" w:ascii="宋体" w:hAnsi="宋体" w:eastAsia="宋体" w:cs="宋体"/>
                <w:kern w:val="0"/>
                <w:sz w:val="21"/>
                <w:szCs w:val="21"/>
                <w:lang w:eastAsia="zh-CN"/>
              </w:rPr>
              <w:t>供应商</w:t>
            </w:r>
            <w:r>
              <w:rPr>
                <w:rFonts w:hint="eastAsia" w:ascii="宋体" w:hAnsi="宋体" w:eastAsia="宋体" w:cs="宋体"/>
                <w:kern w:val="0"/>
                <w:sz w:val="21"/>
                <w:szCs w:val="21"/>
              </w:rPr>
              <w:t>的最低投标下浮率）。</w:t>
            </w:r>
          </w:p>
        </w:tc>
      </w:tr>
    </w:tbl>
    <w:p w14:paraId="0FC7E0EC">
      <w:pPr>
        <w:widowControl/>
        <w:tabs>
          <w:tab w:val="left" w:pos="907"/>
        </w:tabs>
        <w:snapToGrid w:val="0"/>
        <w:spacing w:line="360" w:lineRule="auto"/>
        <w:rPr>
          <w:rFonts w:hint="eastAsia" w:hAnsi="宋体"/>
          <w:bCs/>
          <w:sz w:val="21"/>
          <w:szCs w:val="21"/>
        </w:rPr>
      </w:pPr>
    </w:p>
    <w:p w14:paraId="593BE843">
      <w:pPr>
        <w:keepNext w:val="0"/>
        <w:keepLines w:val="0"/>
        <w:pageBreakBefore w:val="0"/>
        <w:widowControl/>
        <w:tabs>
          <w:tab w:val="left" w:pos="907"/>
        </w:tabs>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bCs/>
          <w:sz w:val="21"/>
          <w:szCs w:val="21"/>
        </w:rPr>
      </w:pPr>
      <w:r>
        <w:rPr>
          <w:rFonts w:hint="eastAsia" w:hAnsi="宋体"/>
          <w:bCs/>
          <w:sz w:val="21"/>
          <w:szCs w:val="21"/>
        </w:rPr>
        <w:t>注：</w:t>
      </w:r>
    </w:p>
    <w:p w14:paraId="6A4A44E7">
      <w:pPr>
        <w:keepNext w:val="0"/>
        <w:keepLines w:val="0"/>
        <w:pageBreakBefore w:val="0"/>
        <w:widowControl/>
        <w:tabs>
          <w:tab w:val="left" w:pos="907"/>
        </w:tabs>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bCs/>
          <w:sz w:val="21"/>
          <w:szCs w:val="21"/>
        </w:rPr>
      </w:pPr>
      <w:r>
        <w:rPr>
          <w:rFonts w:hint="eastAsia" w:hAnsi="宋体"/>
          <w:bCs/>
          <w:sz w:val="21"/>
          <w:szCs w:val="21"/>
        </w:rPr>
        <w:t>（1）上证明文件均提供加盖公章复印件。</w:t>
      </w:r>
    </w:p>
    <w:p w14:paraId="3E4247B5">
      <w:pPr>
        <w:keepNext w:val="0"/>
        <w:keepLines w:val="0"/>
        <w:pageBreakBefore w:val="0"/>
        <w:widowControl/>
        <w:tabs>
          <w:tab w:val="left" w:pos="907"/>
        </w:tabs>
        <w:kinsoku/>
        <w:wordWrap/>
        <w:overflowPunct/>
        <w:topLinePunct w:val="0"/>
        <w:autoSpaceDE w:val="0"/>
        <w:autoSpaceDN w:val="0"/>
        <w:bidi w:val="0"/>
        <w:adjustRightInd w:val="0"/>
        <w:snapToGrid w:val="0"/>
        <w:spacing w:line="360" w:lineRule="auto"/>
        <w:ind w:firstLine="420" w:firstLineChars="200"/>
        <w:textAlignment w:val="auto"/>
        <w:rPr>
          <w:rFonts w:hint="eastAsia" w:hAnsi="宋体"/>
          <w:bCs/>
          <w:sz w:val="21"/>
          <w:szCs w:val="21"/>
        </w:rPr>
      </w:pPr>
      <w:r>
        <w:rPr>
          <w:rFonts w:hint="eastAsia" w:hAnsi="宋体"/>
          <w:bCs/>
          <w:sz w:val="21"/>
          <w:szCs w:val="21"/>
        </w:rPr>
        <w:t>（2）若开标当日磋商小组需要查看以上证明文件原件，供应商请在接到通知后规定时间内携带原件到达评标会场，接受核查，如因迟到或是其他原因不能携原件到达现场接受检查，其造成的所有后果供应商自行承担。</w:t>
      </w:r>
    </w:p>
    <w:p w14:paraId="0FC5B2EA">
      <w:pPr>
        <w:keepNext w:val="0"/>
        <w:keepLines w:val="0"/>
        <w:pageBreakBefore w:val="0"/>
        <w:widowControl/>
        <w:kinsoku/>
        <w:wordWrap/>
        <w:overflowPunct/>
        <w:topLinePunct w:val="0"/>
        <w:autoSpaceDE w:val="0"/>
        <w:autoSpaceDN w:val="0"/>
        <w:bidi w:val="0"/>
        <w:adjustRightInd w:val="0"/>
        <w:spacing w:line="360" w:lineRule="auto"/>
        <w:ind w:firstLine="420" w:firstLineChars="200"/>
        <w:textAlignment w:val="auto"/>
        <w:rPr>
          <w:rFonts w:hint="eastAsia" w:hAnsi="宋体"/>
          <w:bCs/>
          <w:sz w:val="21"/>
          <w:szCs w:val="21"/>
        </w:rPr>
      </w:pPr>
      <w:r>
        <w:rPr>
          <w:rFonts w:hint="eastAsia" w:hAnsi="宋体"/>
          <w:bCs/>
          <w:sz w:val="21"/>
          <w:szCs w:val="21"/>
        </w:rPr>
        <w:t>（3）若成交将在发放成交通知书前逐一核对核查原件，请勿提供虚假、过期材料，否则将依据相关规定严肃处理。</w:t>
      </w:r>
    </w:p>
    <w:p w14:paraId="2E6D6B6A">
      <w:pPr>
        <w:pStyle w:val="28"/>
        <w:spacing w:line="360" w:lineRule="auto"/>
        <w:ind w:firstLine="422" w:firstLineChars="200"/>
        <w:rPr>
          <w:rFonts w:hint="eastAsia" w:hAnsi="宋体"/>
          <w:b/>
          <w:szCs w:val="21"/>
        </w:rPr>
      </w:pPr>
    </w:p>
    <w:p w14:paraId="36BE8206">
      <w:pPr>
        <w:pStyle w:val="28"/>
        <w:spacing w:line="360" w:lineRule="auto"/>
        <w:ind w:firstLine="422" w:firstLineChars="200"/>
        <w:outlineLvl w:val="0"/>
        <w:rPr>
          <w:rFonts w:hint="eastAsia" w:hAnsi="宋体"/>
          <w:b/>
          <w:szCs w:val="21"/>
        </w:rPr>
      </w:pPr>
      <w:bookmarkStart w:id="169" w:name="_Toc15603"/>
      <w:r>
        <w:rPr>
          <w:rFonts w:hint="eastAsia" w:hAnsi="宋体"/>
          <w:b/>
          <w:szCs w:val="21"/>
        </w:rPr>
        <w:t>四、技术评审</w:t>
      </w:r>
      <w:bookmarkEnd w:id="169"/>
    </w:p>
    <w:p w14:paraId="458EE2B7">
      <w:pPr>
        <w:spacing w:line="360" w:lineRule="auto"/>
        <w:ind w:firstLine="420" w:firstLineChars="200"/>
        <w:rPr>
          <w:rFonts w:hint="eastAsia" w:hAnsi="宋体"/>
          <w:bCs/>
          <w:sz w:val="21"/>
          <w:szCs w:val="21"/>
        </w:rPr>
      </w:pPr>
      <w:r>
        <w:rPr>
          <w:rFonts w:hint="eastAsia" w:hAnsi="宋体"/>
          <w:sz w:val="21"/>
          <w:szCs w:val="21"/>
        </w:rPr>
        <w:t>1.由磋商小组对所有响应文件的技术部分响应和指标进行审核和分析；对响应文件中文字、图纸说明和指标响应进行评分，填写《技术评分表》。</w:t>
      </w:r>
    </w:p>
    <w:p w14:paraId="159C6BB6">
      <w:pPr>
        <w:pStyle w:val="28"/>
        <w:spacing w:line="360" w:lineRule="auto"/>
        <w:ind w:firstLine="420" w:firstLineChars="200"/>
        <w:rPr>
          <w:rFonts w:hint="eastAsia" w:hAnsi="宋体"/>
          <w:szCs w:val="21"/>
        </w:rPr>
      </w:pPr>
      <w:r>
        <w:rPr>
          <w:rFonts w:hint="eastAsia" w:hAnsi="宋体"/>
          <w:szCs w:val="21"/>
        </w:rPr>
        <w:t>2.磋商小组按评标标准独立对技术标进行评审，得出技术标评分。当磋商小组为五人时，在所有评委对同一份响应文件技术标评审的总评分中，去掉一个最高分和一个最低分，计算剩余总评分的算术平均值即为该供应商技术标的最终综合得分；当磋商小组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响应文件技术部分评审的总评分中，去掉一个最高分和一个最低分，计算剩余总评分的算术平均值即为该供应商技术部分的最终综合得分。</w:t>
      </w:r>
    </w:p>
    <w:p w14:paraId="2CDCE7CE">
      <w:pPr>
        <w:pStyle w:val="28"/>
        <w:spacing w:line="360" w:lineRule="auto"/>
        <w:ind w:firstLine="422" w:firstLineChars="200"/>
        <w:rPr>
          <w:rFonts w:hint="eastAsia" w:hAnsi="宋体"/>
          <w:b/>
          <w:szCs w:val="21"/>
        </w:rPr>
      </w:pPr>
    </w:p>
    <w:p w14:paraId="31B596A3">
      <w:pPr>
        <w:pStyle w:val="28"/>
        <w:spacing w:line="360" w:lineRule="auto"/>
        <w:ind w:firstLine="422" w:firstLineChars="200"/>
        <w:outlineLvl w:val="0"/>
        <w:rPr>
          <w:rFonts w:hint="eastAsia" w:hAnsi="宋体"/>
          <w:b/>
          <w:szCs w:val="21"/>
        </w:rPr>
      </w:pPr>
      <w:bookmarkStart w:id="170" w:name="_Toc4394"/>
      <w:r>
        <w:rPr>
          <w:rFonts w:hint="eastAsia" w:hAnsi="宋体"/>
          <w:b/>
          <w:szCs w:val="21"/>
        </w:rPr>
        <w:t>五、商务评审</w:t>
      </w:r>
      <w:bookmarkEnd w:id="170"/>
    </w:p>
    <w:p w14:paraId="1E60CC06">
      <w:pPr>
        <w:pStyle w:val="28"/>
        <w:spacing w:line="360" w:lineRule="auto"/>
        <w:ind w:firstLine="420" w:firstLineChars="200"/>
        <w:rPr>
          <w:rFonts w:hint="eastAsia" w:hAnsi="宋体"/>
          <w:szCs w:val="21"/>
        </w:rPr>
      </w:pPr>
      <w:r>
        <w:rPr>
          <w:rFonts w:hint="eastAsia" w:hAnsi="宋体"/>
          <w:szCs w:val="21"/>
        </w:rPr>
        <w:t>1.由磋商小组评价每个供应商的商务条件，填写《商务评分表》。</w:t>
      </w:r>
    </w:p>
    <w:p w14:paraId="027FCFBC">
      <w:pPr>
        <w:pStyle w:val="28"/>
        <w:spacing w:line="360" w:lineRule="auto"/>
        <w:ind w:firstLine="420" w:firstLineChars="200"/>
        <w:rPr>
          <w:rFonts w:hint="eastAsia" w:hAnsi="宋体"/>
          <w:szCs w:val="21"/>
        </w:rPr>
      </w:pPr>
      <w:r>
        <w:rPr>
          <w:rFonts w:hint="eastAsia" w:hAnsi="宋体"/>
          <w:szCs w:val="21"/>
        </w:rPr>
        <w:t>2.将每一个磋商小组成员的评分汇总，取其算术平均值，为该供应商的商务得分。</w:t>
      </w:r>
    </w:p>
    <w:p w14:paraId="7C5112B2">
      <w:pPr>
        <w:pStyle w:val="28"/>
        <w:spacing w:line="360" w:lineRule="auto"/>
        <w:ind w:firstLine="422" w:firstLineChars="200"/>
        <w:rPr>
          <w:rFonts w:hint="eastAsia" w:hAnsi="宋体"/>
          <w:b/>
          <w:szCs w:val="21"/>
        </w:rPr>
      </w:pPr>
    </w:p>
    <w:p w14:paraId="4D4727BC">
      <w:pPr>
        <w:pStyle w:val="28"/>
        <w:spacing w:line="360" w:lineRule="auto"/>
        <w:ind w:firstLine="422" w:firstLineChars="200"/>
        <w:outlineLvl w:val="0"/>
        <w:rPr>
          <w:rFonts w:hint="eastAsia" w:hAnsi="宋体"/>
          <w:b/>
          <w:szCs w:val="21"/>
        </w:rPr>
      </w:pPr>
      <w:bookmarkStart w:id="171" w:name="_Toc19007"/>
      <w:r>
        <w:rPr>
          <w:rFonts w:hint="eastAsia" w:hAnsi="宋体"/>
          <w:b/>
          <w:szCs w:val="21"/>
        </w:rPr>
        <w:t>六、报价评审</w:t>
      </w:r>
      <w:bookmarkEnd w:id="171"/>
    </w:p>
    <w:p w14:paraId="3DCC2573">
      <w:pPr>
        <w:tabs>
          <w:tab w:val="left" w:pos="1365"/>
        </w:tabs>
        <w:spacing w:line="360" w:lineRule="auto"/>
        <w:ind w:firstLine="420" w:firstLineChars="200"/>
        <w:rPr>
          <w:rFonts w:hint="eastAsia" w:hAnsi="宋体"/>
          <w:sz w:val="21"/>
          <w:szCs w:val="21"/>
        </w:rPr>
      </w:pPr>
      <w:r>
        <w:rPr>
          <w:rFonts w:hint="eastAsia" w:hAnsi="宋体"/>
          <w:sz w:val="21"/>
          <w:szCs w:val="21"/>
        </w:rPr>
        <w:t>1.价格核准：磋商小组对有效供应商的详细报价进行复核，审查是否有计算上的错误或供货范围上的错误。对错误修正的原则如下：</w:t>
      </w:r>
    </w:p>
    <w:p w14:paraId="5BC5718F">
      <w:pPr>
        <w:tabs>
          <w:tab w:val="left" w:pos="1365"/>
          <w:tab w:val="left" w:pos="1470"/>
        </w:tabs>
        <w:spacing w:line="360" w:lineRule="auto"/>
        <w:ind w:firstLine="420" w:firstLineChars="200"/>
        <w:rPr>
          <w:rFonts w:hint="eastAsia" w:hAnsi="宋体"/>
          <w:sz w:val="21"/>
          <w:szCs w:val="21"/>
        </w:rPr>
      </w:pPr>
      <w:r>
        <w:rPr>
          <w:rFonts w:hint="eastAsia" w:hAnsi="宋体"/>
          <w:sz w:val="21"/>
          <w:szCs w:val="21"/>
        </w:rPr>
        <w:t>1.1响应文件的大写金额和小写金额不一致的，以大写金额为准；</w:t>
      </w:r>
    </w:p>
    <w:p w14:paraId="40A27169">
      <w:pPr>
        <w:tabs>
          <w:tab w:val="left" w:pos="1365"/>
          <w:tab w:val="left" w:pos="1470"/>
        </w:tabs>
        <w:spacing w:line="360" w:lineRule="auto"/>
        <w:ind w:firstLine="420" w:firstLineChars="200"/>
        <w:rPr>
          <w:rFonts w:hint="eastAsia" w:hAnsi="宋体"/>
          <w:sz w:val="21"/>
          <w:szCs w:val="21"/>
        </w:rPr>
      </w:pPr>
      <w:r>
        <w:rPr>
          <w:rFonts w:hint="eastAsia" w:hAnsi="宋体"/>
          <w:sz w:val="21"/>
          <w:szCs w:val="21"/>
        </w:rPr>
        <w:t>1.2当单价和数量的乘积与总价不一致时，以单价为准，并修正总价，但单价金额小数点有明显错误的除外；</w:t>
      </w:r>
    </w:p>
    <w:p w14:paraId="32E5A9A7">
      <w:pPr>
        <w:tabs>
          <w:tab w:val="left" w:pos="1365"/>
          <w:tab w:val="left" w:pos="1470"/>
        </w:tabs>
        <w:spacing w:line="360" w:lineRule="auto"/>
        <w:ind w:firstLine="420" w:firstLineChars="200"/>
        <w:rPr>
          <w:rFonts w:hint="eastAsia" w:hAnsi="宋体"/>
          <w:sz w:val="21"/>
          <w:szCs w:val="21"/>
        </w:rPr>
      </w:pPr>
      <w:r>
        <w:rPr>
          <w:rFonts w:hint="eastAsia" w:hAnsi="宋体"/>
          <w:sz w:val="21"/>
          <w:szCs w:val="21"/>
        </w:rPr>
        <w:t>1.3当分项之和与总价不一致时，以单价为准，并修正总价。</w:t>
      </w:r>
    </w:p>
    <w:p w14:paraId="2FAA43B6">
      <w:pPr>
        <w:tabs>
          <w:tab w:val="left" w:pos="1365"/>
        </w:tabs>
        <w:spacing w:line="360" w:lineRule="auto"/>
        <w:ind w:firstLine="420" w:firstLineChars="200"/>
        <w:rPr>
          <w:rFonts w:hint="eastAsia" w:hAnsi="宋体"/>
          <w:sz w:val="21"/>
          <w:szCs w:val="21"/>
        </w:rPr>
      </w:pPr>
      <w:r>
        <w:rPr>
          <w:rFonts w:hint="eastAsia" w:hAnsi="宋体"/>
          <w:sz w:val="21"/>
          <w:szCs w:val="21"/>
        </w:rPr>
        <w:t>2.价格评分：</w:t>
      </w:r>
    </w:p>
    <w:p w14:paraId="31F46101">
      <w:pPr>
        <w:spacing w:line="360" w:lineRule="auto"/>
        <w:ind w:firstLine="420" w:firstLineChars="200"/>
        <w:rPr>
          <w:rFonts w:hint="eastAsia" w:hAnsi="宋体"/>
          <w:sz w:val="21"/>
          <w:szCs w:val="21"/>
        </w:rPr>
      </w:pPr>
      <w:r>
        <w:rPr>
          <w:rFonts w:hint="eastAsia" w:hAnsi="宋体"/>
          <w:sz w:val="21"/>
          <w:szCs w:val="21"/>
        </w:rPr>
        <w:t>将磋商小组修正后的入围供应商的磋商报价，以最后报价最低的供应商的价格（含税报价）为磋商基准价，定基准价的价格评分。其他磋商报价得分＝价格评分×(磋商基准价／最后磋商报价)。由此算出各供应商的报价得分。</w:t>
      </w:r>
    </w:p>
    <w:p w14:paraId="073A2C92">
      <w:pPr>
        <w:pStyle w:val="28"/>
        <w:tabs>
          <w:tab w:val="left" w:pos="1365"/>
        </w:tabs>
        <w:spacing w:line="360" w:lineRule="auto"/>
        <w:ind w:left="16" w:firstLine="422" w:firstLineChars="200"/>
        <w:rPr>
          <w:rFonts w:hint="eastAsia" w:hAnsi="宋体"/>
          <w:b/>
          <w:szCs w:val="21"/>
        </w:rPr>
      </w:pPr>
    </w:p>
    <w:p w14:paraId="5DCCA245">
      <w:pPr>
        <w:pStyle w:val="28"/>
        <w:tabs>
          <w:tab w:val="left" w:pos="1365"/>
        </w:tabs>
        <w:spacing w:line="360" w:lineRule="auto"/>
        <w:ind w:left="16" w:firstLine="422" w:firstLineChars="200"/>
        <w:outlineLvl w:val="0"/>
        <w:rPr>
          <w:rFonts w:hint="eastAsia" w:hAnsi="宋体"/>
          <w:b/>
          <w:szCs w:val="21"/>
        </w:rPr>
      </w:pPr>
      <w:bookmarkStart w:id="172" w:name="_Toc3331"/>
      <w:r>
        <w:rPr>
          <w:rFonts w:hint="eastAsia" w:hAnsi="宋体"/>
          <w:b/>
          <w:szCs w:val="21"/>
        </w:rPr>
        <w:t>七、综合得分的计算</w:t>
      </w:r>
      <w:bookmarkEnd w:id="172"/>
    </w:p>
    <w:p w14:paraId="0E7A2AFA">
      <w:pPr>
        <w:spacing w:line="360" w:lineRule="auto"/>
        <w:ind w:firstLine="420" w:firstLineChars="200"/>
        <w:rPr>
          <w:rFonts w:hint="eastAsia" w:hAnsi="宋体"/>
          <w:sz w:val="21"/>
          <w:szCs w:val="21"/>
        </w:rPr>
      </w:pPr>
      <w:r>
        <w:rPr>
          <w:rFonts w:hint="eastAsia" w:hAnsi="宋体"/>
          <w:sz w:val="21"/>
          <w:szCs w:val="21"/>
        </w:rPr>
        <w:t>1.综合得分=技术评审得分+商务评审得分+磋商报价得分。</w:t>
      </w:r>
    </w:p>
    <w:p w14:paraId="7FCF8099">
      <w:pPr>
        <w:spacing w:line="360" w:lineRule="auto"/>
        <w:ind w:firstLine="420" w:firstLineChars="200"/>
        <w:rPr>
          <w:rFonts w:hint="eastAsia" w:hAnsi="宋体"/>
          <w:sz w:val="21"/>
          <w:szCs w:val="21"/>
        </w:rPr>
      </w:pPr>
      <w:r>
        <w:rPr>
          <w:rFonts w:hint="eastAsia" w:hAnsi="宋体"/>
          <w:sz w:val="21"/>
          <w:szCs w:val="21"/>
        </w:rPr>
        <w:t>2.将综合得分从高到低排出名次，总分第一名为第一成交候选供应商，第二名为第二成交候选供应商，第三名为第三成交候选供应商（综合得分相同的，按磋商报价得分顺序推荐；综合得分相同且磋商报价得分相同的，按技术得分顺序排列）。</w:t>
      </w:r>
    </w:p>
    <w:p w14:paraId="56856E3C">
      <w:pPr>
        <w:rPr>
          <w:lang w:val="zh-CN"/>
        </w:rPr>
      </w:pPr>
    </w:p>
    <w:p w14:paraId="57E2C8FD">
      <w:pPr>
        <w:pStyle w:val="5"/>
        <w:keepNext/>
        <w:keepLines/>
        <w:pageBreakBefore/>
        <w:numPr>
          <w:ilvl w:val="0"/>
          <w:numId w:val="11"/>
        </w:numPr>
        <w:spacing w:line="360" w:lineRule="auto"/>
        <w:jc w:val="center"/>
        <w:rPr>
          <w:rFonts w:hint="eastAsia" w:hAnsi="宋体"/>
          <w:b/>
          <w:bCs/>
        </w:rPr>
      </w:pPr>
      <w:bookmarkStart w:id="173" w:name="_Toc15636"/>
      <w:bookmarkStart w:id="174" w:name="_Toc3360"/>
      <w:bookmarkStart w:id="175" w:name="_Toc396137242"/>
      <w:bookmarkStart w:id="176" w:name="_Toc9129"/>
      <w:bookmarkStart w:id="177" w:name="_Toc8470"/>
      <w:r>
        <w:rPr>
          <w:rFonts w:hint="eastAsia" w:hAnsi="宋体"/>
          <w:b/>
          <w:bCs/>
          <w:kern w:val="44"/>
          <w:sz w:val="28"/>
          <w:szCs w:val="28"/>
          <w:lang w:val="zh-CN"/>
        </w:rPr>
        <w:t>合同条款格式</w:t>
      </w:r>
      <w:bookmarkEnd w:id="173"/>
      <w:bookmarkEnd w:id="174"/>
    </w:p>
    <w:p w14:paraId="1B71CCC0">
      <w:pPr>
        <w:pStyle w:val="62"/>
        <w:ind w:firstLine="0" w:firstLineChars="0"/>
      </w:pPr>
    </w:p>
    <w:p w14:paraId="64652B80">
      <w:pPr>
        <w:pStyle w:val="62"/>
        <w:ind w:firstLine="0" w:firstLineChars="0"/>
      </w:pPr>
    </w:p>
    <w:p w14:paraId="4B2F6061">
      <w:pPr>
        <w:spacing w:line="360" w:lineRule="auto"/>
        <w:jc w:val="center"/>
        <w:rPr>
          <w:rFonts w:hint="eastAsia" w:hAnsi="宋体"/>
          <w:b/>
          <w:sz w:val="52"/>
        </w:rPr>
      </w:pPr>
      <w:r>
        <w:rPr>
          <w:rFonts w:hint="eastAsia" w:hAnsi="宋体"/>
          <w:b/>
          <w:sz w:val="52"/>
          <w:lang w:eastAsia="zh-CN"/>
        </w:rPr>
        <w:t>东莞文旅旗云广场项目外广场氛围提升设计施工承包</w:t>
      </w:r>
      <w:r>
        <w:rPr>
          <w:rFonts w:hint="eastAsia" w:hAnsi="宋体"/>
          <w:b/>
          <w:sz w:val="52"/>
        </w:rPr>
        <w:t>合同</w:t>
      </w:r>
    </w:p>
    <w:p w14:paraId="73914F96">
      <w:pPr>
        <w:pStyle w:val="2"/>
        <w:ind w:left="1680" w:right="1680"/>
        <w:rPr>
          <w:rFonts w:hint="eastAsia" w:hAnsi="宋体"/>
          <w:b w:val="0"/>
          <w:sz w:val="52"/>
        </w:rPr>
      </w:pPr>
    </w:p>
    <w:p w14:paraId="28A73258">
      <w:pPr>
        <w:pStyle w:val="50"/>
        <w:ind w:firstLine="520"/>
        <w:rPr>
          <w:rFonts w:hint="eastAsia" w:hAnsi="宋体"/>
          <w:sz w:val="52"/>
        </w:rPr>
      </w:pPr>
    </w:p>
    <w:p w14:paraId="31430F65">
      <w:pPr>
        <w:pStyle w:val="50"/>
        <w:ind w:firstLine="520"/>
        <w:rPr>
          <w:rFonts w:hint="eastAsia" w:hAnsi="宋体"/>
          <w:sz w:val="52"/>
        </w:rPr>
      </w:pPr>
    </w:p>
    <w:p w14:paraId="799C0689">
      <w:pPr>
        <w:pStyle w:val="50"/>
        <w:ind w:firstLine="520"/>
        <w:rPr>
          <w:rFonts w:hint="eastAsia" w:hAnsi="宋体"/>
          <w:sz w:val="52"/>
        </w:rPr>
      </w:pPr>
    </w:p>
    <w:p w14:paraId="71B3B42C">
      <w:pPr>
        <w:pStyle w:val="2"/>
        <w:spacing w:before="10"/>
        <w:ind w:left="1680" w:right="1680"/>
        <w:rPr>
          <w:rFonts w:hint="eastAsia" w:hAnsi="宋体"/>
          <w:b w:val="0"/>
          <w:sz w:val="60"/>
        </w:rPr>
      </w:pPr>
    </w:p>
    <w:p w14:paraId="1613E64F">
      <w:pPr>
        <w:spacing w:line="360" w:lineRule="auto"/>
        <w:ind w:left="991" w:leftChars="413"/>
        <w:rPr>
          <w:rFonts w:hint="eastAsia" w:eastAsia="宋体"/>
          <w:b/>
          <w:sz w:val="28"/>
          <w:szCs w:val="28"/>
          <w:u w:val="single"/>
          <w:lang w:eastAsia="zh-CN"/>
        </w:rPr>
      </w:pPr>
      <w:r>
        <w:rPr>
          <w:rFonts w:hint="eastAsia"/>
          <w:b/>
          <w:sz w:val="28"/>
          <w:szCs w:val="28"/>
        </w:rPr>
        <w:t>项目名称：</w:t>
      </w:r>
      <w:r>
        <w:rPr>
          <w:rFonts w:hint="eastAsia"/>
          <w:b/>
          <w:sz w:val="28"/>
          <w:szCs w:val="28"/>
          <w:u w:val="single"/>
          <w:lang w:eastAsia="zh-CN"/>
        </w:rPr>
        <w:t>东莞文旅旗云广场项目外广场氛围提升设计施工承包</w:t>
      </w:r>
    </w:p>
    <w:p w14:paraId="147734F3">
      <w:pPr>
        <w:spacing w:line="360" w:lineRule="auto"/>
        <w:ind w:left="991" w:leftChars="413"/>
        <w:rPr>
          <w:rFonts w:hint="default"/>
          <w:b/>
          <w:sz w:val="28"/>
          <w:szCs w:val="28"/>
          <w:u w:val="single"/>
          <w:lang w:val="en-US"/>
        </w:rPr>
      </w:pPr>
      <w:r>
        <w:rPr>
          <w:rFonts w:hint="eastAsia"/>
          <w:b/>
          <w:sz w:val="28"/>
          <w:szCs w:val="28"/>
        </w:rPr>
        <w:t>项目地点：</w:t>
      </w:r>
      <w:r>
        <w:rPr>
          <w:rFonts w:hint="eastAsia"/>
          <w:b/>
          <w:sz w:val="28"/>
          <w:szCs w:val="28"/>
          <w:u w:val="single"/>
          <w:lang w:val="en-US" w:eastAsia="zh-CN"/>
        </w:rPr>
        <w:t>东莞市旗云广场项目（广东省东莞市石龙镇西湖环湖中路28号）</w:t>
      </w:r>
    </w:p>
    <w:p w14:paraId="3C37165C">
      <w:pPr>
        <w:spacing w:line="360" w:lineRule="auto"/>
        <w:ind w:left="991" w:leftChars="413"/>
        <w:rPr>
          <w:rFonts w:hint="eastAsia"/>
          <w:b/>
          <w:sz w:val="28"/>
          <w:szCs w:val="28"/>
        </w:rPr>
      </w:pPr>
      <w:r>
        <w:rPr>
          <w:rFonts w:hint="eastAsia"/>
          <w:b/>
          <w:sz w:val="28"/>
          <w:szCs w:val="28"/>
        </w:rPr>
        <w:t>甲方（建设单位）：</w:t>
      </w:r>
      <w:r>
        <w:rPr>
          <w:b/>
          <w:sz w:val="28"/>
          <w:szCs w:val="28"/>
          <w:u w:val="single"/>
        </w:rPr>
        <w:t xml:space="preserve"> </w:t>
      </w:r>
      <w:r>
        <w:rPr>
          <w:rFonts w:hint="eastAsia"/>
          <w:b/>
          <w:sz w:val="28"/>
          <w:szCs w:val="28"/>
          <w:u w:val="single"/>
          <w:lang w:eastAsia="zh-CN"/>
        </w:rPr>
        <w:t>东莞文旅有限公司</w:t>
      </w:r>
      <w:r>
        <w:rPr>
          <w:b/>
          <w:sz w:val="28"/>
          <w:szCs w:val="28"/>
          <w:u w:val="single"/>
        </w:rPr>
        <w:t xml:space="preserve">  </w:t>
      </w:r>
      <w:r>
        <w:rPr>
          <w:rFonts w:hint="eastAsia"/>
          <w:b/>
          <w:sz w:val="28"/>
          <w:szCs w:val="28"/>
        </w:rPr>
        <w:t>（公章）</w:t>
      </w:r>
    </w:p>
    <w:p w14:paraId="07B4CD1E">
      <w:pPr>
        <w:spacing w:line="360" w:lineRule="auto"/>
        <w:ind w:left="991" w:leftChars="413"/>
        <w:rPr>
          <w:rFonts w:hint="eastAsia"/>
          <w:b/>
          <w:sz w:val="28"/>
          <w:szCs w:val="28"/>
        </w:rPr>
      </w:pPr>
      <w:r>
        <w:rPr>
          <w:rFonts w:hint="eastAsia"/>
          <w:b/>
          <w:sz w:val="28"/>
          <w:szCs w:val="28"/>
          <w:lang w:val="en-US" w:eastAsia="zh-CN"/>
        </w:rPr>
        <w:t>乙方（承包单位）：</w:t>
      </w:r>
      <w:r>
        <w:rPr>
          <w:b/>
          <w:sz w:val="28"/>
          <w:szCs w:val="28"/>
          <w:u w:val="single"/>
        </w:rPr>
        <w:t xml:space="preserve"> </w:t>
      </w:r>
      <w:r>
        <w:rPr>
          <w:rFonts w:hint="eastAsia"/>
          <w:b/>
          <w:sz w:val="28"/>
          <w:szCs w:val="28"/>
          <w:u w:val="single"/>
          <w:lang w:val="en-US" w:eastAsia="zh-CN"/>
        </w:rPr>
        <w:t xml:space="preserve">             </w:t>
      </w:r>
      <w:r>
        <w:rPr>
          <w:b/>
          <w:sz w:val="28"/>
          <w:szCs w:val="28"/>
          <w:u w:val="single"/>
        </w:rPr>
        <w:t xml:space="preserve">  </w:t>
      </w:r>
      <w:r>
        <w:rPr>
          <w:rFonts w:hint="eastAsia"/>
          <w:b/>
          <w:sz w:val="28"/>
          <w:szCs w:val="28"/>
        </w:rPr>
        <w:t>（公章）</w:t>
      </w:r>
    </w:p>
    <w:p w14:paraId="42F32A57">
      <w:pPr>
        <w:spacing w:line="360" w:lineRule="auto"/>
        <w:ind w:left="991" w:leftChars="413"/>
        <w:rPr>
          <w:b/>
          <w:sz w:val="28"/>
          <w:szCs w:val="28"/>
          <w:u w:val="single"/>
        </w:rPr>
      </w:pPr>
      <w:r>
        <w:rPr>
          <w:rFonts w:hint="eastAsia"/>
          <w:b/>
          <w:sz w:val="28"/>
          <w:szCs w:val="28"/>
        </w:rPr>
        <w:t>签订日期：</w:t>
      </w:r>
      <w:r>
        <w:rPr>
          <w:rFonts w:hint="eastAsia"/>
          <w:b/>
          <w:sz w:val="28"/>
          <w:szCs w:val="28"/>
          <w:u w:val="single"/>
        </w:rPr>
        <w:t xml:space="preserve">      年  </w:t>
      </w:r>
      <w:r>
        <w:rPr>
          <w:b/>
          <w:sz w:val="28"/>
          <w:szCs w:val="28"/>
          <w:u w:val="single"/>
        </w:rPr>
        <w:t xml:space="preserve"> </w:t>
      </w:r>
      <w:r>
        <w:rPr>
          <w:rFonts w:hint="eastAsia"/>
          <w:b/>
          <w:sz w:val="28"/>
          <w:szCs w:val="28"/>
          <w:u w:val="single"/>
        </w:rPr>
        <w:t>月   日</w:t>
      </w:r>
    </w:p>
    <w:p w14:paraId="05AC3422">
      <w:pPr>
        <w:spacing w:line="360" w:lineRule="auto"/>
        <w:ind w:left="991" w:leftChars="413"/>
        <w:rPr>
          <w:b/>
          <w:sz w:val="28"/>
          <w:szCs w:val="28"/>
          <w:u w:val="single"/>
        </w:rPr>
      </w:pPr>
      <w:r>
        <w:rPr>
          <w:rFonts w:hint="eastAsia"/>
          <w:b/>
          <w:sz w:val="28"/>
          <w:szCs w:val="28"/>
        </w:rPr>
        <w:t>签订地点：</w:t>
      </w:r>
      <w:r>
        <w:rPr>
          <w:rFonts w:hint="eastAsia"/>
          <w:b/>
          <w:sz w:val="28"/>
          <w:szCs w:val="28"/>
          <w:u w:val="single"/>
        </w:rPr>
        <w:t>东莞市</w:t>
      </w:r>
    </w:p>
    <w:p w14:paraId="529E694F">
      <w:pPr>
        <w:pStyle w:val="62"/>
        <w:ind w:firstLine="0" w:firstLineChars="0"/>
      </w:pPr>
    </w:p>
    <w:p w14:paraId="45B1A5B8">
      <w:pPr>
        <w:pStyle w:val="62"/>
        <w:ind w:firstLine="0" w:firstLineChars="0"/>
      </w:pPr>
    </w:p>
    <w:p w14:paraId="00857F26">
      <w:pPr>
        <w:widowControl/>
        <w:autoSpaceDE/>
        <w:autoSpaceDN/>
        <w:adjustRightInd/>
        <w:rPr>
          <w:rFonts w:hint="eastAsia" w:hAnsi="宋体"/>
          <w:b/>
          <w:bCs/>
          <w:sz w:val="21"/>
          <w:szCs w:val="21"/>
        </w:rPr>
      </w:pPr>
      <w:r>
        <w:rPr>
          <w:rFonts w:hint="eastAsia" w:hAnsi="宋体"/>
          <w:b/>
          <w:bCs/>
          <w:sz w:val="21"/>
          <w:szCs w:val="21"/>
        </w:rPr>
        <w:br w:type="page"/>
      </w:r>
    </w:p>
    <w:p w14:paraId="29788D27">
      <w:pPr>
        <w:widowControl/>
        <w:jc w:val="center"/>
        <w:rPr>
          <w:b/>
          <w:bCs/>
          <w:sz w:val="36"/>
          <w:szCs w:val="36"/>
        </w:rPr>
      </w:pPr>
      <w:r>
        <w:rPr>
          <w:rFonts w:hint="eastAsia"/>
          <w:b/>
          <w:bCs/>
          <w:sz w:val="36"/>
          <w:szCs w:val="36"/>
          <w:lang w:eastAsia="zh-CN"/>
        </w:rPr>
        <w:t>东莞文旅旗云广场项目外广场氛围提升设计施工承包</w:t>
      </w:r>
      <w:r>
        <w:rPr>
          <w:rFonts w:hint="eastAsia"/>
          <w:b/>
          <w:bCs/>
          <w:sz w:val="36"/>
          <w:szCs w:val="36"/>
        </w:rPr>
        <w:t>合同</w:t>
      </w:r>
    </w:p>
    <w:p w14:paraId="10CBCE2A">
      <w:pPr>
        <w:spacing w:line="360" w:lineRule="auto"/>
        <w:rPr>
          <w:rFonts w:hint="eastAsia" w:hAnsi="宋体"/>
          <w:sz w:val="21"/>
          <w:szCs w:val="21"/>
        </w:rPr>
      </w:pPr>
    </w:p>
    <w:p w14:paraId="17FA1C4C">
      <w:pPr>
        <w:spacing w:line="560" w:lineRule="exact"/>
        <w:rPr>
          <w:sz w:val="21"/>
          <w:szCs w:val="21"/>
        </w:rPr>
      </w:pPr>
      <w:r>
        <w:rPr>
          <w:sz w:val="21"/>
          <w:szCs w:val="21"/>
        </w:rPr>
        <w:t>甲方：</w:t>
      </w:r>
      <w:r>
        <w:rPr>
          <w:rFonts w:hint="eastAsia"/>
          <w:sz w:val="21"/>
          <w:szCs w:val="21"/>
        </w:rPr>
        <w:t>东莞文旅有限公司</w:t>
      </w:r>
    </w:p>
    <w:p w14:paraId="18BE2D26">
      <w:pPr>
        <w:spacing w:line="560" w:lineRule="exact"/>
        <w:rPr>
          <w:sz w:val="21"/>
          <w:szCs w:val="21"/>
        </w:rPr>
      </w:pPr>
      <w:r>
        <w:rPr>
          <w:sz w:val="21"/>
          <w:szCs w:val="21"/>
        </w:rPr>
        <w:t xml:space="preserve">联系人：    </w:t>
      </w:r>
    </w:p>
    <w:p w14:paraId="095A780B">
      <w:pPr>
        <w:spacing w:line="560" w:lineRule="exact"/>
        <w:rPr>
          <w:sz w:val="21"/>
          <w:szCs w:val="21"/>
        </w:rPr>
      </w:pPr>
      <w:r>
        <w:rPr>
          <w:sz w:val="21"/>
          <w:szCs w:val="21"/>
        </w:rPr>
        <w:t xml:space="preserve">电话：              </w:t>
      </w:r>
      <w:r>
        <w:rPr>
          <w:rFonts w:hint="eastAsia"/>
          <w:sz w:val="21"/>
          <w:szCs w:val="21"/>
        </w:rPr>
        <w:t xml:space="preserve">               </w:t>
      </w:r>
      <w:r>
        <w:rPr>
          <w:sz w:val="21"/>
          <w:szCs w:val="21"/>
        </w:rPr>
        <w:t xml:space="preserve">地址： </w:t>
      </w:r>
    </w:p>
    <w:p w14:paraId="265A67C2">
      <w:pPr>
        <w:spacing w:line="560" w:lineRule="exact"/>
        <w:rPr>
          <w:sz w:val="21"/>
          <w:szCs w:val="21"/>
        </w:rPr>
      </w:pPr>
      <w:r>
        <w:rPr>
          <w:sz w:val="21"/>
          <w:szCs w:val="21"/>
        </w:rPr>
        <w:t xml:space="preserve">乙方：            </w:t>
      </w:r>
      <w:r>
        <w:rPr>
          <w:rFonts w:hint="eastAsia"/>
          <w:sz w:val="21"/>
          <w:szCs w:val="21"/>
        </w:rPr>
        <w:t xml:space="preserve">               </w:t>
      </w:r>
      <w:r>
        <w:rPr>
          <w:sz w:val="21"/>
          <w:szCs w:val="21"/>
        </w:rPr>
        <w:t xml:space="preserve"> </w:t>
      </w:r>
      <w:r>
        <w:rPr>
          <w:rFonts w:hint="eastAsia"/>
          <w:sz w:val="21"/>
          <w:szCs w:val="21"/>
        </w:rPr>
        <w:t xml:space="preserve"> </w:t>
      </w:r>
    </w:p>
    <w:p w14:paraId="44A7D0DC">
      <w:pPr>
        <w:spacing w:line="560" w:lineRule="exact"/>
        <w:rPr>
          <w:sz w:val="21"/>
          <w:szCs w:val="21"/>
        </w:rPr>
      </w:pPr>
      <w:r>
        <w:rPr>
          <w:sz w:val="21"/>
          <w:szCs w:val="21"/>
        </w:rPr>
        <w:t xml:space="preserve">联系人：       </w:t>
      </w:r>
    </w:p>
    <w:p w14:paraId="354D7D59">
      <w:pPr>
        <w:spacing w:line="560" w:lineRule="exact"/>
        <w:rPr>
          <w:sz w:val="21"/>
          <w:szCs w:val="21"/>
        </w:rPr>
      </w:pPr>
      <w:r>
        <w:rPr>
          <w:sz w:val="21"/>
          <w:szCs w:val="21"/>
        </w:rPr>
        <w:t xml:space="preserve">电话：           </w:t>
      </w:r>
      <w:r>
        <w:rPr>
          <w:rFonts w:hint="eastAsia"/>
          <w:sz w:val="21"/>
          <w:szCs w:val="21"/>
        </w:rPr>
        <w:t xml:space="preserve">                </w:t>
      </w:r>
      <w:r>
        <w:rPr>
          <w:sz w:val="21"/>
          <w:szCs w:val="21"/>
        </w:rPr>
        <w:t xml:space="preserve"> </w:t>
      </w:r>
      <w:r>
        <w:rPr>
          <w:rFonts w:hint="eastAsia"/>
          <w:sz w:val="21"/>
          <w:szCs w:val="21"/>
        </w:rPr>
        <w:t xml:space="preserve"> </w:t>
      </w:r>
      <w:r>
        <w:rPr>
          <w:sz w:val="21"/>
          <w:szCs w:val="21"/>
        </w:rPr>
        <w:t xml:space="preserve">地址：               </w:t>
      </w:r>
    </w:p>
    <w:p w14:paraId="257408E5">
      <w:pPr>
        <w:spacing w:line="560" w:lineRule="exact"/>
        <w:ind w:firstLine="420" w:firstLineChars="200"/>
        <w:rPr>
          <w:sz w:val="21"/>
          <w:szCs w:val="21"/>
        </w:rPr>
      </w:pPr>
    </w:p>
    <w:p w14:paraId="6E1A6090">
      <w:pPr>
        <w:spacing w:line="560" w:lineRule="exact"/>
        <w:ind w:firstLine="420" w:firstLineChars="200"/>
        <w:rPr>
          <w:rFonts w:hint="eastAsia" w:ascii="宋体" w:hAnsi="宋体" w:cs="宋体"/>
          <w:sz w:val="21"/>
          <w:szCs w:val="21"/>
        </w:rPr>
      </w:pPr>
      <w:r>
        <w:rPr>
          <w:rFonts w:hint="eastAsia" w:ascii="宋体" w:hAnsi="宋体" w:cs="宋体"/>
          <w:sz w:val="21"/>
          <w:szCs w:val="21"/>
        </w:rPr>
        <w:t>受甲方委托，</w:t>
      </w:r>
      <w:r>
        <w:rPr>
          <w:rFonts w:hint="eastAsia" w:ascii="宋体" w:hAnsi="宋体" w:cs="宋体"/>
          <w:sz w:val="21"/>
          <w:szCs w:val="21"/>
          <w:u w:val="single"/>
        </w:rPr>
        <w:t>广东洲际招标代理有限公司</w:t>
      </w:r>
      <w:r>
        <w:rPr>
          <w:rFonts w:hint="eastAsia" w:ascii="宋体" w:hAnsi="宋体" w:cs="宋体"/>
          <w:sz w:val="21"/>
          <w:szCs w:val="21"/>
        </w:rPr>
        <w:t>(采购代理机构)组织对</w:t>
      </w:r>
      <w:r>
        <w:rPr>
          <w:rFonts w:hint="eastAsia" w:ascii="宋体" w:hAnsi="宋体" w:cs="宋体"/>
          <w:sz w:val="21"/>
          <w:szCs w:val="21"/>
          <w:u w:val="single"/>
        </w:rPr>
        <w:t>东莞文旅旗云广场项目外广场氛围提升设计施工承包</w:t>
      </w:r>
      <w:r>
        <w:rPr>
          <w:rFonts w:hint="eastAsia" w:ascii="宋体" w:hAnsi="宋体" w:cs="宋体"/>
          <w:sz w:val="21"/>
          <w:szCs w:val="21"/>
        </w:rPr>
        <w:t>采购项目（采购编为</w:t>
      </w:r>
      <w:r>
        <w:rPr>
          <w:rFonts w:hint="eastAsia" w:ascii="宋体" w:hAnsi="宋体" w:cs="宋体"/>
          <w:sz w:val="21"/>
          <w:szCs w:val="21"/>
          <w:u w:val="single"/>
        </w:rPr>
        <w:t>DSSG-GC-017-057(2025)</w:t>
      </w:r>
      <w:r>
        <w:rPr>
          <w:rFonts w:hint="eastAsia" w:ascii="宋体" w:hAnsi="宋体" w:cs="宋体"/>
          <w:sz w:val="21"/>
          <w:szCs w:val="21"/>
        </w:rPr>
        <w:t>）进行采购，于</w:t>
      </w:r>
      <w:r>
        <w:rPr>
          <w:rFonts w:hint="eastAsia" w:ascii="宋体" w:hAnsi="宋体" w:cs="宋体"/>
          <w:sz w:val="21"/>
          <w:szCs w:val="21"/>
          <w:u w:val="single"/>
        </w:rPr>
        <w:t xml:space="preserve">    </w:t>
      </w:r>
      <w:r>
        <w:rPr>
          <w:rFonts w:hint="eastAsia" w:ascii="宋体" w:hAnsi="宋体" w:cs="宋体"/>
          <w:sz w:val="21"/>
          <w:szCs w:val="21"/>
        </w:rPr>
        <w:t>年</w:t>
      </w:r>
      <w:r>
        <w:rPr>
          <w:rFonts w:hint="eastAsia" w:ascii="宋体" w:hAnsi="宋体" w:cs="宋体"/>
          <w:sz w:val="21"/>
          <w:szCs w:val="21"/>
          <w:u w:val="single"/>
        </w:rPr>
        <w:t xml:space="preserve">  </w:t>
      </w:r>
      <w:r>
        <w:rPr>
          <w:rFonts w:hint="eastAsia" w:ascii="宋体" w:hAnsi="宋体" w:cs="宋体"/>
          <w:sz w:val="21"/>
          <w:szCs w:val="21"/>
        </w:rPr>
        <w:t>月</w:t>
      </w:r>
      <w:r>
        <w:rPr>
          <w:rFonts w:hint="eastAsia" w:ascii="宋体" w:hAnsi="宋体" w:cs="宋体"/>
          <w:sz w:val="21"/>
          <w:szCs w:val="21"/>
          <w:u w:val="single"/>
        </w:rPr>
        <w:t xml:space="preserve">  </w:t>
      </w:r>
      <w:r>
        <w:rPr>
          <w:rFonts w:hint="eastAsia" w:ascii="宋体" w:hAnsi="宋体" w:cs="宋体"/>
          <w:sz w:val="21"/>
          <w:szCs w:val="21"/>
        </w:rPr>
        <w:t>日通过公开招标采购方式，经评标委员会评定乙方</w:t>
      </w:r>
      <w:r>
        <w:rPr>
          <w:rFonts w:hint="eastAsia" w:ascii="宋体" w:hAnsi="宋体" w:cs="宋体"/>
          <w:sz w:val="21"/>
          <w:szCs w:val="21"/>
          <w:u w:val="single"/>
        </w:rPr>
        <w:t xml:space="preserve">    </w:t>
      </w:r>
      <w:r>
        <w:rPr>
          <w:rFonts w:hint="eastAsia" w:ascii="宋体" w:hAnsi="宋体" w:cs="宋体"/>
          <w:sz w:val="21"/>
          <w:szCs w:val="21"/>
        </w:rPr>
        <w:t>为该项目的中标人。为了保护甲乙双方合法权益，根据《中华人民共和国招标投标法》及《中华人民共和国民法典》，在平等自愿的基础上，按照下面的条款和条件，签署本合同。</w:t>
      </w:r>
    </w:p>
    <w:p w14:paraId="28AA13AB">
      <w:pPr>
        <w:spacing w:line="560" w:lineRule="exact"/>
        <w:ind w:firstLine="422" w:firstLineChars="200"/>
        <w:rPr>
          <w:sz w:val="21"/>
          <w:szCs w:val="21"/>
        </w:rPr>
      </w:pPr>
      <w:r>
        <w:rPr>
          <w:b/>
          <w:bCs/>
          <w:sz w:val="21"/>
          <w:szCs w:val="21"/>
        </w:rPr>
        <w:t>第一条</w:t>
      </w:r>
      <w:r>
        <w:rPr>
          <w:sz w:val="21"/>
          <w:szCs w:val="21"/>
        </w:rPr>
        <w:t xml:space="preserve"> </w:t>
      </w:r>
      <w:r>
        <w:rPr>
          <w:b/>
          <w:bCs/>
          <w:sz w:val="21"/>
          <w:szCs w:val="21"/>
        </w:rPr>
        <w:t>项目名称</w:t>
      </w:r>
      <w:r>
        <w:rPr>
          <w:sz w:val="21"/>
          <w:szCs w:val="21"/>
        </w:rPr>
        <w:t>：</w:t>
      </w:r>
      <w:r>
        <w:rPr>
          <w:rFonts w:hint="eastAsia"/>
          <w:sz w:val="21"/>
          <w:szCs w:val="21"/>
          <w:u w:val="single"/>
        </w:rPr>
        <w:t>东莞文旅旗云广场项目外广场氛围提升设计施工承包</w:t>
      </w:r>
      <w:r>
        <w:rPr>
          <w:sz w:val="21"/>
          <w:szCs w:val="21"/>
        </w:rPr>
        <w:t>，各项施工内容及报价详见合同附件。</w:t>
      </w:r>
    </w:p>
    <w:p w14:paraId="686EACE4">
      <w:pPr>
        <w:spacing w:line="560" w:lineRule="exact"/>
        <w:ind w:firstLine="422" w:firstLineChars="200"/>
        <w:rPr>
          <w:sz w:val="21"/>
          <w:szCs w:val="21"/>
        </w:rPr>
      </w:pPr>
      <w:r>
        <w:rPr>
          <w:b/>
          <w:bCs/>
          <w:sz w:val="21"/>
          <w:szCs w:val="21"/>
        </w:rPr>
        <w:t>第二条 施工地点</w:t>
      </w:r>
      <w:r>
        <w:rPr>
          <w:sz w:val="21"/>
          <w:szCs w:val="21"/>
        </w:rPr>
        <w:t>：东莞市</w:t>
      </w:r>
      <w:r>
        <w:rPr>
          <w:rFonts w:hint="eastAsia"/>
          <w:sz w:val="21"/>
          <w:szCs w:val="21"/>
          <w:lang w:val="en-US" w:eastAsia="zh-CN"/>
        </w:rPr>
        <w:t xml:space="preserve">     </w:t>
      </w:r>
      <w:r>
        <w:rPr>
          <w:sz w:val="21"/>
          <w:szCs w:val="21"/>
        </w:rPr>
        <w:t xml:space="preserve">                    </w:t>
      </w:r>
    </w:p>
    <w:p w14:paraId="3A1930D9">
      <w:pPr>
        <w:spacing w:line="560" w:lineRule="exact"/>
        <w:ind w:firstLine="422" w:firstLineChars="200"/>
        <w:rPr>
          <w:sz w:val="21"/>
          <w:szCs w:val="21"/>
        </w:rPr>
      </w:pPr>
      <w:r>
        <w:rPr>
          <w:b/>
          <w:bCs/>
          <w:sz w:val="21"/>
          <w:szCs w:val="21"/>
        </w:rPr>
        <w:t>第三条</w:t>
      </w:r>
      <w:r>
        <w:rPr>
          <w:sz w:val="21"/>
          <w:szCs w:val="21"/>
        </w:rPr>
        <w:t xml:space="preserve"> </w:t>
      </w:r>
      <w:r>
        <w:rPr>
          <w:rFonts w:hint="eastAsia"/>
          <w:b/>
          <w:bCs/>
          <w:sz w:val="21"/>
          <w:szCs w:val="21"/>
        </w:rPr>
        <w:t>完工</w:t>
      </w:r>
      <w:r>
        <w:rPr>
          <w:b/>
          <w:bCs/>
          <w:sz w:val="21"/>
          <w:szCs w:val="21"/>
        </w:rPr>
        <w:t>期</w:t>
      </w:r>
      <w:r>
        <w:rPr>
          <w:sz w:val="21"/>
          <w:szCs w:val="21"/>
        </w:rPr>
        <w:t>：本项目总施工期为</w:t>
      </w:r>
      <w:r>
        <w:rPr>
          <w:sz w:val="21"/>
          <w:szCs w:val="21"/>
          <w:u w:val="single"/>
        </w:rPr>
        <w:t xml:space="preserve">     </w:t>
      </w:r>
      <w:r>
        <w:rPr>
          <w:rFonts w:hint="eastAsia"/>
          <w:sz w:val="21"/>
          <w:szCs w:val="21"/>
        </w:rPr>
        <w:t>日历日</w:t>
      </w:r>
      <w:r>
        <w:rPr>
          <w:sz w:val="21"/>
          <w:szCs w:val="21"/>
        </w:rPr>
        <w:t>。自收到甲方进场施工通知书之日起计。除及不可抗力之因素以外，</w:t>
      </w:r>
      <w:r>
        <w:rPr>
          <w:sz w:val="21"/>
          <w:szCs w:val="21"/>
          <w:lang w:eastAsia="zh-Hans"/>
        </w:rPr>
        <w:t>乙方未经甲方许可工期</w:t>
      </w:r>
      <w:r>
        <w:rPr>
          <w:sz w:val="21"/>
          <w:szCs w:val="21"/>
        </w:rPr>
        <w:t>逾期</w:t>
      </w:r>
      <w:r>
        <w:rPr>
          <w:sz w:val="21"/>
          <w:szCs w:val="21"/>
          <w:lang w:eastAsia="zh-Hans"/>
        </w:rPr>
        <w:t>的</w:t>
      </w:r>
      <w:r>
        <w:rPr>
          <w:sz w:val="21"/>
          <w:szCs w:val="21"/>
        </w:rPr>
        <w:t>，甲方将按合同总费用每日1%减付相应款项。</w:t>
      </w:r>
    </w:p>
    <w:p w14:paraId="0AEE9A64">
      <w:pPr>
        <w:spacing w:line="560" w:lineRule="exact"/>
        <w:ind w:firstLine="422" w:firstLineChars="200"/>
        <w:jc w:val="left"/>
        <w:rPr>
          <w:b/>
          <w:bCs/>
          <w:sz w:val="21"/>
          <w:szCs w:val="21"/>
        </w:rPr>
      </w:pPr>
      <w:r>
        <w:rPr>
          <w:b/>
          <w:bCs/>
          <w:sz w:val="21"/>
          <w:szCs w:val="21"/>
        </w:rPr>
        <w:t>第四条</w:t>
      </w:r>
      <w:r>
        <w:rPr>
          <w:sz w:val="21"/>
          <w:szCs w:val="21"/>
        </w:rPr>
        <w:t xml:space="preserve"> </w:t>
      </w:r>
      <w:r>
        <w:rPr>
          <w:b/>
          <w:bCs/>
          <w:sz w:val="21"/>
          <w:szCs w:val="21"/>
        </w:rPr>
        <w:t>合同费用</w:t>
      </w:r>
    </w:p>
    <w:p w14:paraId="22DC0647">
      <w:pPr>
        <w:spacing w:line="560" w:lineRule="exact"/>
        <w:ind w:firstLine="420" w:firstLineChars="200"/>
        <w:jc w:val="left"/>
        <w:rPr>
          <w:rFonts w:hint="default"/>
          <w:sz w:val="21"/>
          <w:szCs w:val="21"/>
          <w:lang w:val="en-US" w:eastAsia="zh-CN"/>
        </w:rPr>
      </w:pPr>
      <w:r>
        <w:rPr>
          <w:rFonts w:hint="eastAsia"/>
          <w:sz w:val="21"/>
          <w:szCs w:val="21"/>
          <w:lang w:val="en-US" w:eastAsia="zh-CN"/>
        </w:rPr>
        <w:t>1、设计费系数为：</w:t>
      </w:r>
      <w:r>
        <w:rPr>
          <w:rFonts w:hint="eastAsia"/>
          <w:sz w:val="21"/>
          <w:szCs w:val="21"/>
          <w:u w:val="single"/>
          <w:lang w:val="en-US" w:eastAsia="zh-CN"/>
        </w:rPr>
        <w:t xml:space="preserve">     </w:t>
      </w:r>
      <w:r>
        <w:rPr>
          <w:rFonts w:hint="eastAsia"/>
          <w:sz w:val="21"/>
          <w:szCs w:val="21"/>
          <w:lang w:val="en-US" w:eastAsia="zh-CN"/>
        </w:rPr>
        <w:t>；建安费金额为：</w:t>
      </w:r>
      <w:r>
        <w:rPr>
          <w:rFonts w:hint="eastAsia"/>
          <w:sz w:val="21"/>
          <w:szCs w:val="21"/>
          <w:u w:val="single"/>
          <w:lang w:val="en-US" w:eastAsia="zh-CN"/>
        </w:rPr>
        <w:t xml:space="preserve">       </w:t>
      </w:r>
      <w:r>
        <w:rPr>
          <w:rFonts w:hint="eastAsia"/>
          <w:sz w:val="21"/>
          <w:szCs w:val="21"/>
          <w:lang w:val="en-US" w:eastAsia="zh-CN"/>
        </w:rPr>
        <w:t>；</w:t>
      </w:r>
    </w:p>
    <w:p w14:paraId="1361FF4C">
      <w:pPr>
        <w:spacing w:line="560" w:lineRule="exact"/>
        <w:ind w:firstLine="420" w:firstLineChars="200"/>
        <w:jc w:val="left"/>
        <w:rPr>
          <w:sz w:val="21"/>
          <w:szCs w:val="21"/>
        </w:rPr>
      </w:pPr>
      <w:r>
        <w:rPr>
          <w:rFonts w:hint="eastAsia"/>
          <w:sz w:val="21"/>
          <w:szCs w:val="21"/>
          <w:lang w:val="en-US" w:eastAsia="zh-CN"/>
        </w:rPr>
        <w:t>2</w:t>
      </w:r>
      <w:r>
        <w:rPr>
          <w:rFonts w:hint="eastAsia"/>
          <w:sz w:val="21"/>
          <w:szCs w:val="21"/>
        </w:rPr>
        <w:t xml:space="preserve">、合同总价：¥ </w:t>
      </w:r>
      <w:r>
        <w:rPr>
          <w:rFonts w:hint="eastAsia"/>
          <w:sz w:val="21"/>
          <w:szCs w:val="21"/>
          <w:u w:val="single"/>
        </w:rPr>
        <w:t xml:space="preserve">   </w:t>
      </w:r>
      <w:r>
        <w:rPr>
          <w:rFonts w:hint="eastAsia"/>
          <w:sz w:val="21"/>
          <w:szCs w:val="21"/>
        </w:rPr>
        <w:t>元（大写人民币</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 xml:space="preserve">）（不含税价金额为¥ </w:t>
      </w:r>
      <w:r>
        <w:rPr>
          <w:rFonts w:hint="eastAsia"/>
          <w:sz w:val="21"/>
          <w:szCs w:val="21"/>
          <w:u w:val="single"/>
        </w:rPr>
        <w:t xml:space="preserve">    </w:t>
      </w:r>
      <w:r>
        <w:rPr>
          <w:rFonts w:hint="eastAsia"/>
          <w:sz w:val="21"/>
          <w:szCs w:val="21"/>
        </w:rPr>
        <w:t>，增值税专用发票税率为</w:t>
      </w:r>
      <w:r>
        <w:rPr>
          <w:rFonts w:hint="eastAsia"/>
          <w:sz w:val="21"/>
          <w:szCs w:val="21"/>
          <w:u w:val="single"/>
        </w:rPr>
        <w:t>9</w:t>
      </w:r>
      <w:r>
        <w:rPr>
          <w:rFonts w:hint="eastAsia"/>
          <w:sz w:val="21"/>
          <w:szCs w:val="21"/>
        </w:rPr>
        <w:t>%，税费为¥</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，如遇国家调整税率政策调整，按保持合同价格条款中不含税金额不变的原则，税金根据税收政策调整，相应的含税金额进行调整）。</w:t>
      </w:r>
    </w:p>
    <w:p w14:paraId="477DCC38">
      <w:pPr>
        <w:spacing w:line="560" w:lineRule="exact"/>
        <w:ind w:firstLine="420" w:firstLineChars="200"/>
        <w:jc w:val="left"/>
        <w:rPr>
          <w:sz w:val="21"/>
          <w:szCs w:val="21"/>
        </w:rPr>
      </w:pPr>
      <w:r>
        <w:rPr>
          <w:rFonts w:hint="eastAsia"/>
          <w:sz w:val="21"/>
          <w:szCs w:val="21"/>
        </w:rPr>
        <w:t>备注：计算公式为：含税金额=不含税金额（1+调整税后的税率），已执行的新的合同税率发生变化的，从乙方向甲方按新税率开具发票起调整。</w:t>
      </w:r>
    </w:p>
    <w:p w14:paraId="29D52BE4">
      <w:pPr>
        <w:spacing w:line="560" w:lineRule="exact"/>
        <w:ind w:firstLine="420" w:firstLineChars="200"/>
        <w:jc w:val="left"/>
        <w:rPr>
          <w:sz w:val="21"/>
          <w:szCs w:val="21"/>
        </w:rPr>
      </w:pPr>
      <w:r>
        <w:rPr>
          <w:rFonts w:hint="eastAsia"/>
          <w:sz w:val="21"/>
          <w:szCs w:val="21"/>
          <w:lang w:val="en-US" w:eastAsia="zh-CN"/>
        </w:rPr>
        <w:t>3</w:t>
      </w:r>
      <w:r>
        <w:rPr>
          <w:rFonts w:hint="eastAsia"/>
          <w:sz w:val="21"/>
          <w:szCs w:val="21"/>
        </w:rPr>
        <w:t>、本项目为总价承包项目，包括项目完成验收合格所需的一切成本、费用、税金和利润，包含但不限于：设计费用、设备费用、安装费用、运输费用、保险费用、工程费用、绿色施工安全防护措施费、机械措施费、施工管理费验收费用等全部费用，且在合同执行过程中不作任何调整。</w:t>
      </w:r>
    </w:p>
    <w:p w14:paraId="42674FC5">
      <w:pPr>
        <w:spacing w:line="560" w:lineRule="exact"/>
        <w:ind w:firstLine="422" w:firstLineChars="200"/>
        <w:rPr>
          <w:sz w:val="21"/>
          <w:szCs w:val="21"/>
        </w:rPr>
      </w:pPr>
      <w:r>
        <w:rPr>
          <w:b/>
          <w:bCs/>
          <w:sz w:val="21"/>
          <w:szCs w:val="21"/>
        </w:rPr>
        <w:t>第五条</w:t>
      </w:r>
      <w:r>
        <w:rPr>
          <w:sz w:val="21"/>
          <w:szCs w:val="21"/>
        </w:rPr>
        <w:t xml:space="preserve"> </w:t>
      </w:r>
      <w:r>
        <w:rPr>
          <w:b/>
          <w:bCs/>
          <w:sz w:val="21"/>
          <w:szCs w:val="21"/>
        </w:rPr>
        <w:t>双方负责事项</w:t>
      </w:r>
    </w:p>
    <w:p w14:paraId="010983E4">
      <w:pPr>
        <w:spacing w:line="560" w:lineRule="exact"/>
        <w:ind w:firstLine="422" w:firstLineChars="200"/>
        <w:rPr>
          <w:b/>
          <w:sz w:val="21"/>
          <w:szCs w:val="21"/>
        </w:rPr>
      </w:pPr>
      <w:r>
        <w:rPr>
          <w:rFonts w:hint="eastAsia"/>
          <w:b/>
          <w:sz w:val="21"/>
          <w:szCs w:val="21"/>
        </w:rPr>
        <w:t>一、</w:t>
      </w:r>
      <w:r>
        <w:rPr>
          <w:b/>
          <w:sz w:val="21"/>
          <w:szCs w:val="21"/>
        </w:rPr>
        <w:t>甲方应按照合同约定完成下列工作，包括但不限于：</w:t>
      </w:r>
    </w:p>
    <w:p w14:paraId="3DC9127A">
      <w:pPr>
        <w:tabs>
          <w:tab w:val="left" w:pos="1080"/>
        </w:tabs>
        <w:spacing w:line="560" w:lineRule="exact"/>
        <w:ind w:firstLine="420" w:firstLineChars="200"/>
        <w:rPr>
          <w:sz w:val="21"/>
          <w:szCs w:val="21"/>
        </w:rPr>
      </w:pPr>
      <w:r>
        <w:rPr>
          <w:sz w:val="21"/>
          <w:szCs w:val="21"/>
        </w:rPr>
        <w:t>1.使施工场地具备施工条件，并在开工后继续负责解决上述工作遗留的问题；</w:t>
      </w:r>
    </w:p>
    <w:p w14:paraId="5AB92FE2">
      <w:pPr>
        <w:tabs>
          <w:tab w:val="left" w:pos="1080"/>
        </w:tabs>
        <w:spacing w:line="560" w:lineRule="exact"/>
        <w:ind w:firstLine="420" w:firstLineChars="200"/>
        <w:rPr>
          <w:sz w:val="21"/>
          <w:szCs w:val="21"/>
        </w:rPr>
      </w:pPr>
      <w:r>
        <w:rPr>
          <w:sz w:val="21"/>
          <w:szCs w:val="21"/>
        </w:rPr>
        <w:t>2.将施工所需水、电、通讯线路从施工场地外部接驳至约定的地点，保证施工期间的需要；</w:t>
      </w:r>
    </w:p>
    <w:p w14:paraId="68E2E0C9">
      <w:pPr>
        <w:tabs>
          <w:tab w:val="left" w:pos="1080"/>
        </w:tabs>
        <w:spacing w:line="560" w:lineRule="exact"/>
        <w:ind w:firstLine="420" w:firstLineChars="200"/>
        <w:rPr>
          <w:sz w:val="21"/>
          <w:szCs w:val="21"/>
        </w:rPr>
      </w:pPr>
      <w:r>
        <w:rPr>
          <w:sz w:val="21"/>
          <w:szCs w:val="21"/>
        </w:rPr>
        <w:t>3.开通施工场地的通道，满足材料运输的需要；</w:t>
      </w:r>
    </w:p>
    <w:p w14:paraId="66298D48">
      <w:pPr>
        <w:tabs>
          <w:tab w:val="left" w:pos="1080"/>
        </w:tabs>
        <w:spacing w:line="560" w:lineRule="exact"/>
        <w:ind w:firstLine="420" w:firstLineChars="200"/>
        <w:rPr>
          <w:sz w:val="21"/>
          <w:szCs w:val="21"/>
        </w:rPr>
      </w:pPr>
      <w:r>
        <w:rPr>
          <w:sz w:val="21"/>
          <w:szCs w:val="21"/>
        </w:rPr>
        <w:t>4.向乙方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14:paraId="65EC0AC4">
      <w:pPr>
        <w:tabs>
          <w:tab w:val="left" w:pos="1080"/>
        </w:tabs>
        <w:spacing w:line="560" w:lineRule="exact"/>
        <w:ind w:firstLine="420" w:firstLineChars="200"/>
        <w:rPr>
          <w:sz w:val="21"/>
          <w:szCs w:val="21"/>
        </w:rPr>
      </w:pPr>
      <w:r>
        <w:rPr>
          <w:sz w:val="21"/>
          <w:szCs w:val="21"/>
        </w:rPr>
        <w:t>5.办理施工许可及其他所需证件、批准文件和办理临时用地、停水、停电、中断道路交通、爆破作业等的申请批准手续（乙方自身施工资质的证件除外）；</w:t>
      </w:r>
    </w:p>
    <w:p w14:paraId="48C9750B">
      <w:pPr>
        <w:tabs>
          <w:tab w:val="left" w:pos="1080"/>
        </w:tabs>
        <w:spacing w:line="560" w:lineRule="exact"/>
        <w:ind w:firstLine="420" w:firstLineChars="200"/>
        <w:rPr>
          <w:sz w:val="21"/>
          <w:szCs w:val="21"/>
        </w:rPr>
      </w:pPr>
      <w:r>
        <w:rPr>
          <w:sz w:val="21"/>
          <w:szCs w:val="21"/>
        </w:rPr>
        <w:t>6.组织乙方设计人进行图纸会审和设计交底；</w:t>
      </w:r>
    </w:p>
    <w:p w14:paraId="11AC5E00">
      <w:pPr>
        <w:tabs>
          <w:tab w:val="left" w:pos="1080"/>
        </w:tabs>
        <w:spacing w:line="560" w:lineRule="exact"/>
        <w:ind w:firstLine="420" w:firstLineChars="200"/>
        <w:rPr>
          <w:sz w:val="21"/>
          <w:szCs w:val="21"/>
        </w:rPr>
      </w:pPr>
      <w:r>
        <w:rPr>
          <w:sz w:val="21"/>
          <w:szCs w:val="21"/>
        </w:rPr>
        <w:t>7.协调处理施工场地周围地形关系问题和做好邻近建筑物、构筑物；</w:t>
      </w:r>
    </w:p>
    <w:p w14:paraId="186BFFA1">
      <w:pPr>
        <w:tabs>
          <w:tab w:val="left" w:pos="1080"/>
        </w:tabs>
        <w:spacing w:line="560" w:lineRule="exact"/>
        <w:ind w:firstLine="420" w:firstLineChars="200"/>
        <w:rPr>
          <w:sz w:val="21"/>
          <w:szCs w:val="21"/>
        </w:rPr>
      </w:pPr>
      <w:r>
        <w:rPr>
          <w:sz w:val="21"/>
          <w:szCs w:val="21"/>
        </w:rPr>
        <w:t>8.及时接收已完工程，并按照合同约定及时支付工程款及其他各种款项。</w:t>
      </w:r>
    </w:p>
    <w:p w14:paraId="43BF5004">
      <w:pPr>
        <w:spacing w:line="560" w:lineRule="exact"/>
        <w:ind w:firstLine="422" w:firstLineChars="200"/>
        <w:rPr>
          <w:b/>
          <w:sz w:val="21"/>
          <w:szCs w:val="21"/>
        </w:rPr>
      </w:pPr>
      <w:r>
        <w:rPr>
          <w:rFonts w:hint="eastAsia"/>
          <w:b/>
          <w:sz w:val="21"/>
          <w:szCs w:val="21"/>
        </w:rPr>
        <w:t>二、</w:t>
      </w:r>
      <w:r>
        <w:rPr>
          <w:b/>
          <w:sz w:val="21"/>
          <w:szCs w:val="21"/>
        </w:rPr>
        <w:t>乙方应按照合同约定完成下列工作，包括但不限于：</w:t>
      </w:r>
    </w:p>
    <w:p w14:paraId="78052C30">
      <w:pPr>
        <w:spacing w:line="560" w:lineRule="exact"/>
        <w:ind w:firstLine="420" w:firstLineChars="200"/>
        <w:rPr>
          <w:sz w:val="21"/>
          <w:szCs w:val="21"/>
        </w:rPr>
      </w:pPr>
      <w:r>
        <w:rPr>
          <w:sz w:val="21"/>
          <w:szCs w:val="21"/>
        </w:rPr>
        <w:t>1.按照合同</w:t>
      </w:r>
      <w:r>
        <w:rPr>
          <w:sz w:val="21"/>
          <w:szCs w:val="21"/>
          <w:lang w:eastAsia="zh-Hans"/>
        </w:rPr>
        <w:t>约定与法律规定</w:t>
      </w:r>
      <w:r>
        <w:rPr>
          <w:sz w:val="21"/>
          <w:szCs w:val="21"/>
        </w:rPr>
        <w:t>和甲方的指令实施、完成并保修合同工程；</w:t>
      </w:r>
    </w:p>
    <w:p w14:paraId="63543242">
      <w:pPr>
        <w:spacing w:line="560" w:lineRule="exact"/>
        <w:ind w:firstLine="420" w:firstLineChars="200"/>
        <w:rPr>
          <w:sz w:val="21"/>
          <w:szCs w:val="21"/>
        </w:rPr>
      </w:pPr>
      <w:r>
        <w:rPr>
          <w:sz w:val="21"/>
          <w:szCs w:val="21"/>
        </w:rPr>
        <w:t>2.按照合同约定和甲方的要求提交工程进度报告和进度计划；</w:t>
      </w:r>
    </w:p>
    <w:p w14:paraId="1EAD65C0">
      <w:pPr>
        <w:spacing w:line="560" w:lineRule="exact"/>
        <w:ind w:firstLine="420" w:firstLineChars="200"/>
        <w:rPr>
          <w:sz w:val="21"/>
          <w:szCs w:val="21"/>
        </w:rPr>
      </w:pPr>
      <w:r>
        <w:rPr>
          <w:sz w:val="21"/>
          <w:szCs w:val="21"/>
        </w:rPr>
        <w:t>3.按照合同约定要求提交工程款报告和支付申请，包括安全文明施工费、进度款、结算款和调整合同价款等；</w:t>
      </w:r>
    </w:p>
    <w:p w14:paraId="42170112">
      <w:pPr>
        <w:spacing w:line="560" w:lineRule="exact"/>
        <w:ind w:firstLine="420" w:firstLineChars="200"/>
        <w:rPr>
          <w:sz w:val="21"/>
          <w:szCs w:val="21"/>
        </w:rPr>
      </w:pPr>
      <w:r>
        <w:rPr>
          <w:sz w:val="21"/>
          <w:szCs w:val="21"/>
        </w:rPr>
        <w:t>4.负责施工场地安全保卫工作，按法律规定和合同约定采取施工安全和环境保护措施，防止因工程施工造成的人身伤害和财产损失，提供和维修非夜间施工使用的照明、围栏设施等安全标志；</w:t>
      </w:r>
    </w:p>
    <w:p w14:paraId="6BAB3405">
      <w:pPr>
        <w:spacing w:line="560" w:lineRule="exact"/>
        <w:ind w:firstLine="420" w:firstLineChars="200"/>
        <w:rPr>
          <w:sz w:val="21"/>
          <w:szCs w:val="21"/>
        </w:rPr>
      </w:pPr>
      <w:r>
        <w:rPr>
          <w:sz w:val="21"/>
          <w:szCs w:val="21"/>
        </w:rPr>
        <w:t>5.办理</w:t>
      </w:r>
      <w:r>
        <w:rPr>
          <w:sz w:val="21"/>
          <w:szCs w:val="21"/>
          <w:lang w:eastAsia="zh-Hans"/>
        </w:rPr>
        <w:t>施工</w:t>
      </w:r>
      <w:r>
        <w:rPr>
          <w:sz w:val="21"/>
          <w:szCs w:val="21"/>
        </w:rPr>
        <w:t>人员的工伤保险，确保工程及人员、材料、设备和设施的安全。如</w:t>
      </w:r>
      <w:r>
        <w:rPr>
          <w:sz w:val="21"/>
          <w:szCs w:val="21"/>
          <w:lang w:eastAsia="zh-Hans"/>
        </w:rPr>
        <w:t>施工人员出现伤亡或</w:t>
      </w:r>
      <w:r>
        <w:rPr>
          <w:sz w:val="21"/>
          <w:szCs w:val="21"/>
        </w:rPr>
        <w:t>施工及工程违反环保、安全等行政规定或给第三方造成损失的，由</w:t>
      </w:r>
      <w:r>
        <w:rPr>
          <w:sz w:val="21"/>
          <w:szCs w:val="21"/>
          <w:lang w:eastAsia="zh-Hans"/>
        </w:rPr>
        <w:t>乙</w:t>
      </w:r>
      <w:r>
        <w:rPr>
          <w:sz w:val="21"/>
          <w:szCs w:val="21"/>
        </w:rPr>
        <w:t>方承担罚款、赔偿等责任。</w:t>
      </w:r>
    </w:p>
    <w:p w14:paraId="02894224">
      <w:pPr>
        <w:spacing w:line="560" w:lineRule="exact"/>
        <w:ind w:firstLine="420" w:firstLineChars="200"/>
        <w:rPr>
          <w:sz w:val="21"/>
          <w:szCs w:val="21"/>
        </w:rPr>
      </w:pPr>
      <w:r>
        <w:rPr>
          <w:sz w:val="21"/>
          <w:szCs w:val="21"/>
        </w:rPr>
        <w:t xml:space="preserve">6.遵守政府部门有关施工场地交通、环境保护、施工噪声、安全文明施工等的管理规定，办理有关手续，并以书面形式通知甲方； </w:t>
      </w:r>
    </w:p>
    <w:p w14:paraId="479540ED">
      <w:pPr>
        <w:spacing w:line="560" w:lineRule="exact"/>
        <w:ind w:firstLine="420" w:firstLineChars="200"/>
        <w:rPr>
          <w:sz w:val="21"/>
          <w:szCs w:val="21"/>
        </w:rPr>
      </w:pPr>
      <w:r>
        <w:rPr>
          <w:sz w:val="21"/>
          <w:szCs w:val="21"/>
        </w:rPr>
        <w:t xml:space="preserve">7.合同工程或其某单位工程已竣工未移交给甲方之前，负责已完工程的照管工作。工程接收证书颁发时尚有部分未竣工工程的，还应负责该未竣工工程的照管工作，直至竣工后移交给甲方为止。照管期间发生损坏的，应予以修复并承担费用； </w:t>
      </w:r>
    </w:p>
    <w:p w14:paraId="1F04B589">
      <w:pPr>
        <w:spacing w:line="560" w:lineRule="exact"/>
        <w:ind w:firstLine="420" w:firstLineChars="200"/>
        <w:rPr>
          <w:sz w:val="21"/>
          <w:szCs w:val="21"/>
        </w:rPr>
      </w:pPr>
      <w:r>
        <w:rPr>
          <w:sz w:val="21"/>
          <w:szCs w:val="21"/>
        </w:rPr>
        <w:t>8.做好施工场地地下管线和邻近建筑物、构筑物（包括文物保护建筑）、古树名木的保护工作；</w:t>
      </w:r>
    </w:p>
    <w:p w14:paraId="3433144D">
      <w:pPr>
        <w:spacing w:line="560" w:lineRule="exact"/>
        <w:ind w:firstLine="420" w:firstLineChars="200"/>
        <w:rPr>
          <w:sz w:val="21"/>
          <w:szCs w:val="21"/>
        </w:rPr>
      </w:pPr>
      <w:r>
        <w:rPr>
          <w:sz w:val="21"/>
          <w:szCs w:val="21"/>
        </w:rPr>
        <w:t>9.遵守政府部门有关环境卫生的管理规定，保证施工场地的清洁和做好交工前施工现场的清理工作，并承担因自身责任造成的损失和罚款；</w:t>
      </w:r>
    </w:p>
    <w:p w14:paraId="488BAA6E">
      <w:pPr>
        <w:spacing w:line="560" w:lineRule="exact"/>
        <w:ind w:firstLine="420" w:firstLineChars="200"/>
        <w:rPr>
          <w:sz w:val="21"/>
          <w:szCs w:val="21"/>
        </w:rPr>
      </w:pPr>
      <w:r>
        <w:rPr>
          <w:sz w:val="21"/>
          <w:szCs w:val="21"/>
        </w:rPr>
        <w:t>10.工程完工后，应按照合同约定提交竣工验收申请报告和竣工结算文件。</w:t>
      </w:r>
    </w:p>
    <w:p w14:paraId="0CB6355C">
      <w:pPr>
        <w:spacing w:line="560" w:lineRule="exact"/>
        <w:ind w:firstLine="420" w:firstLineChars="200"/>
        <w:rPr>
          <w:sz w:val="21"/>
          <w:szCs w:val="21"/>
        </w:rPr>
      </w:pPr>
      <w:r>
        <w:rPr>
          <w:sz w:val="21"/>
          <w:szCs w:val="21"/>
        </w:rPr>
        <w:t>11.乙方应任命代表乙方工作的乙方代表，该代表的人选应具有注册建造师执业资格，由乙方在开工前依法向甲方提出，经甲方同意后在专用条款中写明。建设行政主管部门有规定的，应遵守其规定；工程的乙方代表应为</w:t>
      </w:r>
      <w:r>
        <w:rPr>
          <w:rFonts w:hint="eastAsia"/>
          <w:sz w:val="21"/>
          <w:szCs w:val="21"/>
        </w:rPr>
        <w:t>响应</w:t>
      </w:r>
      <w:r>
        <w:rPr>
          <w:sz w:val="21"/>
          <w:szCs w:val="21"/>
        </w:rPr>
        <w:t>文件所载明的人选。</w:t>
      </w:r>
    </w:p>
    <w:p w14:paraId="18815FCD">
      <w:pPr>
        <w:spacing w:line="560" w:lineRule="exact"/>
        <w:ind w:firstLine="420" w:firstLineChars="200"/>
        <w:rPr>
          <w:sz w:val="21"/>
          <w:szCs w:val="21"/>
        </w:rPr>
      </w:pPr>
      <w:r>
        <w:rPr>
          <w:rFonts w:hint="eastAsia"/>
          <w:sz w:val="21"/>
          <w:szCs w:val="21"/>
          <w:lang w:val="en-US" w:eastAsia="zh-CN"/>
        </w:rPr>
        <w:t>12.</w:t>
      </w:r>
      <w:r>
        <w:rPr>
          <w:sz w:val="21"/>
          <w:szCs w:val="21"/>
        </w:rPr>
        <w:t>乙方如需更换乙方代表，应取得甲方的同意，并至少提前7天以书面形式通知甲方，否则该项更换无效。甲方应在收到通知后的7天内予以答复，否则视为同意。后任乙方代表应继续行使合同规定的前任乙方代表的职权和履行相应的义务。</w:t>
      </w:r>
    </w:p>
    <w:p w14:paraId="73CD2838">
      <w:pPr>
        <w:spacing w:line="560" w:lineRule="exact"/>
        <w:ind w:firstLine="420" w:firstLineChars="200"/>
        <w:rPr>
          <w:sz w:val="21"/>
          <w:szCs w:val="21"/>
        </w:rPr>
      </w:pPr>
      <w:r>
        <w:rPr>
          <w:sz w:val="21"/>
          <w:szCs w:val="21"/>
        </w:rPr>
        <w:t>1</w:t>
      </w:r>
      <w:r>
        <w:rPr>
          <w:rFonts w:hint="eastAsia"/>
          <w:sz w:val="21"/>
          <w:szCs w:val="21"/>
          <w:lang w:val="en-US" w:eastAsia="zh-CN"/>
        </w:rPr>
        <w:t>3</w:t>
      </w:r>
      <w:r>
        <w:rPr>
          <w:sz w:val="21"/>
          <w:szCs w:val="21"/>
        </w:rPr>
        <w:t>.乙方应在签订本合同后的</w:t>
      </w:r>
      <w:r>
        <w:rPr>
          <w:sz w:val="21"/>
          <w:szCs w:val="21"/>
          <w:u w:val="single"/>
        </w:rPr>
        <w:t xml:space="preserve">   </w:t>
      </w:r>
      <w:r>
        <w:rPr>
          <w:sz w:val="21"/>
          <w:szCs w:val="21"/>
        </w:rPr>
        <w:t>天内，向甲方提交一式两份施工组织设计和合同工程进度计划。经甲方批准后，甲方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乙方还应编制单位工程进度计划。</w:t>
      </w:r>
    </w:p>
    <w:p w14:paraId="31BA3929">
      <w:pPr>
        <w:spacing w:line="560" w:lineRule="exact"/>
        <w:ind w:firstLine="420" w:firstLineChars="200"/>
        <w:rPr>
          <w:sz w:val="21"/>
          <w:szCs w:val="21"/>
        </w:rPr>
      </w:pPr>
      <w:r>
        <w:rPr>
          <w:rFonts w:hint="eastAsia"/>
          <w:sz w:val="21"/>
          <w:szCs w:val="21"/>
          <w:lang w:val="en-US" w:eastAsia="zh-CN"/>
        </w:rPr>
        <w:t>14.</w:t>
      </w:r>
      <w:r>
        <w:rPr>
          <w:sz w:val="21"/>
          <w:szCs w:val="21"/>
        </w:rPr>
        <w:t>除专用条款另有约定外，乙方应编制周、月施工进度报告，同时每季对进度计划修订一次，并在每月或季结束后的7天内向甲方提交上述报告和修订计划一式两份。月施工进度报告的内容至少应包括：</w:t>
      </w:r>
    </w:p>
    <w:p w14:paraId="099EE781">
      <w:pPr>
        <w:spacing w:line="560" w:lineRule="exact"/>
        <w:ind w:firstLine="420" w:firstLineChars="200"/>
        <w:rPr>
          <w:sz w:val="21"/>
          <w:szCs w:val="21"/>
        </w:rPr>
      </w:pPr>
      <w:r>
        <w:rPr>
          <w:sz w:val="21"/>
          <w:szCs w:val="21"/>
        </w:rPr>
        <w:t>（1）施工、安装、试验以及其他甲方工作等进展情况的图表和说明；</w:t>
      </w:r>
    </w:p>
    <w:p w14:paraId="1C0FEBBF">
      <w:pPr>
        <w:spacing w:line="560" w:lineRule="exact"/>
        <w:ind w:firstLine="420" w:firstLineChars="200"/>
        <w:rPr>
          <w:sz w:val="21"/>
          <w:szCs w:val="21"/>
        </w:rPr>
      </w:pPr>
      <w:r>
        <w:rPr>
          <w:sz w:val="21"/>
          <w:szCs w:val="21"/>
        </w:rPr>
        <w:t>（2）材料、设备、货物的采购和制造商名称、地点以及进入现场情况；</w:t>
      </w:r>
    </w:p>
    <w:p w14:paraId="12755F6B">
      <w:pPr>
        <w:spacing w:line="560" w:lineRule="exact"/>
        <w:ind w:firstLine="420" w:firstLineChars="200"/>
        <w:rPr>
          <w:sz w:val="21"/>
          <w:szCs w:val="21"/>
        </w:rPr>
      </w:pPr>
      <w:r>
        <w:rPr>
          <w:sz w:val="21"/>
          <w:szCs w:val="21"/>
        </w:rPr>
        <w:t>（3）索赔情况和安全统计；</w:t>
      </w:r>
    </w:p>
    <w:p w14:paraId="4AC662C0">
      <w:pPr>
        <w:spacing w:line="560" w:lineRule="exact"/>
        <w:ind w:firstLine="420" w:firstLineChars="200"/>
        <w:rPr>
          <w:sz w:val="21"/>
          <w:szCs w:val="21"/>
        </w:rPr>
      </w:pPr>
      <w:r>
        <w:rPr>
          <w:sz w:val="21"/>
          <w:szCs w:val="21"/>
        </w:rPr>
        <w:t>（4）实际进度与计划进度的对比，以及为消除延误正在或准备采取的措施。</w:t>
      </w:r>
    </w:p>
    <w:p w14:paraId="55913F42">
      <w:pPr>
        <w:spacing w:line="560" w:lineRule="exact"/>
        <w:ind w:firstLine="422" w:firstLineChars="200"/>
        <w:rPr>
          <w:b/>
          <w:bCs/>
          <w:sz w:val="21"/>
          <w:szCs w:val="21"/>
        </w:rPr>
      </w:pPr>
      <w:r>
        <w:rPr>
          <w:b/>
          <w:bCs/>
          <w:sz w:val="21"/>
          <w:szCs w:val="21"/>
        </w:rPr>
        <w:t xml:space="preserve">第六条 </w:t>
      </w:r>
      <w:r>
        <w:rPr>
          <w:rFonts w:hint="eastAsia"/>
          <w:b/>
          <w:bCs/>
          <w:sz w:val="21"/>
          <w:szCs w:val="21"/>
        </w:rPr>
        <w:t>质量缺陷责任期</w:t>
      </w:r>
      <w:r>
        <w:rPr>
          <w:b/>
          <w:bCs/>
          <w:sz w:val="21"/>
          <w:szCs w:val="21"/>
        </w:rPr>
        <w:t>及质保责任</w:t>
      </w:r>
    </w:p>
    <w:p w14:paraId="663368EF">
      <w:pPr>
        <w:spacing w:line="560" w:lineRule="exact"/>
        <w:ind w:firstLine="420" w:firstLineChars="200"/>
        <w:rPr>
          <w:sz w:val="21"/>
          <w:szCs w:val="21"/>
        </w:rPr>
      </w:pPr>
      <w:r>
        <w:rPr>
          <w:sz w:val="21"/>
          <w:szCs w:val="21"/>
        </w:rPr>
        <w:t>本项目</w:t>
      </w:r>
      <w:r>
        <w:rPr>
          <w:rFonts w:hint="eastAsia"/>
          <w:sz w:val="21"/>
          <w:szCs w:val="21"/>
        </w:rPr>
        <w:t>质量缺陷责任期</w:t>
      </w:r>
      <w:r>
        <w:rPr>
          <w:sz w:val="21"/>
          <w:szCs w:val="21"/>
        </w:rPr>
        <w:t>为</w:t>
      </w:r>
      <w:r>
        <w:rPr>
          <w:sz w:val="21"/>
          <w:szCs w:val="21"/>
          <w:u w:val="single"/>
        </w:rPr>
        <w:t xml:space="preserve"> </w:t>
      </w:r>
      <w:r>
        <w:rPr>
          <w:rFonts w:hint="eastAsia"/>
          <w:sz w:val="21"/>
          <w:szCs w:val="21"/>
          <w:u w:val="single"/>
          <w:lang w:val="en-US" w:eastAsia="zh-CN"/>
        </w:rPr>
        <w:t xml:space="preserve"> </w:t>
      </w:r>
      <w:r>
        <w:rPr>
          <w:sz w:val="21"/>
          <w:szCs w:val="21"/>
          <w:u w:val="single"/>
        </w:rPr>
        <w:t xml:space="preserve">  </w:t>
      </w:r>
      <w:r>
        <w:rPr>
          <w:sz w:val="21"/>
          <w:szCs w:val="21"/>
        </w:rPr>
        <w:t>年，除不可抗力因素外，如有质量问题，乙方应在收到甲方维修通知后</w:t>
      </w:r>
      <w:r>
        <w:rPr>
          <w:sz w:val="21"/>
          <w:szCs w:val="21"/>
          <w:u w:val="single"/>
        </w:rPr>
        <w:t xml:space="preserve">  </w:t>
      </w:r>
      <w:r>
        <w:rPr>
          <w:sz w:val="21"/>
          <w:szCs w:val="21"/>
        </w:rPr>
        <w:t>小时内到达甲方指定的维修现场及时免费维修。乙方未及时履行维修义务的，甲方有权自行或委托第三方进行维修，所产生的一切费用和损失由乙方承担。</w:t>
      </w:r>
    </w:p>
    <w:p w14:paraId="5FEC6128">
      <w:pPr>
        <w:spacing w:line="560" w:lineRule="exact"/>
        <w:ind w:firstLine="422" w:firstLineChars="200"/>
        <w:rPr>
          <w:b/>
          <w:bCs/>
          <w:sz w:val="21"/>
          <w:szCs w:val="21"/>
        </w:rPr>
      </w:pPr>
      <w:r>
        <w:rPr>
          <w:b/>
          <w:bCs/>
          <w:sz w:val="21"/>
          <w:szCs w:val="21"/>
        </w:rPr>
        <w:t>第七条 事故处理</w:t>
      </w:r>
    </w:p>
    <w:p w14:paraId="685EEC39">
      <w:pPr>
        <w:spacing w:line="560" w:lineRule="exact"/>
        <w:ind w:firstLine="420" w:firstLineChars="200"/>
        <w:rPr>
          <w:sz w:val="21"/>
          <w:szCs w:val="21"/>
        </w:rPr>
      </w:pPr>
      <w:r>
        <w:rPr>
          <w:sz w:val="21"/>
          <w:szCs w:val="21"/>
        </w:rPr>
        <w:t>合同履行期间，合同工程发生质量与安全事故，乙方立即通知甲方，接到事故通知后，</w:t>
      </w:r>
      <w:r>
        <w:rPr>
          <w:sz w:val="21"/>
          <w:szCs w:val="21"/>
          <w:lang w:eastAsia="zh-Hans"/>
        </w:rPr>
        <w:t>乙方</w:t>
      </w:r>
      <w:r>
        <w:rPr>
          <w:sz w:val="21"/>
          <w:szCs w:val="21"/>
        </w:rPr>
        <w:t>应立即组织人员和设备进行紧急抢救和抢修</w:t>
      </w:r>
      <w:r>
        <w:rPr>
          <w:sz w:val="21"/>
          <w:szCs w:val="21"/>
          <w:lang w:eastAsia="zh-Hans"/>
        </w:rPr>
        <w:t>，</w:t>
      </w:r>
      <w:r>
        <w:rPr>
          <w:sz w:val="21"/>
          <w:szCs w:val="21"/>
        </w:rPr>
        <w:t>减少人员伤亡和财产损失，防止事故扩大，并保护事故现场</w:t>
      </w:r>
      <w:r>
        <w:rPr>
          <w:sz w:val="21"/>
          <w:szCs w:val="21"/>
          <w:lang w:eastAsia="zh-Hans"/>
        </w:rPr>
        <w:t>，甲方可给予必要的协助</w:t>
      </w:r>
      <w:r>
        <w:rPr>
          <w:sz w:val="21"/>
          <w:szCs w:val="21"/>
        </w:rPr>
        <w:t>。需移动现场物品时，应做好标记和书面记录，妥善保护有关证据。合同双方当事人应按照国家规定时限如实上报政府有关部门，配合政府有关部门的调查和处理，由此发生的费用和（或）延误的工期由事故责任方承担</w:t>
      </w:r>
      <w:r>
        <w:rPr>
          <w:sz w:val="21"/>
          <w:szCs w:val="21"/>
          <w:lang w:eastAsia="zh-Hans"/>
        </w:rPr>
        <w:t>，由乙方先行垫付</w:t>
      </w:r>
      <w:r>
        <w:rPr>
          <w:sz w:val="21"/>
          <w:szCs w:val="21"/>
        </w:rPr>
        <w:t>。</w:t>
      </w:r>
    </w:p>
    <w:p w14:paraId="59C9E723">
      <w:pPr>
        <w:spacing w:line="560" w:lineRule="exact"/>
        <w:ind w:firstLine="420" w:firstLineChars="200"/>
        <w:rPr>
          <w:sz w:val="21"/>
          <w:szCs w:val="21"/>
        </w:rPr>
      </w:pPr>
      <w:r>
        <w:rPr>
          <w:sz w:val="21"/>
          <w:szCs w:val="21"/>
        </w:rPr>
        <w:t>合同双方当事人对事故责任有争议时，应按照政府有关部门的认定处理。</w:t>
      </w:r>
    </w:p>
    <w:p w14:paraId="65754D07">
      <w:pPr>
        <w:spacing w:line="560" w:lineRule="exact"/>
        <w:ind w:firstLine="422" w:firstLineChars="200"/>
        <w:rPr>
          <w:b/>
          <w:bCs/>
          <w:sz w:val="21"/>
          <w:szCs w:val="21"/>
        </w:rPr>
      </w:pPr>
      <w:r>
        <w:rPr>
          <w:b/>
          <w:bCs/>
          <w:sz w:val="21"/>
          <w:szCs w:val="21"/>
        </w:rPr>
        <w:t>第八条 现场签证事件</w:t>
      </w:r>
    </w:p>
    <w:p w14:paraId="1A27CCFC">
      <w:pPr>
        <w:spacing w:line="560" w:lineRule="exact"/>
        <w:ind w:firstLine="420" w:firstLineChars="200"/>
        <w:rPr>
          <w:sz w:val="21"/>
          <w:szCs w:val="21"/>
        </w:rPr>
      </w:pPr>
      <w:r>
        <w:rPr>
          <w:sz w:val="21"/>
          <w:szCs w:val="21"/>
        </w:rPr>
        <w:t>1.</w:t>
      </w:r>
      <w:bookmarkStart w:id="178" w:name="_Toc334543582"/>
      <w:bookmarkStart w:id="179" w:name="_Toc367131268"/>
      <w:bookmarkStart w:id="180" w:name="_Toc366419167"/>
      <w:bookmarkStart w:id="181" w:name="_Toc291498537"/>
      <w:bookmarkStart w:id="182" w:name="_Toc16258486"/>
      <w:bookmarkStart w:id="183" w:name="_Toc456015500"/>
      <w:bookmarkStart w:id="184" w:name="_Toc276372934"/>
      <w:bookmarkStart w:id="185" w:name="_Toc399468809"/>
      <w:bookmarkStart w:id="186" w:name="_Toc265503515"/>
      <w:bookmarkStart w:id="187" w:name="_Toc335660073"/>
      <w:bookmarkStart w:id="188" w:name="_Toc496562829"/>
      <w:bookmarkStart w:id="189" w:name="_Toc530636360"/>
      <w:bookmarkStart w:id="190" w:name="_Toc262024461"/>
      <w:bookmarkStart w:id="191" w:name="_Toc331168113"/>
      <w:bookmarkStart w:id="192" w:name="_Toc280728058"/>
      <w:bookmarkStart w:id="193" w:name="_Toc304024366"/>
      <w:bookmarkStart w:id="194" w:name="_Toc307226610"/>
      <w:bookmarkStart w:id="195" w:name="_Toc307825407"/>
      <w:bookmarkStart w:id="196" w:name="_Toc328642255"/>
      <w:r>
        <w:rPr>
          <w:sz w:val="21"/>
          <w:szCs w:val="21"/>
        </w:rPr>
        <w:t>现场签证是指合同双方当事人就施工过程中涉及的责任事件所作的签认证明。合同履行期间，出现现场签证事件的，合同双方当事人应调整合同价款</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r>
        <w:rPr>
          <w:sz w:val="21"/>
          <w:szCs w:val="21"/>
        </w:rPr>
        <w:t>；</w:t>
      </w:r>
    </w:p>
    <w:p w14:paraId="595720A9">
      <w:pPr>
        <w:spacing w:line="560" w:lineRule="exact"/>
        <w:ind w:firstLine="420" w:firstLineChars="200"/>
        <w:rPr>
          <w:sz w:val="21"/>
          <w:szCs w:val="21"/>
        </w:rPr>
      </w:pPr>
      <w:r>
        <w:rPr>
          <w:sz w:val="21"/>
          <w:szCs w:val="21"/>
        </w:rPr>
        <w:t>2.乙方应甲方要求完成合同以外的零星项目、非乙方责任事件等工作的，甲方应及时向乙方发出工作指令，提供所需的相关资料；乙方在收到甲方通知后，应及时向甲方提出现场签证要求；</w:t>
      </w:r>
    </w:p>
    <w:p w14:paraId="2DB50E71">
      <w:pPr>
        <w:spacing w:line="560" w:lineRule="exact"/>
        <w:ind w:firstLine="420" w:firstLineChars="200"/>
        <w:rPr>
          <w:sz w:val="21"/>
          <w:szCs w:val="21"/>
        </w:rPr>
      </w:pPr>
      <w:r>
        <w:rPr>
          <w:sz w:val="21"/>
          <w:szCs w:val="21"/>
        </w:rPr>
        <w:t>3.除专用条款另有约定外，乙方应在收到甲方书面通知后的7天内，向甲方提交现场签证报告。甲方在收到乙方的现场签证报告后，对报告内容予以核实，并在收到现场签证报告后的48小时内予以确认或提出修改意见；</w:t>
      </w:r>
    </w:p>
    <w:p w14:paraId="3C46C425">
      <w:pPr>
        <w:spacing w:line="560" w:lineRule="exact"/>
        <w:ind w:firstLine="420" w:firstLineChars="200"/>
        <w:rPr>
          <w:sz w:val="21"/>
          <w:szCs w:val="21"/>
        </w:rPr>
      </w:pPr>
      <w:r>
        <w:rPr>
          <w:sz w:val="21"/>
          <w:szCs w:val="21"/>
        </w:rPr>
        <w:t>4.乙方应在甲方确认现场签证报告后的48小时内，按照甲方发出的工作指令及时组织实施相关工作。否则，由此引起的损失和（或）延误的工期由乙方承担；</w:t>
      </w:r>
    </w:p>
    <w:p w14:paraId="507FC823">
      <w:pPr>
        <w:spacing w:line="560" w:lineRule="exact"/>
        <w:ind w:firstLine="420" w:firstLineChars="200"/>
        <w:rPr>
          <w:sz w:val="21"/>
          <w:szCs w:val="21"/>
        </w:rPr>
      </w:pPr>
      <w:r>
        <w:rPr>
          <w:sz w:val="21"/>
          <w:szCs w:val="21"/>
        </w:rPr>
        <w:t>5.合同工程发生现场签证事件，未经甲方签证、确认，乙方便擅自实施相关工作的，除非征得甲方同意，否则发生的费用由乙方承担；</w:t>
      </w:r>
    </w:p>
    <w:p w14:paraId="65CDC4C9">
      <w:pPr>
        <w:spacing w:line="560" w:lineRule="exact"/>
        <w:ind w:firstLine="420" w:firstLineChars="200"/>
        <w:rPr>
          <w:sz w:val="21"/>
          <w:szCs w:val="21"/>
        </w:rPr>
      </w:pPr>
      <w:r>
        <w:rPr>
          <w:sz w:val="21"/>
          <w:szCs w:val="21"/>
        </w:rPr>
        <w:t>6.现场签证工作完成后的48小时内，合同双方当事人应确认由此引起调整的合同价款，并作为追加合同价款，按合同结算方式支付。</w:t>
      </w:r>
    </w:p>
    <w:p w14:paraId="5F4AAF28">
      <w:pPr>
        <w:spacing w:line="560" w:lineRule="exact"/>
        <w:ind w:firstLine="422" w:firstLineChars="200"/>
        <w:rPr>
          <w:b/>
          <w:bCs/>
          <w:sz w:val="21"/>
          <w:szCs w:val="21"/>
        </w:rPr>
      </w:pPr>
      <w:r>
        <w:rPr>
          <w:b/>
          <w:bCs/>
          <w:sz w:val="21"/>
          <w:szCs w:val="21"/>
        </w:rPr>
        <w:t>第九条</w:t>
      </w:r>
      <w:r>
        <w:rPr>
          <w:sz w:val="21"/>
          <w:szCs w:val="21"/>
        </w:rPr>
        <w:t xml:space="preserve"> </w:t>
      </w:r>
      <w:r>
        <w:rPr>
          <w:b/>
          <w:bCs/>
          <w:sz w:val="21"/>
          <w:szCs w:val="21"/>
        </w:rPr>
        <w:t>工程竣工验收</w:t>
      </w:r>
    </w:p>
    <w:p w14:paraId="20E59C63">
      <w:pPr>
        <w:spacing w:line="560" w:lineRule="exact"/>
        <w:ind w:firstLine="420" w:firstLineChars="200"/>
        <w:rPr>
          <w:rFonts w:hint="eastAsia"/>
          <w:sz w:val="21"/>
          <w:szCs w:val="21"/>
        </w:rPr>
      </w:pPr>
      <w:r>
        <w:rPr>
          <w:rFonts w:hint="eastAsia"/>
          <w:sz w:val="21"/>
          <w:szCs w:val="21"/>
        </w:rPr>
        <w:t>1</w:t>
      </w:r>
      <w:r>
        <w:rPr>
          <w:rFonts w:hint="eastAsia"/>
          <w:sz w:val="21"/>
          <w:szCs w:val="21"/>
          <w:lang w:val="en-US" w:eastAsia="zh-CN"/>
        </w:rPr>
        <w:t>.</w:t>
      </w:r>
      <w:r>
        <w:rPr>
          <w:rFonts w:hint="eastAsia"/>
          <w:sz w:val="21"/>
          <w:szCs w:val="21"/>
        </w:rPr>
        <w:t>设计部分：</w:t>
      </w:r>
    </w:p>
    <w:p w14:paraId="0E52CC58">
      <w:pPr>
        <w:spacing w:line="560" w:lineRule="exact"/>
        <w:ind w:firstLine="420" w:firstLineChars="200"/>
        <w:rPr>
          <w:rFonts w:hint="eastAsia"/>
          <w:sz w:val="21"/>
          <w:szCs w:val="21"/>
        </w:rPr>
      </w:pPr>
      <w:r>
        <w:rPr>
          <w:rFonts w:hint="eastAsia"/>
          <w:sz w:val="21"/>
          <w:szCs w:val="21"/>
        </w:rPr>
        <w:t>验收标准：提供重点区域提升设计方案，包括平面图、效果图等及成本测算文件，达到服务需求书的要求并通过</w:t>
      </w:r>
      <w:r>
        <w:rPr>
          <w:rFonts w:hint="eastAsia"/>
          <w:sz w:val="21"/>
          <w:szCs w:val="21"/>
          <w:lang w:val="en-US" w:eastAsia="zh-CN"/>
        </w:rPr>
        <w:t>甲方单位</w:t>
      </w:r>
      <w:r>
        <w:rPr>
          <w:rFonts w:hint="eastAsia"/>
          <w:sz w:val="21"/>
          <w:szCs w:val="21"/>
        </w:rPr>
        <w:t>组织的评审；</w:t>
      </w:r>
    </w:p>
    <w:p w14:paraId="783814BF">
      <w:pPr>
        <w:spacing w:line="560" w:lineRule="exact"/>
        <w:ind w:firstLine="420" w:firstLineChars="200"/>
        <w:rPr>
          <w:rFonts w:hint="eastAsia"/>
          <w:sz w:val="21"/>
          <w:szCs w:val="21"/>
        </w:rPr>
      </w:pPr>
      <w:r>
        <w:rPr>
          <w:rFonts w:hint="eastAsia"/>
          <w:sz w:val="21"/>
          <w:szCs w:val="21"/>
        </w:rPr>
        <w:t>相关设计成果归</w:t>
      </w:r>
      <w:r>
        <w:rPr>
          <w:rFonts w:hint="eastAsia"/>
          <w:sz w:val="21"/>
          <w:szCs w:val="21"/>
          <w:lang w:val="en-US" w:eastAsia="zh-CN"/>
        </w:rPr>
        <w:t>甲方单位</w:t>
      </w:r>
      <w:r>
        <w:rPr>
          <w:rFonts w:hint="eastAsia"/>
          <w:sz w:val="21"/>
          <w:szCs w:val="21"/>
        </w:rPr>
        <w:t>所有。</w:t>
      </w:r>
    </w:p>
    <w:p w14:paraId="2AF1DCF0">
      <w:pPr>
        <w:spacing w:line="560" w:lineRule="exact"/>
        <w:ind w:firstLine="420" w:firstLineChars="200"/>
        <w:rPr>
          <w:rFonts w:hint="eastAsia"/>
          <w:sz w:val="21"/>
          <w:szCs w:val="21"/>
        </w:rPr>
      </w:pPr>
      <w:r>
        <w:rPr>
          <w:rFonts w:hint="eastAsia"/>
          <w:sz w:val="21"/>
          <w:szCs w:val="21"/>
        </w:rPr>
        <w:t>2、施工部分：</w:t>
      </w:r>
    </w:p>
    <w:p w14:paraId="6D6E8460">
      <w:pPr>
        <w:spacing w:line="560" w:lineRule="exact"/>
        <w:ind w:firstLine="420" w:firstLineChars="200"/>
        <w:rPr>
          <w:sz w:val="21"/>
          <w:szCs w:val="21"/>
        </w:rPr>
      </w:pPr>
      <w:r>
        <w:rPr>
          <w:rFonts w:hint="eastAsia"/>
          <w:sz w:val="21"/>
          <w:szCs w:val="21"/>
        </w:rPr>
        <w:t>验收标准：完成全部施工内容后，组织</w:t>
      </w:r>
      <w:r>
        <w:rPr>
          <w:rFonts w:hint="eastAsia"/>
          <w:sz w:val="21"/>
          <w:szCs w:val="21"/>
          <w:lang w:val="en-US" w:eastAsia="zh-CN"/>
        </w:rPr>
        <w:t>甲方单位</w:t>
      </w:r>
      <w:r>
        <w:rPr>
          <w:rFonts w:hint="eastAsia"/>
          <w:sz w:val="21"/>
          <w:szCs w:val="21"/>
        </w:rPr>
        <w:t>进行现场竣工验收，最终成果达到服务需求书的要求并通过</w:t>
      </w:r>
      <w:r>
        <w:rPr>
          <w:rFonts w:hint="eastAsia"/>
          <w:sz w:val="21"/>
          <w:szCs w:val="21"/>
          <w:lang w:val="en-US" w:eastAsia="zh-CN"/>
        </w:rPr>
        <w:t>甲方单位</w:t>
      </w:r>
      <w:r>
        <w:rPr>
          <w:rFonts w:hint="eastAsia"/>
          <w:sz w:val="21"/>
          <w:szCs w:val="21"/>
        </w:rPr>
        <w:t>组织的评审；</w:t>
      </w:r>
    </w:p>
    <w:p w14:paraId="6658868D">
      <w:pPr>
        <w:spacing w:line="560" w:lineRule="exact"/>
        <w:ind w:firstLine="422" w:firstLineChars="200"/>
        <w:rPr>
          <w:b/>
          <w:bCs/>
          <w:sz w:val="21"/>
          <w:szCs w:val="21"/>
        </w:rPr>
      </w:pPr>
      <w:r>
        <w:rPr>
          <w:b/>
          <w:bCs/>
          <w:sz w:val="21"/>
          <w:szCs w:val="21"/>
        </w:rPr>
        <w:t>第十条 结算方式</w:t>
      </w:r>
    </w:p>
    <w:p w14:paraId="0BEBCA78">
      <w:pPr>
        <w:spacing w:line="560" w:lineRule="exact"/>
        <w:ind w:firstLine="420" w:firstLineChars="200"/>
        <w:rPr>
          <w:sz w:val="21"/>
          <w:szCs w:val="21"/>
        </w:rPr>
      </w:pPr>
      <w:r>
        <w:rPr>
          <w:rFonts w:hint="eastAsia"/>
          <w:sz w:val="21"/>
          <w:szCs w:val="21"/>
        </w:rPr>
        <w:t>本项目以银行转账方式支付款项：</w:t>
      </w:r>
    </w:p>
    <w:p w14:paraId="3A0222C8">
      <w:pPr>
        <w:spacing w:line="560" w:lineRule="exact"/>
        <w:ind w:firstLine="420" w:firstLineChars="200"/>
        <w:rPr>
          <w:sz w:val="21"/>
          <w:szCs w:val="21"/>
        </w:rPr>
      </w:pPr>
      <w:r>
        <w:rPr>
          <w:rFonts w:hint="eastAsia"/>
          <w:sz w:val="21"/>
          <w:szCs w:val="21"/>
        </w:rPr>
        <w:t>4</w:t>
      </w:r>
      <w:r>
        <w:rPr>
          <w:sz w:val="21"/>
          <w:szCs w:val="21"/>
        </w:rPr>
        <w:t>.乙方收款信息如下：</w:t>
      </w:r>
    </w:p>
    <w:p w14:paraId="10B81210">
      <w:pPr>
        <w:spacing w:line="560" w:lineRule="exact"/>
        <w:ind w:firstLine="420" w:firstLineChars="200"/>
        <w:rPr>
          <w:sz w:val="21"/>
          <w:szCs w:val="21"/>
        </w:rPr>
      </w:pPr>
      <w:r>
        <w:rPr>
          <w:sz w:val="21"/>
          <w:szCs w:val="21"/>
        </w:rPr>
        <w:t>开户名称：</w:t>
      </w:r>
    </w:p>
    <w:p w14:paraId="22997914">
      <w:pPr>
        <w:spacing w:line="560" w:lineRule="exact"/>
        <w:ind w:firstLine="420" w:firstLineChars="200"/>
        <w:rPr>
          <w:sz w:val="21"/>
          <w:szCs w:val="21"/>
        </w:rPr>
      </w:pPr>
      <w:r>
        <w:rPr>
          <w:sz w:val="21"/>
          <w:szCs w:val="21"/>
        </w:rPr>
        <w:t>银行账号：</w:t>
      </w:r>
    </w:p>
    <w:p w14:paraId="04B67F6D">
      <w:pPr>
        <w:spacing w:line="560" w:lineRule="exact"/>
        <w:ind w:firstLine="420" w:firstLineChars="200"/>
        <w:rPr>
          <w:sz w:val="21"/>
          <w:szCs w:val="21"/>
        </w:rPr>
      </w:pPr>
      <w:r>
        <w:rPr>
          <w:sz w:val="21"/>
          <w:szCs w:val="21"/>
        </w:rPr>
        <w:t>开户银行：</w:t>
      </w:r>
    </w:p>
    <w:p w14:paraId="5B5063BA">
      <w:pPr>
        <w:spacing w:line="560" w:lineRule="exact"/>
        <w:ind w:firstLine="420" w:firstLineChars="200"/>
        <w:rPr>
          <w:sz w:val="21"/>
          <w:szCs w:val="21"/>
        </w:rPr>
      </w:pPr>
      <w:r>
        <w:rPr>
          <w:rFonts w:hint="eastAsia"/>
          <w:sz w:val="21"/>
          <w:szCs w:val="21"/>
        </w:rPr>
        <w:t>5</w:t>
      </w:r>
      <w:r>
        <w:rPr>
          <w:sz w:val="21"/>
          <w:szCs w:val="21"/>
        </w:rPr>
        <w:t>.每一笔工程款项支付前乙方应开具相应金额发票交付甲方，否则付款相应顺延。如该工程是通过财政付款的，则上述约定的付款期间不包括</w:t>
      </w:r>
      <w:r>
        <w:rPr>
          <w:rFonts w:hint="eastAsia"/>
          <w:sz w:val="21"/>
          <w:szCs w:val="21"/>
        </w:rPr>
        <w:t>内部</w:t>
      </w:r>
      <w:r>
        <w:rPr>
          <w:sz w:val="21"/>
          <w:szCs w:val="21"/>
        </w:rPr>
        <w:t>审批期间。</w:t>
      </w:r>
    </w:p>
    <w:p w14:paraId="70B96B06">
      <w:pPr>
        <w:spacing w:line="560" w:lineRule="exact"/>
        <w:ind w:firstLine="422" w:firstLineChars="200"/>
        <w:rPr>
          <w:sz w:val="21"/>
          <w:szCs w:val="21"/>
        </w:rPr>
      </w:pPr>
      <w:r>
        <w:rPr>
          <w:b/>
          <w:bCs/>
          <w:sz w:val="21"/>
          <w:szCs w:val="21"/>
        </w:rPr>
        <w:t>第十一条</w:t>
      </w:r>
      <w:r>
        <w:rPr>
          <w:sz w:val="21"/>
          <w:szCs w:val="21"/>
        </w:rPr>
        <w:t xml:space="preserve"> </w:t>
      </w:r>
      <w:r>
        <w:rPr>
          <w:b/>
          <w:bCs/>
          <w:sz w:val="21"/>
          <w:szCs w:val="21"/>
        </w:rPr>
        <w:t>违约责任</w:t>
      </w:r>
    </w:p>
    <w:p w14:paraId="51E46B24">
      <w:pPr>
        <w:spacing w:line="560" w:lineRule="exact"/>
        <w:ind w:firstLine="420" w:firstLineChars="200"/>
        <w:rPr>
          <w:sz w:val="21"/>
          <w:szCs w:val="21"/>
        </w:rPr>
      </w:pPr>
      <w:r>
        <w:rPr>
          <w:rFonts w:hint="eastAsia"/>
          <w:sz w:val="21"/>
          <w:szCs w:val="21"/>
        </w:rPr>
        <w:t>1、乙方派驻人员的实际工作能力和工作表现未招标文件明确要求或响应文件的承诺、或工作态度存在问题，不适应现场工作的需要，甲方有权要求乙方撤换。乙方可提出整改意见，如甲方不予接受或认为整改效果不明显的，乙方必须在甲方发出通知之日起7天内无条件撤换。乙方承诺后任人员的资质、资历、业绩、实际工作能力不低于投标文件承诺的要求。</w:t>
      </w:r>
    </w:p>
    <w:p w14:paraId="47E112A3">
      <w:pPr>
        <w:spacing w:line="560" w:lineRule="exact"/>
        <w:ind w:firstLine="420" w:firstLineChars="200"/>
        <w:rPr>
          <w:sz w:val="21"/>
          <w:szCs w:val="21"/>
        </w:rPr>
      </w:pPr>
      <w:r>
        <w:rPr>
          <w:rFonts w:hint="eastAsia"/>
          <w:sz w:val="21"/>
          <w:szCs w:val="21"/>
        </w:rPr>
        <w:t>2、乙方项目负责人不得缺席现场每周工程例会，每缺席1次，乙方按人民币500元/人/次支付违约金，甲方可直接从应支付的工程款中扣除。</w:t>
      </w:r>
    </w:p>
    <w:p w14:paraId="0F11CCFC">
      <w:pPr>
        <w:spacing w:line="560" w:lineRule="exact"/>
        <w:ind w:firstLine="420" w:firstLineChars="200"/>
        <w:rPr>
          <w:sz w:val="21"/>
          <w:szCs w:val="21"/>
        </w:rPr>
      </w:pPr>
      <w:r>
        <w:rPr>
          <w:rFonts w:hint="eastAsia"/>
          <w:sz w:val="21"/>
          <w:szCs w:val="21"/>
        </w:rPr>
        <w:t>3、乙方若未在第七条第四款约定的时间内向甲方移交完毕，按逾期完工处理。一旦出现逾期完工情形，乙方应按1000元/天的标准向甲方支付违约金，逾期达10日历天（包括第10日历天）的，甲方有权解除本合同，乙方应当支付合同暂定总价2%的违约金，并赔偿因延误工期给甲方造成的一切损失。</w:t>
      </w:r>
    </w:p>
    <w:p w14:paraId="469B6815">
      <w:pPr>
        <w:spacing w:line="560" w:lineRule="exact"/>
        <w:ind w:firstLine="420" w:firstLineChars="200"/>
        <w:rPr>
          <w:sz w:val="21"/>
          <w:szCs w:val="21"/>
        </w:rPr>
      </w:pPr>
      <w:r>
        <w:rPr>
          <w:rFonts w:hint="eastAsia"/>
          <w:sz w:val="21"/>
          <w:szCs w:val="21"/>
        </w:rPr>
        <w:t>4、乙方如发生拖欠工资或供应商货款而造成社会不安定事件（包括但不限于：聚众围堵索要工资、以声称将自残自杀来索要工资等）的，乙方必须及时妥善处理并负全责。甲方有权直接扣除乙方工程款用于垫付拖欠的乙方人员工资和供应商货款，并且乙方须按甲方已垫付款项的2倍向甲方支付违约金。</w:t>
      </w:r>
    </w:p>
    <w:p w14:paraId="3500BA16">
      <w:pPr>
        <w:spacing w:line="560" w:lineRule="exact"/>
        <w:ind w:firstLine="420" w:firstLineChars="200"/>
        <w:rPr>
          <w:sz w:val="21"/>
          <w:szCs w:val="21"/>
        </w:rPr>
      </w:pPr>
      <w:r>
        <w:rPr>
          <w:rFonts w:hint="eastAsia"/>
          <w:sz w:val="21"/>
          <w:szCs w:val="21"/>
        </w:rPr>
        <w:t>4、因乙方拖欠设备款、材料款、劳务费、工资、分包工程款或其它应付费用，或因乙方的违约行为或违法行为，导致甲方被牵涉到相关纠纷中的，或导致甲方遭受损失的，乙方应承担因此给甲方造成的一切损失（包括但不限于甲方对第三方的赔款、罚款、诉讼费、仲裁费、执行费、滞纳金和甲方因应诉或抗辩而支出的律师费、差旅费、交通费及其它费用），并在收到甲方通知书之日起3日内一次性赔付给甲方，乙方亦同意由甲方在应付给乙方的工程款中直接抵扣。乙方同意不以任何理由拒付，否则，乙方应以上述应赔付费用为基数和每日5‰的标准，向甲方支付逾期付款违约金。</w:t>
      </w:r>
    </w:p>
    <w:p w14:paraId="3E766D3E">
      <w:pPr>
        <w:spacing w:line="560" w:lineRule="exact"/>
        <w:ind w:firstLine="420" w:firstLineChars="200"/>
        <w:rPr>
          <w:sz w:val="21"/>
          <w:szCs w:val="21"/>
        </w:rPr>
      </w:pPr>
      <w:r>
        <w:rPr>
          <w:rFonts w:hint="eastAsia"/>
          <w:sz w:val="21"/>
          <w:szCs w:val="21"/>
        </w:rPr>
        <w:t>5、如乙方未在竣工通过验收之日起三个月内交齐全部竣工资料（甲方原因除外），按延期竣工处理，承担从竣工通过验收之日起起算的工期延误违约责任。</w:t>
      </w:r>
    </w:p>
    <w:p w14:paraId="33387DAF">
      <w:pPr>
        <w:spacing w:line="560" w:lineRule="exact"/>
        <w:ind w:firstLine="420" w:firstLineChars="200"/>
        <w:rPr>
          <w:sz w:val="21"/>
          <w:szCs w:val="21"/>
        </w:rPr>
      </w:pPr>
      <w:r>
        <w:rPr>
          <w:rFonts w:hint="eastAsia"/>
          <w:sz w:val="21"/>
          <w:szCs w:val="21"/>
        </w:rPr>
        <w:t>6、乙方应按本合同规定按时、按质、按量完成该项工程。在施工过程中，除不可抗力、甲方书面通知外，乙方不得以任何理由停工。如因乙方原因，停工累计达3天且甲方书面通知后没有按甲方要求改进的，甲方有权解除本合同，不予返还乙方已运用到工程上的任何材料，同时责令乙方5个工作日之内无条件完全退场并交清所有工程资料，暂不结算乙方已完成工程量。甲方另行发包工程。乙方应赔偿给甲方造成的一切直接、间接损失和向第三方承担的赔偿损失，包括但不限于另行发包后的工程造价超过原工程造价的部分，且甲方可直接从未结工程款中抵扣乙方应赔偿的损失，不足部分由乙方即时全数补付甲方。</w:t>
      </w:r>
    </w:p>
    <w:p w14:paraId="65A7B320">
      <w:pPr>
        <w:spacing w:line="560" w:lineRule="exact"/>
        <w:ind w:firstLine="422" w:firstLineChars="200"/>
        <w:rPr>
          <w:sz w:val="21"/>
          <w:szCs w:val="21"/>
        </w:rPr>
      </w:pPr>
      <w:r>
        <w:rPr>
          <w:b/>
          <w:bCs/>
          <w:sz w:val="21"/>
          <w:szCs w:val="21"/>
        </w:rPr>
        <w:t>第十二条 损坏责任</w:t>
      </w:r>
    </w:p>
    <w:p w14:paraId="68796E83">
      <w:pPr>
        <w:spacing w:line="560" w:lineRule="exact"/>
        <w:ind w:firstLine="420" w:firstLineChars="200"/>
        <w:rPr>
          <w:sz w:val="21"/>
          <w:szCs w:val="21"/>
        </w:rPr>
      </w:pPr>
      <w:r>
        <w:rPr>
          <w:sz w:val="21"/>
          <w:szCs w:val="21"/>
        </w:rPr>
        <w:t>乙方未按照文明施工约定或疏忽导致施工场地及其设施损坏、损害或给甲方造成经济损失的，乙方应承担全部责任。损坏部分由乙方负责修复，若需要由甲方或委托第三方处理，乙方负责支付全部费用。</w:t>
      </w:r>
    </w:p>
    <w:p w14:paraId="4AED5410">
      <w:pPr>
        <w:spacing w:line="560" w:lineRule="exact"/>
        <w:ind w:firstLine="422" w:firstLineChars="200"/>
        <w:rPr>
          <w:b/>
          <w:bCs/>
          <w:sz w:val="21"/>
          <w:szCs w:val="21"/>
          <w:lang w:eastAsia="zh-Hans"/>
        </w:rPr>
      </w:pPr>
      <w:r>
        <w:rPr>
          <w:b/>
          <w:bCs/>
          <w:sz w:val="21"/>
          <w:szCs w:val="21"/>
          <w:lang w:eastAsia="zh-Hans"/>
        </w:rPr>
        <w:t>第十三条  廉洁条款</w:t>
      </w:r>
    </w:p>
    <w:p w14:paraId="650D6CF1">
      <w:pPr>
        <w:spacing w:line="560" w:lineRule="exact"/>
        <w:ind w:firstLine="420" w:firstLineChars="200"/>
        <w:rPr>
          <w:sz w:val="21"/>
          <w:szCs w:val="21"/>
          <w:lang w:eastAsia="zh-Hans"/>
        </w:rPr>
      </w:pPr>
      <w:r>
        <w:rPr>
          <w:sz w:val="21"/>
          <w:szCs w:val="21"/>
        </w:rPr>
        <w:t>1.</w:t>
      </w:r>
      <w:r>
        <w:rPr>
          <w:sz w:val="21"/>
          <w:szCs w:val="21"/>
          <w:lang w:eastAsia="zh-Hans"/>
        </w:rPr>
        <w:t>乙方不得在合同签订、履行过程中向甲方工作人员提供任何回扣、手续费、消费性娱乐活动，向甲方工作人员请客吃饭、馈赠任何礼物。</w:t>
      </w:r>
    </w:p>
    <w:p w14:paraId="22F82A73">
      <w:pPr>
        <w:spacing w:line="560" w:lineRule="exact"/>
        <w:ind w:firstLine="420" w:firstLineChars="200"/>
        <w:rPr>
          <w:sz w:val="21"/>
          <w:szCs w:val="21"/>
          <w:lang w:eastAsia="zh-Hans"/>
        </w:rPr>
      </w:pPr>
      <w:r>
        <w:rPr>
          <w:sz w:val="21"/>
          <w:szCs w:val="21"/>
        </w:rPr>
        <w:t>2.</w:t>
      </w:r>
      <w:r>
        <w:rPr>
          <w:sz w:val="21"/>
          <w:szCs w:val="21"/>
          <w:lang w:eastAsia="zh-Hans"/>
        </w:rPr>
        <w:t>不得向甲方工作人员以馈赠信用卡、购物卡、购物券的形式进行商业贿赂。 </w:t>
      </w:r>
    </w:p>
    <w:p w14:paraId="3077AB0D">
      <w:pPr>
        <w:spacing w:line="560" w:lineRule="exact"/>
        <w:ind w:firstLine="420" w:firstLineChars="200"/>
        <w:rPr>
          <w:sz w:val="21"/>
          <w:szCs w:val="21"/>
          <w:lang w:eastAsia="zh-Hans"/>
        </w:rPr>
      </w:pPr>
      <w:r>
        <w:rPr>
          <w:sz w:val="21"/>
          <w:szCs w:val="21"/>
        </w:rPr>
        <w:t>3.</w:t>
      </w:r>
      <w:r>
        <w:rPr>
          <w:sz w:val="21"/>
          <w:szCs w:val="21"/>
          <w:lang w:eastAsia="zh-Hans"/>
        </w:rPr>
        <w:t>不得向甲方工作人员承诺在合同履行完毕前后兑现任何利益承诺。</w:t>
      </w:r>
    </w:p>
    <w:p w14:paraId="1957D874">
      <w:pPr>
        <w:spacing w:line="560" w:lineRule="exact"/>
        <w:ind w:firstLine="420" w:firstLineChars="200"/>
        <w:rPr>
          <w:sz w:val="21"/>
          <w:szCs w:val="21"/>
          <w:lang w:eastAsia="zh-Hans"/>
        </w:rPr>
      </w:pPr>
      <w:r>
        <w:rPr>
          <w:sz w:val="21"/>
          <w:szCs w:val="21"/>
        </w:rPr>
        <w:t>4.</w:t>
      </w:r>
      <w:r>
        <w:rPr>
          <w:sz w:val="21"/>
          <w:szCs w:val="21"/>
          <w:lang w:eastAsia="zh-Hans"/>
        </w:rPr>
        <w:t>不得为谋取不正当利益而实施违反商业贿赂及公平交易的其他行为。</w:t>
      </w:r>
    </w:p>
    <w:p w14:paraId="3324DA1A">
      <w:pPr>
        <w:spacing w:line="560" w:lineRule="exact"/>
        <w:ind w:firstLine="422" w:firstLineChars="200"/>
        <w:rPr>
          <w:b/>
          <w:bCs/>
          <w:sz w:val="21"/>
          <w:szCs w:val="21"/>
          <w:lang w:eastAsia="zh-Hans"/>
        </w:rPr>
      </w:pPr>
      <w:r>
        <w:rPr>
          <w:b/>
          <w:bCs/>
          <w:sz w:val="21"/>
          <w:szCs w:val="21"/>
          <w:lang w:eastAsia="zh-Hans"/>
        </w:rPr>
        <w:t>第十四条  争议解决</w:t>
      </w:r>
    </w:p>
    <w:p w14:paraId="431C5489">
      <w:pPr>
        <w:spacing w:line="560" w:lineRule="exact"/>
        <w:ind w:firstLine="420" w:firstLineChars="200"/>
        <w:rPr>
          <w:rFonts w:hint="eastAsia"/>
          <w:sz w:val="21"/>
          <w:szCs w:val="21"/>
        </w:rPr>
      </w:pPr>
      <w:r>
        <w:rPr>
          <w:rFonts w:hint="eastAsia"/>
          <w:sz w:val="21"/>
          <w:szCs w:val="21"/>
        </w:rPr>
        <w:t>因本合同引起的或与本合同有关的任何争议，均提请东莞仲裁委员会按照其仲裁规则进行仲裁。仲裁裁决是终局的，对双方均有约束力。</w:t>
      </w:r>
    </w:p>
    <w:p w14:paraId="4FFBA9B5">
      <w:pPr>
        <w:spacing w:line="560" w:lineRule="exact"/>
        <w:ind w:firstLine="420" w:firstLineChars="200"/>
        <w:rPr>
          <w:sz w:val="21"/>
          <w:szCs w:val="21"/>
        </w:rPr>
      </w:pPr>
      <w:r>
        <w:rPr>
          <w:sz w:val="21"/>
          <w:szCs w:val="21"/>
        </w:rPr>
        <w:t>本合同一式</w:t>
      </w:r>
      <w:r>
        <w:rPr>
          <w:sz w:val="21"/>
          <w:szCs w:val="21"/>
          <w:u w:val="single"/>
        </w:rPr>
        <w:t xml:space="preserve">   </w:t>
      </w:r>
      <w:r>
        <w:rPr>
          <w:sz w:val="21"/>
          <w:szCs w:val="21"/>
        </w:rPr>
        <w:t>份，甲方执</w:t>
      </w:r>
      <w:r>
        <w:rPr>
          <w:rFonts w:hint="eastAsia"/>
          <w:sz w:val="21"/>
          <w:szCs w:val="21"/>
          <w:u w:val="single"/>
        </w:rPr>
        <w:t xml:space="preserve">  </w:t>
      </w:r>
      <w:r>
        <w:rPr>
          <w:sz w:val="21"/>
          <w:szCs w:val="21"/>
        </w:rPr>
        <w:t>份，乙方执</w:t>
      </w:r>
      <w:r>
        <w:rPr>
          <w:sz w:val="21"/>
          <w:szCs w:val="21"/>
          <w:u w:val="single"/>
        </w:rPr>
        <w:t xml:space="preserve">   </w:t>
      </w:r>
      <w:r>
        <w:rPr>
          <w:sz w:val="21"/>
          <w:szCs w:val="21"/>
        </w:rPr>
        <w:t>份，每份具有同等之法律效力。</w:t>
      </w:r>
    </w:p>
    <w:p w14:paraId="27A82E75">
      <w:pPr>
        <w:spacing w:line="560" w:lineRule="exact"/>
        <w:ind w:firstLine="420" w:firstLineChars="200"/>
        <w:rPr>
          <w:sz w:val="21"/>
          <w:szCs w:val="21"/>
        </w:rPr>
      </w:pPr>
      <w:r>
        <w:rPr>
          <w:sz w:val="21"/>
          <w:szCs w:val="21"/>
        </w:rPr>
        <w:t>本合同自甲乙双方签订之日起生效。</w:t>
      </w:r>
    </w:p>
    <w:p w14:paraId="6E60F0CE">
      <w:pPr>
        <w:spacing w:line="560" w:lineRule="exact"/>
        <w:ind w:firstLine="420" w:firstLineChars="200"/>
        <w:rPr>
          <w:sz w:val="21"/>
          <w:szCs w:val="21"/>
        </w:rPr>
      </w:pPr>
      <w:r>
        <w:rPr>
          <w:rFonts w:hint="eastAsia"/>
          <w:sz w:val="21"/>
          <w:szCs w:val="21"/>
        </w:rPr>
        <w:t>（本页无正文）</w:t>
      </w:r>
    </w:p>
    <w:p w14:paraId="52901454">
      <w:pPr>
        <w:widowControl/>
        <w:jc w:val="left"/>
        <w:rPr>
          <w:sz w:val="21"/>
          <w:szCs w:val="21"/>
        </w:rPr>
      </w:pPr>
      <w:r>
        <w:rPr>
          <w:sz w:val="21"/>
          <w:szCs w:val="21"/>
        </w:rPr>
        <w:br w:type="page"/>
      </w:r>
    </w:p>
    <w:p w14:paraId="2E8A578A">
      <w:pPr>
        <w:spacing w:line="560" w:lineRule="exact"/>
        <w:ind w:firstLine="420" w:firstLineChars="200"/>
        <w:rPr>
          <w:sz w:val="21"/>
          <w:szCs w:val="21"/>
        </w:rPr>
      </w:pPr>
    </w:p>
    <w:p w14:paraId="62A2AE1B">
      <w:pPr>
        <w:spacing w:line="560" w:lineRule="exact"/>
        <w:ind w:firstLine="420" w:firstLineChars="200"/>
        <w:rPr>
          <w:sz w:val="21"/>
          <w:szCs w:val="21"/>
        </w:rPr>
      </w:pPr>
      <w:r>
        <w:rPr>
          <w:sz w:val="21"/>
          <w:szCs w:val="21"/>
        </w:rPr>
        <w:t>甲方：</w:t>
      </w:r>
      <w:r>
        <w:rPr>
          <w:rFonts w:hint="eastAsia"/>
          <w:sz w:val="21"/>
          <w:szCs w:val="21"/>
        </w:rPr>
        <w:t>东莞文旅有限公司</w:t>
      </w:r>
      <w:r>
        <w:rPr>
          <w:sz w:val="21"/>
          <w:szCs w:val="21"/>
        </w:rPr>
        <w:t xml:space="preserve">（盖章）    </w:t>
      </w:r>
    </w:p>
    <w:p w14:paraId="398F13D5">
      <w:pPr>
        <w:spacing w:line="560" w:lineRule="exact"/>
        <w:ind w:firstLine="420" w:firstLineChars="200"/>
        <w:rPr>
          <w:sz w:val="21"/>
          <w:szCs w:val="21"/>
        </w:rPr>
      </w:pPr>
    </w:p>
    <w:p w14:paraId="3F81630E">
      <w:pPr>
        <w:spacing w:line="560" w:lineRule="exact"/>
        <w:ind w:firstLine="420" w:firstLineChars="200"/>
        <w:rPr>
          <w:sz w:val="21"/>
          <w:szCs w:val="21"/>
        </w:rPr>
      </w:pPr>
      <w:r>
        <w:rPr>
          <w:sz w:val="21"/>
          <w:szCs w:val="21"/>
        </w:rPr>
        <w:t>甲方代表人：</w:t>
      </w:r>
    </w:p>
    <w:p w14:paraId="197265B9">
      <w:pPr>
        <w:spacing w:line="560" w:lineRule="exact"/>
        <w:ind w:firstLine="420" w:firstLineChars="200"/>
        <w:rPr>
          <w:sz w:val="21"/>
          <w:szCs w:val="21"/>
        </w:rPr>
      </w:pPr>
      <w:r>
        <w:rPr>
          <w:sz w:val="21"/>
          <w:szCs w:val="21"/>
        </w:rPr>
        <w:t xml:space="preserve"> </w:t>
      </w:r>
    </w:p>
    <w:p w14:paraId="2F66D20D">
      <w:pPr>
        <w:spacing w:line="560" w:lineRule="exact"/>
        <w:ind w:firstLine="420" w:firstLineChars="200"/>
        <w:rPr>
          <w:sz w:val="21"/>
          <w:szCs w:val="21"/>
        </w:rPr>
      </w:pPr>
      <w:r>
        <w:rPr>
          <w:sz w:val="21"/>
          <w:szCs w:val="21"/>
        </w:rPr>
        <w:t xml:space="preserve">乙方代表人：        </w:t>
      </w:r>
    </w:p>
    <w:p w14:paraId="42035EB8">
      <w:pPr>
        <w:spacing w:line="560" w:lineRule="exact"/>
        <w:ind w:firstLine="420" w:firstLineChars="200"/>
        <w:rPr>
          <w:sz w:val="21"/>
          <w:szCs w:val="21"/>
        </w:rPr>
      </w:pPr>
    </w:p>
    <w:p w14:paraId="3A3F649B">
      <w:pPr>
        <w:spacing w:line="560" w:lineRule="exact"/>
        <w:ind w:firstLine="420" w:firstLineChars="200"/>
        <w:rPr>
          <w:sz w:val="21"/>
          <w:szCs w:val="21"/>
        </w:rPr>
      </w:pPr>
      <w:r>
        <w:rPr>
          <w:sz w:val="21"/>
          <w:szCs w:val="21"/>
        </w:rPr>
        <w:t>乙方：（盖章）</w:t>
      </w:r>
    </w:p>
    <w:p w14:paraId="18486624">
      <w:pPr>
        <w:spacing w:line="560" w:lineRule="exact"/>
        <w:ind w:firstLine="420" w:firstLineChars="200"/>
        <w:rPr>
          <w:sz w:val="21"/>
          <w:szCs w:val="21"/>
        </w:rPr>
      </w:pPr>
      <w:r>
        <w:rPr>
          <w:sz w:val="21"/>
          <w:szCs w:val="21"/>
        </w:rPr>
        <w:t xml:space="preserve">     </w:t>
      </w:r>
    </w:p>
    <w:p w14:paraId="73B18E9E">
      <w:pPr>
        <w:spacing w:line="560" w:lineRule="exact"/>
        <w:ind w:firstLine="420" w:firstLineChars="200"/>
        <w:rPr>
          <w:sz w:val="21"/>
          <w:szCs w:val="21"/>
        </w:rPr>
      </w:pPr>
      <w:r>
        <w:rPr>
          <w:sz w:val="21"/>
          <w:szCs w:val="21"/>
        </w:rPr>
        <w:t>签约日期：   年   月   日</w:t>
      </w:r>
    </w:p>
    <w:p w14:paraId="2FED27F0">
      <w:pPr>
        <w:widowControl/>
        <w:jc w:val="left"/>
        <w:rPr>
          <w:sz w:val="21"/>
          <w:szCs w:val="21"/>
        </w:rPr>
      </w:pPr>
    </w:p>
    <w:p w14:paraId="549D0AA5">
      <w:pPr>
        <w:snapToGrid w:val="0"/>
        <w:spacing w:line="360" w:lineRule="auto"/>
        <w:rPr>
          <w:rFonts w:hint="eastAsia" w:hAnsi="宋体"/>
          <w:sz w:val="21"/>
          <w:szCs w:val="21"/>
        </w:rPr>
      </w:pPr>
    </w:p>
    <w:p w14:paraId="45639BCC">
      <w:pPr>
        <w:pStyle w:val="2"/>
        <w:spacing w:before="8"/>
        <w:rPr>
          <w:rFonts w:hint="eastAsia" w:hAnsi="宋体"/>
          <w:sz w:val="19"/>
        </w:rPr>
      </w:pPr>
    </w:p>
    <w:p w14:paraId="195CB422">
      <w:pPr>
        <w:pStyle w:val="2"/>
        <w:spacing w:before="8"/>
        <w:rPr>
          <w:rFonts w:hint="eastAsia" w:hAnsi="宋体"/>
          <w:sz w:val="19"/>
        </w:rPr>
      </w:pPr>
    </w:p>
    <w:p w14:paraId="147739B9">
      <w:pPr>
        <w:widowControl/>
        <w:autoSpaceDE/>
        <w:autoSpaceDN/>
        <w:adjustRightInd/>
        <w:rPr>
          <w:rFonts w:hint="eastAsia" w:hAnsi="宋体"/>
          <w:sz w:val="21"/>
          <w:szCs w:val="21"/>
        </w:rPr>
      </w:pPr>
      <w:r>
        <w:rPr>
          <w:rFonts w:hint="eastAsia" w:hAnsi="宋体"/>
          <w:sz w:val="21"/>
          <w:szCs w:val="21"/>
        </w:rPr>
        <w:br w:type="page"/>
      </w:r>
    </w:p>
    <w:p w14:paraId="3CEE189E">
      <w:pPr>
        <w:spacing w:line="360" w:lineRule="auto"/>
        <w:rPr>
          <w:sz w:val="21"/>
          <w:szCs w:val="21"/>
        </w:rPr>
      </w:pPr>
      <w:bookmarkStart w:id="197" w:name="_Toc97557499"/>
      <w:r>
        <w:rPr>
          <w:rFonts w:hint="eastAsia"/>
          <w:sz w:val="21"/>
          <w:szCs w:val="21"/>
        </w:rPr>
        <w:t>附件</w:t>
      </w:r>
      <w:r>
        <w:rPr>
          <w:sz w:val="21"/>
          <w:szCs w:val="21"/>
        </w:rPr>
        <w:t>1</w:t>
      </w:r>
      <w:r>
        <w:rPr>
          <w:rFonts w:hint="eastAsia"/>
          <w:sz w:val="21"/>
          <w:szCs w:val="21"/>
        </w:rPr>
        <w:t>：阳光合作协议</w:t>
      </w:r>
      <w:bookmarkEnd w:id="197"/>
    </w:p>
    <w:p w14:paraId="771167A1">
      <w:pPr>
        <w:jc w:val="center"/>
        <w:rPr>
          <w:rFonts w:hint="eastAsia" w:asciiTheme="majorEastAsia" w:hAnsiTheme="majorEastAsia" w:eastAsiaTheme="majorEastAsia" w:cstheme="majorEastAsia"/>
          <w:b/>
          <w:sz w:val="36"/>
          <w:szCs w:val="36"/>
        </w:rPr>
      </w:pPr>
      <w:bookmarkStart w:id="198" w:name="_Toc97717198"/>
      <w:r>
        <w:rPr>
          <w:rFonts w:hint="eastAsia" w:asciiTheme="majorEastAsia" w:hAnsiTheme="majorEastAsia" w:eastAsiaTheme="majorEastAsia" w:cstheme="majorEastAsia"/>
          <w:b/>
          <w:sz w:val="36"/>
          <w:szCs w:val="36"/>
        </w:rPr>
        <w:t>阳光合作协议</w:t>
      </w:r>
    </w:p>
    <w:p w14:paraId="71C18252">
      <w:pPr>
        <w:spacing w:line="360" w:lineRule="auto"/>
        <w:ind w:firstLine="420" w:firstLineChars="200"/>
        <w:contextualSpacing/>
        <w:rPr>
          <w:rFonts w:hint="eastAsia" w:asciiTheme="majorEastAsia" w:hAnsiTheme="majorEastAsia" w:eastAsiaTheme="majorEastAsia" w:cstheme="majorEastAsia"/>
          <w:sz w:val="21"/>
          <w:szCs w:val="21"/>
          <w:u w:val="single"/>
          <w:lang w:val="en-US" w:eastAsia="zh-CN"/>
        </w:rPr>
      </w:pPr>
      <w:r>
        <w:rPr>
          <w:rFonts w:hint="eastAsia" w:asciiTheme="majorEastAsia" w:hAnsiTheme="majorEastAsia" w:eastAsiaTheme="majorEastAsia" w:cstheme="majorEastAsia"/>
          <w:sz w:val="21"/>
          <w:szCs w:val="21"/>
        </w:rPr>
        <w:t>甲方：</w:t>
      </w:r>
      <w:r>
        <w:rPr>
          <w:rFonts w:hint="eastAsia" w:asciiTheme="majorEastAsia" w:hAnsiTheme="majorEastAsia" w:eastAsiaTheme="majorEastAsia" w:cstheme="majorEastAsia"/>
          <w:sz w:val="21"/>
          <w:szCs w:val="21"/>
          <w:u w:val="single"/>
          <w:lang w:val="en-US" w:eastAsia="zh-CN"/>
        </w:rPr>
        <w:t xml:space="preserve">     </w:t>
      </w:r>
    </w:p>
    <w:p w14:paraId="27B1874A">
      <w:pPr>
        <w:spacing w:line="360" w:lineRule="auto"/>
        <w:ind w:firstLine="420" w:firstLineChars="200"/>
        <w:contextualSpacing/>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乙方：</w:t>
      </w:r>
      <w:r>
        <w:rPr>
          <w:rFonts w:hint="eastAsia" w:asciiTheme="majorEastAsia" w:hAnsiTheme="majorEastAsia" w:eastAsiaTheme="majorEastAsia" w:cstheme="majorEastAsia"/>
          <w:sz w:val="21"/>
          <w:szCs w:val="21"/>
          <w:u w:val="single"/>
          <w:lang w:val="en-US" w:eastAsia="zh-CN"/>
        </w:rPr>
        <w:t xml:space="preserve">     </w:t>
      </w:r>
    </w:p>
    <w:p w14:paraId="609FF354">
      <w:pPr>
        <w:spacing w:line="360" w:lineRule="auto"/>
        <w:ind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甲乙双方于</w:t>
      </w:r>
      <w:r>
        <w:rPr>
          <w:rFonts w:hint="eastAsia" w:asciiTheme="majorEastAsia" w:hAnsiTheme="majorEastAsia" w:eastAsiaTheme="majorEastAsia" w:cstheme="majorEastAsia"/>
          <w:sz w:val="21"/>
          <w:szCs w:val="21"/>
          <w:u w:val="single"/>
          <w:lang w:val="en-US" w:eastAsia="zh-CN"/>
        </w:rPr>
        <w:t>2025</w:t>
      </w:r>
      <w:r>
        <w:rPr>
          <w:rFonts w:hint="eastAsia" w:asciiTheme="majorEastAsia" w:hAnsiTheme="majorEastAsia" w:eastAsiaTheme="majorEastAsia" w:cstheme="majorEastAsia"/>
          <w:sz w:val="21"/>
          <w:szCs w:val="21"/>
        </w:rPr>
        <w:t>年</w:t>
      </w:r>
      <w:r>
        <w:rPr>
          <w:rFonts w:hint="eastAsia" w:asciiTheme="majorEastAsia" w:hAnsiTheme="majorEastAsia" w:eastAsiaTheme="majorEastAsia" w:cstheme="majorEastAsia"/>
          <w:sz w:val="21"/>
          <w:szCs w:val="21"/>
          <w:u w:val="single"/>
          <w:lang w:eastAsia="zh-TW"/>
        </w:rPr>
        <w:fldChar w:fldCharType="begin">
          <w:ffData>
            <w:name w:val="Text1"/>
            <w:enabled/>
            <w:calcOnExit w:val="0"/>
            <w:textInput/>
          </w:ffData>
        </w:fldChar>
      </w:r>
      <w:r>
        <w:rPr>
          <w:rFonts w:hint="eastAsia" w:asciiTheme="majorEastAsia" w:hAnsiTheme="majorEastAsia" w:eastAsiaTheme="majorEastAsia" w:cstheme="majorEastAsia"/>
          <w:sz w:val="21"/>
          <w:szCs w:val="21"/>
          <w:u w:val="single"/>
          <w:lang w:eastAsia="zh-TW"/>
        </w:rPr>
        <w:instrText xml:space="preserve">FORMTEXT</w:instrText>
      </w:r>
      <w:r>
        <w:rPr>
          <w:rFonts w:hint="eastAsia" w:asciiTheme="majorEastAsia" w:hAnsiTheme="majorEastAsia" w:eastAsiaTheme="majorEastAsia" w:cstheme="majorEastAsia"/>
          <w:sz w:val="21"/>
          <w:szCs w:val="21"/>
          <w:u w:val="single"/>
          <w:lang w:eastAsia="zh-TW"/>
        </w:rPr>
        <w:fldChar w:fldCharType="separate"/>
      </w:r>
      <w:r>
        <w:rPr>
          <w:rFonts w:hint="eastAsia" w:asciiTheme="majorEastAsia" w:hAnsiTheme="majorEastAsia" w:eastAsiaTheme="majorEastAsia" w:cstheme="majorEastAsia"/>
          <w:sz w:val="21"/>
          <w:szCs w:val="21"/>
          <w:u w:val="single"/>
          <w:lang w:eastAsia="zh-TW"/>
        </w:rPr>
        <w:t>     </w:t>
      </w:r>
      <w:r>
        <w:rPr>
          <w:rFonts w:hint="eastAsia" w:asciiTheme="majorEastAsia" w:hAnsiTheme="majorEastAsia" w:eastAsiaTheme="majorEastAsia" w:cstheme="majorEastAsia"/>
          <w:sz w:val="21"/>
          <w:szCs w:val="21"/>
          <w:u w:val="single"/>
          <w:lang w:eastAsia="zh-TW"/>
        </w:rPr>
        <w:fldChar w:fldCharType="end"/>
      </w:r>
      <w:r>
        <w:rPr>
          <w:rFonts w:hint="eastAsia" w:asciiTheme="majorEastAsia" w:hAnsiTheme="majorEastAsia" w:eastAsiaTheme="majorEastAsia" w:cstheme="majorEastAsia"/>
          <w:sz w:val="21"/>
          <w:szCs w:val="21"/>
        </w:rPr>
        <w:t>月</w:t>
      </w:r>
      <w:r>
        <w:rPr>
          <w:rFonts w:hint="eastAsia" w:asciiTheme="majorEastAsia" w:hAnsiTheme="majorEastAsia" w:eastAsiaTheme="majorEastAsia" w:cstheme="majorEastAsia"/>
          <w:sz w:val="21"/>
          <w:szCs w:val="21"/>
          <w:u w:val="single"/>
          <w:lang w:eastAsia="zh-TW"/>
        </w:rPr>
        <w:fldChar w:fldCharType="begin">
          <w:ffData>
            <w:name w:val="Text1"/>
            <w:enabled/>
            <w:calcOnExit w:val="0"/>
            <w:textInput/>
          </w:ffData>
        </w:fldChar>
      </w:r>
      <w:r>
        <w:rPr>
          <w:rFonts w:hint="eastAsia" w:asciiTheme="majorEastAsia" w:hAnsiTheme="majorEastAsia" w:eastAsiaTheme="majorEastAsia" w:cstheme="majorEastAsia"/>
          <w:sz w:val="21"/>
          <w:szCs w:val="21"/>
          <w:u w:val="single"/>
          <w:lang w:eastAsia="zh-TW"/>
        </w:rPr>
        <w:instrText xml:space="preserve">FORMTEXT</w:instrText>
      </w:r>
      <w:r>
        <w:rPr>
          <w:rFonts w:hint="eastAsia" w:asciiTheme="majorEastAsia" w:hAnsiTheme="majorEastAsia" w:eastAsiaTheme="majorEastAsia" w:cstheme="majorEastAsia"/>
          <w:sz w:val="21"/>
          <w:szCs w:val="21"/>
          <w:u w:val="single"/>
          <w:lang w:eastAsia="zh-TW"/>
        </w:rPr>
        <w:fldChar w:fldCharType="separate"/>
      </w:r>
      <w:r>
        <w:rPr>
          <w:rFonts w:hint="eastAsia" w:asciiTheme="majorEastAsia" w:hAnsiTheme="majorEastAsia" w:eastAsiaTheme="majorEastAsia" w:cstheme="majorEastAsia"/>
          <w:sz w:val="21"/>
          <w:szCs w:val="21"/>
          <w:u w:val="single"/>
          <w:lang w:eastAsia="zh-TW"/>
        </w:rPr>
        <w:t>     </w:t>
      </w:r>
      <w:r>
        <w:rPr>
          <w:rFonts w:hint="eastAsia" w:asciiTheme="majorEastAsia" w:hAnsiTheme="majorEastAsia" w:eastAsiaTheme="majorEastAsia" w:cstheme="majorEastAsia"/>
          <w:sz w:val="21"/>
          <w:szCs w:val="21"/>
          <w:u w:val="single"/>
          <w:lang w:eastAsia="zh-TW"/>
        </w:rPr>
        <w:fldChar w:fldCharType="end"/>
      </w:r>
      <w:r>
        <w:rPr>
          <w:rFonts w:hint="eastAsia" w:asciiTheme="majorEastAsia" w:hAnsiTheme="majorEastAsia" w:eastAsiaTheme="majorEastAsia" w:cstheme="majorEastAsia"/>
          <w:sz w:val="21"/>
          <w:szCs w:val="21"/>
        </w:rPr>
        <w:t>日签署了《</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single"/>
          <w:lang w:eastAsia="zh-TW"/>
        </w:rPr>
        <w:t>合同</w:t>
      </w:r>
      <w:r>
        <w:rPr>
          <w:rFonts w:hint="eastAsia" w:asciiTheme="majorEastAsia" w:hAnsiTheme="majorEastAsia" w:eastAsiaTheme="majorEastAsia" w:cstheme="majorEastAsia"/>
          <w:sz w:val="21"/>
          <w:szCs w:val="21"/>
        </w:rPr>
        <w:t>》（以下简称原合同），为加强双方阳光合作，保证职员职业安全，甲乙双方经协商签订本协议并作为双方共同遵守的阳光合作行为准则。</w:t>
      </w:r>
    </w:p>
    <w:p w14:paraId="7346C85C">
      <w:pPr>
        <w:spacing w:line="360" w:lineRule="auto"/>
        <w:ind w:left="480" w:leftChars="200"/>
        <w:contextualSpacing/>
        <w:jc w:val="both"/>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一、甲方责任</w:t>
      </w:r>
    </w:p>
    <w:p w14:paraId="7D81725F">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1.甲方有责任向乙方介绍本单位有关采购管理通用原则和本协议的规定。</w:t>
      </w:r>
    </w:p>
    <w:p w14:paraId="6A0D9794">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2.甲方有责任对本单位相关人员进行阳光合作教育。</w:t>
      </w:r>
    </w:p>
    <w:p w14:paraId="267CE65A">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209DDF84">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4.甲方人员如违反阳光合作管理制度及本协议规定，甲方视情节轻重、影响大小给予行政及经济处罚。</w:t>
      </w:r>
    </w:p>
    <w:p w14:paraId="6394961B">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5．对于乙方举报甲方人员违反阳光合作规定的情况，甲方应及时进行调查，根据调查情况进行处理，并将调查结果向乙方反馈。</w:t>
      </w:r>
    </w:p>
    <w:p w14:paraId="564F6AC4">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6.接受举报的一方应为举报方保密，不得对举报方进行报复，对举报属实和严格遵守《阳光合作协议》的合作方，在同等条件下给予后续合作的优先权。</w:t>
      </w:r>
    </w:p>
    <w:p w14:paraId="3FBFBCB1">
      <w:pPr>
        <w:spacing w:line="360" w:lineRule="auto"/>
        <w:ind w:left="480" w:leftChars="200"/>
        <w:contextualSpacing/>
        <w:jc w:val="both"/>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二、乙方责任</w:t>
      </w:r>
    </w:p>
    <w:p w14:paraId="39B6A3D3">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1.乙方应保证乙方人员了解甲方有关采购管理通用原则和及本协议的规定，并遵照执行。</w:t>
      </w:r>
    </w:p>
    <w:p w14:paraId="2EB7A11B">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2.乙方不得以任何形式给予甲方人员回扣、赠送实物、现金、有价证券、礼券等有价物品或提供旅游等其他可能影响职务行为公正履行的活动（以下统称“财物”）。</w:t>
      </w:r>
    </w:p>
    <w:p w14:paraId="55AC5F46">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3.乙方有责任接受甲方对乙方在合作期间阳光合作管理执行情况的监督，并对甲方相关调查工作主动配合。</w:t>
      </w:r>
    </w:p>
    <w:p w14:paraId="50CFF1CC">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47BF221">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5．甲方接受乙方实名或匿名举报，保证为举报者的信息保密，常设举报部门及电话：</w:t>
      </w:r>
    </w:p>
    <w:p w14:paraId="3204BFB8">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举报受理部门：东莞实业投资控股集团有限公司风控法务部</w:t>
      </w:r>
    </w:p>
    <w:p w14:paraId="7B3BC69D">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东实集团举报邮箱：dgsyxf@163.com</w:t>
      </w:r>
    </w:p>
    <w:p w14:paraId="3F3F6DE5">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东实集团举报电话：0769-28820703（周一至周五9:00-12:00和14:00-18:00）</w:t>
      </w:r>
    </w:p>
    <w:p w14:paraId="7F67C394">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邮寄地址：东莞市东城区八一路1号机关二号大院9号楼，东莞实业投资控股集团有限公司风控法务部收，邮编523000。</w:t>
      </w:r>
    </w:p>
    <w:p w14:paraId="4AC6F95B">
      <w:pPr>
        <w:spacing w:line="360" w:lineRule="auto"/>
        <w:ind w:left="480" w:leftChars="200"/>
        <w:contextualSpacing/>
        <w:jc w:val="both"/>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三、其他</w:t>
      </w:r>
    </w:p>
    <w:p w14:paraId="4E58E3D0">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1.本协议是原合同的补充协议，与原合同有同等法律效力。</w:t>
      </w:r>
    </w:p>
    <w:p w14:paraId="43286E8A">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2.本协议一式</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份，甲方执</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份，乙方执</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份,具有同等法律效力。</w:t>
      </w:r>
    </w:p>
    <w:p w14:paraId="01258505">
      <w:pPr>
        <w:spacing w:line="360" w:lineRule="auto"/>
        <w:ind w:left="120" w:leftChars="50" w:firstLine="420" w:firstLineChars="200"/>
        <w:contextualSpacing/>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3.本协议经双方签署后生效。</w:t>
      </w:r>
    </w:p>
    <w:p w14:paraId="2A07A6C8">
      <w:pPr>
        <w:pStyle w:val="4"/>
        <w:spacing w:line="360" w:lineRule="auto"/>
        <w:rPr>
          <w:rFonts w:hint="eastAsia" w:asciiTheme="majorEastAsia" w:hAnsiTheme="majorEastAsia" w:eastAsiaTheme="majorEastAsia" w:cstheme="majorEastAsia"/>
          <w:sz w:val="21"/>
          <w:szCs w:val="21"/>
        </w:rPr>
      </w:pPr>
    </w:p>
    <w:tbl>
      <w:tblPr>
        <w:tblStyle w:val="5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1"/>
        <w:gridCol w:w="4261"/>
      </w:tblGrid>
      <w:tr w14:paraId="1965A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14:paraId="0507B574">
            <w:pPr>
              <w:pStyle w:val="4"/>
              <w:spacing w:line="360" w:lineRule="auto"/>
              <w:jc w:val="both"/>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甲方（盖章）：</w:t>
            </w:r>
            <w:r>
              <w:rPr>
                <w:rFonts w:hint="eastAsia" w:asciiTheme="majorEastAsia" w:hAnsiTheme="majorEastAsia" w:eastAsiaTheme="majorEastAsia" w:cstheme="majorEastAsia"/>
                <w:sz w:val="21"/>
                <w:szCs w:val="21"/>
                <w:lang w:val="en-US" w:eastAsia="zh-CN"/>
              </w:rPr>
              <w:t xml:space="preserve">  </w:t>
            </w:r>
          </w:p>
        </w:tc>
        <w:tc>
          <w:tcPr>
            <w:tcW w:w="4261" w:type="dxa"/>
          </w:tcPr>
          <w:p w14:paraId="13C8CCCE">
            <w:pPr>
              <w:pStyle w:val="4"/>
              <w:spacing w:line="360" w:lineRule="auto"/>
              <w:ind w:left="2"/>
              <w:jc w:val="both"/>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乙方（盖章）：</w:t>
            </w:r>
            <w:r>
              <w:rPr>
                <w:rFonts w:hint="eastAsia" w:asciiTheme="majorEastAsia" w:hAnsiTheme="majorEastAsia" w:eastAsiaTheme="majorEastAsia" w:cstheme="majorEastAsia"/>
                <w:sz w:val="21"/>
                <w:szCs w:val="21"/>
                <w:lang w:val="en-US" w:eastAsia="zh-CN"/>
              </w:rPr>
              <w:t xml:space="preserve"> </w:t>
            </w:r>
          </w:p>
        </w:tc>
      </w:tr>
      <w:tr w14:paraId="2416E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14:paraId="6CD18540">
            <w:pPr>
              <w:pStyle w:val="4"/>
              <w:spacing w:line="360" w:lineRule="auto"/>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法定代表人（授权代表）：</w:t>
            </w:r>
          </w:p>
        </w:tc>
        <w:tc>
          <w:tcPr>
            <w:tcW w:w="4261" w:type="dxa"/>
          </w:tcPr>
          <w:p w14:paraId="3CF1D220">
            <w:pPr>
              <w:pStyle w:val="4"/>
              <w:spacing w:line="360" w:lineRule="auto"/>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法定代表人（授权代表）：</w:t>
            </w:r>
          </w:p>
        </w:tc>
      </w:tr>
      <w:tr w14:paraId="2AEB5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61" w:type="dxa"/>
          </w:tcPr>
          <w:p w14:paraId="1CF95068">
            <w:pPr>
              <w:pStyle w:val="4"/>
              <w:spacing w:line="360" w:lineRule="auto"/>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签约日期：   年   月   日</w:t>
            </w:r>
          </w:p>
        </w:tc>
        <w:tc>
          <w:tcPr>
            <w:tcW w:w="4261" w:type="dxa"/>
          </w:tcPr>
          <w:p w14:paraId="238E7356">
            <w:pPr>
              <w:pStyle w:val="4"/>
              <w:spacing w:line="360" w:lineRule="auto"/>
              <w:jc w:val="both"/>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签约日期：   年   月   日</w:t>
            </w:r>
          </w:p>
        </w:tc>
      </w:tr>
    </w:tbl>
    <w:p w14:paraId="159F89C7">
      <w:pPr>
        <w:pStyle w:val="4"/>
        <w:spacing w:line="360" w:lineRule="auto"/>
        <w:rPr>
          <w:rFonts w:hint="eastAsia" w:asciiTheme="majorEastAsia" w:hAnsiTheme="majorEastAsia" w:eastAsiaTheme="majorEastAsia" w:cstheme="majorEastAsia"/>
          <w:sz w:val="21"/>
          <w:szCs w:val="21"/>
        </w:rPr>
      </w:pPr>
    </w:p>
    <w:p w14:paraId="51F11642">
      <w:pPr>
        <w:spacing w:line="360" w:lineRule="auto"/>
        <w:rPr>
          <w:sz w:val="21"/>
          <w:szCs w:val="21"/>
        </w:rPr>
      </w:pPr>
    </w:p>
    <w:p w14:paraId="5C0A4E70">
      <w:pPr>
        <w:spacing w:line="360" w:lineRule="auto"/>
        <w:rPr>
          <w:sz w:val="21"/>
          <w:szCs w:val="21"/>
        </w:rPr>
      </w:pPr>
      <w:r>
        <w:rPr>
          <w:sz w:val="21"/>
          <w:szCs w:val="21"/>
        </w:rPr>
        <w:br w:type="page"/>
      </w:r>
    </w:p>
    <w:p w14:paraId="726A4E16">
      <w:pPr>
        <w:widowControl/>
        <w:rPr>
          <w:b/>
          <w:szCs w:val="21"/>
        </w:rPr>
      </w:pPr>
      <w:r>
        <w:rPr>
          <w:rFonts w:hint="eastAsia" w:ascii="Times New Roman" w:hAnsi="Times New Roman"/>
          <w:b/>
          <w:kern w:val="2"/>
          <w:sz w:val="21"/>
          <w:szCs w:val="21"/>
          <w:lang w:bidi="ar"/>
        </w:rPr>
        <w:t>附件</w:t>
      </w:r>
      <w:r>
        <w:rPr>
          <w:rFonts w:hint="eastAsia" w:ascii="Times New Roman" w:hAnsi="Times New Roman" w:cs="Times New Roman"/>
          <w:b/>
          <w:kern w:val="2"/>
          <w:sz w:val="21"/>
          <w:szCs w:val="21"/>
          <w:lang w:bidi="ar"/>
        </w:rPr>
        <w:t>3</w:t>
      </w:r>
      <w:r>
        <w:rPr>
          <w:rFonts w:ascii="Times New Roman" w:hAnsi="Times New Roman" w:cs="Times New Roman"/>
          <w:b/>
          <w:kern w:val="2"/>
          <w:sz w:val="21"/>
          <w:szCs w:val="21"/>
          <w:lang w:bidi="ar"/>
        </w:rPr>
        <w:t xml:space="preserve"> </w:t>
      </w:r>
      <w:r>
        <w:rPr>
          <w:rFonts w:hint="eastAsia" w:ascii="Times New Roman" w:hAnsi="Times New Roman"/>
          <w:b/>
          <w:kern w:val="2"/>
          <w:sz w:val="21"/>
          <w:szCs w:val="21"/>
          <w:lang w:bidi="ar"/>
        </w:rPr>
        <w:t>：安全生产协议书</w:t>
      </w:r>
      <w:bookmarkEnd w:id="198"/>
    </w:p>
    <w:p w14:paraId="734289C4">
      <w:pPr>
        <w:jc w:val="center"/>
        <w:rPr>
          <w:rFonts w:hint="eastAsia" w:hAnsi="宋体"/>
          <w:b/>
          <w:bCs/>
        </w:rPr>
      </w:pPr>
    </w:p>
    <w:p w14:paraId="5AAC1412">
      <w:pPr>
        <w:jc w:val="center"/>
        <w:rPr>
          <w:rFonts w:hint="eastAsia" w:hAnsi="宋体"/>
          <w:b/>
          <w:bCs/>
          <w:sz w:val="30"/>
          <w:szCs w:val="30"/>
        </w:rPr>
      </w:pPr>
      <w:r>
        <w:rPr>
          <w:rFonts w:hint="eastAsia" w:hAnsi="宋体"/>
          <w:b/>
          <w:bCs/>
          <w:sz w:val="30"/>
          <w:szCs w:val="30"/>
        </w:rPr>
        <w:t>建筑施工安全生产协议书</w:t>
      </w:r>
    </w:p>
    <w:p w14:paraId="168AD7B9">
      <w:pPr>
        <w:rPr>
          <w:rFonts w:hint="eastAsia" w:hAnsi="宋体"/>
        </w:rPr>
      </w:pPr>
    </w:p>
    <w:p w14:paraId="67829E3C">
      <w:pPr>
        <w:pStyle w:val="28"/>
        <w:spacing w:line="360" w:lineRule="auto"/>
        <w:rPr>
          <w:rFonts w:hint="eastAsia" w:hAnsi="宋体"/>
        </w:rPr>
      </w:pPr>
    </w:p>
    <w:p w14:paraId="18FD4F52">
      <w:pPr>
        <w:pStyle w:val="28"/>
        <w:spacing w:line="360" w:lineRule="auto"/>
        <w:rPr>
          <w:rFonts w:hint="eastAsia" w:hAnsi="宋体" w:eastAsia="宋体"/>
          <w:szCs w:val="21"/>
          <w:lang w:eastAsia="zh-CN"/>
        </w:rPr>
      </w:pPr>
      <w:r>
        <w:rPr>
          <w:rFonts w:hint="eastAsia" w:hAnsi="宋体"/>
          <w:szCs w:val="21"/>
        </w:rPr>
        <w:t>甲方：</w:t>
      </w:r>
      <w:r>
        <w:rPr>
          <w:rFonts w:hint="eastAsia" w:hAnsi="宋体"/>
          <w:szCs w:val="21"/>
          <w:lang w:eastAsia="zh-CN"/>
        </w:rPr>
        <w:t>东莞文旅有限公司</w:t>
      </w:r>
    </w:p>
    <w:p w14:paraId="48D8C95E">
      <w:pPr>
        <w:pStyle w:val="28"/>
        <w:spacing w:line="360" w:lineRule="auto"/>
        <w:rPr>
          <w:rFonts w:hint="eastAsia" w:hAnsi="宋体"/>
          <w:szCs w:val="21"/>
        </w:rPr>
      </w:pPr>
    </w:p>
    <w:p w14:paraId="3FB1E70D">
      <w:pPr>
        <w:pStyle w:val="28"/>
        <w:spacing w:line="360" w:lineRule="auto"/>
        <w:rPr>
          <w:rFonts w:hint="eastAsia" w:hAnsi="宋体"/>
          <w:szCs w:val="21"/>
        </w:rPr>
      </w:pPr>
      <w:r>
        <w:rPr>
          <w:rFonts w:hint="eastAsia" w:hAnsi="宋体"/>
          <w:szCs w:val="21"/>
        </w:rPr>
        <w:t>乙方：</w:t>
      </w:r>
    </w:p>
    <w:p w14:paraId="26F9B7A3">
      <w:pPr>
        <w:pStyle w:val="28"/>
        <w:spacing w:line="360" w:lineRule="auto"/>
        <w:rPr>
          <w:rFonts w:hint="eastAsia" w:hAnsi="宋体"/>
          <w:szCs w:val="21"/>
        </w:rPr>
      </w:pPr>
    </w:p>
    <w:p w14:paraId="5506C0DB">
      <w:pPr>
        <w:widowControl/>
        <w:snapToGrid w:val="0"/>
        <w:spacing w:line="600" w:lineRule="exact"/>
        <w:ind w:firstLine="420" w:firstLineChars="200"/>
        <w:rPr>
          <w:rFonts w:hint="eastAsia" w:hAnsi="宋体"/>
          <w:sz w:val="21"/>
          <w:szCs w:val="21"/>
        </w:rPr>
      </w:pPr>
      <w:r>
        <w:rPr>
          <w:rFonts w:hAnsi="宋体"/>
          <w:sz w:val="21"/>
          <w:szCs w:val="21"/>
        </w:rPr>
        <w:t xml:space="preserve">甲乙双方为了全面履行双方已经签订的合同，明确双方在合同履行过程中各自应承担的安全责任，保护有关人员的人身安全，防止工伤事故的发生，依据《中华人民共和国安全生产法》等有关法律法规的规定，达成以下协议： </w:t>
      </w:r>
    </w:p>
    <w:p w14:paraId="7F2166D3">
      <w:pPr>
        <w:widowControl/>
        <w:snapToGrid w:val="0"/>
        <w:spacing w:line="600" w:lineRule="exact"/>
        <w:jc w:val="center"/>
        <w:rPr>
          <w:rFonts w:hint="eastAsia" w:hAnsi="宋体"/>
          <w:b/>
          <w:bCs/>
          <w:sz w:val="21"/>
          <w:szCs w:val="21"/>
        </w:rPr>
      </w:pPr>
      <w:bookmarkStart w:id="199" w:name="_Toc19061"/>
      <w:r>
        <w:rPr>
          <w:rFonts w:hAnsi="宋体"/>
          <w:b/>
          <w:bCs/>
          <w:sz w:val="21"/>
          <w:szCs w:val="21"/>
        </w:rPr>
        <w:t>第一章 甲、乙双方的共同责任</w:t>
      </w:r>
      <w:bookmarkEnd w:id="199"/>
    </w:p>
    <w:p w14:paraId="3F72A19E">
      <w:pPr>
        <w:widowControl/>
        <w:snapToGrid w:val="0"/>
        <w:spacing w:line="600" w:lineRule="exact"/>
        <w:ind w:firstLine="420" w:firstLineChars="200"/>
        <w:rPr>
          <w:rFonts w:hint="eastAsia" w:hAnsi="宋体"/>
          <w:sz w:val="21"/>
          <w:szCs w:val="21"/>
        </w:rPr>
      </w:pPr>
      <w:r>
        <w:rPr>
          <w:rFonts w:hAnsi="宋体"/>
          <w:sz w:val="21"/>
          <w:szCs w:val="21"/>
        </w:rPr>
        <w:t xml:space="preserve">一、甲、乙双方共同遵守国家有关安全生产的法律、法规和规定，认真执行国家、行业、公司安全生产规章制度。 </w:t>
      </w:r>
    </w:p>
    <w:p w14:paraId="2BAEF2B5">
      <w:pPr>
        <w:widowControl/>
        <w:snapToGrid w:val="0"/>
        <w:spacing w:line="600" w:lineRule="exact"/>
        <w:ind w:firstLine="420" w:firstLineChars="200"/>
        <w:rPr>
          <w:rFonts w:hint="eastAsia" w:hAnsi="宋体"/>
          <w:sz w:val="21"/>
          <w:szCs w:val="21"/>
        </w:rPr>
      </w:pPr>
      <w:r>
        <w:rPr>
          <w:rFonts w:hAnsi="宋体"/>
          <w:sz w:val="21"/>
          <w:szCs w:val="21"/>
        </w:rPr>
        <w:t xml:space="preserve">二、坚持“安全第一、预防为主、综合治理”的安全生产方针，不得违章指挥和违章作业。在开展工作、从事生产时应 </w:t>
      </w:r>
    </w:p>
    <w:p w14:paraId="71A1C817">
      <w:pPr>
        <w:widowControl/>
        <w:snapToGrid w:val="0"/>
        <w:spacing w:line="600" w:lineRule="exact"/>
        <w:rPr>
          <w:rFonts w:hint="eastAsia" w:hAnsi="宋体"/>
          <w:sz w:val="21"/>
          <w:szCs w:val="21"/>
        </w:rPr>
      </w:pPr>
      <w:r>
        <w:rPr>
          <w:rFonts w:hAnsi="宋体"/>
          <w:sz w:val="21"/>
          <w:szCs w:val="21"/>
        </w:rPr>
        <w:t xml:space="preserve">当先落实安全保护措施，防止事故发生。 </w:t>
      </w:r>
    </w:p>
    <w:p w14:paraId="66861F5A">
      <w:pPr>
        <w:widowControl/>
        <w:snapToGrid w:val="0"/>
        <w:spacing w:line="600" w:lineRule="exact"/>
        <w:ind w:firstLine="420" w:firstLineChars="200"/>
        <w:rPr>
          <w:rFonts w:hint="eastAsia" w:hAnsi="宋体"/>
          <w:sz w:val="21"/>
          <w:szCs w:val="21"/>
        </w:rPr>
      </w:pPr>
      <w:r>
        <w:rPr>
          <w:rFonts w:hAnsi="宋体"/>
          <w:sz w:val="21"/>
          <w:szCs w:val="21"/>
        </w:rPr>
        <w:t xml:space="preserve">三、抓好安全教育，严肃劳动纪律，规范安全行为，净化作业环境。 </w:t>
      </w:r>
    </w:p>
    <w:p w14:paraId="426DA96B">
      <w:pPr>
        <w:widowControl/>
        <w:snapToGrid w:val="0"/>
        <w:spacing w:line="600" w:lineRule="exact"/>
        <w:ind w:firstLine="420" w:firstLineChars="200"/>
        <w:rPr>
          <w:rFonts w:hint="eastAsia" w:hAnsi="宋体"/>
          <w:sz w:val="21"/>
          <w:szCs w:val="21"/>
        </w:rPr>
      </w:pPr>
      <w:r>
        <w:rPr>
          <w:rFonts w:hAnsi="宋体"/>
          <w:sz w:val="21"/>
          <w:szCs w:val="21"/>
        </w:rPr>
        <w:t xml:space="preserve">四、发生事故立即采取措施抢救伤员，防止事故扩大，保护好现场，并应分别及时报告上级主管部门组织事故调查小组，查清事故原因，确定事故责任，按照“四不放过’’的原则拟定改进措施，提出对事故责任者的处理意见。 </w:t>
      </w:r>
    </w:p>
    <w:p w14:paraId="04095307">
      <w:pPr>
        <w:widowControl/>
        <w:snapToGrid w:val="0"/>
        <w:spacing w:line="600" w:lineRule="exact"/>
        <w:jc w:val="center"/>
        <w:rPr>
          <w:rFonts w:hint="eastAsia" w:hAnsi="宋体"/>
          <w:b/>
          <w:bCs/>
          <w:sz w:val="21"/>
          <w:szCs w:val="21"/>
        </w:rPr>
      </w:pPr>
      <w:r>
        <w:rPr>
          <w:rFonts w:hAnsi="宋体"/>
          <w:b/>
          <w:bCs/>
          <w:sz w:val="21"/>
          <w:szCs w:val="21"/>
        </w:rPr>
        <w:t>第二章 甲方的具体责任和权利</w:t>
      </w:r>
    </w:p>
    <w:p w14:paraId="74C2EF42">
      <w:pPr>
        <w:widowControl/>
        <w:snapToGrid w:val="0"/>
        <w:spacing w:line="600" w:lineRule="exact"/>
        <w:ind w:firstLine="420" w:firstLineChars="200"/>
        <w:rPr>
          <w:rFonts w:hint="eastAsia" w:hAnsi="宋体"/>
          <w:sz w:val="21"/>
          <w:szCs w:val="21"/>
        </w:rPr>
      </w:pPr>
      <w:r>
        <w:rPr>
          <w:rFonts w:hAnsi="宋体"/>
          <w:sz w:val="21"/>
          <w:szCs w:val="21"/>
        </w:rPr>
        <w:t xml:space="preserve">一、向乙方公布甲方相关安全生产规章制度，检查乙方安全生产保证体系和规章制度，对乙方安全生产实施监督管理。 </w:t>
      </w:r>
    </w:p>
    <w:p w14:paraId="7561AE42">
      <w:pPr>
        <w:widowControl/>
        <w:snapToGrid w:val="0"/>
        <w:spacing w:line="600" w:lineRule="exact"/>
        <w:ind w:firstLine="420" w:firstLineChars="200"/>
        <w:rPr>
          <w:rFonts w:hint="eastAsia" w:hAnsi="宋体"/>
          <w:sz w:val="21"/>
          <w:szCs w:val="21"/>
        </w:rPr>
      </w:pPr>
      <w:r>
        <w:rPr>
          <w:rFonts w:hAnsi="宋体"/>
          <w:sz w:val="21"/>
          <w:szCs w:val="21"/>
        </w:rPr>
        <w:t xml:space="preserve">二、监督乙方工作中涉及安全内容的安全操作、管理方案，安全技术措施等。 </w:t>
      </w:r>
    </w:p>
    <w:p w14:paraId="3F6720C6">
      <w:pPr>
        <w:widowControl/>
        <w:snapToGrid w:val="0"/>
        <w:spacing w:line="600" w:lineRule="exact"/>
        <w:ind w:firstLine="420" w:firstLineChars="200"/>
        <w:rPr>
          <w:rFonts w:hint="eastAsia" w:hAnsi="宋体"/>
          <w:sz w:val="21"/>
          <w:szCs w:val="21"/>
        </w:rPr>
      </w:pPr>
      <w:r>
        <w:rPr>
          <w:rFonts w:hAnsi="宋体"/>
          <w:sz w:val="21"/>
          <w:szCs w:val="21"/>
        </w:rPr>
        <w:t xml:space="preserve">三、按合同要求，须甲方提供的电气、机械等设施、设备、器具及安全防护用品等，甲方必须保证上述物品符合安全技术标准。物品经乙方检验合格后，双方办理书面交接验收手续，一式两份，未经乙方检验合格，乙方应拒绝使用。 </w:t>
      </w:r>
    </w:p>
    <w:p w14:paraId="72611D13">
      <w:pPr>
        <w:widowControl/>
        <w:snapToGrid w:val="0"/>
        <w:spacing w:line="600" w:lineRule="exact"/>
        <w:ind w:firstLine="420" w:firstLineChars="200"/>
        <w:rPr>
          <w:rFonts w:hint="eastAsia" w:hAnsi="宋体"/>
          <w:sz w:val="21"/>
          <w:szCs w:val="21"/>
        </w:rPr>
      </w:pPr>
      <w:r>
        <w:rPr>
          <w:rFonts w:hAnsi="宋体"/>
          <w:sz w:val="21"/>
          <w:szCs w:val="21"/>
        </w:rPr>
        <w:t xml:space="preserve">四、监督乙方对自带机具、设备、安全防护用品等进行技术指标、安全性能检验，合格者方可进入施工现场，并监督乙方正确安装、使用和拆除。 </w:t>
      </w:r>
    </w:p>
    <w:p w14:paraId="12A5573E">
      <w:pPr>
        <w:widowControl/>
        <w:snapToGrid w:val="0"/>
        <w:spacing w:line="600" w:lineRule="exact"/>
        <w:ind w:firstLine="420" w:firstLineChars="200"/>
        <w:rPr>
          <w:rFonts w:hint="eastAsia" w:hAnsi="宋体"/>
          <w:sz w:val="21"/>
          <w:szCs w:val="21"/>
        </w:rPr>
      </w:pPr>
      <w:r>
        <w:rPr>
          <w:rFonts w:hAnsi="宋体"/>
          <w:sz w:val="21"/>
          <w:szCs w:val="21"/>
        </w:rPr>
        <w:t xml:space="preserve">五、对乙方作业工序、操作岗位的安全操作进行日常监督检查，纠正违章指挥和违章作业。发现违章违规和事故隐患，立即责令停止作业，并向乙方发出《安全隐患整改通知》，要求乙方限期整改。乙方整改完成并经甲方确认后方可再进行作业。如果乙方拒不改正或者违章作业情况严重者，甲方有权立即终止有关合同，将乙方清退出场，由此所造成的一切经济损失由乙方承担。 </w:t>
      </w:r>
    </w:p>
    <w:p w14:paraId="6C10AA61">
      <w:pPr>
        <w:widowControl/>
        <w:snapToGrid w:val="0"/>
        <w:spacing w:line="600" w:lineRule="exact"/>
        <w:ind w:firstLine="420" w:firstLineChars="200"/>
        <w:rPr>
          <w:rFonts w:hint="eastAsia" w:hAnsi="宋体"/>
          <w:sz w:val="21"/>
          <w:szCs w:val="21"/>
        </w:rPr>
      </w:pPr>
      <w:r>
        <w:rPr>
          <w:rFonts w:hAnsi="宋体"/>
          <w:sz w:val="21"/>
          <w:szCs w:val="21"/>
        </w:rPr>
        <w:t xml:space="preserve">六、监督乙方对工作现场的各种安全设施和劳动保护用品定期监督检查，及时消除隐患，保证其安全有效。 </w:t>
      </w:r>
    </w:p>
    <w:p w14:paraId="566548AB">
      <w:pPr>
        <w:widowControl/>
        <w:snapToGrid w:val="0"/>
        <w:spacing w:line="600" w:lineRule="exact"/>
        <w:ind w:firstLine="420" w:firstLineChars="200"/>
        <w:rPr>
          <w:rFonts w:hint="eastAsia" w:hAnsi="宋体"/>
          <w:sz w:val="21"/>
          <w:szCs w:val="21"/>
        </w:rPr>
      </w:pPr>
      <w:r>
        <w:rPr>
          <w:rFonts w:hAnsi="宋体"/>
          <w:sz w:val="21"/>
          <w:szCs w:val="21"/>
        </w:rPr>
        <w:t xml:space="preserve">七、对乙方工作人员进行上岗前安全生产培训和技术交底进行监查，监督乙方对用电人员进行有效的安全操作培训，并检查其培训文件、技术交底及培训记录。 </w:t>
      </w:r>
    </w:p>
    <w:p w14:paraId="06A1A4A9">
      <w:pPr>
        <w:widowControl/>
        <w:snapToGrid w:val="0"/>
        <w:spacing w:line="600" w:lineRule="exact"/>
        <w:ind w:firstLine="420" w:firstLineChars="200"/>
        <w:rPr>
          <w:rFonts w:hint="eastAsia" w:hAnsi="宋体"/>
          <w:sz w:val="21"/>
          <w:szCs w:val="21"/>
        </w:rPr>
      </w:pPr>
      <w:r>
        <w:rPr>
          <w:rFonts w:hAnsi="宋体"/>
          <w:sz w:val="21"/>
          <w:szCs w:val="21"/>
        </w:rPr>
        <w:t xml:space="preserve">八、监督乙方建立设备检查记录，如各项用电设备的检测、使用情况等。 </w:t>
      </w:r>
    </w:p>
    <w:p w14:paraId="0236A763">
      <w:pPr>
        <w:widowControl/>
        <w:snapToGrid w:val="0"/>
        <w:spacing w:line="600" w:lineRule="exact"/>
        <w:ind w:firstLine="420" w:firstLineChars="200"/>
        <w:rPr>
          <w:rFonts w:hint="eastAsia" w:hAnsi="宋体"/>
          <w:sz w:val="21"/>
          <w:szCs w:val="21"/>
        </w:rPr>
      </w:pPr>
      <w:r>
        <w:rPr>
          <w:rFonts w:hAnsi="宋体"/>
          <w:sz w:val="21"/>
          <w:szCs w:val="21"/>
        </w:rPr>
        <w:t xml:space="preserve">九、监督乙方制定工作计划，包括用电工作、高空作业及工程维保（如使用升降车和棚架等）等工作计划。 </w:t>
      </w:r>
    </w:p>
    <w:p w14:paraId="05C03917">
      <w:pPr>
        <w:widowControl/>
        <w:snapToGrid w:val="0"/>
        <w:spacing w:line="600" w:lineRule="exact"/>
        <w:ind w:firstLine="420" w:firstLineChars="200"/>
        <w:rPr>
          <w:rFonts w:hint="eastAsia" w:hAnsi="宋体"/>
          <w:sz w:val="21"/>
          <w:szCs w:val="21"/>
        </w:rPr>
      </w:pPr>
      <w:r>
        <w:rPr>
          <w:rFonts w:hAnsi="宋体"/>
          <w:sz w:val="21"/>
          <w:szCs w:val="21"/>
        </w:rPr>
        <w:t xml:space="preserve">十、涉及人员安全、财产安全的各项工作（含且不限于第九项）甲方须进行现场监管，监管情况记录在相关专业的值班日志中。 </w:t>
      </w:r>
    </w:p>
    <w:p w14:paraId="3A5ADCB5">
      <w:pPr>
        <w:widowControl/>
        <w:snapToGrid w:val="0"/>
        <w:spacing w:line="600" w:lineRule="exact"/>
        <w:ind w:firstLine="420" w:firstLineChars="200"/>
        <w:rPr>
          <w:rFonts w:hint="eastAsia" w:hAnsi="宋体"/>
          <w:sz w:val="21"/>
          <w:szCs w:val="21"/>
        </w:rPr>
      </w:pPr>
      <w:r>
        <w:rPr>
          <w:rFonts w:hAnsi="宋体"/>
          <w:sz w:val="21"/>
          <w:szCs w:val="21"/>
        </w:rPr>
        <w:t xml:space="preserve">十一、发生伤亡事故按规定立即报告属地安全生产监督部门。 </w:t>
      </w:r>
    </w:p>
    <w:p w14:paraId="4AD1E2D0">
      <w:pPr>
        <w:widowControl/>
        <w:snapToGrid w:val="0"/>
        <w:spacing w:line="600" w:lineRule="exact"/>
        <w:jc w:val="center"/>
        <w:rPr>
          <w:rFonts w:hint="eastAsia" w:hAnsi="宋体"/>
          <w:b/>
          <w:bCs/>
          <w:sz w:val="21"/>
          <w:szCs w:val="21"/>
        </w:rPr>
      </w:pPr>
      <w:bookmarkStart w:id="200" w:name="_Toc6111"/>
      <w:r>
        <w:rPr>
          <w:rFonts w:hAnsi="宋体"/>
          <w:b/>
          <w:bCs/>
          <w:sz w:val="21"/>
          <w:szCs w:val="21"/>
        </w:rPr>
        <w:t>第三章 乙方的责任</w:t>
      </w:r>
      <w:bookmarkEnd w:id="200"/>
    </w:p>
    <w:p w14:paraId="70F712A9">
      <w:pPr>
        <w:widowControl/>
        <w:snapToGrid w:val="0"/>
        <w:spacing w:line="600" w:lineRule="exact"/>
        <w:ind w:firstLine="420" w:firstLineChars="200"/>
        <w:rPr>
          <w:rFonts w:hint="eastAsia" w:hAnsi="宋体"/>
          <w:sz w:val="21"/>
          <w:szCs w:val="21"/>
        </w:rPr>
      </w:pPr>
      <w:r>
        <w:rPr>
          <w:rFonts w:hAnsi="宋体"/>
          <w:sz w:val="21"/>
          <w:szCs w:val="21"/>
        </w:rPr>
        <w:t xml:space="preserve">一、按照相关安全生产法规要求，设置安全管理机构，配备合格安全管理人员。 </w:t>
      </w:r>
    </w:p>
    <w:p w14:paraId="5193DA13">
      <w:pPr>
        <w:widowControl/>
        <w:snapToGrid w:val="0"/>
        <w:spacing w:line="600" w:lineRule="exact"/>
        <w:ind w:firstLine="420" w:firstLineChars="200"/>
        <w:rPr>
          <w:rFonts w:hint="eastAsia" w:hAnsi="宋体"/>
          <w:sz w:val="21"/>
          <w:szCs w:val="21"/>
        </w:rPr>
      </w:pPr>
      <w:r>
        <w:rPr>
          <w:rFonts w:hAnsi="宋体"/>
          <w:sz w:val="21"/>
          <w:szCs w:val="21"/>
        </w:rPr>
        <w:t xml:space="preserve">二、制定本单位安全目标责任、管理规章制度及安全作业规程等，并向甲方备案。 </w:t>
      </w:r>
    </w:p>
    <w:p w14:paraId="3021EE55">
      <w:pPr>
        <w:widowControl/>
        <w:snapToGrid w:val="0"/>
        <w:spacing w:line="600" w:lineRule="exact"/>
        <w:ind w:firstLine="420" w:firstLineChars="200"/>
        <w:rPr>
          <w:rFonts w:hint="eastAsia" w:hAnsi="宋体"/>
          <w:sz w:val="21"/>
          <w:szCs w:val="21"/>
        </w:rPr>
      </w:pPr>
      <w:r>
        <w:rPr>
          <w:rFonts w:hAnsi="宋体"/>
          <w:sz w:val="21"/>
          <w:szCs w:val="21"/>
        </w:rPr>
        <w:t xml:space="preserve">三、编制作业范围内的安全施工方案和安全技术措施。 </w:t>
      </w:r>
    </w:p>
    <w:p w14:paraId="20C10E25">
      <w:pPr>
        <w:widowControl/>
        <w:snapToGrid w:val="0"/>
        <w:spacing w:line="600" w:lineRule="exact"/>
        <w:ind w:firstLine="420" w:firstLineChars="200"/>
        <w:rPr>
          <w:rFonts w:hint="eastAsia" w:hAnsi="宋体"/>
          <w:sz w:val="21"/>
          <w:szCs w:val="21"/>
        </w:rPr>
      </w:pPr>
      <w:r>
        <w:rPr>
          <w:rFonts w:hint="eastAsia" w:hAnsi="宋体"/>
          <w:sz w:val="21"/>
          <w:szCs w:val="21"/>
        </w:rPr>
        <w:t>四</w:t>
      </w:r>
      <w:r>
        <w:rPr>
          <w:rFonts w:hAnsi="宋体"/>
          <w:sz w:val="21"/>
          <w:szCs w:val="21"/>
        </w:rPr>
        <w:t xml:space="preserve">、向甲方申报自带的劳动保护用品及机具、设备，经甲 </w:t>
      </w:r>
    </w:p>
    <w:p w14:paraId="29485E0F">
      <w:pPr>
        <w:widowControl/>
        <w:snapToGrid w:val="0"/>
        <w:spacing w:line="600" w:lineRule="exact"/>
        <w:rPr>
          <w:rFonts w:hint="eastAsia" w:hAnsi="宋体"/>
          <w:sz w:val="21"/>
          <w:szCs w:val="21"/>
        </w:rPr>
      </w:pPr>
      <w:r>
        <w:rPr>
          <w:rFonts w:hAnsi="宋体"/>
          <w:sz w:val="21"/>
          <w:szCs w:val="21"/>
        </w:rPr>
        <w:t xml:space="preserve">乙双方验收合格后使用。禁止任何人私自拆除安全防护设备或 </w:t>
      </w:r>
    </w:p>
    <w:p w14:paraId="584D3D44">
      <w:pPr>
        <w:widowControl/>
        <w:snapToGrid w:val="0"/>
        <w:spacing w:line="600" w:lineRule="exact"/>
        <w:rPr>
          <w:rFonts w:hint="eastAsia" w:hAnsi="宋体"/>
          <w:sz w:val="21"/>
          <w:szCs w:val="21"/>
        </w:rPr>
      </w:pPr>
      <w:r>
        <w:rPr>
          <w:rFonts w:hAnsi="宋体"/>
          <w:sz w:val="21"/>
          <w:szCs w:val="21"/>
        </w:rPr>
        <w:t xml:space="preserve">设施。 </w:t>
      </w:r>
    </w:p>
    <w:p w14:paraId="26342F0C">
      <w:pPr>
        <w:widowControl/>
        <w:snapToGrid w:val="0"/>
        <w:spacing w:line="600" w:lineRule="exact"/>
        <w:ind w:firstLine="420" w:firstLineChars="200"/>
        <w:rPr>
          <w:rFonts w:hint="eastAsia" w:hAnsi="宋体"/>
          <w:sz w:val="21"/>
          <w:szCs w:val="21"/>
        </w:rPr>
      </w:pPr>
      <w:r>
        <w:rPr>
          <w:rFonts w:hint="eastAsia" w:hAnsi="宋体"/>
          <w:sz w:val="21"/>
          <w:szCs w:val="21"/>
        </w:rPr>
        <w:t>五</w:t>
      </w:r>
      <w:r>
        <w:rPr>
          <w:rFonts w:hAnsi="宋体"/>
          <w:sz w:val="21"/>
          <w:szCs w:val="21"/>
        </w:rPr>
        <w:t xml:space="preserve">、乙方人员登记造册，如实向甲方报告，由乙方进行入场前的安全教育。同时，还应提交现场《安全生产培训记录》给甲方审核并留存复印件。如有人员调整时，立即报告甲方，并进行安全教育，未经安全教育的，不得进入甲方现场。不得录用无身份证的人员和未满 16 岁的童工，不得安排 50 岁以上的人员从事高空、用电、农药施用等工作。 </w:t>
      </w:r>
    </w:p>
    <w:p w14:paraId="3AFDB4EE">
      <w:pPr>
        <w:widowControl/>
        <w:snapToGrid w:val="0"/>
        <w:spacing w:line="600" w:lineRule="exact"/>
        <w:ind w:firstLine="420" w:firstLineChars="200"/>
        <w:rPr>
          <w:rFonts w:hint="eastAsia" w:hAnsi="宋体"/>
          <w:sz w:val="21"/>
          <w:szCs w:val="21"/>
        </w:rPr>
      </w:pPr>
      <w:r>
        <w:rPr>
          <w:rFonts w:hint="eastAsia" w:hAnsi="宋体"/>
          <w:sz w:val="21"/>
          <w:szCs w:val="21"/>
        </w:rPr>
        <w:t>六</w:t>
      </w:r>
      <w:r>
        <w:rPr>
          <w:rFonts w:hAnsi="宋体"/>
          <w:sz w:val="21"/>
          <w:szCs w:val="21"/>
        </w:rPr>
        <w:t xml:space="preserve">、人员首次进场前须向甲方提交相关特种作业资质证明 （复印件盖乙方红章），无相关特种作业证明不得进入甲方现场从事特种作业工作。 </w:t>
      </w:r>
    </w:p>
    <w:p w14:paraId="3212D292">
      <w:pPr>
        <w:widowControl/>
        <w:snapToGrid w:val="0"/>
        <w:spacing w:line="600" w:lineRule="exact"/>
        <w:ind w:firstLine="420" w:firstLineChars="200"/>
        <w:rPr>
          <w:rFonts w:hint="eastAsia" w:hAnsi="宋体"/>
          <w:sz w:val="21"/>
          <w:szCs w:val="21"/>
        </w:rPr>
      </w:pPr>
      <w:r>
        <w:rPr>
          <w:rFonts w:hint="eastAsia" w:hAnsi="宋体"/>
          <w:sz w:val="21"/>
          <w:szCs w:val="21"/>
        </w:rPr>
        <w:t>七</w:t>
      </w:r>
      <w:r>
        <w:rPr>
          <w:rFonts w:hAnsi="宋体"/>
          <w:sz w:val="21"/>
          <w:szCs w:val="21"/>
        </w:rPr>
        <w:t xml:space="preserve">、乙方必须具有相应的有效从业资质，资质复印件盖红章交甲方备案。 </w:t>
      </w:r>
    </w:p>
    <w:p w14:paraId="17250927">
      <w:pPr>
        <w:widowControl/>
        <w:snapToGrid w:val="0"/>
        <w:spacing w:line="600" w:lineRule="exact"/>
        <w:ind w:firstLine="420" w:firstLineChars="200"/>
        <w:rPr>
          <w:rFonts w:hint="eastAsia" w:hAnsi="宋体"/>
          <w:sz w:val="21"/>
          <w:szCs w:val="21"/>
        </w:rPr>
      </w:pPr>
      <w:r>
        <w:rPr>
          <w:rFonts w:hint="eastAsia" w:hAnsi="宋体"/>
          <w:sz w:val="21"/>
          <w:szCs w:val="21"/>
        </w:rPr>
        <w:t>八</w:t>
      </w:r>
      <w:r>
        <w:rPr>
          <w:rFonts w:hAnsi="宋体"/>
          <w:sz w:val="21"/>
          <w:szCs w:val="21"/>
        </w:rPr>
        <w:t xml:space="preserve">、乙方每年至少一次对自用的用电设备进行绝缘测试，并提供绝缘测试的合格证据（可张贴于用电设备上）。 </w:t>
      </w:r>
    </w:p>
    <w:p w14:paraId="02DCD60B">
      <w:pPr>
        <w:widowControl/>
        <w:snapToGrid w:val="0"/>
        <w:spacing w:line="600" w:lineRule="exact"/>
        <w:ind w:firstLine="420" w:firstLineChars="200"/>
        <w:rPr>
          <w:rFonts w:hint="eastAsia" w:hAnsi="宋体"/>
          <w:sz w:val="21"/>
          <w:szCs w:val="21"/>
        </w:rPr>
      </w:pPr>
      <w:r>
        <w:rPr>
          <w:rFonts w:hint="eastAsia" w:hAnsi="宋体"/>
          <w:sz w:val="21"/>
          <w:szCs w:val="21"/>
        </w:rPr>
        <w:t>九</w:t>
      </w:r>
      <w:r>
        <w:rPr>
          <w:rFonts w:hAnsi="宋体"/>
          <w:sz w:val="21"/>
          <w:szCs w:val="21"/>
        </w:rPr>
        <w:t xml:space="preserve">、教育乙方职工遵章守纪，不违章指挥和违章操作。工作中如因乙方工作人员违章指挥、违章作业、违反安全纪律、违反安全技术操作规程而发生伤亡事故及财产损失的，由乙方承担全部责任。 </w:t>
      </w:r>
    </w:p>
    <w:p w14:paraId="6D0C124D">
      <w:pPr>
        <w:widowControl/>
        <w:snapToGrid w:val="0"/>
        <w:spacing w:line="600" w:lineRule="exact"/>
        <w:ind w:firstLine="420" w:firstLineChars="200"/>
        <w:rPr>
          <w:rFonts w:hint="eastAsia" w:hAnsi="宋体"/>
          <w:sz w:val="21"/>
          <w:szCs w:val="21"/>
        </w:rPr>
      </w:pPr>
      <w:r>
        <w:rPr>
          <w:rFonts w:hAnsi="宋体"/>
          <w:sz w:val="21"/>
          <w:szCs w:val="21"/>
        </w:rPr>
        <w:t xml:space="preserve">十、储存、使用易燃易爆器材、物品时，应当采用有效的安全措施。 </w:t>
      </w:r>
    </w:p>
    <w:p w14:paraId="0326F78F">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一</w:t>
      </w:r>
      <w:r>
        <w:rPr>
          <w:rFonts w:hAnsi="宋体"/>
          <w:sz w:val="21"/>
          <w:szCs w:val="21"/>
        </w:rPr>
        <w:t xml:space="preserve">、乙方必须严格遵守国家及乙方注册地、本合同履行地的有关劳动法律法规政策的规定，保证合法用工。  </w:t>
      </w:r>
    </w:p>
    <w:p w14:paraId="08F3DC6E">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二</w:t>
      </w:r>
      <w:r>
        <w:rPr>
          <w:rFonts w:hAnsi="宋体"/>
          <w:sz w:val="21"/>
          <w:szCs w:val="21"/>
        </w:rPr>
        <w:t xml:space="preserve">、乙方应为其派到甲方工作的人员办理合法的劳动用工手续。 </w:t>
      </w:r>
    </w:p>
    <w:p w14:paraId="0E5C1346">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三</w:t>
      </w:r>
      <w:r>
        <w:rPr>
          <w:rFonts w:hAnsi="宋体"/>
          <w:sz w:val="21"/>
          <w:szCs w:val="21"/>
        </w:rPr>
        <w:t xml:space="preserve">、乙方要在工作中采取必需的一切安全防护措施以保障乙方员工的劳动安全。 </w:t>
      </w:r>
    </w:p>
    <w:p w14:paraId="7D5C2E72">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四</w:t>
      </w:r>
      <w:r>
        <w:rPr>
          <w:rFonts w:hAnsi="宋体"/>
          <w:sz w:val="21"/>
          <w:szCs w:val="21"/>
        </w:rPr>
        <w:t>、乙方必须保证所提供的全部资料和信息是真实可靠的，如果乙方提供虚假信息和资料，甲方有权单方解除合同，并要求乙方赔偿因此使甲方遭受的实际损失，损失无法确定的，乙方应向甲方支付违约金人民币（大写）</w:t>
      </w:r>
      <w:r>
        <w:rPr>
          <w:rFonts w:hint="eastAsia" w:hAnsi="宋体"/>
          <w:sz w:val="21"/>
          <w:szCs w:val="21"/>
        </w:rPr>
        <w:t>5000</w:t>
      </w:r>
      <w:r>
        <w:rPr>
          <w:rFonts w:hAnsi="宋体"/>
          <w:sz w:val="21"/>
          <w:szCs w:val="21"/>
        </w:rPr>
        <w:t xml:space="preserve"> 元。 </w:t>
      </w:r>
    </w:p>
    <w:p w14:paraId="546ECE0D">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五</w:t>
      </w:r>
      <w:r>
        <w:rPr>
          <w:rFonts w:hAnsi="宋体"/>
          <w:sz w:val="21"/>
          <w:szCs w:val="21"/>
        </w:rPr>
        <w:t xml:space="preserve">、乙方在履行合同过程中，给甲方或第三方造成人身或财产损失的，由乙方承担全部的赔偿责任。 </w:t>
      </w:r>
    </w:p>
    <w:p w14:paraId="39E3A9E8">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六</w:t>
      </w:r>
      <w:r>
        <w:rPr>
          <w:rFonts w:hAnsi="宋体"/>
          <w:sz w:val="21"/>
          <w:szCs w:val="21"/>
        </w:rPr>
        <w:t>、因乙方员工工资、社会保险等纠纷导致乙方不能按约定履行本合同，影响甲方的正常经营管理，甲方有权解除本合同，并要求乙方赔偿因此使甲方遭受的实际损失，损失无法确定的，乙方应向甲方支付违约金人民币（大写）</w:t>
      </w:r>
      <w:r>
        <w:rPr>
          <w:rFonts w:hint="eastAsia" w:hAnsi="宋体"/>
          <w:sz w:val="21"/>
          <w:szCs w:val="21"/>
        </w:rPr>
        <w:t>10000</w:t>
      </w:r>
      <w:r>
        <w:rPr>
          <w:rFonts w:hAnsi="宋体"/>
          <w:sz w:val="21"/>
          <w:szCs w:val="21"/>
        </w:rPr>
        <w:t xml:space="preserve"> 元。 </w:t>
      </w:r>
    </w:p>
    <w:p w14:paraId="6DF9F34F">
      <w:pPr>
        <w:widowControl/>
        <w:snapToGrid w:val="0"/>
        <w:spacing w:line="600" w:lineRule="exact"/>
        <w:ind w:firstLine="420" w:firstLineChars="200"/>
        <w:rPr>
          <w:rFonts w:hint="eastAsia" w:hAnsi="宋体"/>
          <w:sz w:val="21"/>
          <w:szCs w:val="21"/>
        </w:rPr>
      </w:pPr>
      <w:r>
        <w:rPr>
          <w:rFonts w:hAnsi="宋体"/>
          <w:sz w:val="21"/>
          <w:szCs w:val="21"/>
        </w:rPr>
        <w:t>十</w:t>
      </w:r>
      <w:r>
        <w:rPr>
          <w:rFonts w:hint="eastAsia" w:hAnsi="宋体"/>
          <w:sz w:val="21"/>
          <w:szCs w:val="21"/>
        </w:rPr>
        <w:t>七</w:t>
      </w:r>
      <w:r>
        <w:rPr>
          <w:rFonts w:hAnsi="宋体"/>
          <w:sz w:val="21"/>
          <w:szCs w:val="21"/>
        </w:rPr>
        <w:t xml:space="preserve">、乙方不得转包合同业务，不得将合同的权利义务部分或全部转让给第三方。 </w:t>
      </w:r>
    </w:p>
    <w:p w14:paraId="28F80939">
      <w:pPr>
        <w:widowControl/>
        <w:snapToGrid w:val="0"/>
        <w:spacing w:line="600" w:lineRule="exact"/>
        <w:ind w:firstLine="420" w:firstLineChars="200"/>
        <w:rPr>
          <w:rFonts w:hint="eastAsia" w:hAnsi="宋体"/>
          <w:sz w:val="21"/>
          <w:szCs w:val="21"/>
        </w:rPr>
      </w:pPr>
      <w:r>
        <w:rPr>
          <w:rFonts w:hAnsi="宋体"/>
          <w:sz w:val="21"/>
          <w:szCs w:val="21"/>
        </w:rPr>
        <w:t xml:space="preserve">本协议一式二份，甲、乙方各执一份，具有同等法律效力，自双方签字盖章之日起生效。 </w:t>
      </w:r>
    </w:p>
    <w:p w14:paraId="53C73B0A">
      <w:pPr>
        <w:widowControl/>
        <w:snapToGrid w:val="0"/>
        <w:spacing w:line="600" w:lineRule="exact"/>
        <w:rPr>
          <w:rFonts w:hint="eastAsia" w:hAnsi="宋体"/>
          <w:sz w:val="21"/>
          <w:szCs w:val="21"/>
        </w:rPr>
      </w:pPr>
    </w:p>
    <w:p w14:paraId="1D30C7A6">
      <w:pPr>
        <w:widowControl/>
        <w:snapToGrid w:val="0"/>
        <w:spacing w:line="600" w:lineRule="exact"/>
        <w:rPr>
          <w:rFonts w:hint="eastAsia" w:hAnsi="宋体"/>
          <w:sz w:val="21"/>
          <w:szCs w:val="21"/>
        </w:rPr>
      </w:pPr>
      <w:r>
        <w:rPr>
          <w:rFonts w:hAnsi="宋体"/>
          <w:sz w:val="21"/>
          <w:szCs w:val="21"/>
        </w:rPr>
        <w:t xml:space="preserve">甲方：                            乙方： </w:t>
      </w:r>
    </w:p>
    <w:p w14:paraId="7367FD0C">
      <w:pPr>
        <w:widowControl/>
        <w:snapToGrid w:val="0"/>
        <w:spacing w:line="600" w:lineRule="exact"/>
        <w:rPr>
          <w:rFonts w:hint="eastAsia" w:hAnsi="宋体"/>
          <w:sz w:val="21"/>
          <w:szCs w:val="21"/>
        </w:rPr>
      </w:pPr>
      <w:r>
        <w:rPr>
          <w:rFonts w:hAnsi="宋体"/>
          <w:sz w:val="21"/>
          <w:szCs w:val="21"/>
        </w:rPr>
        <w:t xml:space="preserve">甲方代表：                        乙方代表： </w:t>
      </w:r>
    </w:p>
    <w:p w14:paraId="7763BC14">
      <w:pPr>
        <w:widowControl/>
        <w:snapToGrid w:val="0"/>
        <w:spacing w:line="600" w:lineRule="exact"/>
        <w:rPr>
          <w:rFonts w:hint="eastAsia" w:hAnsi="宋体"/>
          <w:sz w:val="21"/>
          <w:szCs w:val="21"/>
        </w:rPr>
      </w:pPr>
      <w:r>
        <w:rPr>
          <w:rFonts w:hAnsi="宋体"/>
          <w:sz w:val="21"/>
          <w:szCs w:val="21"/>
        </w:rPr>
        <w:t>时 间：  年   月   日         时 间：  年   月   日</w:t>
      </w:r>
    </w:p>
    <w:p w14:paraId="48333BE2">
      <w:pPr>
        <w:widowControl/>
        <w:autoSpaceDE/>
        <w:autoSpaceDN/>
        <w:adjustRightInd/>
      </w:pPr>
      <w:r>
        <w:br w:type="page"/>
      </w:r>
    </w:p>
    <w:p w14:paraId="144D15A6">
      <w:pPr>
        <w:pStyle w:val="5"/>
        <w:keepNext/>
        <w:keepLines/>
        <w:pageBreakBefore/>
        <w:spacing w:line="360" w:lineRule="auto"/>
        <w:jc w:val="center"/>
        <w:rPr>
          <w:rFonts w:hint="eastAsia" w:hAnsi="宋体"/>
          <w:b/>
          <w:bCs/>
          <w:kern w:val="44"/>
          <w:sz w:val="28"/>
          <w:szCs w:val="28"/>
          <w:lang w:val="zh-CN"/>
        </w:rPr>
      </w:pPr>
      <w:r>
        <w:rPr>
          <w:rFonts w:hint="eastAsia" w:hAnsi="宋体"/>
          <w:b/>
          <w:bCs/>
          <w:kern w:val="44"/>
          <w:sz w:val="28"/>
          <w:szCs w:val="28"/>
          <w:lang w:val="zh-CN"/>
        </w:rPr>
        <w:t>第六篇磋商响应文件格式</w:t>
      </w:r>
      <w:bookmarkEnd w:id="175"/>
      <w:bookmarkEnd w:id="176"/>
      <w:bookmarkEnd w:id="177"/>
    </w:p>
    <w:p w14:paraId="6C443AB3">
      <w:pPr>
        <w:ind w:firstLine="1800" w:firstLineChars="750"/>
        <w:rPr>
          <w:rFonts w:hint="eastAsia" w:hAnsi="宋体"/>
        </w:rPr>
      </w:pPr>
    </w:p>
    <w:p w14:paraId="108CC41D">
      <w:pPr>
        <w:pStyle w:val="6"/>
        <w:jc w:val="center"/>
        <w:rPr>
          <w:rFonts w:hint="eastAsia"/>
        </w:rPr>
      </w:pPr>
      <w:bookmarkStart w:id="201" w:name="_Toc19311"/>
      <w:bookmarkStart w:id="202" w:name="_Toc9566"/>
      <w:r>
        <w:rPr>
          <w:rFonts w:hint="eastAsia"/>
          <w:sz w:val="28"/>
          <w:szCs w:val="28"/>
        </w:rPr>
        <w:t>第一部分 价格文件（单独编制装订成册）</w:t>
      </w:r>
      <w:bookmarkEnd w:id="201"/>
      <w:bookmarkEnd w:id="202"/>
    </w:p>
    <w:p w14:paraId="6086B1CB">
      <w:pPr>
        <w:pStyle w:val="6"/>
        <w:numPr>
          <w:ilvl w:val="0"/>
          <w:numId w:val="13"/>
        </w:numPr>
        <w:jc w:val="center"/>
        <w:rPr>
          <w:rFonts w:hint="eastAsia"/>
          <w:sz w:val="21"/>
          <w:szCs w:val="21"/>
        </w:rPr>
      </w:pPr>
      <w:bookmarkStart w:id="203" w:name="_Toc21786"/>
      <w:bookmarkStart w:id="204" w:name="_Toc7897888"/>
      <w:bookmarkStart w:id="205" w:name="_Toc12373"/>
      <w:bookmarkStart w:id="206" w:name="_Toc20730"/>
      <w:bookmarkStart w:id="207" w:name="_Toc18848"/>
      <w:bookmarkStart w:id="208" w:name="_Toc467236769"/>
      <w:bookmarkStart w:id="209" w:name="_Toc454701406"/>
      <w:bookmarkStart w:id="210" w:name="_Toc458262639"/>
      <w:bookmarkStart w:id="211" w:name="_Toc32273"/>
      <w:bookmarkStart w:id="212" w:name="_Toc396137244"/>
      <w:bookmarkStart w:id="213" w:name="_Toc476976201"/>
      <w:bookmarkStart w:id="214" w:name="_Toc30637"/>
      <w:bookmarkStart w:id="215" w:name="_Toc15960"/>
      <w:bookmarkStart w:id="216" w:name="_Toc486671573"/>
      <w:bookmarkStart w:id="217" w:name="_Toc29841"/>
      <w:bookmarkStart w:id="218" w:name="_Toc32736"/>
      <w:bookmarkStart w:id="219" w:name="_Toc12383"/>
      <w:bookmarkStart w:id="220" w:name="_Toc2544"/>
      <w:bookmarkStart w:id="221" w:name="_Toc19671"/>
      <w:bookmarkStart w:id="222" w:name="_Toc28095"/>
      <w:bookmarkStart w:id="223" w:name="_Toc32405"/>
      <w:bookmarkStart w:id="224" w:name="_Toc9348"/>
      <w:r>
        <w:rPr>
          <w:rFonts w:hint="eastAsia"/>
          <w:sz w:val="28"/>
          <w:szCs w:val="28"/>
        </w:rPr>
        <w:t>报价一览表</w:t>
      </w:r>
      <w:bookmarkEnd w:id="203"/>
      <w:bookmarkEnd w:id="204"/>
      <w:bookmarkEnd w:id="205"/>
      <w:bookmarkEnd w:id="206"/>
    </w:p>
    <w:p w14:paraId="6D655AC5">
      <w:pPr>
        <w:rPr>
          <w:rFonts w:hint="eastAsia" w:hAnsi="宋体"/>
          <w:szCs w:val="21"/>
        </w:rPr>
      </w:pPr>
      <w:r>
        <w:rPr>
          <w:rFonts w:hint="eastAsia" w:hAnsi="宋体"/>
          <w:szCs w:val="21"/>
        </w:rPr>
        <w:t>供应商名称：</w:t>
      </w:r>
    </w:p>
    <w:p w14:paraId="7341A089">
      <w:pPr>
        <w:rPr>
          <w:rFonts w:hint="eastAsia" w:hAnsi="宋体"/>
          <w:szCs w:val="21"/>
        </w:rPr>
      </w:pPr>
      <w:r>
        <w:rPr>
          <w:rFonts w:hint="eastAsia" w:hAnsi="宋体"/>
          <w:szCs w:val="21"/>
        </w:rPr>
        <w:t>采购项目编号：</w:t>
      </w:r>
    </w:p>
    <w:p w14:paraId="197D16B2">
      <w:pPr>
        <w:pStyle w:val="62"/>
      </w:pPr>
    </w:p>
    <w:tbl>
      <w:tblPr>
        <w:tblStyle w:val="53"/>
        <w:tblW w:w="9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4998"/>
        <w:gridCol w:w="1985"/>
      </w:tblGrid>
      <w:tr w14:paraId="3188D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263" w:type="dxa"/>
            <w:vAlign w:val="center"/>
          </w:tcPr>
          <w:p w14:paraId="1CBED3CD">
            <w:pPr>
              <w:jc w:val="center"/>
              <w:rPr>
                <w:rStyle w:val="206"/>
                <w:rFonts w:ascii="Times New Roman" w:hAnsi="Times New Roman" w:eastAsia="宋体"/>
              </w:rPr>
            </w:pPr>
            <w:r>
              <w:rPr>
                <w:rStyle w:val="206"/>
                <w:rFonts w:ascii="Times New Roman" w:hAnsi="Times New Roman" w:eastAsia="宋体"/>
              </w:rPr>
              <w:t>投标内容</w:t>
            </w:r>
          </w:p>
        </w:tc>
        <w:tc>
          <w:tcPr>
            <w:tcW w:w="4998" w:type="dxa"/>
            <w:vAlign w:val="center"/>
          </w:tcPr>
          <w:p w14:paraId="6EFB0B4F">
            <w:pPr>
              <w:jc w:val="center"/>
              <w:rPr>
                <w:rStyle w:val="206"/>
                <w:rFonts w:ascii="Times New Roman" w:hAnsi="Times New Roman" w:eastAsia="宋体"/>
              </w:rPr>
            </w:pPr>
            <w:r>
              <w:rPr>
                <w:rFonts w:hint="eastAsia"/>
                <w:sz w:val="24"/>
                <w:szCs w:val="18"/>
              </w:rPr>
              <w:t>东莞文旅旗云广场项目外广场氛围提升设计施工承包</w:t>
            </w:r>
          </w:p>
        </w:tc>
        <w:tc>
          <w:tcPr>
            <w:tcW w:w="1985" w:type="dxa"/>
            <w:vAlign w:val="center"/>
          </w:tcPr>
          <w:p w14:paraId="022207E2">
            <w:pPr>
              <w:jc w:val="center"/>
              <w:rPr>
                <w:rStyle w:val="206"/>
                <w:rFonts w:ascii="Times New Roman" w:hAnsi="Times New Roman" w:eastAsia="宋体"/>
              </w:rPr>
            </w:pPr>
            <w:r>
              <w:rPr>
                <w:rStyle w:val="206"/>
                <w:rFonts w:ascii="Times New Roman" w:hAnsi="Times New Roman" w:eastAsia="宋体"/>
              </w:rPr>
              <w:t>备注</w:t>
            </w:r>
          </w:p>
        </w:tc>
      </w:tr>
      <w:tr w14:paraId="1BAFA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2263" w:type="dxa"/>
            <w:vAlign w:val="center"/>
          </w:tcPr>
          <w:p w14:paraId="6300EB6C">
            <w:pPr>
              <w:spacing w:line="540" w:lineRule="exact"/>
              <w:jc w:val="center"/>
              <w:rPr>
                <w:rStyle w:val="206"/>
                <w:rFonts w:hint="eastAsia" w:ascii="宋体" w:hAnsi="宋体" w:eastAsia="宋体"/>
              </w:rPr>
            </w:pPr>
            <w:r>
              <w:rPr>
                <w:rStyle w:val="206"/>
                <w:rFonts w:hint="eastAsia" w:ascii="宋体" w:hAnsi="宋体" w:eastAsia="宋体"/>
              </w:rPr>
              <w:t>设计费报价系数</w:t>
            </w:r>
          </w:p>
        </w:tc>
        <w:tc>
          <w:tcPr>
            <w:tcW w:w="4998" w:type="dxa"/>
            <w:vAlign w:val="center"/>
          </w:tcPr>
          <w:p w14:paraId="3C412982">
            <w:pPr>
              <w:spacing w:line="480" w:lineRule="auto"/>
              <w:jc w:val="center"/>
              <w:rPr>
                <w:rStyle w:val="206"/>
                <w:rFonts w:hint="eastAsia" w:ascii="宋体" w:hAnsi="宋体" w:eastAsia="宋体"/>
              </w:rPr>
            </w:pPr>
            <w:bookmarkStart w:id="225" w:name="OLE_LINK2"/>
            <w:r>
              <w:rPr>
                <w:rStyle w:val="206"/>
                <w:rFonts w:hint="eastAsia" w:ascii="宋体" w:hAnsi="宋体" w:eastAsia="宋体"/>
              </w:rPr>
              <w:t>报价系数：0.8</w:t>
            </w:r>
            <w:bookmarkEnd w:id="225"/>
          </w:p>
        </w:tc>
        <w:tc>
          <w:tcPr>
            <w:tcW w:w="1985" w:type="dxa"/>
            <w:vAlign w:val="center"/>
          </w:tcPr>
          <w:p w14:paraId="1485766E">
            <w:pPr>
              <w:spacing w:line="540" w:lineRule="exact"/>
              <w:jc w:val="center"/>
              <w:rPr>
                <w:rStyle w:val="206"/>
                <w:rFonts w:ascii="Times New Roman" w:hAnsi="Times New Roman" w:eastAsia="宋体"/>
              </w:rPr>
            </w:pPr>
          </w:p>
        </w:tc>
      </w:tr>
      <w:tr w14:paraId="5F52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2263" w:type="dxa"/>
            <w:vAlign w:val="center"/>
          </w:tcPr>
          <w:p w14:paraId="2F63CCCD">
            <w:pPr>
              <w:spacing w:line="540" w:lineRule="exact"/>
              <w:jc w:val="center"/>
              <w:rPr>
                <w:rStyle w:val="206"/>
                <w:rFonts w:hint="default" w:ascii="宋体" w:hAnsi="宋体" w:eastAsia="宋体"/>
                <w:lang w:val="en-US" w:eastAsia="zh-CN"/>
              </w:rPr>
            </w:pPr>
            <w:r>
              <w:rPr>
                <w:rStyle w:val="206"/>
                <w:rFonts w:hint="eastAsia" w:ascii="宋体" w:hAnsi="宋体" w:eastAsia="宋体"/>
              </w:rPr>
              <w:t>建安费</w:t>
            </w:r>
            <w:r>
              <w:rPr>
                <w:rStyle w:val="206"/>
                <w:rFonts w:hint="eastAsia" w:ascii="宋体" w:hAnsi="宋体" w:eastAsia="宋体"/>
                <w:lang w:val="en-US" w:eastAsia="zh-CN"/>
              </w:rPr>
              <w:t>投标报价</w:t>
            </w:r>
          </w:p>
        </w:tc>
        <w:tc>
          <w:tcPr>
            <w:tcW w:w="4998" w:type="dxa"/>
            <w:vAlign w:val="center"/>
          </w:tcPr>
          <w:p w14:paraId="36FB5060">
            <w:pPr>
              <w:spacing w:line="480" w:lineRule="auto"/>
              <w:jc w:val="center"/>
              <w:rPr>
                <w:rStyle w:val="206"/>
                <w:rFonts w:hint="eastAsia" w:ascii="宋体" w:hAnsi="宋体" w:eastAsia="宋体"/>
                <w:lang w:eastAsia="zh-CN"/>
              </w:rPr>
            </w:pPr>
            <w:r>
              <w:rPr>
                <w:rStyle w:val="206"/>
                <w:rFonts w:hint="eastAsia" w:ascii="宋体" w:hAnsi="宋体" w:eastAsia="宋体"/>
              </w:rPr>
              <w:t>小写：</w:t>
            </w:r>
            <w:r>
              <w:rPr>
                <w:rStyle w:val="206"/>
                <w:rFonts w:hint="eastAsia" w:ascii="宋体" w:hAnsi="宋体" w:eastAsia="宋体"/>
                <w:u w:val="single"/>
              </w:rPr>
              <w:t xml:space="preserve">      </w:t>
            </w:r>
            <w:r>
              <w:rPr>
                <w:rStyle w:val="206"/>
                <w:rFonts w:hint="eastAsia" w:ascii="宋体" w:hAnsi="宋体" w:eastAsia="宋体"/>
                <w:lang w:val="en-US" w:eastAsia="zh-CN"/>
              </w:rPr>
              <w:t>元</w:t>
            </w:r>
          </w:p>
          <w:p w14:paraId="38FB0930">
            <w:pPr>
              <w:spacing w:line="480" w:lineRule="auto"/>
              <w:jc w:val="center"/>
              <w:rPr>
                <w:rStyle w:val="206"/>
                <w:rFonts w:hint="eastAsia" w:ascii="宋体" w:hAnsi="宋体" w:eastAsia="宋体"/>
                <w:u w:val="single"/>
              </w:rPr>
            </w:pPr>
            <w:r>
              <w:rPr>
                <w:rStyle w:val="206"/>
                <w:rFonts w:hint="eastAsia" w:ascii="宋体" w:hAnsi="宋体" w:eastAsia="宋体"/>
              </w:rPr>
              <w:t>大写：</w:t>
            </w:r>
            <w:r>
              <w:rPr>
                <w:rStyle w:val="206"/>
                <w:rFonts w:hint="eastAsia" w:ascii="宋体" w:hAnsi="宋体" w:eastAsia="宋体"/>
                <w:lang w:val="en-US" w:eastAsia="zh-CN"/>
              </w:rPr>
              <w:t>人民币</w:t>
            </w:r>
            <w:r>
              <w:rPr>
                <w:rStyle w:val="206"/>
                <w:rFonts w:hint="eastAsia" w:ascii="宋体" w:hAnsi="宋体" w:eastAsia="宋体"/>
                <w:u w:val="single"/>
              </w:rPr>
              <w:t xml:space="preserve"> </w:t>
            </w:r>
            <w:r>
              <w:rPr>
                <w:rStyle w:val="206"/>
                <w:rFonts w:ascii="宋体" w:hAnsi="宋体" w:eastAsia="宋体"/>
                <w:u w:val="single"/>
              </w:rPr>
              <w:t xml:space="preserve">     </w:t>
            </w:r>
          </w:p>
        </w:tc>
        <w:tc>
          <w:tcPr>
            <w:tcW w:w="1985" w:type="dxa"/>
            <w:vAlign w:val="center"/>
          </w:tcPr>
          <w:p w14:paraId="5EF5CB74">
            <w:pPr>
              <w:spacing w:line="540" w:lineRule="exact"/>
              <w:jc w:val="center"/>
              <w:rPr>
                <w:rStyle w:val="206"/>
                <w:rFonts w:ascii="Times New Roman" w:hAnsi="Times New Roman" w:eastAsia="宋体"/>
              </w:rPr>
            </w:pPr>
          </w:p>
        </w:tc>
      </w:tr>
    </w:tbl>
    <w:p w14:paraId="7BC51360">
      <w:pPr>
        <w:pStyle w:val="62"/>
      </w:pPr>
    </w:p>
    <w:p w14:paraId="12837961">
      <w:pPr>
        <w:rPr>
          <w:rFonts w:hint="eastAsia" w:hAnsi="宋体"/>
          <w:szCs w:val="21"/>
        </w:rPr>
      </w:pPr>
    </w:p>
    <w:p w14:paraId="0C0BD62E">
      <w:pPr>
        <w:ind w:firstLine="410" w:firstLineChars="171"/>
        <w:rPr>
          <w:rFonts w:hint="eastAsia" w:hAnsi="宋体"/>
          <w:szCs w:val="21"/>
        </w:rPr>
      </w:pPr>
    </w:p>
    <w:p w14:paraId="32DA2E0E">
      <w:pPr>
        <w:ind w:firstLine="410" w:firstLineChars="171"/>
        <w:rPr>
          <w:rFonts w:hint="eastAsia" w:hAnsi="宋体"/>
          <w:szCs w:val="21"/>
        </w:rPr>
      </w:pPr>
      <w:r>
        <w:rPr>
          <w:rFonts w:hint="eastAsia" w:hAnsi="宋体"/>
          <w:szCs w:val="21"/>
        </w:rPr>
        <w:t>供应商代表签字：</w:t>
      </w:r>
    </w:p>
    <w:p w14:paraId="78100A37">
      <w:pPr>
        <w:ind w:firstLine="410" w:firstLineChars="171"/>
        <w:rPr>
          <w:rFonts w:hint="eastAsia" w:hAnsi="宋体"/>
          <w:szCs w:val="21"/>
        </w:rPr>
      </w:pPr>
      <w:r>
        <w:rPr>
          <w:rFonts w:hint="eastAsia" w:hAnsi="宋体"/>
          <w:szCs w:val="21"/>
        </w:rPr>
        <w:t>供应商盖章：</w:t>
      </w:r>
    </w:p>
    <w:p w14:paraId="5611C149">
      <w:pPr>
        <w:ind w:firstLine="410" w:firstLineChars="171"/>
        <w:rPr>
          <w:rFonts w:hint="eastAsia" w:hAnsi="宋体"/>
          <w:szCs w:val="21"/>
        </w:rPr>
      </w:pPr>
      <w:r>
        <w:rPr>
          <w:rFonts w:hint="eastAsia" w:hAnsi="宋体"/>
          <w:szCs w:val="21"/>
        </w:rPr>
        <w:t>日期：</w:t>
      </w:r>
    </w:p>
    <w:p w14:paraId="31808AC9">
      <w:pPr>
        <w:ind w:firstLine="410" w:firstLineChars="171"/>
        <w:rPr>
          <w:rFonts w:hint="eastAsia" w:hAnsi="宋体"/>
          <w:szCs w:val="21"/>
        </w:rPr>
      </w:pPr>
    </w:p>
    <w:p w14:paraId="092CD4D6">
      <w:pPr>
        <w:ind w:left="446" w:hanging="446" w:hangingChars="186"/>
        <w:rPr>
          <w:rFonts w:hint="eastAsia" w:hAnsi="宋体"/>
          <w:szCs w:val="21"/>
        </w:rPr>
      </w:pPr>
      <w:r>
        <w:rPr>
          <w:rFonts w:hint="eastAsia" w:hAnsi="宋体"/>
          <w:szCs w:val="21"/>
        </w:rPr>
        <w:t xml:space="preserve">    注：</w:t>
      </w:r>
    </w:p>
    <w:p w14:paraId="178EABF2">
      <w:pPr>
        <w:ind w:firstLine="412" w:firstLineChars="171"/>
        <w:rPr>
          <w:rFonts w:hint="eastAsia" w:hAnsi="宋体"/>
          <w:b/>
          <w:bCs/>
          <w:szCs w:val="21"/>
        </w:rPr>
      </w:pPr>
      <w:r>
        <w:rPr>
          <w:rFonts w:hint="eastAsia" w:hAnsi="宋体"/>
          <w:b/>
          <w:bCs/>
          <w:szCs w:val="21"/>
        </w:rPr>
        <w:t>1、填写此表时不得改变表格的形式。</w:t>
      </w:r>
    </w:p>
    <w:p w14:paraId="1A29FF5D">
      <w:pPr>
        <w:ind w:firstLine="412" w:firstLineChars="171"/>
        <w:rPr>
          <w:rFonts w:hint="eastAsia" w:hAnsi="宋体"/>
          <w:b/>
          <w:bCs/>
          <w:szCs w:val="21"/>
        </w:rPr>
      </w:pPr>
      <w:r>
        <w:rPr>
          <w:rFonts w:hint="eastAsia" w:hAnsi="宋体"/>
          <w:b/>
          <w:bCs/>
          <w:szCs w:val="21"/>
        </w:rPr>
        <w:t>2、投标报价最多只能保留小数点后两位。</w:t>
      </w:r>
    </w:p>
    <w:p w14:paraId="0A32397A">
      <w:pPr>
        <w:ind w:firstLine="412" w:firstLineChars="171"/>
        <w:rPr>
          <w:rFonts w:hint="eastAsia" w:hAnsi="宋体"/>
          <w:b/>
          <w:bCs/>
          <w:szCs w:val="21"/>
        </w:rPr>
      </w:pPr>
      <w:r>
        <w:rPr>
          <w:rFonts w:hint="eastAsia" w:hAnsi="宋体"/>
          <w:b/>
          <w:bCs/>
          <w:szCs w:val="21"/>
        </w:rPr>
        <w:t>3、本项目以建安费投标</w:t>
      </w:r>
      <w:r>
        <w:rPr>
          <w:rFonts w:hint="eastAsia" w:hAnsi="宋体"/>
          <w:b/>
          <w:bCs/>
          <w:szCs w:val="21"/>
          <w:lang w:val="en-US" w:eastAsia="zh-CN"/>
        </w:rPr>
        <w:t>报价</w:t>
      </w:r>
      <w:r>
        <w:rPr>
          <w:rFonts w:hint="eastAsia" w:hAnsi="宋体"/>
          <w:b/>
          <w:bCs/>
          <w:szCs w:val="21"/>
        </w:rPr>
        <w:t>作为价格评审依据。</w:t>
      </w:r>
    </w:p>
    <w:p w14:paraId="55D15D32">
      <w:r>
        <w:br w:type="page"/>
      </w:r>
    </w:p>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14:paraId="5BF11922">
      <w:pPr>
        <w:pStyle w:val="6"/>
        <w:jc w:val="center"/>
        <w:rPr>
          <w:rFonts w:hint="eastAsia"/>
          <w:sz w:val="28"/>
          <w:szCs w:val="28"/>
        </w:rPr>
      </w:pPr>
      <w:bookmarkStart w:id="226" w:name="_Toc18450"/>
      <w:bookmarkStart w:id="227" w:name="_Toc12158"/>
      <w:bookmarkStart w:id="228" w:name="_Toc7897890"/>
      <w:bookmarkStart w:id="229" w:name="_Toc27849"/>
      <w:bookmarkStart w:id="230" w:name="_Toc458262638"/>
      <w:bookmarkStart w:id="231" w:name="_Toc454701405"/>
      <w:bookmarkStart w:id="232" w:name="_Toc486671572"/>
      <w:bookmarkStart w:id="233" w:name="_Toc467236768"/>
      <w:bookmarkStart w:id="234" w:name="_Toc476976200"/>
      <w:bookmarkStart w:id="235" w:name="_Toc110953866"/>
      <w:bookmarkStart w:id="236" w:name="_Toc468606064"/>
      <w:bookmarkStart w:id="237" w:name="_Toc467987856"/>
      <w:bookmarkStart w:id="238" w:name="_Toc480010742"/>
      <w:bookmarkStart w:id="239" w:name="_Toc480020289"/>
      <w:bookmarkStart w:id="240" w:name="_Toc480021085"/>
      <w:bookmarkStart w:id="241" w:name="_Toc479991616"/>
      <w:bookmarkStart w:id="242" w:name="_Toc468157569"/>
      <w:r>
        <w:rPr>
          <w:rFonts w:hint="eastAsia"/>
          <w:sz w:val="28"/>
          <w:szCs w:val="28"/>
        </w:rPr>
        <w:t>第二部分  商务文件</w:t>
      </w:r>
      <w:bookmarkEnd w:id="226"/>
      <w:bookmarkEnd w:id="227"/>
      <w:bookmarkStart w:id="243" w:name="_Hlt10519799"/>
      <w:bookmarkEnd w:id="243"/>
      <w:bookmarkStart w:id="244" w:name="_Hlt10456397"/>
      <w:bookmarkEnd w:id="244"/>
    </w:p>
    <w:p w14:paraId="4B5E229D"/>
    <w:p w14:paraId="7562C523">
      <w:pPr>
        <w:pStyle w:val="6"/>
        <w:numPr>
          <w:ilvl w:val="0"/>
          <w:numId w:val="14"/>
        </w:numPr>
        <w:jc w:val="center"/>
        <w:rPr>
          <w:rFonts w:hint="eastAsia"/>
          <w:b w:val="0"/>
          <w:sz w:val="28"/>
          <w:szCs w:val="28"/>
        </w:rPr>
      </w:pPr>
      <w:bookmarkStart w:id="245" w:name="_Toc18728"/>
      <w:bookmarkStart w:id="246" w:name="_Toc8815"/>
      <w:r>
        <w:rPr>
          <w:rFonts w:hint="eastAsia"/>
          <w:sz w:val="28"/>
          <w:szCs w:val="28"/>
        </w:rPr>
        <w:t>响应书</w:t>
      </w:r>
      <w:bookmarkEnd w:id="228"/>
      <w:bookmarkEnd w:id="229"/>
      <w:bookmarkEnd w:id="230"/>
      <w:bookmarkEnd w:id="231"/>
      <w:bookmarkEnd w:id="232"/>
      <w:bookmarkEnd w:id="233"/>
      <w:bookmarkEnd w:id="234"/>
      <w:bookmarkEnd w:id="245"/>
      <w:bookmarkEnd w:id="246"/>
    </w:p>
    <w:p w14:paraId="6931C354">
      <w:pPr>
        <w:pStyle w:val="30"/>
        <w:autoSpaceDE/>
        <w:autoSpaceDN/>
        <w:adjustRightInd/>
        <w:spacing w:line="480" w:lineRule="exact"/>
        <w:ind w:left="6000"/>
        <w:rPr>
          <w:rFonts w:hint="eastAsia" w:hAnsi="宋体"/>
          <w:sz w:val="24"/>
        </w:rPr>
      </w:pPr>
    </w:p>
    <w:p w14:paraId="351F51D8">
      <w:pPr>
        <w:pStyle w:val="30"/>
        <w:autoSpaceDE/>
        <w:autoSpaceDN/>
        <w:adjustRightInd/>
        <w:spacing w:line="480" w:lineRule="exact"/>
        <w:ind w:left="0" w:leftChars="0"/>
        <w:rPr>
          <w:rFonts w:hint="eastAsia" w:hAnsi="宋体"/>
        </w:rPr>
      </w:pPr>
      <w:r>
        <w:rPr>
          <w:rFonts w:hint="eastAsia" w:hAnsi="宋体"/>
        </w:rPr>
        <w:t>致：广东洲际招标代理有限公司</w:t>
      </w:r>
    </w:p>
    <w:p w14:paraId="0D93ADA1">
      <w:pPr>
        <w:spacing w:line="480" w:lineRule="exact"/>
        <w:ind w:firstLine="420" w:firstLineChars="200"/>
        <w:rPr>
          <w:rFonts w:hint="eastAsia" w:hAnsi="宋体"/>
          <w:sz w:val="21"/>
          <w:szCs w:val="21"/>
        </w:rPr>
      </w:pPr>
      <w:r>
        <w:rPr>
          <w:rFonts w:hint="eastAsia" w:hAnsi="宋体"/>
          <w:sz w:val="21"/>
          <w:szCs w:val="21"/>
        </w:rPr>
        <w:t>根据贵方（采购编号：）的采购邀请和磋商文件，供应商承诺如下：</w:t>
      </w:r>
    </w:p>
    <w:p w14:paraId="7578AB03">
      <w:pPr>
        <w:spacing w:line="480" w:lineRule="exact"/>
        <w:ind w:firstLine="420" w:firstLineChars="200"/>
        <w:rPr>
          <w:rFonts w:hint="eastAsia" w:hAnsi="宋体"/>
          <w:sz w:val="21"/>
          <w:szCs w:val="21"/>
        </w:rPr>
      </w:pPr>
      <w:r>
        <w:rPr>
          <w:rFonts w:hint="eastAsia" w:hAnsi="宋体"/>
          <w:sz w:val="21"/>
          <w:szCs w:val="21"/>
        </w:rPr>
        <w:t>1.签字代表</w:t>
      </w:r>
      <w:r>
        <w:rPr>
          <w:rFonts w:hint="eastAsia" w:hAnsi="宋体"/>
          <w:sz w:val="21"/>
          <w:szCs w:val="21"/>
          <w:u w:val="single"/>
        </w:rPr>
        <w:t>（姓名、职务）</w:t>
      </w:r>
      <w:r>
        <w:rPr>
          <w:rFonts w:hint="eastAsia" w:hAnsi="宋体"/>
          <w:sz w:val="21"/>
          <w:szCs w:val="21"/>
        </w:rPr>
        <w:t>经正式授权并代表供应商</w:t>
      </w:r>
      <w:r>
        <w:rPr>
          <w:rFonts w:hint="eastAsia" w:hAnsi="宋体"/>
          <w:sz w:val="21"/>
          <w:szCs w:val="21"/>
          <w:u w:val="single"/>
        </w:rPr>
        <w:t>（供应商名称、地址）</w:t>
      </w:r>
      <w:r>
        <w:rPr>
          <w:rFonts w:hint="eastAsia" w:hAnsi="宋体"/>
          <w:sz w:val="21"/>
          <w:szCs w:val="21"/>
        </w:rPr>
        <w:t>提交响应文件正本份和副本份。</w:t>
      </w:r>
    </w:p>
    <w:p w14:paraId="314594C4">
      <w:pPr>
        <w:spacing w:line="480" w:lineRule="exact"/>
        <w:ind w:firstLine="420" w:firstLineChars="200"/>
        <w:rPr>
          <w:rFonts w:hint="eastAsia" w:hAnsi="宋体"/>
          <w:sz w:val="21"/>
          <w:szCs w:val="21"/>
        </w:rPr>
      </w:pPr>
      <w:r>
        <w:rPr>
          <w:rFonts w:hint="eastAsia" w:hAnsi="宋体"/>
          <w:sz w:val="21"/>
          <w:szCs w:val="21"/>
        </w:rPr>
        <w:t>2.供应商愿意参加响应并在成交后按磋商文件规定履行义务。</w:t>
      </w:r>
    </w:p>
    <w:p w14:paraId="5568F4A6">
      <w:pPr>
        <w:spacing w:line="480" w:lineRule="exact"/>
        <w:ind w:firstLine="420" w:firstLineChars="200"/>
        <w:rPr>
          <w:rFonts w:hint="eastAsia" w:hAnsi="宋体"/>
          <w:sz w:val="21"/>
          <w:szCs w:val="21"/>
        </w:rPr>
      </w:pPr>
      <w:r>
        <w:rPr>
          <w:rFonts w:hint="eastAsia" w:hAnsi="宋体"/>
          <w:sz w:val="21"/>
          <w:szCs w:val="21"/>
        </w:rPr>
        <w:t>3.供应商已详细审查全部磋商文件，包括澄清或修改文件（如有的话）等全部资料。供应商完全理解磋商文件的内容，不存在对磋商文件不明白和误解。</w:t>
      </w:r>
    </w:p>
    <w:p w14:paraId="367E6F27">
      <w:pPr>
        <w:spacing w:line="480" w:lineRule="exact"/>
        <w:ind w:firstLine="420" w:firstLineChars="200"/>
        <w:rPr>
          <w:rFonts w:hint="eastAsia" w:hAnsi="宋体"/>
          <w:sz w:val="21"/>
          <w:szCs w:val="21"/>
        </w:rPr>
      </w:pPr>
      <w:r>
        <w:rPr>
          <w:rFonts w:hint="eastAsia" w:hAnsi="宋体"/>
          <w:sz w:val="21"/>
          <w:szCs w:val="21"/>
        </w:rPr>
        <w:t>4.响应文件中所提交的所有资料均是准确的和真实的，否则，我单位愿意放弃成交的权利和接受采购监督管理部门的处罚。</w:t>
      </w:r>
    </w:p>
    <w:p w14:paraId="2B7B05C2">
      <w:pPr>
        <w:spacing w:line="480" w:lineRule="exact"/>
        <w:ind w:firstLine="420" w:firstLineChars="200"/>
        <w:rPr>
          <w:rFonts w:hint="eastAsia" w:hAnsi="宋体"/>
          <w:sz w:val="21"/>
          <w:szCs w:val="21"/>
        </w:rPr>
      </w:pPr>
      <w:r>
        <w:rPr>
          <w:rFonts w:hint="eastAsia" w:hAnsi="宋体"/>
          <w:sz w:val="21"/>
          <w:szCs w:val="21"/>
        </w:rPr>
        <w:t>5.参加本项目采购活动前3年内，在经营活动中没有重大违法记录。</w:t>
      </w:r>
    </w:p>
    <w:p w14:paraId="2998AE1B">
      <w:pPr>
        <w:spacing w:line="480" w:lineRule="exact"/>
        <w:ind w:firstLine="420" w:firstLineChars="200"/>
        <w:rPr>
          <w:rFonts w:hint="eastAsia" w:hAnsi="宋体"/>
          <w:sz w:val="21"/>
          <w:szCs w:val="21"/>
        </w:rPr>
      </w:pPr>
      <w:r>
        <w:rPr>
          <w:rFonts w:hint="eastAsia" w:hAnsi="宋体"/>
          <w:sz w:val="21"/>
          <w:szCs w:val="21"/>
        </w:rPr>
        <w:t>6.响应有效期为90个工作日，自开启响应文件之日起算。</w:t>
      </w:r>
    </w:p>
    <w:p w14:paraId="615C1859">
      <w:pPr>
        <w:spacing w:line="480" w:lineRule="exact"/>
        <w:ind w:firstLine="420" w:firstLineChars="200"/>
        <w:rPr>
          <w:rFonts w:hint="eastAsia" w:hAnsi="宋体"/>
          <w:sz w:val="21"/>
          <w:szCs w:val="21"/>
        </w:rPr>
      </w:pPr>
      <w:r>
        <w:rPr>
          <w:rFonts w:hint="eastAsia" w:hAnsi="宋体"/>
          <w:sz w:val="21"/>
          <w:szCs w:val="21"/>
        </w:rPr>
        <w:t>7.同意在成交后按照磋商文件的规定缴纳采购代理服务费。</w:t>
      </w:r>
    </w:p>
    <w:p w14:paraId="251F06AB">
      <w:pPr>
        <w:spacing w:line="480" w:lineRule="exact"/>
        <w:ind w:firstLine="420" w:firstLineChars="200"/>
        <w:rPr>
          <w:rFonts w:hint="eastAsia" w:hAnsi="宋体"/>
          <w:sz w:val="21"/>
          <w:szCs w:val="21"/>
        </w:rPr>
      </w:pPr>
      <w:r>
        <w:rPr>
          <w:rFonts w:hint="eastAsia" w:hAnsi="宋体"/>
          <w:sz w:val="21"/>
          <w:szCs w:val="21"/>
        </w:rPr>
        <w:t>8.如果开启响应文件后，在响应有效期内撤回文件的，我单位愿意承担贵单位由此而产生的损失。</w:t>
      </w:r>
    </w:p>
    <w:p w14:paraId="324F9D06">
      <w:pPr>
        <w:spacing w:line="480" w:lineRule="exact"/>
        <w:ind w:firstLine="420" w:firstLineChars="200"/>
        <w:rPr>
          <w:rFonts w:hint="eastAsia" w:hAnsi="宋体"/>
          <w:sz w:val="21"/>
          <w:szCs w:val="21"/>
        </w:rPr>
      </w:pPr>
      <w:r>
        <w:rPr>
          <w:rFonts w:hint="eastAsia" w:hAnsi="宋体"/>
          <w:sz w:val="21"/>
          <w:szCs w:val="21"/>
        </w:rPr>
        <w:t>9.供应商同意提供按照贵方可能要求的有关的一切资料，理解贵单位不一定要接受最低价的响应或收到的任何响应。</w:t>
      </w:r>
    </w:p>
    <w:p w14:paraId="3347ACEC">
      <w:pPr>
        <w:spacing w:line="480" w:lineRule="exact"/>
        <w:ind w:firstLine="420" w:firstLineChars="200"/>
        <w:rPr>
          <w:rFonts w:hint="eastAsia" w:hAnsi="宋体"/>
          <w:sz w:val="21"/>
          <w:szCs w:val="21"/>
        </w:rPr>
      </w:pPr>
      <w:r>
        <w:rPr>
          <w:rFonts w:hint="eastAsia" w:hAnsi="宋体"/>
          <w:sz w:val="21"/>
          <w:szCs w:val="21"/>
        </w:rPr>
        <w:t>10.与本响应有关的一切正式往来通讯请寄：</w:t>
      </w:r>
    </w:p>
    <w:p w14:paraId="5FC1A6FC">
      <w:pPr>
        <w:spacing w:line="480" w:lineRule="exact"/>
        <w:ind w:firstLine="420" w:firstLineChars="200"/>
        <w:rPr>
          <w:rFonts w:hint="eastAsia" w:hAnsi="宋体"/>
          <w:sz w:val="21"/>
          <w:szCs w:val="21"/>
        </w:rPr>
      </w:pPr>
    </w:p>
    <w:p w14:paraId="232FF5CE">
      <w:pPr>
        <w:spacing w:line="480" w:lineRule="exact"/>
        <w:ind w:firstLine="420" w:firstLineChars="200"/>
        <w:rPr>
          <w:rFonts w:hint="eastAsia" w:hAnsi="宋体"/>
          <w:sz w:val="21"/>
          <w:szCs w:val="21"/>
        </w:rPr>
      </w:pPr>
      <w:r>
        <w:rPr>
          <w:rFonts w:hint="eastAsia" w:hAnsi="宋体"/>
          <w:sz w:val="21"/>
          <w:szCs w:val="21"/>
        </w:rPr>
        <w:t>供应商名称：</w:t>
      </w:r>
      <w:r>
        <w:rPr>
          <w:rFonts w:hint="eastAsia" w:hAnsi="宋体"/>
          <w:sz w:val="21"/>
          <w:szCs w:val="21"/>
          <w:u w:val="single"/>
        </w:rPr>
        <w:t xml:space="preserve">            （盖公章）                   </w:t>
      </w:r>
    </w:p>
    <w:p w14:paraId="01F594AA">
      <w:pPr>
        <w:spacing w:line="480" w:lineRule="exact"/>
        <w:ind w:firstLine="420" w:firstLineChars="200"/>
        <w:rPr>
          <w:rFonts w:hint="eastAsia" w:hAnsi="宋体"/>
          <w:sz w:val="21"/>
          <w:szCs w:val="21"/>
          <w:u w:val="single"/>
        </w:rPr>
      </w:pPr>
      <w:r>
        <w:rPr>
          <w:rFonts w:hint="eastAsia" w:hAnsi="宋体"/>
          <w:sz w:val="21"/>
          <w:szCs w:val="21"/>
        </w:rPr>
        <w:t>供应商代表姓名、职务（印刷体）：</w:t>
      </w:r>
    </w:p>
    <w:p w14:paraId="4554F368">
      <w:pPr>
        <w:spacing w:line="480" w:lineRule="exact"/>
        <w:ind w:firstLine="420" w:firstLineChars="200"/>
        <w:rPr>
          <w:rFonts w:hint="eastAsia" w:hAnsi="宋体"/>
          <w:sz w:val="21"/>
          <w:szCs w:val="21"/>
        </w:rPr>
      </w:pPr>
      <w:r>
        <w:rPr>
          <w:rFonts w:hint="eastAsia" w:hAnsi="宋体"/>
          <w:sz w:val="21"/>
          <w:szCs w:val="21"/>
        </w:rPr>
        <w:t>供应商联系电话、传真：</w:t>
      </w:r>
    </w:p>
    <w:p w14:paraId="670AB8B8">
      <w:pPr>
        <w:spacing w:line="480" w:lineRule="exact"/>
        <w:ind w:firstLine="420" w:firstLineChars="200"/>
        <w:rPr>
          <w:rFonts w:hint="eastAsia" w:hAnsi="宋体"/>
          <w:sz w:val="21"/>
          <w:szCs w:val="21"/>
        </w:rPr>
      </w:pPr>
      <w:r>
        <w:rPr>
          <w:rFonts w:hint="eastAsia" w:hAnsi="宋体"/>
          <w:sz w:val="21"/>
          <w:szCs w:val="21"/>
        </w:rPr>
        <w:t>日期：年月日</w:t>
      </w:r>
    </w:p>
    <w:p w14:paraId="215D56D1">
      <w:pPr>
        <w:pStyle w:val="6"/>
        <w:numPr>
          <w:ilvl w:val="0"/>
          <w:numId w:val="14"/>
        </w:numPr>
        <w:jc w:val="center"/>
        <w:rPr>
          <w:rFonts w:hint="eastAsia"/>
          <w:bCs/>
          <w:sz w:val="28"/>
          <w:szCs w:val="28"/>
        </w:rPr>
      </w:pPr>
      <w:r>
        <w:rPr>
          <w:sz w:val="22"/>
          <w:szCs w:val="22"/>
        </w:rPr>
        <w:br w:type="page"/>
      </w:r>
      <w:bookmarkStart w:id="247" w:name="_Toc24748"/>
      <w:bookmarkStart w:id="248" w:name="_Toc31943"/>
      <w:bookmarkStart w:id="249" w:name="_Toc10808"/>
      <w:bookmarkStart w:id="250" w:name="_Toc7897891"/>
      <w:r>
        <w:rPr>
          <w:rFonts w:hint="eastAsia"/>
          <w:bCs/>
          <w:sz w:val="28"/>
          <w:szCs w:val="28"/>
        </w:rPr>
        <w:t>法定代表人证明书</w:t>
      </w:r>
      <w:bookmarkEnd w:id="247"/>
      <w:bookmarkEnd w:id="248"/>
      <w:bookmarkEnd w:id="249"/>
      <w:bookmarkEnd w:id="250"/>
    </w:p>
    <w:p w14:paraId="14D85FF4">
      <w:pPr>
        <w:jc w:val="center"/>
        <w:rPr>
          <w:rFonts w:hint="eastAsia" w:hAnsi="宋体"/>
          <w:sz w:val="28"/>
          <w:szCs w:val="28"/>
        </w:rPr>
      </w:pPr>
    </w:p>
    <w:p w14:paraId="4BE5C6D1">
      <w:pPr>
        <w:rPr>
          <w:rFonts w:hint="eastAsia" w:hAnsi="宋体"/>
          <w:sz w:val="28"/>
          <w:szCs w:val="28"/>
        </w:rPr>
      </w:pPr>
    </w:p>
    <w:p w14:paraId="49091C16">
      <w:pPr>
        <w:spacing w:line="420" w:lineRule="atLeast"/>
        <w:rPr>
          <w:rFonts w:hint="eastAsia" w:hAnsi="宋体"/>
          <w:sz w:val="21"/>
          <w:szCs w:val="21"/>
        </w:rPr>
      </w:pPr>
      <w:r>
        <w:rPr>
          <w:rFonts w:hint="eastAsia" w:hAnsi="宋体"/>
          <w:sz w:val="21"/>
          <w:szCs w:val="21"/>
        </w:rPr>
        <w:t>致：广东洲际招标代理有限公司</w:t>
      </w:r>
    </w:p>
    <w:p w14:paraId="7D8761DD">
      <w:pPr>
        <w:pStyle w:val="78"/>
        <w:spacing w:line="420" w:lineRule="atLeast"/>
        <w:ind w:firstLine="433"/>
        <w:rPr>
          <w:rFonts w:hint="eastAsia" w:ascii="宋体" w:eastAsia="宋体"/>
          <w:sz w:val="21"/>
          <w:szCs w:val="21"/>
        </w:rPr>
      </w:pPr>
    </w:p>
    <w:p w14:paraId="4DC24E60">
      <w:pPr>
        <w:pStyle w:val="78"/>
        <w:spacing w:line="420" w:lineRule="atLeast"/>
        <w:ind w:firstLine="433"/>
        <w:rPr>
          <w:rFonts w:hint="eastAsia" w:ascii="宋体" w:eastAsia="宋体"/>
          <w:sz w:val="21"/>
          <w:szCs w:val="21"/>
        </w:rPr>
      </w:pPr>
      <w:r>
        <w:rPr>
          <w:rFonts w:hint="eastAsia" w:ascii="宋体" w:eastAsia="宋体"/>
          <w:sz w:val="21"/>
          <w:szCs w:val="21"/>
        </w:rPr>
        <w:t xml:space="preserve">供应商名称: </w:t>
      </w:r>
    </w:p>
    <w:p w14:paraId="324592B7">
      <w:pPr>
        <w:pStyle w:val="78"/>
        <w:spacing w:line="420" w:lineRule="atLeast"/>
        <w:ind w:firstLine="433"/>
        <w:rPr>
          <w:rFonts w:hint="eastAsia" w:ascii="宋体" w:eastAsia="宋体"/>
          <w:sz w:val="21"/>
          <w:szCs w:val="21"/>
        </w:rPr>
      </w:pPr>
      <w:r>
        <w:rPr>
          <w:rFonts w:hint="eastAsia" w:ascii="宋体" w:eastAsia="宋体"/>
          <w:sz w:val="21"/>
          <w:szCs w:val="21"/>
        </w:rPr>
        <w:t>单 位 性质：</w:t>
      </w:r>
    </w:p>
    <w:p w14:paraId="321A4827">
      <w:pPr>
        <w:pStyle w:val="78"/>
        <w:spacing w:line="420" w:lineRule="atLeast"/>
        <w:ind w:firstLine="433"/>
        <w:rPr>
          <w:rFonts w:hint="eastAsia" w:ascii="宋体" w:eastAsia="宋体"/>
          <w:sz w:val="21"/>
          <w:szCs w:val="21"/>
        </w:rPr>
      </w:pPr>
      <w:r>
        <w:rPr>
          <w:rFonts w:hint="eastAsia" w:ascii="宋体" w:eastAsia="宋体"/>
          <w:sz w:val="21"/>
          <w:szCs w:val="21"/>
        </w:rPr>
        <w:t>地      址：</w:t>
      </w:r>
    </w:p>
    <w:p w14:paraId="354ED98F">
      <w:pPr>
        <w:pStyle w:val="78"/>
        <w:spacing w:line="420" w:lineRule="atLeast"/>
        <w:ind w:firstLine="433"/>
        <w:rPr>
          <w:rFonts w:hint="eastAsia" w:ascii="宋体" w:eastAsia="宋体"/>
          <w:sz w:val="21"/>
          <w:szCs w:val="21"/>
        </w:rPr>
      </w:pPr>
      <w:r>
        <w:rPr>
          <w:rFonts w:hint="eastAsia" w:ascii="宋体" w:eastAsia="宋体"/>
          <w:sz w:val="21"/>
          <w:szCs w:val="21"/>
        </w:rPr>
        <w:t>成 立 时间：年月日</w:t>
      </w:r>
    </w:p>
    <w:p w14:paraId="2CFD112D">
      <w:pPr>
        <w:pStyle w:val="78"/>
        <w:spacing w:line="420" w:lineRule="atLeast"/>
        <w:ind w:firstLine="433"/>
        <w:rPr>
          <w:rFonts w:hint="eastAsia" w:ascii="宋体" w:eastAsia="宋体"/>
          <w:sz w:val="21"/>
          <w:szCs w:val="21"/>
        </w:rPr>
      </w:pPr>
      <w:r>
        <w:rPr>
          <w:rFonts w:hint="eastAsia" w:ascii="宋体" w:eastAsia="宋体"/>
          <w:sz w:val="21"/>
          <w:szCs w:val="21"/>
        </w:rPr>
        <w:t>经 营 期限：</w:t>
      </w:r>
    </w:p>
    <w:p w14:paraId="0388B71B">
      <w:pPr>
        <w:pStyle w:val="78"/>
        <w:spacing w:line="420" w:lineRule="atLeast"/>
        <w:ind w:firstLine="433"/>
        <w:rPr>
          <w:rFonts w:hint="eastAsia" w:ascii="宋体" w:eastAsia="宋体"/>
          <w:sz w:val="21"/>
          <w:szCs w:val="21"/>
        </w:rPr>
      </w:pPr>
      <w:r>
        <w:rPr>
          <w:rFonts w:hint="eastAsia" w:ascii="宋体" w:eastAsia="宋体"/>
          <w:sz w:val="21"/>
          <w:szCs w:val="21"/>
        </w:rPr>
        <w:t>姓名：性别：年龄：职务：</w:t>
      </w:r>
    </w:p>
    <w:p w14:paraId="2EE52C6D">
      <w:pPr>
        <w:pStyle w:val="78"/>
        <w:spacing w:line="420" w:lineRule="atLeast"/>
        <w:ind w:firstLine="433"/>
        <w:rPr>
          <w:rFonts w:hint="eastAsia" w:ascii="宋体" w:eastAsia="宋体"/>
          <w:sz w:val="21"/>
          <w:szCs w:val="21"/>
        </w:rPr>
      </w:pPr>
      <w:r>
        <w:rPr>
          <w:rFonts w:hint="eastAsia" w:ascii="宋体" w:eastAsia="宋体"/>
          <w:sz w:val="21"/>
          <w:szCs w:val="21"/>
        </w:rPr>
        <w:t>系（供应商名称）的法定代表人。</w:t>
      </w:r>
    </w:p>
    <w:p w14:paraId="28E60C1E">
      <w:pPr>
        <w:spacing w:line="420" w:lineRule="atLeast"/>
        <w:ind w:firstLine="420" w:firstLineChars="200"/>
        <w:rPr>
          <w:rFonts w:hint="eastAsia" w:hAnsi="宋体"/>
          <w:sz w:val="21"/>
          <w:szCs w:val="21"/>
        </w:rPr>
      </w:pPr>
      <w:r>
        <w:rPr>
          <w:rFonts w:hint="eastAsia" w:hAnsi="宋体"/>
          <w:sz w:val="21"/>
          <w:szCs w:val="21"/>
        </w:rPr>
        <w:t>特此证明。</w:t>
      </w:r>
    </w:p>
    <w:p w14:paraId="1C6BAF6C">
      <w:pPr>
        <w:pStyle w:val="78"/>
        <w:spacing w:line="500" w:lineRule="atLeast"/>
        <w:ind w:firstLine="3517" w:firstLineChars="1675"/>
        <w:rPr>
          <w:rFonts w:hint="eastAsia" w:ascii="宋体" w:eastAsia="宋体"/>
          <w:sz w:val="21"/>
          <w:szCs w:val="21"/>
        </w:rPr>
      </w:pPr>
    </w:p>
    <w:p w14:paraId="6A357183">
      <w:pPr>
        <w:pStyle w:val="78"/>
        <w:spacing w:line="500" w:lineRule="atLeast"/>
        <w:ind w:firstLine="3517" w:firstLineChars="1675"/>
        <w:rPr>
          <w:rFonts w:hint="eastAsia" w:ascii="宋体" w:eastAsia="宋体"/>
          <w:sz w:val="21"/>
          <w:szCs w:val="21"/>
        </w:rPr>
      </w:pPr>
      <w:r>
        <w:rPr>
          <w:rFonts w:hint="eastAsia" w:ascii="宋体" w:eastAsia="宋体"/>
          <w:sz w:val="21"/>
          <w:szCs w:val="21"/>
        </w:rPr>
        <w:t>供应商名称（加盖公章）：</w:t>
      </w:r>
    </w:p>
    <w:p w14:paraId="1F50A009">
      <w:pPr>
        <w:pStyle w:val="78"/>
        <w:spacing w:line="500" w:lineRule="atLeast"/>
        <w:ind w:firstLine="3517" w:firstLineChars="1675"/>
        <w:rPr>
          <w:rFonts w:hint="eastAsia" w:ascii="宋体" w:eastAsia="宋体"/>
          <w:sz w:val="21"/>
          <w:szCs w:val="21"/>
        </w:rPr>
      </w:pPr>
      <w:r>
        <w:rPr>
          <w:rFonts w:hint="eastAsia" w:ascii="宋体" w:eastAsia="宋体"/>
          <w:sz w:val="21"/>
          <w:szCs w:val="21"/>
        </w:rPr>
        <w:t>法定代表人（签名或盖私章）：</w:t>
      </w:r>
    </w:p>
    <w:p w14:paraId="73182CE4">
      <w:pPr>
        <w:pStyle w:val="78"/>
        <w:spacing w:line="500" w:lineRule="atLeast"/>
        <w:ind w:firstLine="3517" w:firstLineChars="1675"/>
        <w:rPr>
          <w:rFonts w:hint="eastAsia" w:ascii="宋体" w:eastAsia="宋体"/>
          <w:sz w:val="21"/>
          <w:szCs w:val="21"/>
          <w:u w:val="single"/>
        </w:rPr>
      </w:pPr>
      <w:r>
        <w:rPr>
          <w:rFonts w:hint="eastAsia" w:ascii="宋体" w:eastAsia="宋体"/>
          <w:sz w:val="21"/>
          <w:szCs w:val="21"/>
        </w:rPr>
        <w:t>身份证号码：</w:t>
      </w:r>
    </w:p>
    <w:p w14:paraId="017F2CCE">
      <w:pPr>
        <w:pStyle w:val="78"/>
        <w:spacing w:line="500" w:lineRule="atLeast"/>
        <w:ind w:firstLine="3507" w:firstLineChars="1670"/>
        <w:rPr>
          <w:rFonts w:hint="eastAsia" w:ascii="宋体" w:eastAsia="宋体"/>
          <w:sz w:val="21"/>
          <w:szCs w:val="21"/>
        </w:rPr>
      </w:pPr>
      <w:r>
        <w:rPr>
          <w:rFonts w:hint="eastAsia" w:ascii="宋体" w:eastAsia="宋体"/>
          <w:sz w:val="21"/>
          <w:szCs w:val="21"/>
        </w:rPr>
        <w:t>日      期：年月日</w:t>
      </w:r>
    </w:p>
    <w:p w14:paraId="06E685A0">
      <w:pPr>
        <w:pStyle w:val="78"/>
        <w:spacing w:line="460" w:lineRule="exact"/>
        <w:ind w:firstLine="433"/>
        <w:rPr>
          <w:rFonts w:hint="eastAsia" w:ascii="宋体" w:eastAsia="宋体"/>
          <w:sz w:val="21"/>
          <w:szCs w:val="21"/>
        </w:rPr>
      </w:pPr>
    </w:p>
    <w:p w14:paraId="54A0F3BD">
      <w:pPr>
        <w:spacing w:line="420" w:lineRule="atLeast"/>
        <w:ind w:firstLine="422" w:firstLineChars="200"/>
        <w:rPr>
          <w:rFonts w:hint="eastAsia" w:hAnsi="宋体"/>
          <w:b/>
          <w:sz w:val="21"/>
          <w:szCs w:val="21"/>
        </w:rPr>
      </w:pPr>
    </w:p>
    <w:p w14:paraId="3DB369DF">
      <w:pPr>
        <w:spacing w:line="420" w:lineRule="atLeast"/>
        <w:ind w:firstLine="422" w:firstLineChars="200"/>
        <w:rPr>
          <w:rFonts w:hint="eastAsia" w:hAnsi="宋体"/>
          <w:b/>
          <w:sz w:val="21"/>
          <w:szCs w:val="21"/>
        </w:rPr>
      </w:pPr>
      <w:r>
        <w:rPr>
          <w:rFonts w:hint="eastAsia" w:hAnsi="宋体"/>
          <w:b/>
          <w:sz w:val="21"/>
          <w:szCs w:val="21"/>
        </w:rPr>
        <w:t>须附：法定代表人身份证复印件</w:t>
      </w:r>
    </w:p>
    <w:p w14:paraId="26F167D4">
      <w:pPr>
        <w:spacing w:line="420" w:lineRule="atLeast"/>
        <w:ind w:firstLine="422" w:firstLineChars="200"/>
        <w:rPr>
          <w:b/>
          <w:sz w:val="21"/>
          <w:szCs w:val="21"/>
        </w:rPr>
      </w:pPr>
    </w:p>
    <w:tbl>
      <w:tblPr>
        <w:tblStyle w:val="5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5138276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1629055D">
            <w:pPr>
              <w:pStyle w:val="78"/>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4182" w:type="dxa"/>
            <w:vAlign w:val="center"/>
          </w:tcPr>
          <w:p w14:paraId="3EBF6FFE">
            <w:pPr>
              <w:pStyle w:val="78"/>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724BB8B5">
      <w:pPr>
        <w:rPr>
          <w:rFonts w:hint="eastAsia" w:hAnsi="宋体"/>
        </w:rPr>
      </w:pPr>
    </w:p>
    <w:p w14:paraId="5DF9FD59">
      <w:pPr>
        <w:rPr>
          <w:rFonts w:hint="eastAsia" w:hAnsi="宋体"/>
          <w:sz w:val="28"/>
          <w:szCs w:val="28"/>
        </w:rPr>
      </w:pPr>
    </w:p>
    <w:p w14:paraId="5A793A70">
      <w:pPr>
        <w:pStyle w:val="6"/>
        <w:numPr>
          <w:ilvl w:val="0"/>
          <w:numId w:val="14"/>
        </w:numPr>
        <w:jc w:val="center"/>
        <w:rPr>
          <w:rFonts w:hint="eastAsia"/>
          <w:bCs/>
          <w:sz w:val="28"/>
          <w:szCs w:val="28"/>
        </w:rPr>
      </w:pPr>
      <w:r>
        <w:rPr>
          <w:rFonts w:hint="eastAsia"/>
          <w:bCs/>
          <w:sz w:val="28"/>
          <w:szCs w:val="28"/>
        </w:rPr>
        <w:br w:type="page"/>
      </w:r>
      <w:bookmarkStart w:id="251" w:name="_Toc7897892"/>
      <w:bookmarkStart w:id="252" w:name="_Toc28882"/>
      <w:bookmarkStart w:id="253" w:name="_Toc19634"/>
      <w:bookmarkStart w:id="254" w:name="_Toc18590"/>
      <w:r>
        <w:rPr>
          <w:rFonts w:hint="eastAsia"/>
          <w:bCs/>
          <w:sz w:val="28"/>
          <w:szCs w:val="28"/>
        </w:rPr>
        <w:t>授权委托书（加法人证明书）</w:t>
      </w:r>
      <w:bookmarkEnd w:id="251"/>
      <w:bookmarkEnd w:id="252"/>
      <w:bookmarkEnd w:id="253"/>
      <w:bookmarkEnd w:id="254"/>
    </w:p>
    <w:p w14:paraId="77C3C53C">
      <w:pPr>
        <w:pStyle w:val="15"/>
        <w:ind w:firstLine="400"/>
      </w:pPr>
    </w:p>
    <w:p w14:paraId="2C7273E0">
      <w:pPr>
        <w:spacing w:line="420" w:lineRule="exact"/>
        <w:rPr>
          <w:rFonts w:hint="eastAsia" w:hAnsi="宋体"/>
          <w:sz w:val="22"/>
          <w:szCs w:val="22"/>
        </w:rPr>
      </w:pPr>
    </w:p>
    <w:p w14:paraId="3DD43390">
      <w:pPr>
        <w:spacing w:line="420" w:lineRule="exact"/>
        <w:rPr>
          <w:rFonts w:hint="eastAsia" w:hAnsi="宋体"/>
          <w:sz w:val="21"/>
          <w:szCs w:val="21"/>
        </w:rPr>
      </w:pPr>
      <w:r>
        <w:rPr>
          <w:rFonts w:hint="eastAsia" w:hAnsi="宋体"/>
          <w:sz w:val="21"/>
          <w:szCs w:val="21"/>
        </w:rPr>
        <w:t>致：广东洲际招标代理有限公司</w:t>
      </w:r>
    </w:p>
    <w:p w14:paraId="10CAF754">
      <w:pPr>
        <w:pStyle w:val="78"/>
        <w:spacing w:line="420" w:lineRule="exact"/>
        <w:ind w:firstLine="450" w:firstLineChars="0"/>
        <w:rPr>
          <w:rFonts w:hint="eastAsia" w:ascii="宋体" w:eastAsia="宋体"/>
          <w:sz w:val="21"/>
          <w:szCs w:val="21"/>
        </w:rPr>
      </w:pPr>
      <w:r>
        <w:rPr>
          <w:rFonts w:hint="eastAsia" w:ascii="宋体" w:eastAsia="宋体"/>
          <w:sz w:val="21"/>
          <w:szCs w:val="21"/>
        </w:rPr>
        <w:t>本人</w:t>
      </w:r>
      <w:r>
        <w:rPr>
          <w:rFonts w:hint="eastAsia" w:ascii="宋体" w:eastAsia="宋体"/>
          <w:sz w:val="21"/>
          <w:szCs w:val="21"/>
          <w:u w:val="single"/>
        </w:rPr>
        <w:t xml:space="preserve">  （姓名） </w:t>
      </w:r>
      <w:r>
        <w:rPr>
          <w:rFonts w:hint="eastAsia" w:ascii="宋体" w:eastAsia="宋体"/>
          <w:sz w:val="21"/>
          <w:szCs w:val="21"/>
        </w:rPr>
        <w:t>系</w:t>
      </w:r>
      <w:r>
        <w:rPr>
          <w:rFonts w:hint="eastAsia" w:ascii="宋体" w:eastAsia="宋体"/>
          <w:sz w:val="21"/>
          <w:szCs w:val="21"/>
          <w:u w:val="single"/>
        </w:rPr>
        <w:t xml:space="preserve">     （供应商名称）        </w:t>
      </w:r>
      <w:r>
        <w:rPr>
          <w:rFonts w:hint="eastAsia" w:ascii="宋体" w:eastAsia="宋体"/>
          <w:sz w:val="21"/>
          <w:szCs w:val="21"/>
        </w:rPr>
        <w:t>的法定代表人，现委托</w:t>
      </w:r>
      <w:r>
        <w:rPr>
          <w:rFonts w:hint="eastAsia" w:ascii="宋体" w:eastAsia="宋体"/>
          <w:sz w:val="21"/>
          <w:szCs w:val="21"/>
          <w:u w:val="single"/>
        </w:rPr>
        <w:t xml:space="preserve"> （姓名） </w:t>
      </w:r>
      <w:r>
        <w:rPr>
          <w:rFonts w:hint="eastAsia" w:ascii="宋体" w:eastAsia="宋体"/>
          <w:sz w:val="21"/>
          <w:szCs w:val="21"/>
        </w:rPr>
        <w:t>为我方合法代理人。代理人根据授权，以我方名义签署、澄清、说明、补正、递交、撤回、修改</w:t>
      </w:r>
      <w:r>
        <w:rPr>
          <w:rFonts w:hint="eastAsia" w:ascii="宋体" w:eastAsia="宋体"/>
          <w:sz w:val="21"/>
          <w:szCs w:val="21"/>
          <w:u w:val="single"/>
        </w:rPr>
        <w:t xml:space="preserve">        （项目名称）        </w:t>
      </w:r>
      <w:r>
        <w:rPr>
          <w:rFonts w:hint="eastAsia" w:ascii="宋体" w:eastAsia="宋体"/>
          <w:sz w:val="21"/>
          <w:szCs w:val="21"/>
        </w:rPr>
        <w:t>[采购编号：</w:t>
      </w:r>
      <w:r>
        <w:rPr>
          <w:rFonts w:hint="eastAsia" w:ascii="宋体" w:eastAsia="宋体"/>
          <w:sz w:val="21"/>
          <w:szCs w:val="21"/>
          <w:u w:val="single"/>
        </w:rPr>
        <w:t>　　　　　　　</w:t>
      </w:r>
      <w:r>
        <w:rPr>
          <w:rFonts w:hint="eastAsia" w:ascii="宋体" w:eastAsia="宋体"/>
          <w:sz w:val="21"/>
          <w:szCs w:val="21"/>
        </w:rPr>
        <w:t>]磋商响应文件、签订合同和处理有关事宜，其法律后果由我方承担。</w:t>
      </w:r>
    </w:p>
    <w:p w14:paraId="557F0717">
      <w:pPr>
        <w:pStyle w:val="78"/>
        <w:spacing w:line="420" w:lineRule="exact"/>
        <w:ind w:firstLine="428" w:firstLineChars="204"/>
        <w:rPr>
          <w:rFonts w:hint="eastAsia" w:ascii="宋体" w:eastAsia="宋体"/>
          <w:sz w:val="21"/>
          <w:szCs w:val="21"/>
        </w:rPr>
      </w:pPr>
      <w:r>
        <w:rPr>
          <w:rFonts w:hint="eastAsia" w:ascii="宋体" w:eastAsia="宋体"/>
          <w:sz w:val="21"/>
          <w:szCs w:val="21"/>
        </w:rPr>
        <w:t>本委托书于</w:t>
      </w:r>
      <w:r>
        <w:rPr>
          <w:rFonts w:hint="eastAsia" w:ascii="宋体" w:eastAsia="宋体"/>
          <w:sz w:val="21"/>
          <w:szCs w:val="21"/>
          <w:u w:val="single"/>
        </w:rPr>
        <w:t xml:space="preserve">　    </w:t>
      </w:r>
      <w:r>
        <w:rPr>
          <w:rFonts w:hint="eastAsia" w:ascii="宋体" w:eastAsia="宋体"/>
          <w:sz w:val="21"/>
          <w:szCs w:val="21"/>
        </w:rPr>
        <w:t>年</w:t>
      </w:r>
      <w:r>
        <w:rPr>
          <w:rFonts w:hint="eastAsia" w:ascii="宋体" w:eastAsia="宋体"/>
          <w:sz w:val="21"/>
          <w:szCs w:val="21"/>
          <w:u w:val="single"/>
        </w:rPr>
        <w:t xml:space="preserve">　 </w:t>
      </w:r>
      <w:r>
        <w:rPr>
          <w:rFonts w:hint="eastAsia" w:ascii="宋体" w:eastAsia="宋体"/>
          <w:sz w:val="21"/>
          <w:szCs w:val="21"/>
        </w:rPr>
        <w:t>月</w:t>
      </w:r>
      <w:r>
        <w:rPr>
          <w:rFonts w:hint="eastAsia" w:ascii="宋体" w:eastAsia="宋体"/>
          <w:sz w:val="21"/>
          <w:szCs w:val="21"/>
          <w:u w:val="single"/>
        </w:rPr>
        <w:t xml:space="preserve">　 </w:t>
      </w:r>
      <w:r>
        <w:rPr>
          <w:rFonts w:hint="eastAsia" w:ascii="宋体" w:eastAsia="宋体"/>
          <w:sz w:val="21"/>
          <w:szCs w:val="21"/>
        </w:rPr>
        <w:t>日签字生效，特此证明。</w:t>
      </w:r>
    </w:p>
    <w:p w14:paraId="053FD254">
      <w:pPr>
        <w:pStyle w:val="78"/>
        <w:spacing w:line="420" w:lineRule="exact"/>
        <w:ind w:firstLine="450" w:firstLineChars="0"/>
        <w:rPr>
          <w:rFonts w:hint="eastAsia" w:ascii="宋体" w:eastAsia="宋体"/>
          <w:sz w:val="21"/>
          <w:szCs w:val="21"/>
        </w:rPr>
      </w:pPr>
      <w:r>
        <w:rPr>
          <w:rFonts w:hint="eastAsia" w:ascii="宋体" w:eastAsia="宋体"/>
          <w:sz w:val="21"/>
          <w:szCs w:val="21"/>
        </w:rPr>
        <w:t>代理人无转委托权</w:t>
      </w:r>
    </w:p>
    <w:p w14:paraId="7C74933D">
      <w:pPr>
        <w:pStyle w:val="78"/>
        <w:spacing w:line="420" w:lineRule="exact"/>
        <w:ind w:firstLine="450" w:firstLineChars="0"/>
        <w:rPr>
          <w:rFonts w:hint="eastAsia" w:ascii="宋体" w:eastAsia="宋体"/>
          <w:sz w:val="21"/>
          <w:szCs w:val="21"/>
        </w:rPr>
      </w:pPr>
    </w:p>
    <w:p w14:paraId="1F418A3E">
      <w:pPr>
        <w:pStyle w:val="78"/>
        <w:spacing w:line="420" w:lineRule="exact"/>
        <w:ind w:firstLine="428" w:firstLineChars="204"/>
        <w:rPr>
          <w:rFonts w:hint="eastAsia" w:ascii="宋体" w:eastAsia="宋体"/>
          <w:sz w:val="21"/>
          <w:szCs w:val="21"/>
        </w:rPr>
      </w:pPr>
    </w:p>
    <w:p w14:paraId="30612266">
      <w:pPr>
        <w:pStyle w:val="78"/>
        <w:spacing w:line="420" w:lineRule="exact"/>
        <w:ind w:firstLine="3517" w:firstLineChars="1675"/>
        <w:rPr>
          <w:rFonts w:hint="eastAsia" w:ascii="宋体" w:eastAsia="宋体"/>
          <w:sz w:val="21"/>
          <w:szCs w:val="21"/>
        </w:rPr>
      </w:pPr>
      <w:r>
        <w:rPr>
          <w:rFonts w:hint="eastAsia" w:ascii="宋体" w:eastAsia="宋体"/>
          <w:sz w:val="21"/>
          <w:szCs w:val="21"/>
        </w:rPr>
        <w:t>供应商名称（加盖公章）：</w:t>
      </w:r>
    </w:p>
    <w:p w14:paraId="19716D89">
      <w:pPr>
        <w:pStyle w:val="78"/>
        <w:spacing w:line="420" w:lineRule="exact"/>
        <w:ind w:firstLine="3517" w:firstLineChars="1675"/>
        <w:rPr>
          <w:rFonts w:hint="eastAsia" w:ascii="宋体" w:eastAsia="宋体"/>
          <w:sz w:val="21"/>
          <w:szCs w:val="21"/>
        </w:rPr>
      </w:pPr>
      <w:r>
        <w:rPr>
          <w:rFonts w:hint="eastAsia" w:ascii="宋体" w:eastAsia="宋体"/>
          <w:sz w:val="21"/>
          <w:szCs w:val="21"/>
        </w:rPr>
        <w:t>法定代表人（签名或盖私章）：</w:t>
      </w:r>
    </w:p>
    <w:p w14:paraId="2F83E960">
      <w:pPr>
        <w:pStyle w:val="78"/>
        <w:spacing w:line="420" w:lineRule="exact"/>
        <w:ind w:firstLine="3517" w:firstLineChars="1675"/>
        <w:rPr>
          <w:rFonts w:hint="eastAsia" w:ascii="宋体" w:eastAsia="宋体"/>
          <w:sz w:val="21"/>
          <w:szCs w:val="21"/>
        </w:rPr>
      </w:pPr>
      <w:r>
        <w:rPr>
          <w:rFonts w:hint="eastAsia" w:ascii="宋体" w:eastAsia="宋体"/>
          <w:sz w:val="21"/>
          <w:szCs w:val="21"/>
        </w:rPr>
        <w:t>身份证号码：</w:t>
      </w:r>
    </w:p>
    <w:p w14:paraId="729CE216">
      <w:pPr>
        <w:pStyle w:val="78"/>
        <w:spacing w:line="420" w:lineRule="exact"/>
        <w:ind w:firstLine="3517" w:firstLineChars="1675"/>
        <w:rPr>
          <w:rFonts w:hint="eastAsia" w:ascii="宋体" w:eastAsia="宋体"/>
          <w:sz w:val="21"/>
          <w:szCs w:val="21"/>
        </w:rPr>
      </w:pPr>
    </w:p>
    <w:p w14:paraId="079A5A82">
      <w:pPr>
        <w:pStyle w:val="78"/>
        <w:spacing w:line="420" w:lineRule="exact"/>
        <w:ind w:firstLine="3517" w:firstLineChars="1675"/>
        <w:rPr>
          <w:rFonts w:hint="eastAsia" w:ascii="宋体" w:eastAsia="宋体"/>
          <w:sz w:val="21"/>
          <w:szCs w:val="21"/>
        </w:rPr>
      </w:pPr>
      <w:r>
        <w:rPr>
          <w:rFonts w:hint="eastAsia" w:ascii="宋体" w:eastAsia="宋体"/>
          <w:sz w:val="21"/>
          <w:szCs w:val="21"/>
        </w:rPr>
        <w:t>受托代理人（签名或盖私章）：</w:t>
      </w:r>
    </w:p>
    <w:p w14:paraId="478EF216">
      <w:pPr>
        <w:pStyle w:val="78"/>
        <w:spacing w:line="420" w:lineRule="exact"/>
        <w:ind w:firstLine="3517" w:firstLineChars="1675"/>
        <w:rPr>
          <w:rFonts w:hint="eastAsia" w:ascii="宋体" w:eastAsia="宋体"/>
          <w:sz w:val="21"/>
          <w:szCs w:val="21"/>
          <w:u w:val="single"/>
        </w:rPr>
      </w:pPr>
      <w:r>
        <w:rPr>
          <w:rFonts w:hint="eastAsia" w:ascii="宋体" w:eastAsia="宋体"/>
          <w:sz w:val="21"/>
          <w:szCs w:val="21"/>
        </w:rPr>
        <w:t>身份证号码：</w:t>
      </w:r>
    </w:p>
    <w:p w14:paraId="51EA0D0F">
      <w:pPr>
        <w:pStyle w:val="78"/>
        <w:spacing w:line="460" w:lineRule="exact"/>
        <w:ind w:firstLine="3507" w:firstLineChars="1670"/>
        <w:rPr>
          <w:rFonts w:hint="eastAsia" w:ascii="宋体" w:eastAsia="宋体"/>
          <w:sz w:val="21"/>
          <w:szCs w:val="21"/>
        </w:rPr>
      </w:pPr>
      <w:r>
        <w:rPr>
          <w:rFonts w:hint="eastAsia" w:ascii="宋体" w:eastAsia="宋体"/>
          <w:sz w:val="21"/>
          <w:szCs w:val="21"/>
        </w:rPr>
        <w:t>日      期：年月日</w:t>
      </w:r>
    </w:p>
    <w:p w14:paraId="1B03D4D7">
      <w:pPr>
        <w:spacing w:line="420" w:lineRule="atLeast"/>
        <w:ind w:firstLine="422" w:firstLineChars="200"/>
        <w:rPr>
          <w:rFonts w:hint="eastAsia" w:hAnsi="宋体"/>
          <w:b/>
          <w:sz w:val="21"/>
          <w:szCs w:val="21"/>
        </w:rPr>
      </w:pPr>
    </w:p>
    <w:p w14:paraId="7D08EE27">
      <w:pPr>
        <w:spacing w:line="420" w:lineRule="atLeast"/>
        <w:ind w:firstLine="422" w:firstLineChars="200"/>
        <w:rPr>
          <w:rFonts w:hint="eastAsia" w:hAnsi="宋体"/>
          <w:b/>
          <w:sz w:val="21"/>
          <w:szCs w:val="21"/>
        </w:rPr>
      </w:pPr>
    </w:p>
    <w:p w14:paraId="5AA55B42">
      <w:pPr>
        <w:spacing w:line="420" w:lineRule="atLeast"/>
        <w:ind w:firstLine="422" w:firstLineChars="200"/>
        <w:rPr>
          <w:rFonts w:hint="eastAsia" w:hAnsi="宋体"/>
          <w:b/>
          <w:sz w:val="21"/>
          <w:szCs w:val="21"/>
        </w:rPr>
      </w:pPr>
      <w:r>
        <w:rPr>
          <w:rFonts w:hint="eastAsia" w:hAnsi="宋体"/>
          <w:b/>
          <w:sz w:val="21"/>
          <w:szCs w:val="21"/>
        </w:rPr>
        <w:t>须附：授权代理人身份证复印件</w:t>
      </w:r>
    </w:p>
    <w:p w14:paraId="14AACE04">
      <w:pPr>
        <w:spacing w:line="420" w:lineRule="atLeast"/>
        <w:ind w:firstLine="420" w:firstLineChars="200"/>
        <w:rPr>
          <w:sz w:val="21"/>
          <w:szCs w:val="21"/>
        </w:rPr>
      </w:pPr>
    </w:p>
    <w:tbl>
      <w:tblPr>
        <w:tblStyle w:val="5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7E8E86F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77AE3D86">
            <w:pPr>
              <w:pStyle w:val="78"/>
              <w:spacing w:line="460" w:lineRule="exact"/>
              <w:ind w:firstLine="0" w:firstLineChars="0"/>
              <w:jc w:val="center"/>
              <w:rPr>
                <w:rFonts w:hint="eastAsia" w:ascii="宋体" w:eastAsia="宋体"/>
                <w:sz w:val="21"/>
                <w:szCs w:val="21"/>
              </w:rPr>
            </w:pPr>
            <w:r>
              <w:rPr>
                <w:rFonts w:hint="eastAsia" w:ascii="宋体" w:eastAsia="宋体"/>
                <w:sz w:val="21"/>
                <w:szCs w:val="21"/>
              </w:rPr>
              <w:t>正面</w:t>
            </w:r>
          </w:p>
        </w:tc>
        <w:tc>
          <w:tcPr>
            <w:tcW w:w="4232" w:type="dxa"/>
            <w:vAlign w:val="center"/>
          </w:tcPr>
          <w:p w14:paraId="727B4838">
            <w:pPr>
              <w:pStyle w:val="78"/>
              <w:spacing w:line="460" w:lineRule="exact"/>
              <w:ind w:firstLine="0" w:firstLineChars="0"/>
              <w:jc w:val="center"/>
              <w:rPr>
                <w:rFonts w:hint="eastAsia" w:ascii="宋体" w:eastAsia="宋体"/>
                <w:sz w:val="21"/>
                <w:szCs w:val="21"/>
              </w:rPr>
            </w:pPr>
            <w:r>
              <w:rPr>
                <w:rFonts w:hint="eastAsia" w:ascii="宋体" w:eastAsia="宋体"/>
                <w:sz w:val="21"/>
                <w:szCs w:val="21"/>
              </w:rPr>
              <w:t>背面</w:t>
            </w:r>
          </w:p>
        </w:tc>
      </w:tr>
    </w:tbl>
    <w:p w14:paraId="3CDDF22D">
      <w:pPr>
        <w:pStyle w:val="15"/>
        <w:ind w:firstLine="482"/>
        <w:rPr>
          <w:b/>
          <w:sz w:val="24"/>
          <w:szCs w:val="24"/>
        </w:rPr>
      </w:pPr>
    </w:p>
    <w:p w14:paraId="29A086D5">
      <w:pPr>
        <w:tabs>
          <w:tab w:val="left" w:pos="7740"/>
        </w:tabs>
        <w:spacing w:line="360" w:lineRule="auto"/>
        <w:rPr>
          <w:rFonts w:hint="eastAsia" w:hAnsi="宋体"/>
          <w:sz w:val="21"/>
          <w:szCs w:val="21"/>
        </w:rPr>
      </w:pPr>
      <w:bookmarkStart w:id="255" w:name="_Toc7897893"/>
      <w:bookmarkStart w:id="256" w:name="_Toc4592"/>
    </w:p>
    <w:p w14:paraId="0E617518">
      <w:pPr>
        <w:pStyle w:val="15"/>
        <w:ind w:firstLine="0" w:firstLineChars="0"/>
      </w:pPr>
    </w:p>
    <w:p w14:paraId="4BD5D9C8">
      <w:pPr>
        <w:pStyle w:val="15"/>
        <w:ind w:firstLine="0" w:firstLineChars="0"/>
      </w:pPr>
    </w:p>
    <w:p w14:paraId="6610B31B">
      <w:pPr>
        <w:pStyle w:val="15"/>
        <w:ind w:firstLine="0" w:firstLineChars="0"/>
      </w:pPr>
    </w:p>
    <w:p w14:paraId="29B410C4">
      <w:pPr>
        <w:pStyle w:val="6"/>
        <w:numPr>
          <w:ilvl w:val="0"/>
          <w:numId w:val="14"/>
        </w:numPr>
        <w:jc w:val="center"/>
        <w:rPr>
          <w:rFonts w:hint="eastAsia"/>
          <w:sz w:val="28"/>
          <w:szCs w:val="28"/>
        </w:rPr>
      </w:pPr>
      <w:bookmarkStart w:id="257" w:name="_Toc1276"/>
      <w:bookmarkStart w:id="258" w:name="_Toc17363"/>
      <w:r>
        <w:rPr>
          <w:rFonts w:hint="eastAsia"/>
          <w:sz w:val="28"/>
          <w:szCs w:val="28"/>
        </w:rPr>
        <w:t>供应商基本情况说明</w:t>
      </w:r>
      <w:bookmarkEnd w:id="255"/>
      <w:bookmarkEnd w:id="256"/>
      <w:bookmarkEnd w:id="257"/>
      <w:bookmarkEnd w:id="258"/>
    </w:p>
    <w:p w14:paraId="7BF3EFA3">
      <w:pPr>
        <w:spacing w:line="360" w:lineRule="auto"/>
        <w:rPr>
          <w:rFonts w:hint="eastAsia" w:hAnsi="宋体"/>
          <w:sz w:val="22"/>
          <w:szCs w:val="22"/>
        </w:rPr>
      </w:pPr>
    </w:p>
    <w:p w14:paraId="583D4882">
      <w:pPr>
        <w:spacing w:line="360" w:lineRule="auto"/>
        <w:rPr>
          <w:rFonts w:hint="eastAsia" w:hAnsi="宋体"/>
          <w:sz w:val="21"/>
          <w:szCs w:val="21"/>
        </w:rPr>
      </w:pPr>
      <w:r>
        <w:rPr>
          <w:rFonts w:hint="eastAsia" w:hAnsi="宋体"/>
          <w:sz w:val="21"/>
          <w:szCs w:val="21"/>
        </w:rPr>
        <w:t>一、</w:t>
      </w:r>
      <w:r>
        <w:rPr>
          <w:rFonts w:hAnsi="宋体"/>
          <w:sz w:val="21"/>
          <w:szCs w:val="21"/>
        </w:rPr>
        <w:t>公司基本情况</w:t>
      </w:r>
    </w:p>
    <w:p w14:paraId="42138CA7">
      <w:pPr>
        <w:tabs>
          <w:tab w:val="left" w:pos="4678"/>
        </w:tabs>
        <w:spacing w:line="360" w:lineRule="auto"/>
        <w:rPr>
          <w:rFonts w:hint="eastAsia" w:hAnsi="宋体"/>
          <w:sz w:val="21"/>
          <w:szCs w:val="21"/>
        </w:rPr>
      </w:pPr>
      <w:r>
        <w:rPr>
          <w:rFonts w:hAnsi="宋体"/>
          <w:sz w:val="21"/>
          <w:szCs w:val="21"/>
        </w:rPr>
        <w:t>1、公司名称： 电话号码：</w:t>
      </w:r>
    </w:p>
    <w:p w14:paraId="0307ABF4">
      <w:pPr>
        <w:spacing w:line="360" w:lineRule="auto"/>
        <w:rPr>
          <w:rFonts w:hint="eastAsia" w:hAnsi="宋体"/>
          <w:sz w:val="21"/>
          <w:szCs w:val="21"/>
        </w:rPr>
      </w:pPr>
      <w:r>
        <w:rPr>
          <w:rFonts w:hAnsi="宋体"/>
          <w:sz w:val="21"/>
          <w:szCs w:val="21"/>
        </w:rPr>
        <w:t>2、地  址： 传  真：</w:t>
      </w:r>
    </w:p>
    <w:p w14:paraId="585C557A">
      <w:pPr>
        <w:spacing w:line="360" w:lineRule="auto"/>
        <w:rPr>
          <w:rFonts w:hint="eastAsia" w:hAnsi="宋体"/>
          <w:sz w:val="21"/>
          <w:szCs w:val="21"/>
          <w:u w:val="single"/>
        </w:rPr>
      </w:pPr>
      <w:r>
        <w:rPr>
          <w:rFonts w:hAnsi="宋体"/>
          <w:sz w:val="21"/>
          <w:szCs w:val="21"/>
        </w:rPr>
        <w:t>3、注册资金： 经济性质：</w:t>
      </w:r>
    </w:p>
    <w:p w14:paraId="69481F1C">
      <w:pPr>
        <w:spacing w:line="360" w:lineRule="auto"/>
        <w:rPr>
          <w:rFonts w:hint="eastAsia" w:hAnsi="宋体"/>
          <w:sz w:val="21"/>
          <w:szCs w:val="21"/>
        </w:rPr>
      </w:pPr>
      <w:r>
        <w:rPr>
          <w:rFonts w:hAnsi="宋体"/>
          <w:sz w:val="21"/>
          <w:szCs w:val="21"/>
        </w:rPr>
        <w:t xml:space="preserve">4、公司开户银行名称及账号：      </w:t>
      </w:r>
    </w:p>
    <w:p w14:paraId="0EDE5456">
      <w:pPr>
        <w:spacing w:line="360" w:lineRule="auto"/>
        <w:rPr>
          <w:rFonts w:hint="eastAsia" w:hAnsi="宋体"/>
          <w:sz w:val="21"/>
          <w:szCs w:val="21"/>
        </w:rPr>
      </w:pPr>
      <w:r>
        <w:rPr>
          <w:rFonts w:hAnsi="宋体"/>
          <w:sz w:val="21"/>
          <w:szCs w:val="21"/>
        </w:rPr>
        <w:t xml:space="preserve">5、营业注册执照号：  </w:t>
      </w:r>
    </w:p>
    <w:p w14:paraId="02560E95">
      <w:pPr>
        <w:spacing w:line="360" w:lineRule="auto"/>
        <w:rPr>
          <w:rFonts w:hint="eastAsia" w:hAnsi="宋体"/>
          <w:sz w:val="21"/>
          <w:szCs w:val="21"/>
        </w:rPr>
      </w:pPr>
      <w:r>
        <w:rPr>
          <w:rFonts w:hAnsi="宋体"/>
          <w:sz w:val="21"/>
          <w:szCs w:val="21"/>
        </w:rPr>
        <w:t>6、公司简介:</w:t>
      </w:r>
    </w:p>
    <w:p w14:paraId="3A7A2B78">
      <w:pPr>
        <w:spacing w:line="360" w:lineRule="auto"/>
        <w:rPr>
          <w:rFonts w:hint="eastAsia" w:hAnsi="宋体"/>
          <w:sz w:val="21"/>
          <w:szCs w:val="21"/>
        </w:rPr>
      </w:pPr>
      <w:r>
        <w:rPr>
          <w:rFonts w:hAnsi="宋体"/>
          <w:sz w:val="21"/>
          <w:szCs w:val="21"/>
        </w:rPr>
        <w:t>7、公司财务情况：</w:t>
      </w:r>
    </w:p>
    <w:p w14:paraId="7BE25D0E">
      <w:pPr>
        <w:spacing w:line="360" w:lineRule="auto"/>
        <w:jc w:val="right"/>
        <w:rPr>
          <w:rFonts w:hint="eastAsia" w:hAnsi="宋体"/>
          <w:sz w:val="21"/>
          <w:szCs w:val="21"/>
        </w:rPr>
      </w:pPr>
      <w:r>
        <w:rPr>
          <w:rFonts w:hint="eastAsia" w:hAnsi="宋体"/>
          <w:sz w:val="21"/>
          <w:szCs w:val="21"/>
        </w:rPr>
        <w:t>【价格单位：（人民币）元】</w:t>
      </w:r>
    </w:p>
    <w:tbl>
      <w:tblPr>
        <w:tblStyle w:val="53"/>
        <w:tblW w:w="89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9"/>
        <w:gridCol w:w="1809"/>
        <w:gridCol w:w="1809"/>
        <w:gridCol w:w="1839"/>
        <w:gridCol w:w="1851"/>
      </w:tblGrid>
      <w:tr w14:paraId="0D2E7A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1629" w:type="dxa"/>
            <w:vAlign w:val="center"/>
          </w:tcPr>
          <w:p w14:paraId="3618D75A">
            <w:pPr>
              <w:jc w:val="center"/>
              <w:rPr>
                <w:rFonts w:hint="eastAsia" w:hAnsi="宋体"/>
                <w:sz w:val="21"/>
                <w:szCs w:val="21"/>
              </w:rPr>
            </w:pPr>
            <w:r>
              <w:rPr>
                <w:rFonts w:hint="eastAsia" w:hAnsi="宋体"/>
                <w:sz w:val="21"/>
                <w:szCs w:val="21"/>
              </w:rPr>
              <w:t>年  度</w:t>
            </w:r>
          </w:p>
        </w:tc>
        <w:tc>
          <w:tcPr>
            <w:tcW w:w="1809" w:type="dxa"/>
            <w:vAlign w:val="center"/>
          </w:tcPr>
          <w:p w14:paraId="720A5582">
            <w:pPr>
              <w:jc w:val="center"/>
              <w:rPr>
                <w:rFonts w:hint="eastAsia" w:hAnsi="宋体"/>
                <w:sz w:val="21"/>
                <w:szCs w:val="21"/>
              </w:rPr>
            </w:pPr>
            <w:r>
              <w:rPr>
                <w:rFonts w:hint="eastAsia" w:hAnsi="宋体"/>
                <w:sz w:val="21"/>
                <w:szCs w:val="21"/>
              </w:rPr>
              <w:t>总资产（元）</w:t>
            </w:r>
          </w:p>
        </w:tc>
        <w:tc>
          <w:tcPr>
            <w:tcW w:w="1809" w:type="dxa"/>
            <w:vAlign w:val="center"/>
          </w:tcPr>
          <w:p w14:paraId="117F56D0">
            <w:pPr>
              <w:jc w:val="center"/>
              <w:rPr>
                <w:rFonts w:hint="eastAsia" w:hAnsi="宋体"/>
                <w:sz w:val="21"/>
                <w:szCs w:val="21"/>
              </w:rPr>
            </w:pPr>
            <w:r>
              <w:rPr>
                <w:rFonts w:hint="eastAsia" w:hAnsi="宋体"/>
                <w:sz w:val="21"/>
                <w:szCs w:val="21"/>
              </w:rPr>
              <w:t>资产负债率（%）</w:t>
            </w:r>
          </w:p>
        </w:tc>
        <w:tc>
          <w:tcPr>
            <w:tcW w:w="1839" w:type="dxa"/>
            <w:vAlign w:val="center"/>
          </w:tcPr>
          <w:p w14:paraId="5D322355">
            <w:pPr>
              <w:jc w:val="center"/>
              <w:rPr>
                <w:rFonts w:hint="eastAsia" w:hAnsi="宋体"/>
                <w:sz w:val="21"/>
                <w:szCs w:val="21"/>
              </w:rPr>
            </w:pPr>
            <w:r>
              <w:rPr>
                <w:rFonts w:hint="eastAsia" w:hAnsi="宋体"/>
                <w:sz w:val="21"/>
                <w:szCs w:val="21"/>
              </w:rPr>
              <w:t>年营业额（元）</w:t>
            </w:r>
          </w:p>
        </w:tc>
        <w:tc>
          <w:tcPr>
            <w:tcW w:w="1851" w:type="dxa"/>
            <w:vAlign w:val="center"/>
          </w:tcPr>
          <w:p w14:paraId="67824F70">
            <w:pPr>
              <w:jc w:val="center"/>
              <w:rPr>
                <w:rFonts w:hint="eastAsia" w:hAnsi="宋体"/>
                <w:sz w:val="21"/>
                <w:szCs w:val="21"/>
              </w:rPr>
            </w:pPr>
            <w:r>
              <w:rPr>
                <w:rFonts w:hint="eastAsia" w:hAnsi="宋体"/>
                <w:sz w:val="21"/>
                <w:szCs w:val="21"/>
              </w:rPr>
              <w:t>年净利润（元）</w:t>
            </w:r>
          </w:p>
        </w:tc>
      </w:tr>
      <w:tr w14:paraId="2007BE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629" w:type="dxa"/>
            <w:vAlign w:val="center"/>
          </w:tcPr>
          <w:p w14:paraId="4B1FEDD4">
            <w:pPr>
              <w:spacing w:line="360" w:lineRule="auto"/>
              <w:jc w:val="center"/>
              <w:rPr>
                <w:rFonts w:hint="eastAsia" w:hAnsi="宋体"/>
                <w:sz w:val="21"/>
                <w:szCs w:val="21"/>
              </w:rPr>
            </w:pPr>
          </w:p>
        </w:tc>
        <w:tc>
          <w:tcPr>
            <w:tcW w:w="1809" w:type="dxa"/>
            <w:vAlign w:val="center"/>
          </w:tcPr>
          <w:p w14:paraId="22F3B4DC">
            <w:pPr>
              <w:spacing w:line="360" w:lineRule="auto"/>
              <w:jc w:val="center"/>
              <w:rPr>
                <w:rFonts w:hint="eastAsia" w:hAnsi="宋体"/>
                <w:sz w:val="21"/>
                <w:szCs w:val="21"/>
              </w:rPr>
            </w:pPr>
          </w:p>
        </w:tc>
        <w:tc>
          <w:tcPr>
            <w:tcW w:w="1809" w:type="dxa"/>
            <w:vAlign w:val="center"/>
          </w:tcPr>
          <w:p w14:paraId="7A6E2366">
            <w:pPr>
              <w:spacing w:line="360" w:lineRule="auto"/>
              <w:jc w:val="center"/>
              <w:rPr>
                <w:rFonts w:hint="eastAsia" w:hAnsi="宋体"/>
                <w:sz w:val="21"/>
                <w:szCs w:val="21"/>
              </w:rPr>
            </w:pPr>
          </w:p>
        </w:tc>
        <w:tc>
          <w:tcPr>
            <w:tcW w:w="1839" w:type="dxa"/>
            <w:vAlign w:val="center"/>
          </w:tcPr>
          <w:p w14:paraId="6E510B32">
            <w:pPr>
              <w:spacing w:line="360" w:lineRule="auto"/>
              <w:jc w:val="center"/>
              <w:rPr>
                <w:rFonts w:hint="eastAsia" w:hAnsi="宋体"/>
                <w:sz w:val="21"/>
                <w:szCs w:val="21"/>
              </w:rPr>
            </w:pPr>
          </w:p>
        </w:tc>
        <w:tc>
          <w:tcPr>
            <w:tcW w:w="1851" w:type="dxa"/>
            <w:vAlign w:val="center"/>
          </w:tcPr>
          <w:p w14:paraId="362762D8">
            <w:pPr>
              <w:spacing w:line="360" w:lineRule="auto"/>
              <w:jc w:val="center"/>
              <w:rPr>
                <w:rFonts w:hint="eastAsia" w:hAnsi="宋体"/>
                <w:sz w:val="21"/>
                <w:szCs w:val="21"/>
              </w:rPr>
            </w:pPr>
          </w:p>
        </w:tc>
      </w:tr>
      <w:tr w14:paraId="674519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629" w:type="dxa"/>
            <w:vAlign w:val="center"/>
          </w:tcPr>
          <w:p w14:paraId="642AD441">
            <w:pPr>
              <w:spacing w:line="360" w:lineRule="auto"/>
              <w:jc w:val="center"/>
              <w:rPr>
                <w:rFonts w:hint="eastAsia" w:hAnsi="宋体"/>
                <w:sz w:val="21"/>
                <w:szCs w:val="21"/>
              </w:rPr>
            </w:pPr>
          </w:p>
        </w:tc>
        <w:tc>
          <w:tcPr>
            <w:tcW w:w="1809" w:type="dxa"/>
            <w:vAlign w:val="center"/>
          </w:tcPr>
          <w:p w14:paraId="5A1DA08C">
            <w:pPr>
              <w:spacing w:line="360" w:lineRule="auto"/>
              <w:jc w:val="center"/>
              <w:rPr>
                <w:rFonts w:hint="eastAsia" w:hAnsi="宋体"/>
                <w:sz w:val="21"/>
                <w:szCs w:val="21"/>
              </w:rPr>
            </w:pPr>
          </w:p>
        </w:tc>
        <w:tc>
          <w:tcPr>
            <w:tcW w:w="1809" w:type="dxa"/>
            <w:vAlign w:val="center"/>
          </w:tcPr>
          <w:p w14:paraId="3DA4FA05">
            <w:pPr>
              <w:spacing w:line="360" w:lineRule="auto"/>
              <w:jc w:val="center"/>
              <w:rPr>
                <w:rFonts w:hint="eastAsia" w:hAnsi="宋体"/>
                <w:sz w:val="21"/>
                <w:szCs w:val="21"/>
              </w:rPr>
            </w:pPr>
          </w:p>
        </w:tc>
        <w:tc>
          <w:tcPr>
            <w:tcW w:w="1839" w:type="dxa"/>
            <w:vAlign w:val="center"/>
          </w:tcPr>
          <w:p w14:paraId="7D185F83">
            <w:pPr>
              <w:spacing w:line="360" w:lineRule="auto"/>
              <w:jc w:val="center"/>
              <w:rPr>
                <w:rFonts w:hint="eastAsia" w:hAnsi="宋体"/>
                <w:sz w:val="21"/>
                <w:szCs w:val="21"/>
              </w:rPr>
            </w:pPr>
          </w:p>
        </w:tc>
        <w:tc>
          <w:tcPr>
            <w:tcW w:w="1851" w:type="dxa"/>
            <w:vAlign w:val="center"/>
          </w:tcPr>
          <w:p w14:paraId="2B1532A8">
            <w:pPr>
              <w:spacing w:line="360" w:lineRule="auto"/>
              <w:jc w:val="center"/>
              <w:rPr>
                <w:rFonts w:hint="eastAsia" w:hAnsi="宋体"/>
                <w:sz w:val="21"/>
                <w:szCs w:val="21"/>
              </w:rPr>
            </w:pPr>
          </w:p>
        </w:tc>
      </w:tr>
      <w:tr w14:paraId="0FDACD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1629" w:type="dxa"/>
            <w:vAlign w:val="center"/>
          </w:tcPr>
          <w:p w14:paraId="60EFD508">
            <w:pPr>
              <w:spacing w:line="360" w:lineRule="auto"/>
              <w:jc w:val="center"/>
              <w:rPr>
                <w:rFonts w:hint="eastAsia" w:hAnsi="宋体"/>
                <w:sz w:val="21"/>
                <w:szCs w:val="21"/>
              </w:rPr>
            </w:pPr>
          </w:p>
        </w:tc>
        <w:tc>
          <w:tcPr>
            <w:tcW w:w="1809" w:type="dxa"/>
            <w:vAlign w:val="center"/>
          </w:tcPr>
          <w:p w14:paraId="6BCC8113">
            <w:pPr>
              <w:spacing w:line="360" w:lineRule="auto"/>
              <w:jc w:val="center"/>
              <w:rPr>
                <w:rFonts w:hint="eastAsia" w:hAnsi="宋体"/>
                <w:sz w:val="21"/>
                <w:szCs w:val="21"/>
              </w:rPr>
            </w:pPr>
          </w:p>
        </w:tc>
        <w:tc>
          <w:tcPr>
            <w:tcW w:w="1809" w:type="dxa"/>
            <w:vAlign w:val="center"/>
          </w:tcPr>
          <w:p w14:paraId="1F80A8B2">
            <w:pPr>
              <w:spacing w:line="360" w:lineRule="auto"/>
              <w:jc w:val="center"/>
              <w:rPr>
                <w:rFonts w:hint="eastAsia" w:hAnsi="宋体"/>
                <w:sz w:val="21"/>
                <w:szCs w:val="21"/>
              </w:rPr>
            </w:pPr>
          </w:p>
        </w:tc>
        <w:tc>
          <w:tcPr>
            <w:tcW w:w="1839" w:type="dxa"/>
            <w:vAlign w:val="center"/>
          </w:tcPr>
          <w:p w14:paraId="25D472A2">
            <w:pPr>
              <w:spacing w:line="360" w:lineRule="auto"/>
              <w:jc w:val="center"/>
              <w:rPr>
                <w:rFonts w:hint="eastAsia" w:hAnsi="宋体"/>
                <w:sz w:val="21"/>
                <w:szCs w:val="21"/>
              </w:rPr>
            </w:pPr>
          </w:p>
        </w:tc>
        <w:tc>
          <w:tcPr>
            <w:tcW w:w="1851" w:type="dxa"/>
            <w:vAlign w:val="center"/>
          </w:tcPr>
          <w:p w14:paraId="623E6CA5">
            <w:pPr>
              <w:spacing w:line="360" w:lineRule="auto"/>
              <w:jc w:val="center"/>
              <w:rPr>
                <w:rFonts w:hint="eastAsia" w:hAnsi="宋体"/>
                <w:sz w:val="21"/>
                <w:szCs w:val="21"/>
              </w:rPr>
            </w:pPr>
          </w:p>
        </w:tc>
      </w:tr>
    </w:tbl>
    <w:p w14:paraId="581740B0">
      <w:pPr>
        <w:spacing w:line="360" w:lineRule="auto"/>
        <w:rPr>
          <w:rFonts w:hint="eastAsia" w:hAnsi="宋体"/>
          <w:b/>
          <w:sz w:val="21"/>
          <w:szCs w:val="21"/>
        </w:rPr>
      </w:pPr>
    </w:p>
    <w:p w14:paraId="0F1997C0">
      <w:pPr>
        <w:tabs>
          <w:tab w:val="left" w:pos="420"/>
          <w:tab w:val="left" w:pos="1485"/>
        </w:tabs>
        <w:spacing w:line="360" w:lineRule="auto"/>
        <w:rPr>
          <w:rFonts w:hint="eastAsia" w:hAnsi="宋体"/>
          <w:sz w:val="21"/>
          <w:szCs w:val="21"/>
        </w:rPr>
      </w:pPr>
      <w:bookmarkStart w:id="259" w:name="_Toc7860"/>
      <w:r>
        <w:rPr>
          <w:rFonts w:hint="eastAsia" w:hAnsi="宋体"/>
          <w:sz w:val="21"/>
          <w:szCs w:val="21"/>
        </w:rPr>
        <w:t>二、</w:t>
      </w:r>
      <w:r>
        <w:rPr>
          <w:rFonts w:hAnsi="宋体"/>
          <w:sz w:val="21"/>
          <w:szCs w:val="21"/>
        </w:rPr>
        <w:t>供应商获得国家有关部门颁发的资质证明</w:t>
      </w:r>
      <w:r>
        <w:rPr>
          <w:rFonts w:hint="eastAsia" w:hAnsi="宋体"/>
          <w:sz w:val="21"/>
          <w:szCs w:val="21"/>
        </w:rPr>
        <w:t>或荣誉</w:t>
      </w:r>
      <w:r>
        <w:rPr>
          <w:rFonts w:hAnsi="宋体"/>
          <w:sz w:val="21"/>
          <w:szCs w:val="21"/>
        </w:rPr>
        <w:t>：</w:t>
      </w:r>
      <w:r>
        <w:rPr>
          <w:rFonts w:hint="eastAsia" w:hAnsi="宋体"/>
          <w:sz w:val="21"/>
          <w:szCs w:val="21"/>
        </w:rPr>
        <w:t>（如有）</w:t>
      </w:r>
      <w:bookmarkEnd w:id="259"/>
    </w:p>
    <w:tbl>
      <w:tblPr>
        <w:tblStyle w:val="53"/>
        <w:tblW w:w="88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20"/>
        <w:gridCol w:w="1800"/>
        <w:gridCol w:w="1800"/>
        <w:gridCol w:w="1830"/>
        <w:gridCol w:w="1842"/>
      </w:tblGrid>
      <w:tr w14:paraId="0110DA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1620" w:type="dxa"/>
            <w:vAlign w:val="center"/>
          </w:tcPr>
          <w:p w14:paraId="63DF653C">
            <w:pPr>
              <w:jc w:val="center"/>
              <w:rPr>
                <w:rFonts w:hint="eastAsia" w:hAnsi="宋体"/>
                <w:sz w:val="21"/>
                <w:szCs w:val="21"/>
              </w:rPr>
            </w:pPr>
            <w:r>
              <w:rPr>
                <w:rFonts w:hAnsi="宋体"/>
                <w:sz w:val="21"/>
                <w:szCs w:val="21"/>
              </w:rPr>
              <w:t>证书名称</w:t>
            </w:r>
          </w:p>
        </w:tc>
        <w:tc>
          <w:tcPr>
            <w:tcW w:w="1800" w:type="dxa"/>
            <w:vAlign w:val="center"/>
          </w:tcPr>
          <w:p w14:paraId="0C3B8963">
            <w:pPr>
              <w:jc w:val="center"/>
              <w:rPr>
                <w:rFonts w:hint="eastAsia" w:hAnsi="宋体"/>
                <w:sz w:val="21"/>
                <w:szCs w:val="21"/>
              </w:rPr>
            </w:pPr>
            <w:r>
              <w:rPr>
                <w:rFonts w:hAnsi="宋体"/>
                <w:sz w:val="21"/>
                <w:szCs w:val="21"/>
              </w:rPr>
              <w:t>发证单位</w:t>
            </w:r>
          </w:p>
        </w:tc>
        <w:tc>
          <w:tcPr>
            <w:tcW w:w="1800" w:type="dxa"/>
            <w:vAlign w:val="center"/>
          </w:tcPr>
          <w:p w14:paraId="63126597">
            <w:pPr>
              <w:jc w:val="center"/>
              <w:rPr>
                <w:rFonts w:hint="eastAsia" w:hAnsi="宋体"/>
                <w:sz w:val="21"/>
                <w:szCs w:val="21"/>
              </w:rPr>
            </w:pPr>
            <w:r>
              <w:rPr>
                <w:rFonts w:hAnsi="宋体"/>
                <w:sz w:val="21"/>
                <w:szCs w:val="21"/>
              </w:rPr>
              <w:t>证书等级</w:t>
            </w:r>
          </w:p>
        </w:tc>
        <w:tc>
          <w:tcPr>
            <w:tcW w:w="1830" w:type="dxa"/>
            <w:vAlign w:val="center"/>
          </w:tcPr>
          <w:p w14:paraId="53D04EC3">
            <w:pPr>
              <w:jc w:val="center"/>
              <w:rPr>
                <w:rFonts w:hint="eastAsia" w:hAnsi="宋体"/>
                <w:sz w:val="21"/>
                <w:szCs w:val="21"/>
              </w:rPr>
            </w:pPr>
            <w:r>
              <w:rPr>
                <w:rFonts w:hAnsi="宋体"/>
                <w:sz w:val="21"/>
                <w:szCs w:val="21"/>
              </w:rPr>
              <w:t>证书有效期</w:t>
            </w:r>
          </w:p>
        </w:tc>
        <w:tc>
          <w:tcPr>
            <w:tcW w:w="1842" w:type="dxa"/>
            <w:vAlign w:val="center"/>
          </w:tcPr>
          <w:p w14:paraId="796A60CF">
            <w:pPr>
              <w:jc w:val="center"/>
              <w:rPr>
                <w:rFonts w:hint="eastAsia" w:hAnsi="宋体"/>
                <w:sz w:val="21"/>
                <w:szCs w:val="21"/>
              </w:rPr>
            </w:pPr>
            <w:r>
              <w:rPr>
                <w:rFonts w:hint="eastAsia" w:hAnsi="宋体"/>
                <w:sz w:val="21"/>
                <w:szCs w:val="21"/>
              </w:rPr>
              <w:t>备注</w:t>
            </w:r>
          </w:p>
        </w:tc>
      </w:tr>
      <w:tr w14:paraId="441F74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1620" w:type="dxa"/>
            <w:vAlign w:val="center"/>
          </w:tcPr>
          <w:p w14:paraId="7E99C50B">
            <w:pPr>
              <w:spacing w:line="360" w:lineRule="auto"/>
              <w:jc w:val="center"/>
              <w:rPr>
                <w:rFonts w:hint="eastAsia" w:hAnsi="宋体"/>
                <w:sz w:val="21"/>
                <w:szCs w:val="21"/>
              </w:rPr>
            </w:pPr>
          </w:p>
        </w:tc>
        <w:tc>
          <w:tcPr>
            <w:tcW w:w="1800" w:type="dxa"/>
            <w:vAlign w:val="center"/>
          </w:tcPr>
          <w:p w14:paraId="6C293194">
            <w:pPr>
              <w:spacing w:line="360" w:lineRule="auto"/>
              <w:jc w:val="center"/>
              <w:rPr>
                <w:rFonts w:hint="eastAsia" w:hAnsi="宋体"/>
                <w:sz w:val="21"/>
                <w:szCs w:val="21"/>
              </w:rPr>
            </w:pPr>
          </w:p>
        </w:tc>
        <w:tc>
          <w:tcPr>
            <w:tcW w:w="1800" w:type="dxa"/>
            <w:vAlign w:val="center"/>
          </w:tcPr>
          <w:p w14:paraId="035FE671">
            <w:pPr>
              <w:spacing w:line="360" w:lineRule="auto"/>
              <w:jc w:val="center"/>
              <w:rPr>
                <w:rFonts w:hint="eastAsia" w:hAnsi="宋体"/>
                <w:sz w:val="21"/>
                <w:szCs w:val="21"/>
              </w:rPr>
            </w:pPr>
          </w:p>
        </w:tc>
        <w:tc>
          <w:tcPr>
            <w:tcW w:w="1830" w:type="dxa"/>
            <w:vAlign w:val="center"/>
          </w:tcPr>
          <w:p w14:paraId="11183147">
            <w:pPr>
              <w:spacing w:line="360" w:lineRule="auto"/>
              <w:jc w:val="center"/>
              <w:rPr>
                <w:rFonts w:hint="eastAsia" w:hAnsi="宋体"/>
                <w:sz w:val="21"/>
                <w:szCs w:val="21"/>
              </w:rPr>
            </w:pPr>
          </w:p>
        </w:tc>
        <w:tc>
          <w:tcPr>
            <w:tcW w:w="1842" w:type="dxa"/>
            <w:vAlign w:val="center"/>
          </w:tcPr>
          <w:p w14:paraId="68273B6B">
            <w:pPr>
              <w:spacing w:line="360" w:lineRule="auto"/>
              <w:jc w:val="center"/>
              <w:rPr>
                <w:rFonts w:hint="eastAsia" w:hAnsi="宋体"/>
                <w:sz w:val="21"/>
                <w:szCs w:val="21"/>
              </w:rPr>
            </w:pPr>
          </w:p>
        </w:tc>
      </w:tr>
      <w:tr w14:paraId="42C32B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1620" w:type="dxa"/>
            <w:vAlign w:val="center"/>
          </w:tcPr>
          <w:p w14:paraId="05CFC845">
            <w:pPr>
              <w:spacing w:line="360" w:lineRule="auto"/>
              <w:jc w:val="center"/>
              <w:rPr>
                <w:rFonts w:hint="eastAsia" w:hAnsi="宋体"/>
                <w:sz w:val="21"/>
                <w:szCs w:val="21"/>
              </w:rPr>
            </w:pPr>
          </w:p>
        </w:tc>
        <w:tc>
          <w:tcPr>
            <w:tcW w:w="1800" w:type="dxa"/>
            <w:vAlign w:val="center"/>
          </w:tcPr>
          <w:p w14:paraId="0F42A79B">
            <w:pPr>
              <w:spacing w:line="360" w:lineRule="auto"/>
              <w:jc w:val="center"/>
              <w:rPr>
                <w:rFonts w:hint="eastAsia" w:hAnsi="宋体"/>
                <w:sz w:val="21"/>
                <w:szCs w:val="21"/>
              </w:rPr>
            </w:pPr>
          </w:p>
        </w:tc>
        <w:tc>
          <w:tcPr>
            <w:tcW w:w="1800" w:type="dxa"/>
            <w:vAlign w:val="center"/>
          </w:tcPr>
          <w:p w14:paraId="0B24A30E">
            <w:pPr>
              <w:spacing w:line="360" w:lineRule="auto"/>
              <w:jc w:val="center"/>
              <w:rPr>
                <w:rFonts w:hint="eastAsia" w:hAnsi="宋体"/>
                <w:sz w:val="21"/>
                <w:szCs w:val="21"/>
              </w:rPr>
            </w:pPr>
          </w:p>
        </w:tc>
        <w:tc>
          <w:tcPr>
            <w:tcW w:w="1830" w:type="dxa"/>
            <w:vAlign w:val="center"/>
          </w:tcPr>
          <w:p w14:paraId="178FF6FA">
            <w:pPr>
              <w:spacing w:line="360" w:lineRule="auto"/>
              <w:jc w:val="center"/>
              <w:rPr>
                <w:rFonts w:hint="eastAsia" w:hAnsi="宋体"/>
                <w:sz w:val="21"/>
                <w:szCs w:val="21"/>
              </w:rPr>
            </w:pPr>
          </w:p>
        </w:tc>
        <w:tc>
          <w:tcPr>
            <w:tcW w:w="1842" w:type="dxa"/>
            <w:vAlign w:val="center"/>
          </w:tcPr>
          <w:p w14:paraId="090292B7">
            <w:pPr>
              <w:spacing w:line="360" w:lineRule="auto"/>
              <w:jc w:val="center"/>
              <w:rPr>
                <w:rFonts w:hint="eastAsia" w:hAnsi="宋体"/>
                <w:sz w:val="21"/>
                <w:szCs w:val="21"/>
              </w:rPr>
            </w:pPr>
          </w:p>
        </w:tc>
      </w:tr>
    </w:tbl>
    <w:p w14:paraId="54612B59">
      <w:pPr>
        <w:spacing w:line="420" w:lineRule="atLeast"/>
        <w:rPr>
          <w:rFonts w:hint="eastAsia" w:hAnsi="宋体"/>
          <w:sz w:val="21"/>
          <w:szCs w:val="21"/>
        </w:rPr>
      </w:pPr>
      <w:r>
        <w:rPr>
          <w:rFonts w:hint="eastAsia" w:hAnsi="宋体"/>
          <w:sz w:val="21"/>
          <w:szCs w:val="21"/>
        </w:rPr>
        <w:t>备注：以上资质或荣誉必须提供相关证明材料。</w:t>
      </w:r>
    </w:p>
    <w:p w14:paraId="2EC8D145">
      <w:pPr>
        <w:spacing w:line="420" w:lineRule="atLeast"/>
        <w:rPr>
          <w:rFonts w:hint="eastAsia" w:hAnsi="宋体"/>
          <w:sz w:val="21"/>
          <w:szCs w:val="21"/>
        </w:rPr>
      </w:pPr>
      <w:r>
        <w:rPr>
          <w:rFonts w:hint="eastAsia" w:hAnsi="宋体"/>
          <w:sz w:val="21"/>
          <w:szCs w:val="21"/>
        </w:rPr>
        <w:t>兹证明上述声明是真实、正确的，并提供了全部能提供的资料和数据，我方同意遵照贵方要求出示有关证明文件。</w:t>
      </w:r>
    </w:p>
    <w:p w14:paraId="69111908">
      <w:pPr>
        <w:overflowPunct w:val="0"/>
        <w:spacing w:line="460" w:lineRule="exact"/>
        <w:rPr>
          <w:rFonts w:hint="eastAsia" w:hAnsi="宋体"/>
          <w:sz w:val="21"/>
          <w:szCs w:val="21"/>
        </w:rPr>
      </w:pPr>
      <w:r>
        <w:rPr>
          <w:rFonts w:hint="eastAsia" w:hAnsi="宋体"/>
          <w:sz w:val="21"/>
          <w:szCs w:val="21"/>
        </w:rPr>
        <w:t>供应商名称（加盖公章）：</w:t>
      </w:r>
    </w:p>
    <w:p w14:paraId="4FFA475C">
      <w:pPr>
        <w:overflowPunct w:val="0"/>
        <w:spacing w:line="460" w:lineRule="exact"/>
        <w:rPr>
          <w:rFonts w:hint="eastAsia" w:hAnsi="宋体"/>
          <w:sz w:val="21"/>
          <w:szCs w:val="21"/>
        </w:rPr>
      </w:pPr>
      <w:r>
        <w:rPr>
          <w:rFonts w:hint="eastAsia" w:hAnsi="宋体"/>
          <w:sz w:val="21"/>
          <w:szCs w:val="21"/>
        </w:rPr>
        <w:t>供应商法定代表人或受委托人（签名或盖私章）：</w:t>
      </w:r>
    </w:p>
    <w:p w14:paraId="4F906D23">
      <w:pPr>
        <w:overflowPunct w:val="0"/>
        <w:spacing w:line="460" w:lineRule="exact"/>
        <w:rPr>
          <w:rFonts w:hint="eastAsia" w:hAnsi="宋体"/>
          <w:sz w:val="21"/>
          <w:szCs w:val="21"/>
        </w:rPr>
      </w:pPr>
      <w:r>
        <w:rPr>
          <w:rFonts w:hint="eastAsia" w:hAnsi="宋体"/>
          <w:sz w:val="21"/>
          <w:szCs w:val="21"/>
        </w:rPr>
        <w:t xml:space="preserve">日期：年月日 </w:t>
      </w:r>
    </w:p>
    <w:p w14:paraId="72B7B3F3">
      <w:pPr>
        <w:pStyle w:val="6"/>
        <w:numPr>
          <w:ilvl w:val="0"/>
          <w:numId w:val="14"/>
        </w:numPr>
        <w:jc w:val="center"/>
        <w:rPr>
          <w:rFonts w:hint="eastAsia"/>
          <w:b w:val="0"/>
          <w:sz w:val="28"/>
          <w:szCs w:val="28"/>
          <w:u w:val="single"/>
        </w:rPr>
      </w:pPr>
      <w:r>
        <w:rPr>
          <w:sz w:val="22"/>
          <w:szCs w:val="22"/>
        </w:rPr>
        <w:br w:type="page"/>
      </w:r>
      <w:bookmarkStart w:id="260" w:name="_Toc17704"/>
      <w:bookmarkStart w:id="261" w:name="_Toc27094"/>
      <w:bookmarkStart w:id="262" w:name="_Toc8896"/>
      <w:bookmarkStart w:id="263" w:name="_Toc7897894"/>
      <w:r>
        <w:rPr>
          <w:rFonts w:hint="eastAsia"/>
          <w:bCs/>
          <w:sz w:val="28"/>
          <w:szCs w:val="28"/>
        </w:rPr>
        <w:t>偏离表</w:t>
      </w:r>
      <w:bookmarkEnd w:id="235"/>
      <w:bookmarkEnd w:id="260"/>
      <w:bookmarkEnd w:id="261"/>
      <w:bookmarkEnd w:id="262"/>
      <w:bookmarkEnd w:id="263"/>
    </w:p>
    <w:p w14:paraId="0C7F621F">
      <w:pPr>
        <w:pStyle w:val="15"/>
        <w:ind w:firstLine="480"/>
        <w:rPr>
          <w:sz w:val="24"/>
          <w:szCs w:val="21"/>
        </w:rPr>
      </w:pPr>
    </w:p>
    <w:p w14:paraId="0DE40805">
      <w:pP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hAnsi="宋体"/>
          <w:szCs w:val="21"/>
        </w:rPr>
      </w:pPr>
    </w:p>
    <w:tbl>
      <w:tblPr>
        <w:tblStyle w:val="53"/>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161"/>
        <w:gridCol w:w="1241"/>
        <w:gridCol w:w="1984"/>
        <w:gridCol w:w="1276"/>
        <w:gridCol w:w="1594"/>
      </w:tblGrid>
      <w:tr w14:paraId="0E3BE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17" w:type="dxa"/>
            <w:vAlign w:val="center"/>
          </w:tcPr>
          <w:p w14:paraId="0014699C">
            <w:pPr>
              <w:jc w:val="center"/>
              <w:rPr>
                <w:rFonts w:hint="eastAsia" w:hAnsi="宋体"/>
                <w:b/>
                <w:bCs/>
                <w:sz w:val="21"/>
                <w:szCs w:val="21"/>
              </w:rPr>
            </w:pPr>
            <w:r>
              <w:rPr>
                <w:rFonts w:hint="eastAsia" w:hAnsi="宋体"/>
                <w:b/>
                <w:bCs/>
                <w:sz w:val="21"/>
                <w:szCs w:val="21"/>
              </w:rPr>
              <w:t>序号</w:t>
            </w:r>
          </w:p>
        </w:tc>
        <w:tc>
          <w:tcPr>
            <w:tcW w:w="2161" w:type="dxa"/>
            <w:vAlign w:val="center"/>
          </w:tcPr>
          <w:p w14:paraId="2A242538">
            <w:pPr>
              <w:jc w:val="center"/>
              <w:rPr>
                <w:rFonts w:hint="eastAsia" w:hAnsi="宋体"/>
                <w:b/>
                <w:bCs/>
                <w:sz w:val="21"/>
                <w:szCs w:val="21"/>
              </w:rPr>
            </w:pPr>
            <w:r>
              <w:rPr>
                <w:rFonts w:hint="eastAsia" w:hAnsi="宋体"/>
                <w:b/>
                <w:bCs/>
                <w:sz w:val="21"/>
                <w:szCs w:val="21"/>
              </w:rPr>
              <w:t>项 目</w:t>
            </w:r>
          </w:p>
        </w:tc>
        <w:tc>
          <w:tcPr>
            <w:tcW w:w="1241" w:type="dxa"/>
            <w:vAlign w:val="center"/>
          </w:tcPr>
          <w:p w14:paraId="47B49AE1">
            <w:pPr>
              <w:jc w:val="center"/>
              <w:rPr>
                <w:rFonts w:hint="eastAsia" w:hAnsi="宋体"/>
                <w:b/>
                <w:bCs/>
                <w:sz w:val="21"/>
                <w:szCs w:val="21"/>
              </w:rPr>
            </w:pPr>
            <w:r>
              <w:rPr>
                <w:rFonts w:hint="eastAsia" w:hAnsi="宋体"/>
                <w:b/>
                <w:bCs/>
                <w:sz w:val="21"/>
                <w:szCs w:val="21"/>
              </w:rPr>
              <w:t>磋商文件要求</w:t>
            </w:r>
          </w:p>
        </w:tc>
        <w:tc>
          <w:tcPr>
            <w:tcW w:w="1984" w:type="dxa"/>
            <w:vAlign w:val="center"/>
          </w:tcPr>
          <w:p w14:paraId="76A6806D">
            <w:pPr>
              <w:jc w:val="center"/>
              <w:rPr>
                <w:rFonts w:hint="eastAsia" w:hAnsi="宋体"/>
                <w:b/>
                <w:bCs/>
                <w:sz w:val="21"/>
                <w:szCs w:val="21"/>
              </w:rPr>
            </w:pPr>
            <w:r>
              <w:rPr>
                <w:rFonts w:hint="eastAsia" w:hAnsi="宋体"/>
                <w:b/>
                <w:bCs/>
                <w:sz w:val="21"/>
                <w:szCs w:val="21"/>
              </w:rPr>
              <w:t>响应文件</w:t>
            </w:r>
          </w:p>
          <w:p w14:paraId="6C99DBDE">
            <w:pPr>
              <w:jc w:val="center"/>
              <w:rPr>
                <w:rFonts w:hint="eastAsia" w:hAnsi="宋体"/>
                <w:b/>
                <w:bCs/>
                <w:sz w:val="21"/>
                <w:szCs w:val="21"/>
              </w:rPr>
            </w:pPr>
            <w:r>
              <w:rPr>
                <w:rFonts w:hint="eastAsia" w:hAnsi="宋体"/>
                <w:b/>
                <w:bCs/>
                <w:sz w:val="21"/>
                <w:szCs w:val="21"/>
              </w:rPr>
              <w:t>响应情况</w:t>
            </w:r>
          </w:p>
        </w:tc>
        <w:tc>
          <w:tcPr>
            <w:tcW w:w="1276" w:type="dxa"/>
            <w:vAlign w:val="center"/>
          </w:tcPr>
          <w:p w14:paraId="6594C0AB">
            <w:pPr>
              <w:jc w:val="center"/>
              <w:rPr>
                <w:rFonts w:hint="eastAsia" w:hAnsi="宋体"/>
                <w:b/>
                <w:bCs/>
                <w:sz w:val="21"/>
                <w:szCs w:val="21"/>
              </w:rPr>
            </w:pPr>
            <w:r>
              <w:rPr>
                <w:rFonts w:hint="eastAsia" w:hAnsi="宋体"/>
                <w:b/>
                <w:bCs/>
                <w:sz w:val="21"/>
                <w:szCs w:val="21"/>
              </w:rPr>
              <w:t>偏离情况</w:t>
            </w:r>
          </w:p>
        </w:tc>
        <w:tc>
          <w:tcPr>
            <w:tcW w:w="1594" w:type="dxa"/>
            <w:vAlign w:val="center"/>
          </w:tcPr>
          <w:p w14:paraId="16B0450D">
            <w:pPr>
              <w:jc w:val="center"/>
              <w:rPr>
                <w:rFonts w:hint="eastAsia" w:hAnsi="宋体"/>
                <w:b/>
                <w:bCs/>
                <w:sz w:val="21"/>
                <w:szCs w:val="21"/>
              </w:rPr>
            </w:pPr>
            <w:r>
              <w:rPr>
                <w:rFonts w:hint="eastAsia" w:hAnsi="宋体"/>
                <w:b/>
                <w:bCs/>
                <w:sz w:val="21"/>
                <w:szCs w:val="21"/>
              </w:rPr>
              <w:t>偏离情况</w:t>
            </w:r>
          </w:p>
          <w:p w14:paraId="0355D0E7">
            <w:pPr>
              <w:jc w:val="center"/>
              <w:rPr>
                <w:rFonts w:hint="eastAsia" w:hAnsi="宋体"/>
                <w:b/>
                <w:bCs/>
                <w:sz w:val="21"/>
                <w:szCs w:val="21"/>
              </w:rPr>
            </w:pPr>
            <w:r>
              <w:rPr>
                <w:rFonts w:hint="eastAsia" w:hAnsi="宋体"/>
                <w:b/>
                <w:bCs/>
                <w:sz w:val="21"/>
                <w:szCs w:val="21"/>
              </w:rPr>
              <w:t>说明</w:t>
            </w:r>
          </w:p>
        </w:tc>
      </w:tr>
      <w:tr w14:paraId="49FF5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AC6EB6A">
            <w:pPr>
              <w:jc w:val="center"/>
              <w:rPr>
                <w:rFonts w:hint="eastAsia" w:hAnsi="宋体"/>
                <w:b/>
                <w:sz w:val="21"/>
                <w:szCs w:val="21"/>
              </w:rPr>
            </w:pPr>
            <w:r>
              <w:rPr>
                <w:rFonts w:hint="eastAsia" w:hAnsi="宋体"/>
                <w:b/>
                <w:sz w:val="21"/>
                <w:szCs w:val="21"/>
              </w:rPr>
              <w:t>1</w:t>
            </w:r>
          </w:p>
        </w:tc>
        <w:tc>
          <w:tcPr>
            <w:tcW w:w="2161" w:type="dxa"/>
            <w:vAlign w:val="center"/>
          </w:tcPr>
          <w:p w14:paraId="2C421D26">
            <w:pPr>
              <w:rPr>
                <w:rFonts w:hint="eastAsia" w:hAnsi="宋体"/>
                <w:bCs/>
                <w:sz w:val="21"/>
                <w:szCs w:val="21"/>
              </w:rPr>
            </w:pPr>
          </w:p>
        </w:tc>
        <w:tc>
          <w:tcPr>
            <w:tcW w:w="1241" w:type="dxa"/>
            <w:vAlign w:val="center"/>
          </w:tcPr>
          <w:p w14:paraId="7F64F3E6">
            <w:pPr>
              <w:jc w:val="center"/>
              <w:rPr>
                <w:rFonts w:hint="eastAsia" w:hAnsi="宋体"/>
                <w:sz w:val="21"/>
                <w:szCs w:val="21"/>
              </w:rPr>
            </w:pPr>
          </w:p>
        </w:tc>
        <w:tc>
          <w:tcPr>
            <w:tcW w:w="1984" w:type="dxa"/>
            <w:vAlign w:val="center"/>
          </w:tcPr>
          <w:p w14:paraId="5EEDA821">
            <w:pPr>
              <w:jc w:val="center"/>
              <w:rPr>
                <w:rFonts w:hint="eastAsia" w:hAnsi="宋体"/>
                <w:sz w:val="21"/>
                <w:szCs w:val="21"/>
              </w:rPr>
            </w:pPr>
          </w:p>
        </w:tc>
        <w:tc>
          <w:tcPr>
            <w:tcW w:w="1276" w:type="dxa"/>
            <w:vAlign w:val="center"/>
          </w:tcPr>
          <w:p w14:paraId="5E57D147">
            <w:pPr>
              <w:ind w:left="-446" w:leftChars="-186" w:firstLine="390" w:firstLineChars="186"/>
              <w:jc w:val="center"/>
              <w:rPr>
                <w:rFonts w:hint="eastAsia" w:hAnsi="宋体"/>
                <w:sz w:val="21"/>
                <w:szCs w:val="21"/>
              </w:rPr>
            </w:pPr>
          </w:p>
        </w:tc>
        <w:tc>
          <w:tcPr>
            <w:tcW w:w="1594" w:type="dxa"/>
            <w:vAlign w:val="center"/>
          </w:tcPr>
          <w:p w14:paraId="6A048215">
            <w:pPr>
              <w:ind w:left="-446" w:leftChars="-186" w:firstLine="390" w:firstLineChars="186"/>
              <w:jc w:val="center"/>
              <w:rPr>
                <w:rFonts w:hint="eastAsia" w:hAnsi="宋体"/>
                <w:sz w:val="21"/>
                <w:szCs w:val="21"/>
              </w:rPr>
            </w:pPr>
          </w:p>
        </w:tc>
      </w:tr>
      <w:tr w14:paraId="4EB17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2FB57D8">
            <w:pPr>
              <w:jc w:val="center"/>
              <w:rPr>
                <w:rFonts w:hint="eastAsia" w:hAnsi="宋体"/>
                <w:b/>
                <w:sz w:val="21"/>
                <w:szCs w:val="21"/>
              </w:rPr>
            </w:pPr>
            <w:r>
              <w:rPr>
                <w:rFonts w:hint="eastAsia" w:hAnsi="宋体"/>
                <w:b/>
                <w:sz w:val="21"/>
                <w:szCs w:val="21"/>
              </w:rPr>
              <w:t>2</w:t>
            </w:r>
          </w:p>
        </w:tc>
        <w:tc>
          <w:tcPr>
            <w:tcW w:w="2161" w:type="dxa"/>
            <w:vAlign w:val="center"/>
          </w:tcPr>
          <w:p w14:paraId="5F65F03A">
            <w:pPr>
              <w:rPr>
                <w:rFonts w:hint="eastAsia" w:hAnsi="宋体"/>
                <w:bCs/>
                <w:sz w:val="21"/>
                <w:szCs w:val="21"/>
              </w:rPr>
            </w:pPr>
          </w:p>
        </w:tc>
        <w:tc>
          <w:tcPr>
            <w:tcW w:w="1241" w:type="dxa"/>
            <w:vAlign w:val="center"/>
          </w:tcPr>
          <w:p w14:paraId="64BDDD73">
            <w:pPr>
              <w:jc w:val="center"/>
              <w:rPr>
                <w:rFonts w:hint="eastAsia" w:hAnsi="宋体"/>
                <w:sz w:val="21"/>
                <w:szCs w:val="21"/>
              </w:rPr>
            </w:pPr>
          </w:p>
        </w:tc>
        <w:tc>
          <w:tcPr>
            <w:tcW w:w="1984" w:type="dxa"/>
            <w:vAlign w:val="center"/>
          </w:tcPr>
          <w:p w14:paraId="62E572B2">
            <w:pPr>
              <w:jc w:val="center"/>
              <w:rPr>
                <w:rFonts w:hint="eastAsia" w:hAnsi="宋体"/>
                <w:sz w:val="21"/>
                <w:szCs w:val="21"/>
              </w:rPr>
            </w:pPr>
          </w:p>
        </w:tc>
        <w:tc>
          <w:tcPr>
            <w:tcW w:w="1276" w:type="dxa"/>
            <w:vAlign w:val="center"/>
          </w:tcPr>
          <w:p w14:paraId="176E026A">
            <w:pPr>
              <w:jc w:val="center"/>
              <w:rPr>
                <w:rFonts w:hint="eastAsia" w:hAnsi="宋体"/>
                <w:sz w:val="21"/>
                <w:szCs w:val="21"/>
              </w:rPr>
            </w:pPr>
          </w:p>
        </w:tc>
        <w:tc>
          <w:tcPr>
            <w:tcW w:w="1594" w:type="dxa"/>
            <w:vAlign w:val="center"/>
          </w:tcPr>
          <w:p w14:paraId="725F57A0">
            <w:pPr>
              <w:jc w:val="center"/>
              <w:rPr>
                <w:rFonts w:hint="eastAsia" w:hAnsi="宋体"/>
                <w:sz w:val="21"/>
                <w:szCs w:val="21"/>
              </w:rPr>
            </w:pPr>
          </w:p>
        </w:tc>
      </w:tr>
      <w:tr w14:paraId="4F1B2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09C99696">
            <w:pPr>
              <w:jc w:val="center"/>
              <w:rPr>
                <w:rFonts w:hint="eastAsia" w:hAnsi="宋体"/>
                <w:b/>
                <w:sz w:val="21"/>
                <w:szCs w:val="21"/>
              </w:rPr>
            </w:pPr>
            <w:r>
              <w:rPr>
                <w:rFonts w:hint="eastAsia" w:hAnsi="宋体"/>
                <w:b/>
                <w:sz w:val="21"/>
                <w:szCs w:val="21"/>
              </w:rPr>
              <w:t>3</w:t>
            </w:r>
          </w:p>
        </w:tc>
        <w:tc>
          <w:tcPr>
            <w:tcW w:w="2161" w:type="dxa"/>
            <w:vAlign w:val="center"/>
          </w:tcPr>
          <w:p w14:paraId="15A2A035">
            <w:pPr>
              <w:rPr>
                <w:rFonts w:hint="eastAsia" w:hAnsi="宋体"/>
                <w:bCs/>
                <w:sz w:val="21"/>
                <w:szCs w:val="21"/>
              </w:rPr>
            </w:pPr>
          </w:p>
        </w:tc>
        <w:tc>
          <w:tcPr>
            <w:tcW w:w="1241" w:type="dxa"/>
            <w:vAlign w:val="center"/>
          </w:tcPr>
          <w:p w14:paraId="1AE8CF13">
            <w:pPr>
              <w:jc w:val="center"/>
              <w:rPr>
                <w:rFonts w:hint="eastAsia" w:hAnsi="宋体"/>
                <w:sz w:val="21"/>
                <w:szCs w:val="21"/>
              </w:rPr>
            </w:pPr>
          </w:p>
        </w:tc>
        <w:tc>
          <w:tcPr>
            <w:tcW w:w="1984" w:type="dxa"/>
            <w:vAlign w:val="center"/>
          </w:tcPr>
          <w:p w14:paraId="705CB9C1">
            <w:pPr>
              <w:jc w:val="center"/>
              <w:rPr>
                <w:rFonts w:hint="eastAsia" w:hAnsi="宋体"/>
                <w:sz w:val="21"/>
                <w:szCs w:val="21"/>
              </w:rPr>
            </w:pPr>
          </w:p>
        </w:tc>
        <w:tc>
          <w:tcPr>
            <w:tcW w:w="1276" w:type="dxa"/>
            <w:vAlign w:val="center"/>
          </w:tcPr>
          <w:p w14:paraId="304F279C">
            <w:pPr>
              <w:jc w:val="center"/>
              <w:rPr>
                <w:rFonts w:hint="eastAsia" w:hAnsi="宋体"/>
                <w:sz w:val="21"/>
                <w:szCs w:val="21"/>
              </w:rPr>
            </w:pPr>
          </w:p>
        </w:tc>
        <w:tc>
          <w:tcPr>
            <w:tcW w:w="1594" w:type="dxa"/>
            <w:vAlign w:val="center"/>
          </w:tcPr>
          <w:p w14:paraId="67AF674F">
            <w:pPr>
              <w:jc w:val="center"/>
              <w:rPr>
                <w:rFonts w:hint="eastAsia" w:hAnsi="宋体"/>
                <w:sz w:val="21"/>
                <w:szCs w:val="21"/>
              </w:rPr>
            </w:pPr>
          </w:p>
        </w:tc>
      </w:tr>
      <w:tr w14:paraId="4FB1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ED3E51B">
            <w:pPr>
              <w:jc w:val="center"/>
              <w:rPr>
                <w:rFonts w:hint="eastAsia" w:hAnsi="宋体"/>
                <w:b/>
                <w:sz w:val="21"/>
                <w:szCs w:val="21"/>
              </w:rPr>
            </w:pPr>
            <w:r>
              <w:rPr>
                <w:rFonts w:hint="eastAsia" w:hAnsi="宋体"/>
                <w:b/>
                <w:sz w:val="21"/>
                <w:szCs w:val="21"/>
              </w:rPr>
              <w:t>···</w:t>
            </w:r>
          </w:p>
        </w:tc>
        <w:tc>
          <w:tcPr>
            <w:tcW w:w="2161" w:type="dxa"/>
            <w:vAlign w:val="center"/>
          </w:tcPr>
          <w:p w14:paraId="02091407">
            <w:pPr>
              <w:rPr>
                <w:rFonts w:hint="eastAsia" w:hAnsi="宋体"/>
                <w:bCs/>
                <w:sz w:val="21"/>
                <w:szCs w:val="21"/>
              </w:rPr>
            </w:pPr>
          </w:p>
        </w:tc>
        <w:tc>
          <w:tcPr>
            <w:tcW w:w="1241" w:type="dxa"/>
            <w:vAlign w:val="center"/>
          </w:tcPr>
          <w:p w14:paraId="31521481">
            <w:pPr>
              <w:jc w:val="center"/>
              <w:rPr>
                <w:rFonts w:hint="eastAsia" w:hAnsi="宋体"/>
                <w:sz w:val="21"/>
                <w:szCs w:val="21"/>
              </w:rPr>
            </w:pPr>
          </w:p>
        </w:tc>
        <w:tc>
          <w:tcPr>
            <w:tcW w:w="1984" w:type="dxa"/>
            <w:vAlign w:val="center"/>
          </w:tcPr>
          <w:p w14:paraId="34E9690A">
            <w:pPr>
              <w:jc w:val="center"/>
              <w:rPr>
                <w:rFonts w:hint="eastAsia" w:hAnsi="宋体"/>
                <w:sz w:val="21"/>
                <w:szCs w:val="21"/>
              </w:rPr>
            </w:pPr>
          </w:p>
        </w:tc>
        <w:tc>
          <w:tcPr>
            <w:tcW w:w="1276" w:type="dxa"/>
            <w:vAlign w:val="center"/>
          </w:tcPr>
          <w:p w14:paraId="796F7CBF">
            <w:pPr>
              <w:jc w:val="center"/>
              <w:rPr>
                <w:rFonts w:hint="eastAsia" w:hAnsi="宋体"/>
                <w:sz w:val="21"/>
                <w:szCs w:val="21"/>
              </w:rPr>
            </w:pPr>
          </w:p>
        </w:tc>
        <w:tc>
          <w:tcPr>
            <w:tcW w:w="1594" w:type="dxa"/>
            <w:vAlign w:val="center"/>
          </w:tcPr>
          <w:p w14:paraId="45119C9A">
            <w:pPr>
              <w:jc w:val="center"/>
              <w:rPr>
                <w:rFonts w:hint="eastAsia" w:hAnsi="宋体"/>
                <w:sz w:val="21"/>
                <w:szCs w:val="21"/>
              </w:rPr>
            </w:pPr>
          </w:p>
        </w:tc>
      </w:tr>
      <w:tr w14:paraId="008B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E0BE72B">
            <w:pPr>
              <w:jc w:val="center"/>
              <w:rPr>
                <w:rFonts w:hint="eastAsia" w:hAnsi="宋体"/>
                <w:b/>
                <w:sz w:val="21"/>
                <w:szCs w:val="21"/>
              </w:rPr>
            </w:pPr>
          </w:p>
        </w:tc>
        <w:tc>
          <w:tcPr>
            <w:tcW w:w="2161" w:type="dxa"/>
            <w:vAlign w:val="center"/>
          </w:tcPr>
          <w:p w14:paraId="59B04EE3">
            <w:pPr>
              <w:rPr>
                <w:rFonts w:hint="eastAsia" w:hAnsi="宋体"/>
                <w:bCs/>
                <w:sz w:val="21"/>
                <w:szCs w:val="21"/>
              </w:rPr>
            </w:pPr>
          </w:p>
        </w:tc>
        <w:tc>
          <w:tcPr>
            <w:tcW w:w="1241" w:type="dxa"/>
            <w:vAlign w:val="center"/>
          </w:tcPr>
          <w:p w14:paraId="5BCF3474">
            <w:pPr>
              <w:jc w:val="center"/>
              <w:rPr>
                <w:rFonts w:hint="eastAsia" w:hAnsi="宋体"/>
                <w:sz w:val="21"/>
                <w:szCs w:val="21"/>
              </w:rPr>
            </w:pPr>
          </w:p>
        </w:tc>
        <w:tc>
          <w:tcPr>
            <w:tcW w:w="1984" w:type="dxa"/>
            <w:vAlign w:val="center"/>
          </w:tcPr>
          <w:p w14:paraId="371C25C0">
            <w:pPr>
              <w:jc w:val="center"/>
              <w:rPr>
                <w:rFonts w:hint="eastAsia" w:hAnsi="宋体"/>
                <w:sz w:val="21"/>
                <w:szCs w:val="21"/>
              </w:rPr>
            </w:pPr>
          </w:p>
        </w:tc>
        <w:tc>
          <w:tcPr>
            <w:tcW w:w="1276" w:type="dxa"/>
            <w:vAlign w:val="center"/>
          </w:tcPr>
          <w:p w14:paraId="4DE107E6">
            <w:pPr>
              <w:jc w:val="center"/>
              <w:rPr>
                <w:rFonts w:hint="eastAsia" w:hAnsi="宋体"/>
                <w:sz w:val="21"/>
                <w:szCs w:val="21"/>
              </w:rPr>
            </w:pPr>
          </w:p>
        </w:tc>
        <w:tc>
          <w:tcPr>
            <w:tcW w:w="1594" w:type="dxa"/>
            <w:vAlign w:val="center"/>
          </w:tcPr>
          <w:p w14:paraId="4CF8D187">
            <w:pPr>
              <w:jc w:val="center"/>
              <w:rPr>
                <w:rFonts w:hint="eastAsia" w:hAnsi="宋体"/>
                <w:sz w:val="21"/>
                <w:szCs w:val="21"/>
              </w:rPr>
            </w:pPr>
          </w:p>
        </w:tc>
      </w:tr>
      <w:tr w14:paraId="6163D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2692F07">
            <w:pPr>
              <w:jc w:val="center"/>
              <w:rPr>
                <w:rFonts w:hint="eastAsia" w:hAnsi="宋体"/>
                <w:b/>
                <w:sz w:val="21"/>
                <w:szCs w:val="21"/>
              </w:rPr>
            </w:pPr>
          </w:p>
        </w:tc>
        <w:tc>
          <w:tcPr>
            <w:tcW w:w="2161" w:type="dxa"/>
            <w:vAlign w:val="center"/>
          </w:tcPr>
          <w:p w14:paraId="483E042C">
            <w:pPr>
              <w:rPr>
                <w:rFonts w:hint="eastAsia" w:hAnsi="宋体"/>
                <w:bCs/>
                <w:sz w:val="21"/>
                <w:szCs w:val="21"/>
              </w:rPr>
            </w:pPr>
          </w:p>
        </w:tc>
        <w:tc>
          <w:tcPr>
            <w:tcW w:w="1241" w:type="dxa"/>
            <w:vAlign w:val="center"/>
          </w:tcPr>
          <w:p w14:paraId="0E32EF45">
            <w:pPr>
              <w:jc w:val="center"/>
              <w:rPr>
                <w:rFonts w:hint="eastAsia" w:hAnsi="宋体"/>
                <w:sz w:val="21"/>
                <w:szCs w:val="21"/>
              </w:rPr>
            </w:pPr>
          </w:p>
        </w:tc>
        <w:tc>
          <w:tcPr>
            <w:tcW w:w="1984" w:type="dxa"/>
            <w:vAlign w:val="center"/>
          </w:tcPr>
          <w:p w14:paraId="5311D107">
            <w:pPr>
              <w:jc w:val="center"/>
              <w:rPr>
                <w:rFonts w:hint="eastAsia" w:hAnsi="宋体"/>
                <w:sz w:val="21"/>
                <w:szCs w:val="21"/>
              </w:rPr>
            </w:pPr>
          </w:p>
        </w:tc>
        <w:tc>
          <w:tcPr>
            <w:tcW w:w="1276" w:type="dxa"/>
            <w:vAlign w:val="center"/>
          </w:tcPr>
          <w:p w14:paraId="6D8CE4C3">
            <w:pPr>
              <w:jc w:val="center"/>
              <w:rPr>
                <w:rFonts w:hint="eastAsia" w:hAnsi="宋体"/>
                <w:sz w:val="21"/>
                <w:szCs w:val="21"/>
              </w:rPr>
            </w:pPr>
          </w:p>
        </w:tc>
        <w:tc>
          <w:tcPr>
            <w:tcW w:w="1594" w:type="dxa"/>
            <w:vAlign w:val="center"/>
          </w:tcPr>
          <w:p w14:paraId="51310A45">
            <w:pPr>
              <w:jc w:val="center"/>
              <w:rPr>
                <w:rFonts w:hint="eastAsia" w:hAnsi="宋体"/>
                <w:sz w:val="21"/>
                <w:szCs w:val="21"/>
              </w:rPr>
            </w:pPr>
          </w:p>
        </w:tc>
      </w:tr>
      <w:tr w14:paraId="4F6A6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E065B4C">
            <w:pPr>
              <w:jc w:val="center"/>
              <w:rPr>
                <w:rFonts w:hint="eastAsia" w:hAnsi="宋体"/>
                <w:b/>
                <w:sz w:val="21"/>
                <w:szCs w:val="21"/>
              </w:rPr>
            </w:pPr>
          </w:p>
        </w:tc>
        <w:tc>
          <w:tcPr>
            <w:tcW w:w="2161" w:type="dxa"/>
            <w:vAlign w:val="center"/>
          </w:tcPr>
          <w:p w14:paraId="64E95118">
            <w:pPr>
              <w:jc w:val="center"/>
              <w:rPr>
                <w:rFonts w:hint="eastAsia" w:hAnsi="宋体"/>
                <w:bCs/>
                <w:sz w:val="21"/>
                <w:szCs w:val="21"/>
              </w:rPr>
            </w:pPr>
            <w:r>
              <w:rPr>
                <w:rFonts w:hint="eastAsia" w:hAnsi="宋体"/>
                <w:bCs/>
                <w:sz w:val="21"/>
                <w:szCs w:val="21"/>
              </w:rPr>
              <w:t>其他</w:t>
            </w:r>
          </w:p>
        </w:tc>
        <w:tc>
          <w:tcPr>
            <w:tcW w:w="1241" w:type="dxa"/>
            <w:vAlign w:val="center"/>
          </w:tcPr>
          <w:p w14:paraId="65D8E16E">
            <w:pPr>
              <w:jc w:val="center"/>
              <w:rPr>
                <w:rFonts w:hint="eastAsia" w:hAnsi="宋体"/>
                <w:sz w:val="21"/>
                <w:szCs w:val="21"/>
              </w:rPr>
            </w:pPr>
          </w:p>
        </w:tc>
        <w:tc>
          <w:tcPr>
            <w:tcW w:w="1984" w:type="dxa"/>
            <w:vAlign w:val="center"/>
          </w:tcPr>
          <w:p w14:paraId="4C4D1F63">
            <w:pPr>
              <w:jc w:val="center"/>
              <w:rPr>
                <w:rFonts w:hint="eastAsia" w:hAnsi="宋体"/>
                <w:sz w:val="21"/>
                <w:szCs w:val="21"/>
              </w:rPr>
            </w:pPr>
          </w:p>
        </w:tc>
        <w:tc>
          <w:tcPr>
            <w:tcW w:w="1276" w:type="dxa"/>
            <w:vAlign w:val="center"/>
          </w:tcPr>
          <w:p w14:paraId="45B9FE6B">
            <w:pPr>
              <w:jc w:val="center"/>
              <w:rPr>
                <w:rFonts w:hint="eastAsia" w:hAnsi="宋体"/>
                <w:sz w:val="21"/>
                <w:szCs w:val="21"/>
              </w:rPr>
            </w:pPr>
          </w:p>
        </w:tc>
        <w:tc>
          <w:tcPr>
            <w:tcW w:w="1594" w:type="dxa"/>
            <w:vAlign w:val="center"/>
          </w:tcPr>
          <w:p w14:paraId="0B622677">
            <w:pPr>
              <w:jc w:val="center"/>
              <w:rPr>
                <w:rFonts w:hint="eastAsia" w:hAnsi="宋体"/>
                <w:sz w:val="21"/>
                <w:szCs w:val="21"/>
              </w:rPr>
            </w:pPr>
          </w:p>
        </w:tc>
      </w:tr>
    </w:tbl>
    <w:p w14:paraId="3F7E790D">
      <w:pP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hAnsi="宋体"/>
          <w:b/>
          <w:bCs/>
          <w:sz w:val="21"/>
          <w:szCs w:val="21"/>
        </w:rPr>
      </w:pPr>
    </w:p>
    <w:p w14:paraId="71F6D112">
      <w:pPr>
        <w:tabs>
          <w:tab w:val="left" w:pos="654"/>
          <w:tab w:val="left" w:pos="1734"/>
          <w:tab w:val="left" w:pos="2814"/>
          <w:tab w:val="left" w:pos="3894"/>
          <w:tab w:val="left" w:pos="5334"/>
          <w:tab w:val="left" w:pos="6414"/>
          <w:tab w:val="left" w:pos="7254"/>
          <w:tab w:val="left" w:pos="8574"/>
          <w:tab w:val="left" w:pos="9654"/>
        </w:tabs>
        <w:spacing w:line="480" w:lineRule="exact"/>
        <w:rPr>
          <w:rFonts w:hint="eastAsia" w:hAnsi="宋体"/>
          <w:sz w:val="21"/>
          <w:szCs w:val="21"/>
        </w:rPr>
      </w:pPr>
      <w:r>
        <w:rPr>
          <w:rFonts w:hint="eastAsia" w:hAnsi="宋体"/>
          <w:sz w:val="21"/>
          <w:szCs w:val="21"/>
        </w:rPr>
        <w:t>要求：</w:t>
      </w:r>
    </w:p>
    <w:p w14:paraId="24BF8837">
      <w:pP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hAnsi="宋体"/>
          <w:sz w:val="21"/>
          <w:szCs w:val="21"/>
        </w:rPr>
      </w:pPr>
      <w:r>
        <w:rPr>
          <w:rFonts w:hint="eastAsia" w:hAnsi="宋体"/>
          <w:sz w:val="21"/>
          <w:szCs w:val="21"/>
        </w:rPr>
        <w:t>1.“磋商文件要求”见磋商文件“用户需求书”，“响应文件响应情况”是指供应商的投报情况。</w:t>
      </w:r>
    </w:p>
    <w:p w14:paraId="62D97660">
      <w:pP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hAnsi="宋体"/>
          <w:sz w:val="21"/>
          <w:szCs w:val="21"/>
        </w:rPr>
      </w:pPr>
      <w:r>
        <w:rPr>
          <w:rFonts w:hint="eastAsia" w:hAnsi="宋体"/>
          <w:sz w:val="21"/>
          <w:szCs w:val="21"/>
        </w:rPr>
        <w:t>2.“</w:t>
      </w:r>
      <w:r>
        <w:rPr>
          <w:rFonts w:hint="eastAsia" w:hAnsi="宋体"/>
          <w:bCs/>
          <w:sz w:val="21"/>
          <w:szCs w:val="21"/>
        </w:rPr>
        <w:t>偏离情况</w:t>
      </w:r>
      <w:r>
        <w:rPr>
          <w:rFonts w:hint="eastAsia" w:hAnsi="宋体"/>
          <w:sz w:val="21"/>
          <w:szCs w:val="21"/>
        </w:rPr>
        <w:t>”包括“完全响应”、“正偏离”、“负偏离”。</w:t>
      </w:r>
    </w:p>
    <w:p w14:paraId="4B9F3D41">
      <w:pP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hAnsi="宋体"/>
          <w:sz w:val="21"/>
          <w:szCs w:val="21"/>
        </w:rPr>
      </w:pPr>
    </w:p>
    <w:p w14:paraId="36FDD489">
      <w:pPr>
        <w:overflowPunct w:val="0"/>
        <w:spacing w:line="460" w:lineRule="exact"/>
        <w:rPr>
          <w:rFonts w:hint="eastAsia" w:hAnsi="宋体"/>
          <w:sz w:val="21"/>
          <w:szCs w:val="21"/>
        </w:rPr>
      </w:pPr>
      <w:r>
        <w:rPr>
          <w:rFonts w:hint="eastAsia" w:hAnsi="宋体"/>
          <w:sz w:val="21"/>
          <w:szCs w:val="21"/>
        </w:rPr>
        <w:t>供应商名称（加盖公章）：</w:t>
      </w:r>
    </w:p>
    <w:p w14:paraId="42CF5127">
      <w:pPr>
        <w:overflowPunct w:val="0"/>
        <w:spacing w:line="460" w:lineRule="exact"/>
        <w:rPr>
          <w:rFonts w:hint="eastAsia" w:hAnsi="宋体"/>
          <w:sz w:val="21"/>
          <w:szCs w:val="21"/>
        </w:rPr>
      </w:pPr>
      <w:r>
        <w:rPr>
          <w:rFonts w:hint="eastAsia" w:hAnsi="宋体"/>
          <w:sz w:val="21"/>
          <w:szCs w:val="21"/>
        </w:rPr>
        <w:t>供应商法定代表人或受委托人（签名或盖私章）：</w:t>
      </w:r>
    </w:p>
    <w:p w14:paraId="266926A7">
      <w:pPr>
        <w:overflowPunct w:val="0"/>
        <w:spacing w:line="460" w:lineRule="exact"/>
        <w:rPr>
          <w:rFonts w:hint="eastAsia" w:hAnsi="宋体"/>
          <w:sz w:val="22"/>
          <w:szCs w:val="22"/>
        </w:rPr>
      </w:pPr>
      <w:r>
        <w:rPr>
          <w:rFonts w:hint="eastAsia" w:hAnsi="宋体"/>
          <w:sz w:val="21"/>
          <w:szCs w:val="21"/>
        </w:rPr>
        <w:t xml:space="preserve">日期：年月日 </w:t>
      </w:r>
    </w:p>
    <w:p w14:paraId="2AFC9435"/>
    <w:p w14:paraId="36CE904B"/>
    <w:p w14:paraId="2D825B53"/>
    <w:p w14:paraId="7CF63CF7"/>
    <w:p w14:paraId="0D8DCA51"/>
    <w:p w14:paraId="13973F33"/>
    <w:p w14:paraId="2C603CBA"/>
    <w:p w14:paraId="03068411"/>
    <w:p w14:paraId="2C052125"/>
    <w:p w14:paraId="5BD55F49"/>
    <w:p w14:paraId="23B55202"/>
    <w:p w14:paraId="7E17CC12"/>
    <w:p w14:paraId="71FCDB54"/>
    <w:p w14:paraId="0C770B0C"/>
    <w:p w14:paraId="4DEF83A1"/>
    <w:p w14:paraId="7899A122">
      <w:pPr>
        <w:pStyle w:val="6"/>
        <w:numPr>
          <w:ilvl w:val="0"/>
          <w:numId w:val="14"/>
        </w:numPr>
        <w:jc w:val="center"/>
        <w:rPr>
          <w:rFonts w:ascii="Calibri" w:hAnsi="Times New Roman"/>
          <w:sz w:val="28"/>
          <w:szCs w:val="28"/>
        </w:rPr>
      </w:pPr>
      <w:bookmarkStart w:id="264" w:name="_Toc8299"/>
      <w:bookmarkStart w:id="265" w:name="_Toc10734"/>
      <w:bookmarkStart w:id="266" w:name="_Toc31965"/>
      <w:bookmarkStart w:id="267" w:name="_Toc7897895"/>
      <w:r>
        <w:rPr>
          <w:rFonts w:hint="eastAsia" w:ascii="Calibri"/>
          <w:sz w:val="28"/>
          <w:szCs w:val="28"/>
        </w:rPr>
        <w:t>磋商</w:t>
      </w:r>
      <w:r>
        <w:rPr>
          <w:rFonts w:hint="eastAsia" w:ascii="Calibri" w:hAnsi="Times New Roman"/>
          <w:sz w:val="28"/>
          <w:szCs w:val="28"/>
        </w:rPr>
        <w:t>文件“★”号条款响应表</w:t>
      </w:r>
      <w:bookmarkEnd w:id="264"/>
      <w:bookmarkEnd w:id="265"/>
    </w:p>
    <w:p w14:paraId="38C799E7">
      <w:pPr>
        <w:rPr>
          <w:rFonts w:hint="eastAsia" w:hAnsi="宋体"/>
          <w:b/>
          <w:bCs/>
        </w:rPr>
      </w:pPr>
    </w:p>
    <w:p w14:paraId="5C67F2D5">
      <w:pPr>
        <w:rPr>
          <w:rFonts w:hint="eastAsia" w:hAnsi="宋体"/>
          <w:b/>
          <w:bCs/>
        </w:rPr>
      </w:pPr>
    </w:p>
    <w:tbl>
      <w:tblPr>
        <w:tblStyle w:val="53"/>
        <w:tblW w:w="96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66"/>
        <w:gridCol w:w="3371"/>
        <w:gridCol w:w="2113"/>
        <w:gridCol w:w="2079"/>
      </w:tblGrid>
      <w:tr w14:paraId="2245B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restart"/>
            <w:vAlign w:val="center"/>
          </w:tcPr>
          <w:p w14:paraId="1ADBACE6">
            <w:pPr>
              <w:autoSpaceDE/>
              <w:autoSpaceDN/>
              <w:adjustRightInd/>
              <w:spacing w:before="120" w:after="120" w:line="360" w:lineRule="auto"/>
              <w:jc w:val="center"/>
              <w:rPr>
                <w:rFonts w:hint="eastAsia" w:hAnsi="宋体"/>
                <w:sz w:val="21"/>
                <w:szCs w:val="21"/>
              </w:rPr>
            </w:pPr>
            <w:r>
              <w:rPr>
                <w:rFonts w:hint="eastAsia" w:hAnsi="宋体"/>
                <w:sz w:val="21"/>
                <w:szCs w:val="21"/>
              </w:rPr>
              <w:t>序号</w:t>
            </w:r>
          </w:p>
        </w:tc>
        <w:tc>
          <w:tcPr>
            <w:tcW w:w="4637" w:type="dxa"/>
            <w:gridSpan w:val="2"/>
            <w:vAlign w:val="center"/>
          </w:tcPr>
          <w:p w14:paraId="7884AD06">
            <w:pPr>
              <w:autoSpaceDE/>
              <w:autoSpaceDN/>
              <w:adjustRightInd/>
              <w:spacing w:before="120" w:after="120" w:line="360" w:lineRule="auto"/>
              <w:ind w:left="-122" w:leftChars="-51"/>
              <w:jc w:val="center"/>
              <w:rPr>
                <w:rFonts w:hint="eastAsia" w:hAnsi="宋体"/>
                <w:sz w:val="21"/>
                <w:szCs w:val="21"/>
              </w:rPr>
            </w:pPr>
            <w:r>
              <w:rPr>
                <w:rFonts w:hint="eastAsia" w:hAnsi="宋体"/>
                <w:sz w:val="21"/>
                <w:szCs w:val="21"/>
              </w:rPr>
              <w:t>磋商文件“★”号条款要求</w:t>
            </w:r>
          </w:p>
        </w:tc>
        <w:tc>
          <w:tcPr>
            <w:tcW w:w="4192" w:type="dxa"/>
            <w:gridSpan w:val="2"/>
            <w:vAlign w:val="center"/>
          </w:tcPr>
          <w:p w14:paraId="14EEA53C">
            <w:pPr>
              <w:autoSpaceDE/>
              <w:autoSpaceDN/>
              <w:adjustRightInd/>
              <w:spacing w:before="120" w:after="120" w:line="360" w:lineRule="auto"/>
              <w:ind w:left="-88"/>
              <w:jc w:val="center"/>
              <w:rPr>
                <w:rFonts w:hint="eastAsia" w:hAnsi="宋体"/>
                <w:sz w:val="21"/>
                <w:szCs w:val="21"/>
              </w:rPr>
            </w:pPr>
            <w:r>
              <w:rPr>
                <w:rFonts w:hint="eastAsia" w:hAnsi="宋体"/>
                <w:sz w:val="21"/>
                <w:szCs w:val="21"/>
              </w:rPr>
              <w:t>磋商响应文件内容</w:t>
            </w:r>
          </w:p>
        </w:tc>
      </w:tr>
      <w:tr w14:paraId="435F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continue"/>
            <w:vAlign w:val="center"/>
          </w:tcPr>
          <w:p w14:paraId="66B98EB8">
            <w:pPr>
              <w:keepNext/>
              <w:keepLines/>
              <w:autoSpaceDE/>
              <w:autoSpaceDN/>
              <w:adjustRightInd/>
              <w:spacing w:before="120" w:after="120" w:line="360" w:lineRule="auto"/>
              <w:ind w:left="629"/>
              <w:jc w:val="center"/>
              <w:rPr>
                <w:rFonts w:hint="eastAsia" w:hAnsi="宋体"/>
                <w:sz w:val="21"/>
                <w:szCs w:val="21"/>
              </w:rPr>
            </w:pPr>
          </w:p>
        </w:tc>
        <w:tc>
          <w:tcPr>
            <w:tcW w:w="1266" w:type="dxa"/>
            <w:vAlign w:val="center"/>
          </w:tcPr>
          <w:p w14:paraId="77A50587">
            <w:pPr>
              <w:autoSpaceDE/>
              <w:autoSpaceDN/>
              <w:adjustRightInd/>
              <w:spacing w:before="120" w:after="120" w:line="360" w:lineRule="auto"/>
              <w:jc w:val="center"/>
              <w:rPr>
                <w:rFonts w:hint="eastAsia" w:hAnsi="宋体"/>
                <w:sz w:val="21"/>
                <w:szCs w:val="21"/>
              </w:rPr>
            </w:pPr>
            <w:r>
              <w:rPr>
                <w:rFonts w:hint="eastAsia" w:hAnsi="宋体"/>
                <w:sz w:val="21"/>
                <w:szCs w:val="21"/>
              </w:rPr>
              <w:t>条款号</w:t>
            </w:r>
          </w:p>
        </w:tc>
        <w:tc>
          <w:tcPr>
            <w:tcW w:w="3371" w:type="dxa"/>
            <w:vAlign w:val="center"/>
          </w:tcPr>
          <w:p w14:paraId="10D20056">
            <w:pPr>
              <w:autoSpaceDE/>
              <w:autoSpaceDN/>
              <w:adjustRightInd/>
              <w:spacing w:before="120" w:after="120" w:line="360" w:lineRule="auto"/>
              <w:jc w:val="center"/>
              <w:rPr>
                <w:rFonts w:hint="eastAsia" w:hAnsi="宋体"/>
                <w:sz w:val="21"/>
                <w:szCs w:val="21"/>
              </w:rPr>
            </w:pPr>
            <w:r>
              <w:rPr>
                <w:rFonts w:hint="eastAsia" w:hAnsi="宋体"/>
                <w:sz w:val="21"/>
                <w:szCs w:val="21"/>
              </w:rPr>
              <w:t>简要内容</w:t>
            </w:r>
          </w:p>
        </w:tc>
        <w:tc>
          <w:tcPr>
            <w:tcW w:w="2113" w:type="dxa"/>
            <w:vAlign w:val="center"/>
          </w:tcPr>
          <w:p w14:paraId="6363931F">
            <w:pPr>
              <w:autoSpaceDE/>
              <w:autoSpaceDN/>
              <w:adjustRightInd/>
              <w:spacing w:before="120" w:after="120" w:line="360" w:lineRule="auto"/>
              <w:jc w:val="center"/>
              <w:rPr>
                <w:rFonts w:hint="eastAsia" w:hAnsi="宋体"/>
                <w:sz w:val="21"/>
                <w:szCs w:val="21"/>
              </w:rPr>
            </w:pPr>
            <w:r>
              <w:rPr>
                <w:rFonts w:hint="eastAsia" w:hAnsi="宋体"/>
                <w:sz w:val="21"/>
                <w:szCs w:val="21"/>
              </w:rPr>
              <w:t>偏离情况</w:t>
            </w:r>
          </w:p>
        </w:tc>
        <w:tc>
          <w:tcPr>
            <w:tcW w:w="2079" w:type="dxa"/>
            <w:vAlign w:val="center"/>
          </w:tcPr>
          <w:p w14:paraId="7E0FE8B8">
            <w:pPr>
              <w:autoSpaceDE/>
              <w:autoSpaceDN/>
              <w:adjustRightInd/>
              <w:spacing w:before="120" w:after="120" w:line="360" w:lineRule="auto"/>
              <w:jc w:val="center"/>
              <w:rPr>
                <w:rFonts w:hint="eastAsia" w:hAnsi="宋体"/>
                <w:sz w:val="21"/>
                <w:szCs w:val="21"/>
              </w:rPr>
            </w:pPr>
            <w:r>
              <w:rPr>
                <w:rFonts w:hint="eastAsia" w:hAnsi="宋体"/>
                <w:sz w:val="21"/>
                <w:szCs w:val="21"/>
              </w:rPr>
              <w:t>具体偏离内容</w:t>
            </w:r>
          </w:p>
        </w:tc>
      </w:tr>
      <w:tr w14:paraId="17B40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5037E389">
            <w:pPr>
              <w:autoSpaceDE/>
              <w:autoSpaceDN/>
              <w:adjustRightInd/>
              <w:spacing w:before="120" w:after="120" w:line="360" w:lineRule="auto"/>
              <w:ind w:left="-108"/>
              <w:jc w:val="center"/>
              <w:rPr>
                <w:rFonts w:hint="eastAsia" w:hAnsi="宋体"/>
                <w:sz w:val="21"/>
                <w:szCs w:val="21"/>
              </w:rPr>
            </w:pPr>
            <w:r>
              <w:rPr>
                <w:rFonts w:hint="eastAsia" w:hAnsi="宋体"/>
                <w:sz w:val="21"/>
                <w:szCs w:val="21"/>
              </w:rPr>
              <w:t>1</w:t>
            </w:r>
          </w:p>
        </w:tc>
        <w:tc>
          <w:tcPr>
            <w:tcW w:w="1266" w:type="dxa"/>
            <w:vAlign w:val="center"/>
          </w:tcPr>
          <w:p w14:paraId="0B20E114">
            <w:pPr>
              <w:spacing w:line="360" w:lineRule="auto"/>
              <w:jc w:val="center"/>
              <w:rPr>
                <w:rFonts w:hint="eastAsia" w:hAnsi="宋体"/>
                <w:sz w:val="21"/>
                <w:szCs w:val="21"/>
              </w:rPr>
            </w:pPr>
          </w:p>
          <w:p w14:paraId="07677BBC">
            <w:pPr>
              <w:spacing w:line="360" w:lineRule="auto"/>
              <w:jc w:val="center"/>
              <w:rPr>
                <w:rFonts w:hint="eastAsia" w:hAnsi="宋体"/>
                <w:sz w:val="21"/>
                <w:szCs w:val="21"/>
              </w:rPr>
            </w:pPr>
          </w:p>
          <w:p w14:paraId="28028901">
            <w:pPr>
              <w:spacing w:line="360" w:lineRule="auto"/>
              <w:jc w:val="center"/>
              <w:rPr>
                <w:rFonts w:hint="eastAsia" w:hAnsi="宋体"/>
                <w:sz w:val="21"/>
                <w:szCs w:val="21"/>
              </w:rPr>
            </w:pPr>
          </w:p>
          <w:p w14:paraId="044EBD90">
            <w:pPr>
              <w:spacing w:line="360" w:lineRule="auto"/>
              <w:jc w:val="center"/>
              <w:rPr>
                <w:rFonts w:hint="eastAsia" w:hAnsi="宋体"/>
                <w:sz w:val="21"/>
                <w:szCs w:val="21"/>
              </w:rPr>
            </w:pPr>
          </w:p>
          <w:p w14:paraId="5BCAFAC1">
            <w:pPr>
              <w:spacing w:line="360" w:lineRule="auto"/>
              <w:jc w:val="center"/>
              <w:rPr>
                <w:rFonts w:hint="eastAsia" w:hAnsi="宋体"/>
                <w:sz w:val="21"/>
                <w:szCs w:val="21"/>
              </w:rPr>
            </w:pPr>
          </w:p>
        </w:tc>
        <w:tc>
          <w:tcPr>
            <w:tcW w:w="3371" w:type="dxa"/>
            <w:vAlign w:val="center"/>
          </w:tcPr>
          <w:p w14:paraId="150295DB">
            <w:pPr>
              <w:spacing w:line="360" w:lineRule="auto"/>
              <w:jc w:val="center"/>
              <w:rPr>
                <w:rFonts w:hint="eastAsia" w:hAnsi="宋体"/>
                <w:sz w:val="21"/>
                <w:szCs w:val="21"/>
              </w:rPr>
            </w:pPr>
          </w:p>
        </w:tc>
        <w:tc>
          <w:tcPr>
            <w:tcW w:w="2113" w:type="dxa"/>
            <w:vAlign w:val="center"/>
          </w:tcPr>
          <w:p w14:paraId="1F3BC0F0">
            <w:pPr>
              <w:keepNext/>
              <w:keepLines/>
              <w:autoSpaceDE/>
              <w:autoSpaceDN/>
              <w:adjustRightInd/>
              <w:spacing w:before="120" w:after="120" w:line="360" w:lineRule="auto"/>
              <w:ind w:left="629"/>
              <w:jc w:val="center"/>
              <w:rPr>
                <w:rFonts w:hint="eastAsia" w:hAnsi="宋体"/>
                <w:sz w:val="21"/>
                <w:szCs w:val="21"/>
              </w:rPr>
            </w:pPr>
          </w:p>
        </w:tc>
        <w:tc>
          <w:tcPr>
            <w:tcW w:w="2079" w:type="dxa"/>
            <w:vAlign w:val="center"/>
          </w:tcPr>
          <w:p w14:paraId="52656A83">
            <w:pPr>
              <w:keepNext/>
              <w:keepLines/>
              <w:autoSpaceDE/>
              <w:autoSpaceDN/>
              <w:adjustRightInd/>
              <w:spacing w:before="120" w:after="120" w:line="360" w:lineRule="auto"/>
              <w:ind w:left="629"/>
              <w:jc w:val="center"/>
              <w:rPr>
                <w:rFonts w:hint="eastAsia" w:hAnsi="宋体"/>
                <w:sz w:val="21"/>
                <w:szCs w:val="21"/>
              </w:rPr>
            </w:pPr>
          </w:p>
        </w:tc>
      </w:tr>
      <w:tr w14:paraId="67A5A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717DFA91">
            <w:pPr>
              <w:autoSpaceDE/>
              <w:autoSpaceDN/>
              <w:adjustRightInd/>
              <w:spacing w:before="120" w:after="120" w:line="360" w:lineRule="auto"/>
              <w:ind w:left="-108"/>
              <w:jc w:val="center"/>
              <w:rPr>
                <w:rFonts w:hint="eastAsia" w:hAnsi="宋体"/>
                <w:sz w:val="21"/>
                <w:szCs w:val="21"/>
              </w:rPr>
            </w:pPr>
            <w:r>
              <w:rPr>
                <w:rFonts w:hint="eastAsia" w:hAnsi="宋体"/>
                <w:sz w:val="21"/>
                <w:szCs w:val="21"/>
              </w:rPr>
              <w:t>2</w:t>
            </w:r>
          </w:p>
        </w:tc>
        <w:tc>
          <w:tcPr>
            <w:tcW w:w="1266" w:type="dxa"/>
            <w:vAlign w:val="center"/>
          </w:tcPr>
          <w:p w14:paraId="09028085">
            <w:pPr>
              <w:spacing w:line="360" w:lineRule="auto"/>
              <w:jc w:val="center"/>
              <w:rPr>
                <w:rFonts w:hint="eastAsia" w:hAnsi="宋体"/>
                <w:sz w:val="21"/>
                <w:szCs w:val="21"/>
              </w:rPr>
            </w:pPr>
          </w:p>
        </w:tc>
        <w:tc>
          <w:tcPr>
            <w:tcW w:w="3371" w:type="dxa"/>
            <w:vAlign w:val="center"/>
          </w:tcPr>
          <w:p w14:paraId="40091AE6">
            <w:pPr>
              <w:spacing w:line="360" w:lineRule="auto"/>
              <w:jc w:val="center"/>
              <w:rPr>
                <w:rFonts w:hint="eastAsia" w:hAnsi="宋体"/>
                <w:sz w:val="21"/>
                <w:szCs w:val="21"/>
              </w:rPr>
            </w:pPr>
          </w:p>
        </w:tc>
        <w:tc>
          <w:tcPr>
            <w:tcW w:w="2113" w:type="dxa"/>
          </w:tcPr>
          <w:p w14:paraId="3859C651">
            <w:pPr>
              <w:keepNext/>
              <w:keepLines/>
              <w:autoSpaceDE/>
              <w:autoSpaceDN/>
              <w:adjustRightInd/>
              <w:spacing w:before="120" w:after="120" w:line="360" w:lineRule="auto"/>
              <w:ind w:left="629"/>
              <w:jc w:val="both"/>
              <w:rPr>
                <w:rFonts w:hint="eastAsia" w:hAnsi="宋体"/>
                <w:sz w:val="21"/>
                <w:szCs w:val="21"/>
              </w:rPr>
            </w:pPr>
          </w:p>
        </w:tc>
        <w:tc>
          <w:tcPr>
            <w:tcW w:w="2079" w:type="dxa"/>
            <w:vAlign w:val="center"/>
          </w:tcPr>
          <w:p w14:paraId="6719E651">
            <w:pPr>
              <w:keepNext/>
              <w:keepLines/>
              <w:autoSpaceDE/>
              <w:autoSpaceDN/>
              <w:adjustRightInd/>
              <w:spacing w:before="120" w:after="120" w:line="360" w:lineRule="auto"/>
              <w:ind w:left="629"/>
              <w:jc w:val="both"/>
              <w:rPr>
                <w:rFonts w:hint="eastAsia" w:hAnsi="宋体"/>
                <w:sz w:val="21"/>
                <w:szCs w:val="21"/>
              </w:rPr>
            </w:pPr>
          </w:p>
        </w:tc>
      </w:tr>
      <w:tr w14:paraId="7A9FE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59742C7B">
            <w:pPr>
              <w:autoSpaceDE/>
              <w:autoSpaceDN/>
              <w:adjustRightInd/>
              <w:spacing w:before="120" w:after="120" w:line="360" w:lineRule="auto"/>
              <w:ind w:left="-122" w:leftChars="-51"/>
              <w:jc w:val="center"/>
              <w:rPr>
                <w:rFonts w:hint="eastAsia" w:hAnsi="宋体"/>
                <w:kern w:val="2"/>
                <w:sz w:val="21"/>
                <w:szCs w:val="21"/>
              </w:rPr>
            </w:pPr>
            <w:r>
              <w:rPr>
                <w:rFonts w:hint="eastAsia" w:hAnsi="宋体"/>
                <w:kern w:val="2"/>
                <w:sz w:val="21"/>
                <w:szCs w:val="21"/>
              </w:rPr>
              <w:t>3</w:t>
            </w:r>
          </w:p>
        </w:tc>
        <w:tc>
          <w:tcPr>
            <w:tcW w:w="1266" w:type="dxa"/>
            <w:vAlign w:val="center"/>
          </w:tcPr>
          <w:p w14:paraId="58DB468B">
            <w:pPr>
              <w:spacing w:line="360" w:lineRule="auto"/>
              <w:jc w:val="center"/>
              <w:rPr>
                <w:rFonts w:hint="eastAsia" w:hAnsi="宋体"/>
                <w:sz w:val="21"/>
                <w:szCs w:val="21"/>
              </w:rPr>
            </w:pPr>
          </w:p>
        </w:tc>
        <w:tc>
          <w:tcPr>
            <w:tcW w:w="3371" w:type="dxa"/>
            <w:vAlign w:val="center"/>
          </w:tcPr>
          <w:p w14:paraId="6F2E36DB">
            <w:pPr>
              <w:spacing w:line="360" w:lineRule="auto"/>
              <w:jc w:val="center"/>
              <w:rPr>
                <w:rFonts w:hint="eastAsia" w:hAnsi="宋体"/>
                <w:sz w:val="21"/>
                <w:szCs w:val="21"/>
              </w:rPr>
            </w:pPr>
          </w:p>
        </w:tc>
        <w:tc>
          <w:tcPr>
            <w:tcW w:w="2113" w:type="dxa"/>
          </w:tcPr>
          <w:p w14:paraId="5AFB7322">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vAlign w:val="center"/>
          </w:tcPr>
          <w:p w14:paraId="7B7CB7B0">
            <w:pPr>
              <w:keepNext/>
              <w:keepLines/>
              <w:autoSpaceDE/>
              <w:autoSpaceDN/>
              <w:adjustRightInd/>
              <w:spacing w:before="120" w:after="120" w:line="360" w:lineRule="auto"/>
              <w:ind w:left="-122" w:leftChars="-51"/>
              <w:jc w:val="center"/>
              <w:rPr>
                <w:rFonts w:hint="eastAsia" w:hAnsi="宋体"/>
                <w:kern w:val="2"/>
                <w:sz w:val="21"/>
                <w:szCs w:val="21"/>
              </w:rPr>
            </w:pPr>
          </w:p>
        </w:tc>
      </w:tr>
      <w:tr w14:paraId="24055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6289DBAE">
            <w:pPr>
              <w:autoSpaceDE/>
              <w:autoSpaceDN/>
              <w:adjustRightInd/>
              <w:spacing w:before="120" w:after="120" w:line="360" w:lineRule="auto"/>
              <w:ind w:left="-122" w:leftChars="-51"/>
              <w:jc w:val="center"/>
              <w:rPr>
                <w:rFonts w:hint="eastAsia" w:hAnsi="宋体"/>
                <w:kern w:val="2"/>
                <w:sz w:val="21"/>
                <w:szCs w:val="21"/>
              </w:rPr>
            </w:pPr>
            <w:r>
              <w:rPr>
                <w:rFonts w:hint="eastAsia" w:hAnsi="宋体"/>
                <w:kern w:val="2"/>
                <w:sz w:val="21"/>
                <w:szCs w:val="21"/>
              </w:rPr>
              <w:t>……</w:t>
            </w:r>
          </w:p>
        </w:tc>
        <w:tc>
          <w:tcPr>
            <w:tcW w:w="1266" w:type="dxa"/>
            <w:vAlign w:val="center"/>
          </w:tcPr>
          <w:p w14:paraId="5DBD9D51">
            <w:pPr>
              <w:spacing w:line="360" w:lineRule="auto"/>
              <w:jc w:val="center"/>
              <w:rPr>
                <w:rFonts w:hint="eastAsia" w:hAnsi="宋体"/>
                <w:sz w:val="21"/>
                <w:szCs w:val="21"/>
              </w:rPr>
            </w:pPr>
          </w:p>
        </w:tc>
        <w:tc>
          <w:tcPr>
            <w:tcW w:w="3371" w:type="dxa"/>
            <w:vAlign w:val="center"/>
          </w:tcPr>
          <w:p w14:paraId="4E4916F9">
            <w:pPr>
              <w:spacing w:line="360" w:lineRule="auto"/>
              <w:jc w:val="center"/>
              <w:rPr>
                <w:rFonts w:hint="eastAsia" w:hAnsi="宋体"/>
                <w:sz w:val="21"/>
                <w:szCs w:val="21"/>
              </w:rPr>
            </w:pPr>
          </w:p>
        </w:tc>
        <w:tc>
          <w:tcPr>
            <w:tcW w:w="2113" w:type="dxa"/>
          </w:tcPr>
          <w:p w14:paraId="65033389">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vAlign w:val="center"/>
          </w:tcPr>
          <w:p w14:paraId="46DCE9E2">
            <w:pPr>
              <w:keepNext/>
              <w:keepLines/>
              <w:autoSpaceDE/>
              <w:autoSpaceDN/>
              <w:adjustRightInd/>
              <w:spacing w:before="120" w:after="120" w:line="360" w:lineRule="auto"/>
              <w:ind w:left="-122" w:leftChars="-51"/>
              <w:jc w:val="center"/>
              <w:rPr>
                <w:rFonts w:hint="eastAsia" w:hAnsi="宋体"/>
                <w:kern w:val="2"/>
                <w:sz w:val="21"/>
                <w:szCs w:val="21"/>
              </w:rPr>
            </w:pPr>
          </w:p>
        </w:tc>
      </w:tr>
      <w:tr w14:paraId="1F2E3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7C13637F">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0EDCFA19">
            <w:pPr>
              <w:spacing w:line="360" w:lineRule="auto"/>
              <w:jc w:val="center"/>
              <w:rPr>
                <w:rFonts w:hint="eastAsia" w:hAnsi="宋体"/>
                <w:sz w:val="21"/>
                <w:szCs w:val="21"/>
              </w:rPr>
            </w:pPr>
          </w:p>
        </w:tc>
        <w:tc>
          <w:tcPr>
            <w:tcW w:w="3371" w:type="dxa"/>
            <w:vAlign w:val="center"/>
          </w:tcPr>
          <w:p w14:paraId="4E734768">
            <w:pPr>
              <w:spacing w:line="360" w:lineRule="auto"/>
              <w:jc w:val="center"/>
              <w:rPr>
                <w:rFonts w:hint="eastAsia" w:hAnsi="宋体"/>
                <w:sz w:val="21"/>
                <w:szCs w:val="21"/>
              </w:rPr>
            </w:pPr>
          </w:p>
        </w:tc>
        <w:tc>
          <w:tcPr>
            <w:tcW w:w="2113" w:type="dxa"/>
          </w:tcPr>
          <w:p w14:paraId="37872EB5">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vAlign w:val="center"/>
          </w:tcPr>
          <w:p w14:paraId="5817ABFF">
            <w:pPr>
              <w:keepNext/>
              <w:keepLines/>
              <w:autoSpaceDE/>
              <w:autoSpaceDN/>
              <w:adjustRightInd/>
              <w:spacing w:before="120" w:after="120" w:line="360" w:lineRule="auto"/>
              <w:ind w:left="-122" w:leftChars="-51"/>
              <w:jc w:val="center"/>
              <w:rPr>
                <w:rFonts w:hint="eastAsia" w:hAnsi="宋体"/>
                <w:kern w:val="2"/>
                <w:sz w:val="21"/>
                <w:szCs w:val="21"/>
              </w:rPr>
            </w:pPr>
          </w:p>
        </w:tc>
      </w:tr>
      <w:tr w14:paraId="74211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A44C877">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4BCB5FD6">
            <w:pPr>
              <w:spacing w:line="360" w:lineRule="auto"/>
              <w:jc w:val="center"/>
              <w:rPr>
                <w:rFonts w:hint="eastAsia" w:hAnsi="宋体"/>
                <w:sz w:val="21"/>
                <w:szCs w:val="21"/>
              </w:rPr>
            </w:pPr>
          </w:p>
        </w:tc>
        <w:tc>
          <w:tcPr>
            <w:tcW w:w="3371" w:type="dxa"/>
            <w:vAlign w:val="center"/>
          </w:tcPr>
          <w:p w14:paraId="54287014">
            <w:pPr>
              <w:spacing w:line="360" w:lineRule="auto"/>
              <w:jc w:val="center"/>
              <w:rPr>
                <w:rFonts w:hint="eastAsia" w:hAnsi="宋体"/>
                <w:sz w:val="21"/>
                <w:szCs w:val="21"/>
              </w:rPr>
            </w:pPr>
          </w:p>
        </w:tc>
        <w:tc>
          <w:tcPr>
            <w:tcW w:w="2113" w:type="dxa"/>
          </w:tcPr>
          <w:p w14:paraId="2E609937">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vAlign w:val="center"/>
          </w:tcPr>
          <w:p w14:paraId="4AE2A6AD">
            <w:pPr>
              <w:keepNext/>
              <w:keepLines/>
              <w:autoSpaceDE/>
              <w:autoSpaceDN/>
              <w:adjustRightInd/>
              <w:spacing w:before="120" w:after="120" w:line="360" w:lineRule="auto"/>
              <w:ind w:left="-122" w:leftChars="-51"/>
              <w:jc w:val="center"/>
              <w:rPr>
                <w:rFonts w:hint="eastAsia" w:hAnsi="宋体"/>
                <w:kern w:val="2"/>
                <w:sz w:val="21"/>
                <w:szCs w:val="21"/>
              </w:rPr>
            </w:pPr>
          </w:p>
        </w:tc>
      </w:tr>
      <w:tr w14:paraId="78789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3855CB9">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1E42FB27">
            <w:pPr>
              <w:spacing w:line="360" w:lineRule="auto"/>
              <w:jc w:val="center"/>
              <w:rPr>
                <w:rFonts w:hint="eastAsia" w:hAnsi="宋体"/>
                <w:sz w:val="21"/>
                <w:szCs w:val="21"/>
              </w:rPr>
            </w:pPr>
          </w:p>
        </w:tc>
        <w:tc>
          <w:tcPr>
            <w:tcW w:w="3371" w:type="dxa"/>
            <w:vAlign w:val="center"/>
          </w:tcPr>
          <w:p w14:paraId="0AA9C7C2">
            <w:pPr>
              <w:spacing w:line="360" w:lineRule="auto"/>
              <w:jc w:val="center"/>
              <w:rPr>
                <w:rFonts w:hint="eastAsia" w:hAnsi="宋体"/>
                <w:sz w:val="21"/>
                <w:szCs w:val="21"/>
              </w:rPr>
            </w:pPr>
          </w:p>
        </w:tc>
        <w:tc>
          <w:tcPr>
            <w:tcW w:w="2113" w:type="dxa"/>
          </w:tcPr>
          <w:p w14:paraId="2E6126FC">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60214C4A">
            <w:pPr>
              <w:keepNext/>
              <w:keepLines/>
              <w:autoSpaceDE/>
              <w:autoSpaceDN/>
              <w:adjustRightInd/>
              <w:spacing w:before="120" w:after="120" w:line="360" w:lineRule="auto"/>
              <w:ind w:left="-122" w:leftChars="-51"/>
              <w:jc w:val="center"/>
              <w:rPr>
                <w:rFonts w:hint="eastAsia" w:hAnsi="宋体"/>
                <w:kern w:val="2"/>
                <w:sz w:val="21"/>
                <w:szCs w:val="21"/>
              </w:rPr>
            </w:pPr>
          </w:p>
        </w:tc>
      </w:tr>
      <w:tr w14:paraId="7829E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46114BFB">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209CA88A">
            <w:pPr>
              <w:spacing w:line="360" w:lineRule="auto"/>
              <w:jc w:val="center"/>
              <w:rPr>
                <w:rFonts w:hint="eastAsia" w:hAnsi="宋体"/>
                <w:sz w:val="21"/>
                <w:szCs w:val="21"/>
              </w:rPr>
            </w:pPr>
          </w:p>
        </w:tc>
        <w:tc>
          <w:tcPr>
            <w:tcW w:w="3371" w:type="dxa"/>
            <w:vAlign w:val="center"/>
          </w:tcPr>
          <w:p w14:paraId="34FA6D22">
            <w:pPr>
              <w:spacing w:line="360" w:lineRule="auto"/>
              <w:jc w:val="center"/>
              <w:rPr>
                <w:rFonts w:hint="eastAsia" w:hAnsi="宋体"/>
                <w:sz w:val="21"/>
                <w:szCs w:val="21"/>
              </w:rPr>
            </w:pPr>
          </w:p>
        </w:tc>
        <w:tc>
          <w:tcPr>
            <w:tcW w:w="2113" w:type="dxa"/>
          </w:tcPr>
          <w:p w14:paraId="06397145">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64BB1538">
            <w:pPr>
              <w:keepNext/>
              <w:keepLines/>
              <w:autoSpaceDE/>
              <w:autoSpaceDN/>
              <w:adjustRightInd/>
              <w:spacing w:before="120" w:after="120" w:line="360" w:lineRule="auto"/>
              <w:ind w:left="-122" w:leftChars="-51"/>
              <w:jc w:val="center"/>
              <w:rPr>
                <w:rFonts w:hint="eastAsia" w:hAnsi="宋体"/>
                <w:kern w:val="2"/>
                <w:sz w:val="21"/>
                <w:szCs w:val="21"/>
              </w:rPr>
            </w:pPr>
          </w:p>
        </w:tc>
      </w:tr>
      <w:tr w14:paraId="49FB7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7A49D566">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7D8C932D">
            <w:pPr>
              <w:spacing w:line="360" w:lineRule="auto"/>
              <w:jc w:val="center"/>
              <w:rPr>
                <w:rFonts w:hint="eastAsia" w:hAnsi="宋体"/>
                <w:sz w:val="21"/>
                <w:szCs w:val="21"/>
              </w:rPr>
            </w:pPr>
          </w:p>
        </w:tc>
        <w:tc>
          <w:tcPr>
            <w:tcW w:w="3371" w:type="dxa"/>
            <w:vAlign w:val="center"/>
          </w:tcPr>
          <w:p w14:paraId="14F71F8F">
            <w:pPr>
              <w:spacing w:line="360" w:lineRule="auto"/>
              <w:jc w:val="center"/>
              <w:rPr>
                <w:rFonts w:hint="eastAsia" w:hAnsi="宋体"/>
                <w:sz w:val="21"/>
                <w:szCs w:val="21"/>
              </w:rPr>
            </w:pPr>
          </w:p>
        </w:tc>
        <w:tc>
          <w:tcPr>
            <w:tcW w:w="2113" w:type="dxa"/>
          </w:tcPr>
          <w:p w14:paraId="67826E50">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11CEEA34">
            <w:pPr>
              <w:keepNext/>
              <w:keepLines/>
              <w:autoSpaceDE/>
              <w:autoSpaceDN/>
              <w:adjustRightInd/>
              <w:spacing w:before="120" w:after="120" w:line="360" w:lineRule="auto"/>
              <w:ind w:left="-122" w:leftChars="-51"/>
              <w:jc w:val="center"/>
              <w:rPr>
                <w:rFonts w:hint="eastAsia" w:hAnsi="宋体"/>
                <w:kern w:val="2"/>
                <w:sz w:val="21"/>
                <w:szCs w:val="21"/>
              </w:rPr>
            </w:pPr>
          </w:p>
        </w:tc>
      </w:tr>
      <w:tr w14:paraId="15203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4F5EB47E">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7F3F3364">
            <w:pPr>
              <w:spacing w:line="360" w:lineRule="auto"/>
              <w:jc w:val="center"/>
              <w:rPr>
                <w:rFonts w:hint="eastAsia" w:hAnsi="宋体"/>
                <w:sz w:val="21"/>
                <w:szCs w:val="21"/>
              </w:rPr>
            </w:pPr>
          </w:p>
        </w:tc>
        <w:tc>
          <w:tcPr>
            <w:tcW w:w="3371" w:type="dxa"/>
            <w:vAlign w:val="center"/>
          </w:tcPr>
          <w:p w14:paraId="36A37991">
            <w:pPr>
              <w:spacing w:line="360" w:lineRule="auto"/>
              <w:jc w:val="center"/>
              <w:rPr>
                <w:rFonts w:hint="eastAsia" w:hAnsi="宋体"/>
                <w:sz w:val="21"/>
                <w:szCs w:val="21"/>
              </w:rPr>
            </w:pPr>
          </w:p>
        </w:tc>
        <w:tc>
          <w:tcPr>
            <w:tcW w:w="2113" w:type="dxa"/>
          </w:tcPr>
          <w:p w14:paraId="387B7B6E">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743AF6EF">
            <w:pPr>
              <w:keepNext/>
              <w:keepLines/>
              <w:autoSpaceDE/>
              <w:autoSpaceDN/>
              <w:adjustRightInd/>
              <w:spacing w:before="120" w:after="120" w:line="360" w:lineRule="auto"/>
              <w:ind w:left="-122" w:leftChars="-51"/>
              <w:jc w:val="center"/>
              <w:rPr>
                <w:rFonts w:hint="eastAsia" w:hAnsi="宋体"/>
                <w:kern w:val="2"/>
                <w:sz w:val="21"/>
                <w:szCs w:val="21"/>
              </w:rPr>
            </w:pPr>
          </w:p>
        </w:tc>
      </w:tr>
      <w:tr w14:paraId="5ED5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0FC72523">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65E865F6">
            <w:pPr>
              <w:spacing w:line="360" w:lineRule="auto"/>
              <w:jc w:val="center"/>
              <w:rPr>
                <w:rFonts w:hint="eastAsia" w:hAnsi="宋体"/>
                <w:sz w:val="21"/>
                <w:szCs w:val="21"/>
              </w:rPr>
            </w:pPr>
          </w:p>
        </w:tc>
        <w:tc>
          <w:tcPr>
            <w:tcW w:w="3371" w:type="dxa"/>
            <w:vAlign w:val="center"/>
          </w:tcPr>
          <w:p w14:paraId="1F9C7BB1">
            <w:pPr>
              <w:spacing w:line="360" w:lineRule="auto"/>
              <w:jc w:val="center"/>
              <w:rPr>
                <w:rFonts w:hint="eastAsia" w:hAnsi="宋体"/>
                <w:sz w:val="21"/>
                <w:szCs w:val="21"/>
              </w:rPr>
            </w:pPr>
          </w:p>
        </w:tc>
        <w:tc>
          <w:tcPr>
            <w:tcW w:w="2113" w:type="dxa"/>
          </w:tcPr>
          <w:p w14:paraId="5141E94D">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68A00B0F">
            <w:pPr>
              <w:keepNext/>
              <w:keepLines/>
              <w:autoSpaceDE/>
              <w:autoSpaceDN/>
              <w:adjustRightInd/>
              <w:spacing w:before="120" w:after="120" w:line="360" w:lineRule="auto"/>
              <w:ind w:left="-122" w:leftChars="-51"/>
              <w:jc w:val="center"/>
              <w:rPr>
                <w:rFonts w:hint="eastAsia" w:hAnsi="宋体"/>
                <w:kern w:val="2"/>
                <w:sz w:val="21"/>
                <w:szCs w:val="21"/>
              </w:rPr>
            </w:pPr>
          </w:p>
        </w:tc>
      </w:tr>
      <w:tr w14:paraId="559F5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16D70E8">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4E914DBF">
            <w:pPr>
              <w:spacing w:line="360" w:lineRule="auto"/>
              <w:jc w:val="center"/>
              <w:rPr>
                <w:rFonts w:hint="eastAsia" w:hAnsi="宋体"/>
                <w:sz w:val="21"/>
                <w:szCs w:val="21"/>
              </w:rPr>
            </w:pPr>
          </w:p>
        </w:tc>
        <w:tc>
          <w:tcPr>
            <w:tcW w:w="3371" w:type="dxa"/>
            <w:vAlign w:val="center"/>
          </w:tcPr>
          <w:p w14:paraId="37606D95">
            <w:pPr>
              <w:spacing w:line="360" w:lineRule="auto"/>
              <w:jc w:val="center"/>
              <w:rPr>
                <w:rFonts w:hint="eastAsia" w:hAnsi="宋体"/>
                <w:sz w:val="21"/>
                <w:szCs w:val="21"/>
              </w:rPr>
            </w:pPr>
          </w:p>
        </w:tc>
        <w:tc>
          <w:tcPr>
            <w:tcW w:w="2113" w:type="dxa"/>
          </w:tcPr>
          <w:p w14:paraId="0958B4C4">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2B1B6932">
            <w:pPr>
              <w:keepNext/>
              <w:keepLines/>
              <w:autoSpaceDE/>
              <w:autoSpaceDN/>
              <w:adjustRightInd/>
              <w:spacing w:before="120" w:after="120" w:line="360" w:lineRule="auto"/>
              <w:ind w:left="-122" w:leftChars="-51"/>
              <w:jc w:val="center"/>
              <w:rPr>
                <w:rFonts w:hint="eastAsia" w:hAnsi="宋体"/>
                <w:kern w:val="2"/>
                <w:sz w:val="21"/>
                <w:szCs w:val="21"/>
              </w:rPr>
            </w:pPr>
          </w:p>
        </w:tc>
      </w:tr>
      <w:tr w14:paraId="4ACB0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D52BD2C">
            <w:pPr>
              <w:autoSpaceDE/>
              <w:autoSpaceDN/>
              <w:adjustRightInd/>
              <w:spacing w:before="120" w:after="120" w:line="360" w:lineRule="auto"/>
              <w:ind w:left="-122" w:leftChars="-51"/>
              <w:jc w:val="center"/>
              <w:rPr>
                <w:rFonts w:hint="eastAsia" w:hAnsi="宋体"/>
                <w:kern w:val="2"/>
                <w:sz w:val="21"/>
                <w:szCs w:val="21"/>
              </w:rPr>
            </w:pPr>
          </w:p>
        </w:tc>
        <w:tc>
          <w:tcPr>
            <w:tcW w:w="1266" w:type="dxa"/>
            <w:vAlign w:val="center"/>
          </w:tcPr>
          <w:p w14:paraId="4A301880">
            <w:pPr>
              <w:spacing w:line="360" w:lineRule="auto"/>
              <w:jc w:val="center"/>
              <w:rPr>
                <w:rFonts w:hint="eastAsia" w:hAnsi="宋体"/>
                <w:sz w:val="21"/>
                <w:szCs w:val="21"/>
              </w:rPr>
            </w:pPr>
          </w:p>
        </w:tc>
        <w:tc>
          <w:tcPr>
            <w:tcW w:w="3371" w:type="dxa"/>
            <w:vAlign w:val="center"/>
          </w:tcPr>
          <w:p w14:paraId="3228C656">
            <w:pPr>
              <w:spacing w:line="360" w:lineRule="auto"/>
              <w:jc w:val="center"/>
              <w:rPr>
                <w:rFonts w:hint="eastAsia" w:hAnsi="宋体"/>
                <w:sz w:val="21"/>
                <w:szCs w:val="21"/>
              </w:rPr>
            </w:pPr>
          </w:p>
        </w:tc>
        <w:tc>
          <w:tcPr>
            <w:tcW w:w="2113" w:type="dxa"/>
          </w:tcPr>
          <w:p w14:paraId="614D90EE">
            <w:pPr>
              <w:keepNext/>
              <w:keepLines/>
              <w:autoSpaceDE/>
              <w:autoSpaceDN/>
              <w:adjustRightInd/>
              <w:spacing w:before="120" w:after="120" w:line="360" w:lineRule="auto"/>
              <w:ind w:left="-122" w:leftChars="-51"/>
              <w:jc w:val="center"/>
              <w:rPr>
                <w:rFonts w:hint="eastAsia" w:hAnsi="宋体"/>
                <w:kern w:val="2"/>
                <w:sz w:val="21"/>
                <w:szCs w:val="21"/>
              </w:rPr>
            </w:pPr>
          </w:p>
        </w:tc>
        <w:tc>
          <w:tcPr>
            <w:tcW w:w="2079" w:type="dxa"/>
          </w:tcPr>
          <w:p w14:paraId="77BDE36F">
            <w:pPr>
              <w:keepNext/>
              <w:keepLines/>
              <w:autoSpaceDE/>
              <w:autoSpaceDN/>
              <w:adjustRightInd/>
              <w:spacing w:before="120" w:after="120" w:line="360" w:lineRule="auto"/>
              <w:ind w:left="-122" w:leftChars="-51"/>
              <w:jc w:val="center"/>
              <w:rPr>
                <w:rFonts w:hint="eastAsia" w:hAnsi="宋体"/>
                <w:kern w:val="2"/>
                <w:sz w:val="21"/>
                <w:szCs w:val="21"/>
              </w:rPr>
            </w:pPr>
          </w:p>
        </w:tc>
      </w:tr>
    </w:tbl>
    <w:p w14:paraId="699FA43E">
      <w:pPr>
        <w:autoSpaceDE/>
        <w:autoSpaceDN/>
        <w:adjustRightInd/>
        <w:spacing w:line="360" w:lineRule="auto"/>
        <w:ind w:left="565" w:leftChars="-59" w:hanging="707" w:hangingChars="337"/>
        <w:jc w:val="both"/>
        <w:rPr>
          <w:rFonts w:hint="eastAsia" w:hAnsi="宋体"/>
          <w:b/>
          <w:kern w:val="2"/>
          <w:sz w:val="21"/>
          <w:szCs w:val="21"/>
        </w:rPr>
      </w:pPr>
      <w:r>
        <w:rPr>
          <w:rFonts w:hint="eastAsia" w:hAnsi="宋体"/>
          <w:kern w:val="2"/>
          <w:sz w:val="21"/>
          <w:szCs w:val="21"/>
        </w:rPr>
        <w:t>注：1、</w:t>
      </w:r>
      <w:r>
        <w:rPr>
          <w:rFonts w:hint="eastAsia" w:hAnsi="宋体"/>
          <w:b/>
          <w:kern w:val="2"/>
          <w:sz w:val="21"/>
          <w:szCs w:val="21"/>
        </w:rPr>
        <w:t>供应商应按照磋商文件用户需求要求，逐条、如实地填写“偏离情况”项</w:t>
      </w:r>
      <w:r>
        <w:rPr>
          <w:rFonts w:hint="eastAsia" w:hAnsi="宋体"/>
          <w:kern w:val="2"/>
          <w:sz w:val="21"/>
          <w:szCs w:val="21"/>
        </w:rPr>
        <w:t>。</w:t>
      </w:r>
      <w:r>
        <w:rPr>
          <w:rFonts w:hint="eastAsia" w:hAnsi="宋体"/>
          <w:b/>
          <w:kern w:val="2"/>
          <w:sz w:val="21"/>
          <w:szCs w:val="21"/>
        </w:rPr>
        <w:t>“偏离情况”项为正偏离（或负偏离）的，必须在“具体偏离内容”项内详细说明与磋商文件的偏离内容，“偏离情况”项为无偏离的，在“具体偏离内容”项内填“无”。若发现此表未逐条填写或虚假填写本表，按无效磋商响应文件处理。</w:t>
      </w:r>
    </w:p>
    <w:p w14:paraId="2C6CD210">
      <w:pPr>
        <w:autoSpaceDE/>
        <w:autoSpaceDN/>
        <w:adjustRightInd/>
        <w:spacing w:line="360" w:lineRule="auto"/>
        <w:ind w:left="561" w:leftChars="115" w:hanging="285" w:hangingChars="135"/>
        <w:jc w:val="both"/>
        <w:rPr>
          <w:rFonts w:hint="eastAsia" w:hAnsi="宋体"/>
          <w:i/>
          <w:iCs/>
          <w:sz w:val="21"/>
          <w:szCs w:val="21"/>
        </w:rPr>
      </w:pPr>
      <w:r>
        <w:rPr>
          <w:rFonts w:hint="eastAsia" w:hAnsi="宋体"/>
          <w:b/>
          <w:kern w:val="2"/>
          <w:sz w:val="21"/>
          <w:szCs w:val="21"/>
        </w:rPr>
        <w:t>2、由供应商自行补充磋商文件所有“★”号条款内容（如有），标注“★”号条款均为必须完全满足指标，供应商须进行实质性响应，供应商若有一项带“★”的条款未响应或不满足，将按无效磋商处理。</w:t>
      </w:r>
    </w:p>
    <w:p w14:paraId="65C38D19">
      <w:pPr>
        <w:overflowPunct w:val="0"/>
        <w:spacing w:line="460" w:lineRule="exact"/>
        <w:rPr>
          <w:rFonts w:hint="eastAsia" w:hAnsi="宋体"/>
          <w:sz w:val="21"/>
          <w:szCs w:val="21"/>
        </w:rPr>
      </w:pPr>
      <w:r>
        <w:rPr>
          <w:rFonts w:hint="eastAsia" w:hAnsi="宋体"/>
          <w:sz w:val="21"/>
          <w:szCs w:val="21"/>
        </w:rPr>
        <w:t>供应商名称（加盖公章）：</w:t>
      </w:r>
    </w:p>
    <w:p w14:paraId="1A08D765">
      <w:pPr>
        <w:overflowPunct w:val="0"/>
        <w:spacing w:line="460" w:lineRule="exact"/>
        <w:rPr>
          <w:rFonts w:hint="eastAsia" w:hAnsi="宋体"/>
          <w:sz w:val="21"/>
          <w:szCs w:val="21"/>
        </w:rPr>
      </w:pPr>
      <w:r>
        <w:rPr>
          <w:rFonts w:hint="eastAsia" w:hAnsi="宋体"/>
          <w:sz w:val="21"/>
          <w:szCs w:val="21"/>
        </w:rPr>
        <w:t>供应商法定代表人或受委托人（签名或盖私章）：</w:t>
      </w:r>
    </w:p>
    <w:p w14:paraId="603BF2F7">
      <w:pPr>
        <w:rPr>
          <w:rFonts w:hint="eastAsia" w:hAnsi="宋体"/>
          <w:sz w:val="22"/>
          <w:szCs w:val="22"/>
        </w:rPr>
      </w:pPr>
      <w:r>
        <w:rPr>
          <w:rFonts w:hint="eastAsia" w:hAnsi="宋体"/>
          <w:sz w:val="21"/>
          <w:szCs w:val="21"/>
        </w:rPr>
        <w:t>日期：年月日</w:t>
      </w:r>
    </w:p>
    <w:p w14:paraId="76E4CD30">
      <w:pPr>
        <w:pStyle w:val="15"/>
        <w:ind w:firstLine="400"/>
      </w:pPr>
    </w:p>
    <w:p w14:paraId="42A09403">
      <w:pPr>
        <w:pStyle w:val="6"/>
        <w:numPr>
          <w:ilvl w:val="0"/>
          <w:numId w:val="14"/>
        </w:numPr>
        <w:jc w:val="center"/>
        <w:rPr>
          <w:rFonts w:hint="eastAsia"/>
          <w:sz w:val="28"/>
          <w:szCs w:val="28"/>
        </w:rPr>
      </w:pPr>
      <w:bookmarkStart w:id="268" w:name="_Toc12735"/>
      <w:bookmarkStart w:id="269" w:name="_Toc1441"/>
      <w:r>
        <w:rPr>
          <w:rFonts w:hint="eastAsia"/>
          <w:bCs/>
          <w:sz w:val="28"/>
          <w:szCs w:val="28"/>
        </w:rPr>
        <w:t>供应商所获资质或奖项证书一览表</w:t>
      </w:r>
      <w:bookmarkEnd w:id="266"/>
      <w:bookmarkEnd w:id="267"/>
      <w:bookmarkEnd w:id="268"/>
      <w:bookmarkEnd w:id="269"/>
    </w:p>
    <w:p w14:paraId="255B0E62">
      <w:pPr>
        <w:pStyle w:val="15"/>
        <w:tabs>
          <w:tab w:val="left" w:pos="8280"/>
        </w:tabs>
        <w:spacing w:line="480" w:lineRule="exact"/>
        <w:ind w:firstLine="482"/>
        <w:rPr>
          <w:rFonts w:hint="eastAsia" w:hAnsi="宋体"/>
          <w:b/>
          <w:sz w:val="24"/>
          <w:szCs w:val="21"/>
        </w:rPr>
      </w:pPr>
    </w:p>
    <w:tbl>
      <w:tblPr>
        <w:tblStyle w:val="53"/>
        <w:tblW w:w="8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18"/>
        <w:gridCol w:w="2218"/>
        <w:gridCol w:w="1862"/>
        <w:gridCol w:w="1529"/>
      </w:tblGrid>
      <w:tr w14:paraId="6A5D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1439088">
            <w:pPr>
              <w:pStyle w:val="15"/>
              <w:ind w:firstLine="0" w:firstLineChars="0"/>
              <w:jc w:val="both"/>
              <w:rPr>
                <w:rFonts w:hint="eastAsia" w:ascii="Times New Roman" w:hAnsi="宋体"/>
                <w:b/>
                <w:bCs/>
                <w:sz w:val="21"/>
                <w:szCs w:val="21"/>
              </w:rPr>
            </w:pPr>
            <w:r>
              <w:rPr>
                <w:rFonts w:hint="eastAsia" w:ascii="Times New Roman" w:hAnsi="宋体"/>
                <w:b/>
                <w:bCs/>
                <w:sz w:val="21"/>
                <w:szCs w:val="21"/>
              </w:rPr>
              <w:t>序号</w:t>
            </w:r>
          </w:p>
        </w:tc>
        <w:tc>
          <w:tcPr>
            <w:tcW w:w="2218" w:type="dxa"/>
            <w:vAlign w:val="center"/>
          </w:tcPr>
          <w:p w14:paraId="080C7D76">
            <w:pPr>
              <w:pStyle w:val="15"/>
              <w:ind w:firstLine="422"/>
              <w:jc w:val="center"/>
              <w:rPr>
                <w:rFonts w:hint="eastAsia" w:ascii="Times New Roman" w:hAnsi="宋体"/>
                <w:b/>
                <w:bCs/>
                <w:sz w:val="21"/>
                <w:szCs w:val="21"/>
              </w:rPr>
            </w:pPr>
            <w:r>
              <w:rPr>
                <w:rFonts w:hint="eastAsia" w:ascii="Times New Roman" w:hAnsi="宋体"/>
                <w:b/>
                <w:bCs/>
                <w:sz w:val="21"/>
                <w:szCs w:val="21"/>
              </w:rPr>
              <w:t>证书名称及等级</w:t>
            </w:r>
          </w:p>
        </w:tc>
        <w:tc>
          <w:tcPr>
            <w:tcW w:w="2218" w:type="dxa"/>
            <w:vAlign w:val="center"/>
          </w:tcPr>
          <w:p w14:paraId="6235D95A">
            <w:pPr>
              <w:pStyle w:val="15"/>
              <w:ind w:firstLine="422"/>
              <w:jc w:val="center"/>
              <w:rPr>
                <w:rFonts w:hint="eastAsia" w:ascii="Times New Roman" w:hAnsi="宋体"/>
                <w:b/>
                <w:bCs/>
                <w:sz w:val="21"/>
                <w:szCs w:val="21"/>
              </w:rPr>
            </w:pPr>
            <w:r>
              <w:rPr>
                <w:rFonts w:hint="eastAsia" w:ascii="Times New Roman" w:hAnsi="宋体"/>
                <w:b/>
                <w:bCs/>
                <w:sz w:val="21"/>
                <w:szCs w:val="21"/>
              </w:rPr>
              <w:t>证书编号</w:t>
            </w:r>
          </w:p>
        </w:tc>
        <w:tc>
          <w:tcPr>
            <w:tcW w:w="1862" w:type="dxa"/>
            <w:vAlign w:val="center"/>
          </w:tcPr>
          <w:p w14:paraId="46E04875">
            <w:pPr>
              <w:pStyle w:val="15"/>
              <w:ind w:firstLine="422"/>
              <w:jc w:val="center"/>
              <w:rPr>
                <w:rFonts w:hint="eastAsia" w:ascii="Times New Roman" w:hAnsi="宋体"/>
                <w:b/>
                <w:bCs/>
                <w:sz w:val="21"/>
                <w:szCs w:val="21"/>
              </w:rPr>
            </w:pPr>
            <w:r>
              <w:rPr>
                <w:rFonts w:hint="eastAsia" w:ascii="Times New Roman" w:hAnsi="宋体"/>
                <w:b/>
                <w:bCs/>
                <w:sz w:val="21"/>
                <w:szCs w:val="21"/>
              </w:rPr>
              <w:t>发证单位</w:t>
            </w:r>
          </w:p>
        </w:tc>
        <w:tc>
          <w:tcPr>
            <w:tcW w:w="1529" w:type="dxa"/>
            <w:vAlign w:val="center"/>
          </w:tcPr>
          <w:p w14:paraId="25488686">
            <w:pPr>
              <w:pStyle w:val="15"/>
              <w:ind w:firstLine="422"/>
              <w:jc w:val="center"/>
              <w:rPr>
                <w:rFonts w:hint="eastAsia" w:ascii="Times New Roman" w:hAnsi="宋体"/>
                <w:b/>
                <w:bCs/>
                <w:sz w:val="21"/>
                <w:szCs w:val="21"/>
              </w:rPr>
            </w:pPr>
            <w:r>
              <w:rPr>
                <w:rFonts w:hint="eastAsia" w:ascii="Times New Roman" w:hAnsi="宋体"/>
                <w:b/>
                <w:bCs/>
                <w:sz w:val="21"/>
                <w:szCs w:val="21"/>
              </w:rPr>
              <w:t>证书有效期</w:t>
            </w:r>
          </w:p>
        </w:tc>
      </w:tr>
      <w:tr w14:paraId="1B753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18D0B8C">
            <w:pPr>
              <w:pStyle w:val="15"/>
              <w:ind w:firstLine="422"/>
              <w:jc w:val="center"/>
              <w:rPr>
                <w:rFonts w:hint="eastAsia" w:ascii="Times New Roman" w:hAnsi="宋体"/>
                <w:b/>
                <w:bCs/>
                <w:sz w:val="21"/>
                <w:szCs w:val="21"/>
              </w:rPr>
            </w:pPr>
          </w:p>
        </w:tc>
        <w:tc>
          <w:tcPr>
            <w:tcW w:w="2218" w:type="dxa"/>
            <w:vAlign w:val="center"/>
          </w:tcPr>
          <w:p w14:paraId="3B00B4FA">
            <w:pPr>
              <w:pStyle w:val="15"/>
              <w:ind w:firstLine="422"/>
              <w:jc w:val="center"/>
              <w:rPr>
                <w:rFonts w:hint="eastAsia" w:ascii="Times New Roman" w:hAnsi="宋体"/>
                <w:b/>
                <w:bCs/>
                <w:sz w:val="21"/>
                <w:szCs w:val="21"/>
              </w:rPr>
            </w:pPr>
          </w:p>
        </w:tc>
        <w:tc>
          <w:tcPr>
            <w:tcW w:w="2218" w:type="dxa"/>
            <w:vAlign w:val="center"/>
          </w:tcPr>
          <w:p w14:paraId="252BC0BA">
            <w:pPr>
              <w:pStyle w:val="15"/>
              <w:ind w:firstLine="422"/>
              <w:jc w:val="center"/>
              <w:rPr>
                <w:rFonts w:hint="eastAsia" w:ascii="Times New Roman" w:hAnsi="宋体"/>
                <w:b/>
                <w:bCs/>
                <w:sz w:val="21"/>
                <w:szCs w:val="21"/>
              </w:rPr>
            </w:pPr>
          </w:p>
        </w:tc>
        <w:tc>
          <w:tcPr>
            <w:tcW w:w="1862" w:type="dxa"/>
            <w:vAlign w:val="center"/>
          </w:tcPr>
          <w:p w14:paraId="1A8D543F">
            <w:pPr>
              <w:pStyle w:val="15"/>
              <w:ind w:firstLine="422"/>
              <w:jc w:val="center"/>
              <w:rPr>
                <w:rFonts w:hint="eastAsia" w:ascii="Times New Roman" w:hAnsi="宋体"/>
                <w:b/>
                <w:bCs/>
                <w:sz w:val="21"/>
                <w:szCs w:val="21"/>
              </w:rPr>
            </w:pPr>
          </w:p>
        </w:tc>
        <w:tc>
          <w:tcPr>
            <w:tcW w:w="1529" w:type="dxa"/>
            <w:vAlign w:val="center"/>
          </w:tcPr>
          <w:p w14:paraId="3AE5C2F6">
            <w:pPr>
              <w:pStyle w:val="15"/>
              <w:ind w:firstLine="422"/>
              <w:jc w:val="center"/>
              <w:rPr>
                <w:rFonts w:hint="eastAsia" w:ascii="Times New Roman" w:hAnsi="宋体"/>
                <w:b/>
                <w:bCs/>
                <w:sz w:val="21"/>
                <w:szCs w:val="21"/>
              </w:rPr>
            </w:pPr>
          </w:p>
        </w:tc>
      </w:tr>
      <w:tr w14:paraId="3B44C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7B7A3E13">
            <w:pPr>
              <w:pStyle w:val="15"/>
              <w:ind w:firstLine="422"/>
              <w:jc w:val="center"/>
              <w:rPr>
                <w:rFonts w:hint="eastAsia" w:ascii="Times New Roman" w:hAnsi="宋体"/>
                <w:b/>
                <w:bCs/>
                <w:sz w:val="21"/>
                <w:szCs w:val="21"/>
              </w:rPr>
            </w:pPr>
          </w:p>
        </w:tc>
        <w:tc>
          <w:tcPr>
            <w:tcW w:w="2218" w:type="dxa"/>
            <w:vAlign w:val="center"/>
          </w:tcPr>
          <w:p w14:paraId="1BAC6567">
            <w:pPr>
              <w:pStyle w:val="15"/>
              <w:ind w:firstLine="422"/>
              <w:jc w:val="center"/>
              <w:rPr>
                <w:rFonts w:hint="eastAsia" w:ascii="Times New Roman" w:hAnsi="宋体"/>
                <w:b/>
                <w:bCs/>
                <w:sz w:val="21"/>
                <w:szCs w:val="21"/>
              </w:rPr>
            </w:pPr>
          </w:p>
        </w:tc>
        <w:tc>
          <w:tcPr>
            <w:tcW w:w="2218" w:type="dxa"/>
            <w:vAlign w:val="center"/>
          </w:tcPr>
          <w:p w14:paraId="3FBAD5B1">
            <w:pPr>
              <w:pStyle w:val="15"/>
              <w:ind w:firstLine="422"/>
              <w:jc w:val="center"/>
              <w:rPr>
                <w:rFonts w:hint="eastAsia" w:ascii="Times New Roman" w:hAnsi="宋体"/>
                <w:b/>
                <w:bCs/>
                <w:sz w:val="21"/>
                <w:szCs w:val="21"/>
              </w:rPr>
            </w:pPr>
          </w:p>
        </w:tc>
        <w:tc>
          <w:tcPr>
            <w:tcW w:w="1862" w:type="dxa"/>
            <w:vAlign w:val="center"/>
          </w:tcPr>
          <w:p w14:paraId="7DA4C6C2">
            <w:pPr>
              <w:pStyle w:val="15"/>
              <w:ind w:firstLine="422"/>
              <w:jc w:val="center"/>
              <w:rPr>
                <w:rFonts w:hint="eastAsia" w:ascii="Times New Roman" w:hAnsi="宋体"/>
                <w:b/>
                <w:bCs/>
                <w:sz w:val="21"/>
                <w:szCs w:val="21"/>
              </w:rPr>
            </w:pPr>
          </w:p>
        </w:tc>
        <w:tc>
          <w:tcPr>
            <w:tcW w:w="1529" w:type="dxa"/>
            <w:vAlign w:val="center"/>
          </w:tcPr>
          <w:p w14:paraId="3569EA0D">
            <w:pPr>
              <w:pStyle w:val="15"/>
              <w:ind w:firstLine="422"/>
              <w:jc w:val="center"/>
              <w:rPr>
                <w:rFonts w:hint="eastAsia" w:ascii="Times New Roman" w:hAnsi="宋体"/>
                <w:b/>
                <w:bCs/>
                <w:sz w:val="21"/>
                <w:szCs w:val="21"/>
              </w:rPr>
            </w:pPr>
          </w:p>
        </w:tc>
      </w:tr>
      <w:tr w14:paraId="71FB8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9538061">
            <w:pPr>
              <w:pStyle w:val="15"/>
              <w:ind w:firstLine="422"/>
              <w:jc w:val="center"/>
              <w:rPr>
                <w:rFonts w:hint="eastAsia" w:ascii="Times New Roman" w:hAnsi="宋体"/>
                <w:b/>
                <w:bCs/>
                <w:sz w:val="21"/>
                <w:szCs w:val="21"/>
              </w:rPr>
            </w:pPr>
          </w:p>
        </w:tc>
        <w:tc>
          <w:tcPr>
            <w:tcW w:w="2218" w:type="dxa"/>
            <w:vAlign w:val="center"/>
          </w:tcPr>
          <w:p w14:paraId="7370FBA7">
            <w:pPr>
              <w:pStyle w:val="15"/>
              <w:ind w:firstLine="422"/>
              <w:jc w:val="center"/>
              <w:rPr>
                <w:rFonts w:hint="eastAsia" w:ascii="Times New Roman" w:hAnsi="宋体"/>
                <w:b/>
                <w:bCs/>
                <w:sz w:val="21"/>
                <w:szCs w:val="21"/>
              </w:rPr>
            </w:pPr>
          </w:p>
        </w:tc>
        <w:tc>
          <w:tcPr>
            <w:tcW w:w="2218" w:type="dxa"/>
            <w:vAlign w:val="center"/>
          </w:tcPr>
          <w:p w14:paraId="50731D85">
            <w:pPr>
              <w:pStyle w:val="15"/>
              <w:ind w:firstLine="422"/>
              <w:jc w:val="center"/>
              <w:rPr>
                <w:rFonts w:hint="eastAsia" w:ascii="Times New Roman" w:hAnsi="宋体"/>
                <w:b/>
                <w:bCs/>
                <w:sz w:val="21"/>
                <w:szCs w:val="21"/>
              </w:rPr>
            </w:pPr>
          </w:p>
        </w:tc>
        <w:tc>
          <w:tcPr>
            <w:tcW w:w="1862" w:type="dxa"/>
            <w:vAlign w:val="center"/>
          </w:tcPr>
          <w:p w14:paraId="6B4047DD">
            <w:pPr>
              <w:pStyle w:val="15"/>
              <w:ind w:firstLine="422"/>
              <w:jc w:val="center"/>
              <w:rPr>
                <w:rFonts w:hint="eastAsia" w:ascii="Times New Roman" w:hAnsi="宋体"/>
                <w:b/>
                <w:bCs/>
                <w:sz w:val="21"/>
                <w:szCs w:val="21"/>
              </w:rPr>
            </w:pPr>
          </w:p>
        </w:tc>
        <w:tc>
          <w:tcPr>
            <w:tcW w:w="1529" w:type="dxa"/>
            <w:vAlign w:val="center"/>
          </w:tcPr>
          <w:p w14:paraId="1C11CD3E">
            <w:pPr>
              <w:pStyle w:val="15"/>
              <w:ind w:firstLine="422"/>
              <w:jc w:val="center"/>
              <w:rPr>
                <w:rFonts w:hint="eastAsia" w:ascii="Times New Roman" w:hAnsi="宋体"/>
                <w:b/>
                <w:bCs/>
                <w:sz w:val="21"/>
                <w:szCs w:val="21"/>
              </w:rPr>
            </w:pPr>
          </w:p>
        </w:tc>
      </w:tr>
      <w:tr w14:paraId="6B4B6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8DCF7FB">
            <w:pPr>
              <w:pStyle w:val="15"/>
              <w:ind w:firstLine="422"/>
              <w:jc w:val="center"/>
              <w:rPr>
                <w:rFonts w:hint="eastAsia" w:ascii="Times New Roman" w:hAnsi="宋体"/>
                <w:b/>
                <w:bCs/>
                <w:sz w:val="21"/>
                <w:szCs w:val="21"/>
              </w:rPr>
            </w:pPr>
          </w:p>
        </w:tc>
        <w:tc>
          <w:tcPr>
            <w:tcW w:w="2218" w:type="dxa"/>
            <w:vAlign w:val="center"/>
          </w:tcPr>
          <w:p w14:paraId="30222A88">
            <w:pPr>
              <w:pStyle w:val="15"/>
              <w:ind w:firstLine="422"/>
              <w:jc w:val="center"/>
              <w:rPr>
                <w:rFonts w:hint="eastAsia" w:ascii="Times New Roman" w:hAnsi="宋体"/>
                <w:b/>
                <w:bCs/>
                <w:sz w:val="21"/>
                <w:szCs w:val="21"/>
              </w:rPr>
            </w:pPr>
          </w:p>
        </w:tc>
        <w:tc>
          <w:tcPr>
            <w:tcW w:w="2218" w:type="dxa"/>
            <w:vAlign w:val="center"/>
          </w:tcPr>
          <w:p w14:paraId="29C66EC9">
            <w:pPr>
              <w:pStyle w:val="15"/>
              <w:ind w:firstLine="422"/>
              <w:jc w:val="center"/>
              <w:rPr>
                <w:rFonts w:hint="eastAsia" w:ascii="Times New Roman" w:hAnsi="宋体"/>
                <w:b/>
                <w:bCs/>
                <w:sz w:val="21"/>
                <w:szCs w:val="21"/>
              </w:rPr>
            </w:pPr>
          </w:p>
        </w:tc>
        <w:tc>
          <w:tcPr>
            <w:tcW w:w="1862" w:type="dxa"/>
            <w:vAlign w:val="center"/>
          </w:tcPr>
          <w:p w14:paraId="3C94E485">
            <w:pPr>
              <w:pStyle w:val="15"/>
              <w:ind w:firstLine="422"/>
              <w:jc w:val="center"/>
              <w:rPr>
                <w:rFonts w:hint="eastAsia" w:ascii="Times New Roman" w:hAnsi="宋体"/>
                <w:b/>
                <w:bCs/>
                <w:sz w:val="21"/>
                <w:szCs w:val="21"/>
              </w:rPr>
            </w:pPr>
          </w:p>
        </w:tc>
        <w:tc>
          <w:tcPr>
            <w:tcW w:w="1529" w:type="dxa"/>
            <w:vAlign w:val="center"/>
          </w:tcPr>
          <w:p w14:paraId="370F9171">
            <w:pPr>
              <w:pStyle w:val="15"/>
              <w:ind w:firstLine="422"/>
              <w:jc w:val="center"/>
              <w:rPr>
                <w:rFonts w:hint="eastAsia" w:ascii="Times New Roman" w:hAnsi="宋体"/>
                <w:b/>
                <w:bCs/>
                <w:sz w:val="21"/>
                <w:szCs w:val="21"/>
              </w:rPr>
            </w:pPr>
          </w:p>
        </w:tc>
      </w:tr>
      <w:tr w14:paraId="4AE8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7E289EA">
            <w:pPr>
              <w:pStyle w:val="15"/>
              <w:ind w:firstLine="422"/>
              <w:jc w:val="center"/>
              <w:rPr>
                <w:rFonts w:hint="eastAsia" w:ascii="Times New Roman" w:hAnsi="宋体"/>
                <w:b/>
                <w:bCs/>
                <w:sz w:val="21"/>
                <w:szCs w:val="21"/>
              </w:rPr>
            </w:pPr>
          </w:p>
        </w:tc>
        <w:tc>
          <w:tcPr>
            <w:tcW w:w="2218" w:type="dxa"/>
            <w:vAlign w:val="center"/>
          </w:tcPr>
          <w:p w14:paraId="58D1BB89">
            <w:pPr>
              <w:pStyle w:val="15"/>
              <w:ind w:firstLine="422"/>
              <w:jc w:val="center"/>
              <w:rPr>
                <w:rFonts w:hint="eastAsia" w:ascii="Times New Roman" w:hAnsi="宋体"/>
                <w:b/>
                <w:bCs/>
                <w:sz w:val="21"/>
                <w:szCs w:val="21"/>
              </w:rPr>
            </w:pPr>
          </w:p>
        </w:tc>
        <w:tc>
          <w:tcPr>
            <w:tcW w:w="2218" w:type="dxa"/>
            <w:vAlign w:val="center"/>
          </w:tcPr>
          <w:p w14:paraId="01145555">
            <w:pPr>
              <w:pStyle w:val="15"/>
              <w:ind w:firstLine="422"/>
              <w:jc w:val="center"/>
              <w:rPr>
                <w:rFonts w:hint="eastAsia" w:ascii="Times New Roman" w:hAnsi="宋体"/>
                <w:b/>
                <w:bCs/>
                <w:sz w:val="21"/>
                <w:szCs w:val="21"/>
              </w:rPr>
            </w:pPr>
          </w:p>
        </w:tc>
        <w:tc>
          <w:tcPr>
            <w:tcW w:w="1862" w:type="dxa"/>
            <w:vAlign w:val="center"/>
          </w:tcPr>
          <w:p w14:paraId="041A5A33">
            <w:pPr>
              <w:pStyle w:val="15"/>
              <w:ind w:firstLine="422"/>
              <w:jc w:val="center"/>
              <w:rPr>
                <w:rFonts w:hint="eastAsia" w:ascii="Times New Roman" w:hAnsi="宋体"/>
                <w:b/>
                <w:bCs/>
                <w:sz w:val="21"/>
                <w:szCs w:val="21"/>
              </w:rPr>
            </w:pPr>
          </w:p>
        </w:tc>
        <w:tc>
          <w:tcPr>
            <w:tcW w:w="1529" w:type="dxa"/>
            <w:vAlign w:val="center"/>
          </w:tcPr>
          <w:p w14:paraId="0203127A">
            <w:pPr>
              <w:pStyle w:val="15"/>
              <w:ind w:firstLine="422"/>
              <w:jc w:val="center"/>
              <w:rPr>
                <w:rFonts w:hint="eastAsia" w:ascii="Times New Roman" w:hAnsi="宋体"/>
                <w:b/>
                <w:bCs/>
                <w:sz w:val="21"/>
                <w:szCs w:val="21"/>
              </w:rPr>
            </w:pPr>
          </w:p>
        </w:tc>
      </w:tr>
      <w:tr w14:paraId="083DE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5326F076">
            <w:pPr>
              <w:pStyle w:val="15"/>
              <w:ind w:firstLine="422"/>
              <w:jc w:val="center"/>
              <w:rPr>
                <w:rFonts w:hint="eastAsia" w:ascii="Times New Roman" w:hAnsi="宋体"/>
                <w:b/>
                <w:bCs/>
                <w:sz w:val="21"/>
                <w:szCs w:val="21"/>
              </w:rPr>
            </w:pPr>
          </w:p>
        </w:tc>
        <w:tc>
          <w:tcPr>
            <w:tcW w:w="2218" w:type="dxa"/>
            <w:vAlign w:val="center"/>
          </w:tcPr>
          <w:p w14:paraId="17E3CB24">
            <w:pPr>
              <w:pStyle w:val="15"/>
              <w:ind w:firstLine="422"/>
              <w:jc w:val="center"/>
              <w:rPr>
                <w:rFonts w:hint="eastAsia" w:ascii="Times New Roman" w:hAnsi="宋体"/>
                <w:b/>
                <w:bCs/>
                <w:sz w:val="21"/>
                <w:szCs w:val="21"/>
              </w:rPr>
            </w:pPr>
          </w:p>
        </w:tc>
        <w:tc>
          <w:tcPr>
            <w:tcW w:w="2218" w:type="dxa"/>
            <w:vAlign w:val="center"/>
          </w:tcPr>
          <w:p w14:paraId="18F4E99D">
            <w:pPr>
              <w:pStyle w:val="15"/>
              <w:ind w:firstLine="422"/>
              <w:jc w:val="center"/>
              <w:rPr>
                <w:rFonts w:hint="eastAsia" w:ascii="Times New Roman" w:hAnsi="宋体"/>
                <w:b/>
                <w:bCs/>
                <w:sz w:val="21"/>
                <w:szCs w:val="21"/>
              </w:rPr>
            </w:pPr>
          </w:p>
        </w:tc>
        <w:tc>
          <w:tcPr>
            <w:tcW w:w="1862" w:type="dxa"/>
            <w:vAlign w:val="center"/>
          </w:tcPr>
          <w:p w14:paraId="06B2F518">
            <w:pPr>
              <w:pStyle w:val="15"/>
              <w:ind w:firstLine="422"/>
              <w:jc w:val="center"/>
              <w:rPr>
                <w:rFonts w:hint="eastAsia" w:ascii="Times New Roman" w:hAnsi="宋体"/>
                <w:b/>
                <w:bCs/>
                <w:sz w:val="21"/>
                <w:szCs w:val="21"/>
              </w:rPr>
            </w:pPr>
          </w:p>
        </w:tc>
        <w:tc>
          <w:tcPr>
            <w:tcW w:w="1529" w:type="dxa"/>
            <w:vAlign w:val="center"/>
          </w:tcPr>
          <w:p w14:paraId="1A715105">
            <w:pPr>
              <w:pStyle w:val="15"/>
              <w:ind w:firstLine="422"/>
              <w:jc w:val="center"/>
              <w:rPr>
                <w:rFonts w:hint="eastAsia" w:ascii="Times New Roman" w:hAnsi="宋体"/>
                <w:b/>
                <w:bCs/>
                <w:sz w:val="21"/>
                <w:szCs w:val="21"/>
              </w:rPr>
            </w:pPr>
          </w:p>
        </w:tc>
      </w:tr>
      <w:tr w14:paraId="67BA3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91D2B8E">
            <w:pPr>
              <w:pStyle w:val="15"/>
              <w:ind w:firstLine="422"/>
              <w:jc w:val="center"/>
              <w:rPr>
                <w:rFonts w:hint="eastAsia" w:ascii="Times New Roman" w:hAnsi="宋体"/>
                <w:b/>
                <w:bCs/>
                <w:sz w:val="21"/>
                <w:szCs w:val="21"/>
              </w:rPr>
            </w:pPr>
          </w:p>
        </w:tc>
        <w:tc>
          <w:tcPr>
            <w:tcW w:w="2218" w:type="dxa"/>
            <w:vAlign w:val="center"/>
          </w:tcPr>
          <w:p w14:paraId="7F1CC7EA">
            <w:pPr>
              <w:pStyle w:val="15"/>
              <w:ind w:firstLine="422"/>
              <w:jc w:val="center"/>
              <w:rPr>
                <w:rFonts w:hint="eastAsia" w:ascii="Times New Roman" w:hAnsi="宋体"/>
                <w:b/>
                <w:bCs/>
                <w:sz w:val="21"/>
                <w:szCs w:val="21"/>
              </w:rPr>
            </w:pPr>
          </w:p>
        </w:tc>
        <w:tc>
          <w:tcPr>
            <w:tcW w:w="2218" w:type="dxa"/>
            <w:vAlign w:val="center"/>
          </w:tcPr>
          <w:p w14:paraId="0E2E5A57">
            <w:pPr>
              <w:pStyle w:val="15"/>
              <w:ind w:firstLine="422"/>
              <w:jc w:val="center"/>
              <w:rPr>
                <w:rFonts w:hint="eastAsia" w:ascii="Times New Roman" w:hAnsi="宋体"/>
                <w:b/>
                <w:bCs/>
                <w:sz w:val="21"/>
                <w:szCs w:val="21"/>
              </w:rPr>
            </w:pPr>
          </w:p>
        </w:tc>
        <w:tc>
          <w:tcPr>
            <w:tcW w:w="1862" w:type="dxa"/>
            <w:vAlign w:val="center"/>
          </w:tcPr>
          <w:p w14:paraId="234C78AD">
            <w:pPr>
              <w:pStyle w:val="15"/>
              <w:ind w:firstLine="422"/>
              <w:jc w:val="center"/>
              <w:rPr>
                <w:rFonts w:hint="eastAsia" w:ascii="Times New Roman" w:hAnsi="宋体"/>
                <w:b/>
                <w:bCs/>
                <w:sz w:val="21"/>
                <w:szCs w:val="21"/>
              </w:rPr>
            </w:pPr>
          </w:p>
        </w:tc>
        <w:tc>
          <w:tcPr>
            <w:tcW w:w="1529" w:type="dxa"/>
            <w:vAlign w:val="center"/>
          </w:tcPr>
          <w:p w14:paraId="47BE39BF">
            <w:pPr>
              <w:pStyle w:val="15"/>
              <w:ind w:firstLine="422"/>
              <w:jc w:val="center"/>
              <w:rPr>
                <w:rFonts w:hint="eastAsia" w:ascii="Times New Roman" w:hAnsi="宋体"/>
                <w:b/>
                <w:bCs/>
                <w:sz w:val="21"/>
                <w:szCs w:val="21"/>
              </w:rPr>
            </w:pPr>
          </w:p>
        </w:tc>
      </w:tr>
      <w:tr w14:paraId="79E28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DEAE8F6">
            <w:pPr>
              <w:pStyle w:val="15"/>
              <w:ind w:firstLine="422"/>
              <w:jc w:val="center"/>
              <w:rPr>
                <w:rFonts w:hint="eastAsia" w:ascii="Times New Roman" w:hAnsi="宋体"/>
                <w:b/>
                <w:bCs/>
                <w:sz w:val="21"/>
                <w:szCs w:val="21"/>
              </w:rPr>
            </w:pPr>
          </w:p>
        </w:tc>
        <w:tc>
          <w:tcPr>
            <w:tcW w:w="2218" w:type="dxa"/>
            <w:vAlign w:val="center"/>
          </w:tcPr>
          <w:p w14:paraId="67F82112">
            <w:pPr>
              <w:pStyle w:val="15"/>
              <w:ind w:firstLine="422"/>
              <w:jc w:val="center"/>
              <w:rPr>
                <w:rFonts w:hint="eastAsia" w:ascii="Times New Roman" w:hAnsi="宋体"/>
                <w:b/>
                <w:bCs/>
                <w:sz w:val="21"/>
                <w:szCs w:val="21"/>
              </w:rPr>
            </w:pPr>
          </w:p>
        </w:tc>
        <w:tc>
          <w:tcPr>
            <w:tcW w:w="2218" w:type="dxa"/>
            <w:vAlign w:val="center"/>
          </w:tcPr>
          <w:p w14:paraId="3519AB8C">
            <w:pPr>
              <w:pStyle w:val="15"/>
              <w:ind w:firstLine="422"/>
              <w:jc w:val="center"/>
              <w:rPr>
                <w:rFonts w:hint="eastAsia" w:ascii="Times New Roman" w:hAnsi="宋体"/>
                <w:b/>
                <w:bCs/>
                <w:sz w:val="21"/>
                <w:szCs w:val="21"/>
              </w:rPr>
            </w:pPr>
          </w:p>
        </w:tc>
        <w:tc>
          <w:tcPr>
            <w:tcW w:w="1862" w:type="dxa"/>
            <w:vAlign w:val="center"/>
          </w:tcPr>
          <w:p w14:paraId="34D6E4F0">
            <w:pPr>
              <w:pStyle w:val="15"/>
              <w:ind w:firstLine="422"/>
              <w:jc w:val="center"/>
              <w:rPr>
                <w:rFonts w:hint="eastAsia" w:ascii="Times New Roman" w:hAnsi="宋体"/>
                <w:b/>
                <w:bCs/>
                <w:sz w:val="21"/>
                <w:szCs w:val="21"/>
              </w:rPr>
            </w:pPr>
          </w:p>
        </w:tc>
        <w:tc>
          <w:tcPr>
            <w:tcW w:w="1529" w:type="dxa"/>
            <w:vAlign w:val="center"/>
          </w:tcPr>
          <w:p w14:paraId="3319A52D">
            <w:pPr>
              <w:pStyle w:val="15"/>
              <w:ind w:firstLine="422"/>
              <w:jc w:val="center"/>
              <w:rPr>
                <w:rFonts w:hint="eastAsia" w:ascii="Times New Roman" w:hAnsi="宋体"/>
                <w:b/>
                <w:bCs/>
                <w:sz w:val="21"/>
                <w:szCs w:val="21"/>
              </w:rPr>
            </w:pPr>
          </w:p>
        </w:tc>
      </w:tr>
      <w:tr w14:paraId="34382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03931E28">
            <w:pPr>
              <w:pStyle w:val="15"/>
              <w:ind w:firstLine="422"/>
              <w:jc w:val="center"/>
              <w:rPr>
                <w:rFonts w:hint="eastAsia" w:ascii="Times New Roman" w:hAnsi="宋体"/>
                <w:b/>
                <w:bCs/>
                <w:sz w:val="21"/>
                <w:szCs w:val="21"/>
              </w:rPr>
            </w:pPr>
          </w:p>
        </w:tc>
        <w:tc>
          <w:tcPr>
            <w:tcW w:w="2218" w:type="dxa"/>
            <w:vAlign w:val="center"/>
          </w:tcPr>
          <w:p w14:paraId="3DF88D38">
            <w:pPr>
              <w:pStyle w:val="15"/>
              <w:ind w:firstLine="422"/>
              <w:jc w:val="center"/>
              <w:rPr>
                <w:rFonts w:hint="eastAsia" w:ascii="Times New Roman" w:hAnsi="宋体"/>
                <w:b/>
                <w:bCs/>
                <w:sz w:val="21"/>
                <w:szCs w:val="21"/>
              </w:rPr>
            </w:pPr>
          </w:p>
        </w:tc>
        <w:tc>
          <w:tcPr>
            <w:tcW w:w="2218" w:type="dxa"/>
            <w:vAlign w:val="center"/>
          </w:tcPr>
          <w:p w14:paraId="034E6906">
            <w:pPr>
              <w:pStyle w:val="15"/>
              <w:ind w:firstLine="422"/>
              <w:jc w:val="center"/>
              <w:rPr>
                <w:rFonts w:hint="eastAsia" w:ascii="Times New Roman" w:hAnsi="宋体"/>
                <w:b/>
                <w:bCs/>
                <w:sz w:val="21"/>
                <w:szCs w:val="21"/>
              </w:rPr>
            </w:pPr>
          </w:p>
        </w:tc>
        <w:tc>
          <w:tcPr>
            <w:tcW w:w="1862" w:type="dxa"/>
            <w:vAlign w:val="center"/>
          </w:tcPr>
          <w:p w14:paraId="721FD030">
            <w:pPr>
              <w:pStyle w:val="15"/>
              <w:ind w:firstLine="422"/>
              <w:jc w:val="center"/>
              <w:rPr>
                <w:rFonts w:hint="eastAsia" w:ascii="Times New Roman" w:hAnsi="宋体"/>
                <w:b/>
                <w:bCs/>
                <w:sz w:val="21"/>
                <w:szCs w:val="21"/>
              </w:rPr>
            </w:pPr>
          </w:p>
        </w:tc>
        <w:tc>
          <w:tcPr>
            <w:tcW w:w="1529" w:type="dxa"/>
            <w:vAlign w:val="center"/>
          </w:tcPr>
          <w:p w14:paraId="4982A671">
            <w:pPr>
              <w:pStyle w:val="15"/>
              <w:ind w:firstLine="422"/>
              <w:jc w:val="center"/>
              <w:rPr>
                <w:rFonts w:hint="eastAsia" w:ascii="Times New Roman" w:hAnsi="宋体"/>
                <w:b/>
                <w:bCs/>
                <w:sz w:val="21"/>
                <w:szCs w:val="21"/>
              </w:rPr>
            </w:pPr>
          </w:p>
        </w:tc>
      </w:tr>
      <w:tr w14:paraId="7728A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96DDC7F">
            <w:pPr>
              <w:pStyle w:val="15"/>
              <w:ind w:firstLine="422"/>
              <w:jc w:val="center"/>
              <w:rPr>
                <w:rFonts w:hint="eastAsia" w:ascii="Times New Roman" w:hAnsi="宋体"/>
                <w:b/>
                <w:bCs/>
                <w:sz w:val="21"/>
                <w:szCs w:val="21"/>
              </w:rPr>
            </w:pPr>
          </w:p>
        </w:tc>
        <w:tc>
          <w:tcPr>
            <w:tcW w:w="2218" w:type="dxa"/>
            <w:vAlign w:val="center"/>
          </w:tcPr>
          <w:p w14:paraId="36B0D086">
            <w:pPr>
              <w:pStyle w:val="15"/>
              <w:ind w:firstLine="422"/>
              <w:jc w:val="center"/>
              <w:rPr>
                <w:rFonts w:hint="eastAsia" w:ascii="Times New Roman" w:hAnsi="宋体"/>
                <w:b/>
                <w:bCs/>
                <w:sz w:val="21"/>
                <w:szCs w:val="21"/>
              </w:rPr>
            </w:pPr>
          </w:p>
        </w:tc>
        <w:tc>
          <w:tcPr>
            <w:tcW w:w="2218" w:type="dxa"/>
            <w:vAlign w:val="center"/>
          </w:tcPr>
          <w:p w14:paraId="383C7D19">
            <w:pPr>
              <w:pStyle w:val="15"/>
              <w:ind w:firstLine="422"/>
              <w:jc w:val="center"/>
              <w:rPr>
                <w:rFonts w:hint="eastAsia" w:ascii="Times New Roman" w:hAnsi="宋体"/>
                <w:b/>
                <w:bCs/>
                <w:sz w:val="21"/>
                <w:szCs w:val="21"/>
              </w:rPr>
            </w:pPr>
          </w:p>
        </w:tc>
        <w:tc>
          <w:tcPr>
            <w:tcW w:w="1862" w:type="dxa"/>
            <w:vAlign w:val="center"/>
          </w:tcPr>
          <w:p w14:paraId="0397E873">
            <w:pPr>
              <w:pStyle w:val="15"/>
              <w:ind w:firstLine="422"/>
              <w:jc w:val="center"/>
              <w:rPr>
                <w:rFonts w:hint="eastAsia" w:ascii="Times New Roman" w:hAnsi="宋体"/>
                <w:b/>
                <w:bCs/>
                <w:sz w:val="21"/>
                <w:szCs w:val="21"/>
              </w:rPr>
            </w:pPr>
          </w:p>
        </w:tc>
        <w:tc>
          <w:tcPr>
            <w:tcW w:w="1529" w:type="dxa"/>
            <w:vAlign w:val="center"/>
          </w:tcPr>
          <w:p w14:paraId="75BD3860">
            <w:pPr>
              <w:pStyle w:val="15"/>
              <w:ind w:firstLine="422"/>
              <w:jc w:val="center"/>
              <w:rPr>
                <w:rFonts w:hint="eastAsia" w:ascii="Times New Roman" w:hAnsi="宋体"/>
                <w:b/>
                <w:bCs/>
                <w:sz w:val="21"/>
                <w:szCs w:val="21"/>
              </w:rPr>
            </w:pPr>
          </w:p>
        </w:tc>
      </w:tr>
      <w:tr w14:paraId="28415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DCF2057">
            <w:pPr>
              <w:pStyle w:val="15"/>
              <w:ind w:firstLine="422"/>
              <w:jc w:val="center"/>
              <w:rPr>
                <w:rFonts w:hint="eastAsia" w:ascii="Times New Roman" w:hAnsi="宋体"/>
                <w:b/>
                <w:bCs/>
                <w:sz w:val="21"/>
                <w:szCs w:val="21"/>
              </w:rPr>
            </w:pPr>
          </w:p>
        </w:tc>
        <w:tc>
          <w:tcPr>
            <w:tcW w:w="2218" w:type="dxa"/>
            <w:vAlign w:val="center"/>
          </w:tcPr>
          <w:p w14:paraId="3E18AADB">
            <w:pPr>
              <w:pStyle w:val="15"/>
              <w:ind w:firstLine="422"/>
              <w:jc w:val="center"/>
              <w:rPr>
                <w:rFonts w:hint="eastAsia" w:ascii="Times New Roman" w:hAnsi="宋体"/>
                <w:b/>
                <w:bCs/>
                <w:sz w:val="21"/>
                <w:szCs w:val="21"/>
              </w:rPr>
            </w:pPr>
          </w:p>
        </w:tc>
        <w:tc>
          <w:tcPr>
            <w:tcW w:w="2218" w:type="dxa"/>
            <w:vAlign w:val="center"/>
          </w:tcPr>
          <w:p w14:paraId="535F7A22">
            <w:pPr>
              <w:pStyle w:val="15"/>
              <w:ind w:firstLine="422"/>
              <w:jc w:val="center"/>
              <w:rPr>
                <w:rFonts w:hint="eastAsia" w:ascii="Times New Roman" w:hAnsi="宋体"/>
                <w:b/>
                <w:bCs/>
                <w:sz w:val="21"/>
                <w:szCs w:val="21"/>
              </w:rPr>
            </w:pPr>
          </w:p>
        </w:tc>
        <w:tc>
          <w:tcPr>
            <w:tcW w:w="1862" w:type="dxa"/>
            <w:vAlign w:val="center"/>
          </w:tcPr>
          <w:p w14:paraId="10DD5DBF">
            <w:pPr>
              <w:pStyle w:val="15"/>
              <w:ind w:firstLine="422"/>
              <w:jc w:val="center"/>
              <w:rPr>
                <w:rFonts w:hint="eastAsia" w:ascii="Times New Roman" w:hAnsi="宋体"/>
                <w:b/>
                <w:bCs/>
                <w:sz w:val="21"/>
                <w:szCs w:val="21"/>
              </w:rPr>
            </w:pPr>
          </w:p>
        </w:tc>
        <w:tc>
          <w:tcPr>
            <w:tcW w:w="1529" w:type="dxa"/>
            <w:vAlign w:val="center"/>
          </w:tcPr>
          <w:p w14:paraId="17621160">
            <w:pPr>
              <w:pStyle w:val="15"/>
              <w:ind w:firstLine="422"/>
              <w:jc w:val="center"/>
              <w:rPr>
                <w:rFonts w:hint="eastAsia" w:ascii="Times New Roman" w:hAnsi="宋体"/>
                <w:b/>
                <w:bCs/>
                <w:sz w:val="21"/>
                <w:szCs w:val="21"/>
              </w:rPr>
            </w:pPr>
          </w:p>
        </w:tc>
      </w:tr>
      <w:tr w14:paraId="40C98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CCFADB3">
            <w:pPr>
              <w:pStyle w:val="15"/>
              <w:ind w:firstLine="422"/>
              <w:jc w:val="center"/>
              <w:rPr>
                <w:rFonts w:hint="eastAsia" w:ascii="Times New Roman" w:hAnsi="宋体"/>
                <w:b/>
                <w:bCs/>
                <w:sz w:val="21"/>
                <w:szCs w:val="21"/>
              </w:rPr>
            </w:pPr>
          </w:p>
        </w:tc>
        <w:tc>
          <w:tcPr>
            <w:tcW w:w="2218" w:type="dxa"/>
            <w:vAlign w:val="center"/>
          </w:tcPr>
          <w:p w14:paraId="76479287">
            <w:pPr>
              <w:pStyle w:val="15"/>
              <w:ind w:firstLine="422"/>
              <w:jc w:val="center"/>
              <w:rPr>
                <w:rFonts w:hint="eastAsia" w:ascii="Times New Roman" w:hAnsi="宋体"/>
                <w:b/>
                <w:bCs/>
                <w:sz w:val="21"/>
                <w:szCs w:val="21"/>
              </w:rPr>
            </w:pPr>
          </w:p>
        </w:tc>
        <w:tc>
          <w:tcPr>
            <w:tcW w:w="2218" w:type="dxa"/>
            <w:vAlign w:val="center"/>
          </w:tcPr>
          <w:p w14:paraId="32CD3177">
            <w:pPr>
              <w:pStyle w:val="15"/>
              <w:ind w:firstLine="422"/>
              <w:jc w:val="center"/>
              <w:rPr>
                <w:rFonts w:hint="eastAsia" w:ascii="Times New Roman" w:hAnsi="宋体"/>
                <w:b/>
                <w:bCs/>
                <w:sz w:val="21"/>
                <w:szCs w:val="21"/>
              </w:rPr>
            </w:pPr>
          </w:p>
        </w:tc>
        <w:tc>
          <w:tcPr>
            <w:tcW w:w="1862" w:type="dxa"/>
            <w:vAlign w:val="center"/>
          </w:tcPr>
          <w:p w14:paraId="04EF75C8">
            <w:pPr>
              <w:pStyle w:val="15"/>
              <w:ind w:firstLine="422"/>
              <w:jc w:val="center"/>
              <w:rPr>
                <w:rFonts w:hint="eastAsia" w:ascii="Times New Roman" w:hAnsi="宋体"/>
                <w:b/>
                <w:bCs/>
                <w:sz w:val="21"/>
                <w:szCs w:val="21"/>
              </w:rPr>
            </w:pPr>
          </w:p>
        </w:tc>
        <w:tc>
          <w:tcPr>
            <w:tcW w:w="1529" w:type="dxa"/>
            <w:vAlign w:val="center"/>
          </w:tcPr>
          <w:p w14:paraId="71861B12">
            <w:pPr>
              <w:pStyle w:val="15"/>
              <w:ind w:firstLine="422"/>
              <w:jc w:val="center"/>
              <w:rPr>
                <w:rFonts w:hint="eastAsia" w:ascii="Times New Roman" w:hAnsi="宋体"/>
                <w:b/>
                <w:bCs/>
                <w:sz w:val="21"/>
                <w:szCs w:val="21"/>
              </w:rPr>
            </w:pPr>
          </w:p>
        </w:tc>
      </w:tr>
    </w:tbl>
    <w:p w14:paraId="0D9466FF">
      <w:pPr>
        <w:overflowPunct w:val="0"/>
        <w:spacing w:line="460" w:lineRule="exact"/>
        <w:rPr>
          <w:rFonts w:hint="eastAsia" w:hAnsi="宋体"/>
          <w:sz w:val="21"/>
          <w:szCs w:val="21"/>
        </w:rPr>
      </w:pPr>
      <w:r>
        <w:rPr>
          <w:rFonts w:hint="eastAsia" w:hAnsi="宋体"/>
          <w:sz w:val="21"/>
          <w:szCs w:val="21"/>
        </w:rPr>
        <w:t>供应商名称（加盖公章）：</w:t>
      </w:r>
    </w:p>
    <w:p w14:paraId="11400C45">
      <w:pPr>
        <w:overflowPunct w:val="0"/>
        <w:spacing w:line="460" w:lineRule="exact"/>
        <w:rPr>
          <w:rFonts w:hint="eastAsia" w:hAnsi="宋体"/>
          <w:sz w:val="21"/>
          <w:szCs w:val="21"/>
        </w:rPr>
      </w:pPr>
      <w:r>
        <w:rPr>
          <w:rFonts w:hint="eastAsia" w:hAnsi="宋体"/>
          <w:sz w:val="21"/>
          <w:szCs w:val="21"/>
        </w:rPr>
        <w:t>供应商法定代表人或受委托人（签名或盖私章）：</w:t>
      </w:r>
    </w:p>
    <w:p w14:paraId="61237F6B">
      <w:pPr>
        <w:overflowPunct w:val="0"/>
        <w:spacing w:line="460" w:lineRule="exact"/>
        <w:rPr>
          <w:rFonts w:hint="eastAsia" w:hAnsi="宋体"/>
          <w:sz w:val="21"/>
          <w:szCs w:val="21"/>
        </w:rPr>
      </w:pPr>
      <w:r>
        <w:rPr>
          <w:rFonts w:hint="eastAsia" w:hAnsi="宋体"/>
          <w:sz w:val="21"/>
          <w:szCs w:val="21"/>
        </w:rPr>
        <w:t xml:space="preserve">日期：年月日 </w:t>
      </w:r>
    </w:p>
    <w:p w14:paraId="29DC093C">
      <w:pPr>
        <w:spacing w:line="480" w:lineRule="exact"/>
        <w:rPr>
          <w:rFonts w:hint="eastAsia" w:hAnsi="宋体"/>
          <w:b/>
          <w:szCs w:val="21"/>
          <w:u w:val="single"/>
        </w:rPr>
      </w:pPr>
    </w:p>
    <w:p w14:paraId="795B02B5">
      <w:pPr>
        <w:spacing w:line="480" w:lineRule="exact"/>
        <w:rPr>
          <w:rFonts w:hint="eastAsia" w:hAnsi="宋体"/>
          <w:b/>
          <w:bCs/>
          <w:szCs w:val="21"/>
        </w:rPr>
      </w:pPr>
    </w:p>
    <w:p w14:paraId="3383D7A2">
      <w:pPr>
        <w:spacing w:line="480" w:lineRule="exact"/>
        <w:rPr>
          <w:rFonts w:hint="eastAsia" w:hAnsi="宋体"/>
          <w:b/>
          <w:bCs/>
          <w:szCs w:val="21"/>
        </w:rPr>
      </w:pPr>
    </w:p>
    <w:p w14:paraId="63F441AF"/>
    <w:p w14:paraId="2C88BCA1">
      <w:pPr>
        <w:pStyle w:val="6"/>
        <w:numPr>
          <w:ilvl w:val="0"/>
          <w:numId w:val="14"/>
        </w:numPr>
        <w:jc w:val="center"/>
        <w:rPr>
          <w:rFonts w:hint="eastAsia"/>
          <w:bCs/>
          <w:sz w:val="28"/>
          <w:szCs w:val="28"/>
        </w:rPr>
      </w:pPr>
      <w:r>
        <w:br w:type="page"/>
      </w:r>
      <w:bookmarkStart w:id="270" w:name="_Toc7897896"/>
      <w:bookmarkStart w:id="271" w:name="_Toc4539"/>
      <w:bookmarkStart w:id="272" w:name="_Toc4884"/>
      <w:bookmarkStart w:id="273" w:name="_Toc23874"/>
      <w:r>
        <w:rPr>
          <w:rFonts w:hint="eastAsia"/>
          <w:bCs/>
          <w:sz w:val="28"/>
          <w:szCs w:val="28"/>
        </w:rPr>
        <w:t>项目业绩一览表</w:t>
      </w:r>
      <w:bookmarkEnd w:id="270"/>
      <w:bookmarkEnd w:id="271"/>
      <w:bookmarkEnd w:id="272"/>
      <w:bookmarkEnd w:id="273"/>
    </w:p>
    <w:p w14:paraId="14B92F1A">
      <w:pPr>
        <w:pStyle w:val="28"/>
        <w:spacing w:line="480" w:lineRule="exact"/>
        <w:jc w:val="center"/>
        <w:rPr>
          <w:rFonts w:hint="eastAsia" w:hAnsi="宋体"/>
          <w:b/>
          <w:sz w:val="22"/>
          <w:szCs w:val="22"/>
        </w:rPr>
      </w:pPr>
    </w:p>
    <w:tbl>
      <w:tblPr>
        <w:tblStyle w:val="53"/>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3225"/>
        <w:gridCol w:w="1365"/>
        <w:gridCol w:w="1721"/>
        <w:gridCol w:w="835"/>
        <w:gridCol w:w="832"/>
      </w:tblGrid>
      <w:tr w14:paraId="7974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01" w:type="dxa"/>
            <w:tcBorders>
              <w:top w:val="single" w:color="auto" w:sz="4" w:space="0"/>
              <w:left w:val="single" w:color="auto" w:sz="4" w:space="0"/>
              <w:bottom w:val="single" w:color="auto" w:sz="4" w:space="0"/>
              <w:right w:val="single" w:color="auto" w:sz="4" w:space="0"/>
            </w:tcBorders>
            <w:vAlign w:val="center"/>
          </w:tcPr>
          <w:p w14:paraId="1F50BE48">
            <w:pPr>
              <w:snapToGrid w:val="0"/>
              <w:jc w:val="center"/>
              <w:rPr>
                <w:rFonts w:hint="eastAsia" w:hAnsi="宋体"/>
                <w:b/>
                <w:sz w:val="21"/>
                <w:szCs w:val="21"/>
              </w:rPr>
            </w:pPr>
            <w:r>
              <w:rPr>
                <w:rFonts w:hint="eastAsia" w:hAnsi="宋体"/>
                <w:b/>
                <w:sz w:val="21"/>
                <w:szCs w:val="21"/>
              </w:rPr>
              <w:t>序号</w:t>
            </w:r>
          </w:p>
        </w:tc>
        <w:tc>
          <w:tcPr>
            <w:tcW w:w="3225" w:type="dxa"/>
            <w:tcBorders>
              <w:top w:val="single" w:color="auto" w:sz="4" w:space="0"/>
              <w:left w:val="single" w:color="auto" w:sz="4" w:space="0"/>
              <w:bottom w:val="single" w:color="auto" w:sz="4" w:space="0"/>
              <w:right w:val="single" w:color="auto" w:sz="4" w:space="0"/>
            </w:tcBorders>
            <w:vAlign w:val="center"/>
          </w:tcPr>
          <w:p w14:paraId="77A08EB8">
            <w:pPr>
              <w:snapToGrid w:val="0"/>
              <w:jc w:val="center"/>
              <w:rPr>
                <w:rFonts w:hint="eastAsia" w:hAnsi="宋体"/>
                <w:b/>
                <w:sz w:val="21"/>
                <w:szCs w:val="21"/>
              </w:rPr>
            </w:pPr>
            <w:r>
              <w:rPr>
                <w:rFonts w:hint="eastAsia" w:hAnsi="宋体"/>
                <w:b/>
                <w:sz w:val="21"/>
                <w:szCs w:val="21"/>
              </w:rPr>
              <w:t>项目名称</w:t>
            </w:r>
          </w:p>
        </w:tc>
        <w:tc>
          <w:tcPr>
            <w:tcW w:w="1365" w:type="dxa"/>
            <w:tcBorders>
              <w:top w:val="single" w:color="auto" w:sz="4" w:space="0"/>
              <w:left w:val="single" w:color="auto" w:sz="4" w:space="0"/>
              <w:bottom w:val="single" w:color="auto" w:sz="4" w:space="0"/>
              <w:right w:val="single" w:color="auto" w:sz="4" w:space="0"/>
            </w:tcBorders>
            <w:vAlign w:val="center"/>
          </w:tcPr>
          <w:p w14:paraId="65901C62">
            <w:pPr>
              <w:snapToGrid w:val="0"/>
              <w:jc w:val="center"/>
              <w:rPr>
                <w:rFonts w:hint="eastAsia" w:hAnsi="宋体"/>
                <w:b/>
                <w:sz w:val="21"/>
                <w:szCs w:val="21"/>
              </w:rPr>
            </w:pPr>
            <w:r>
              <w:rPr>
                <w:rFonts w:hint="eastAsia" w:hAnsi="宋体"/>
                <w:b/>
                <w:sz w:val="21"/>
                <w:szCs w:val="21"/>
              </w:rPr>
              <w:t>用户单位</w:t>
            </w:r>
          </w:p>
        </w:tc>
        <w:tc>
          <w:tcPr>
            <w:tcW w:w="1721" w:type="dxa"/>
            <w:tcBorders>
              <w:top w:val="single" w:color="auto" w:sz="4" w:space="0"/>
              <w:left w:val="single" w:color="auto" w:sz="4" w:space="0"/>
              <w:bottom w:val="single" w:color="auto" w:sz="4" w:space="0"/>
              <w:right w:val="single" w:color="auto" w:sz="4" w:space="0"/>
            </w:tcBorders>
            <w:vAlign w:val="center"/>
          </w:tcPr>
          <w:p w14:paraId="649DB909">
            <w:pPr>
              <w:snapToGrid w:val="0"/>
              <w:jc w:val="center"/>
              <w:rPr>
                <w:rFonts w:hint="eastAsia" w:hAnsi="宋体"/>
                <w:b/>
                <w:sz w:val="21"/>
                <w:szCs w:val="21"/>
              </w:rPr>
            </w:pPr>
            <w:r>
              <w:rPr>
                <w:rFonts w:hint="eastAsia" w:hAnsi="宋体"/>
                <w:b/>
                <w:sz w:val="21"/>
                <w:szCs w:val="21"/>
              </w:rPr>
              <w:t>项目金额</w:t>
            </w:r>
          </w:p>
        </w:tc>
        <w:tc>
          <w:tcPr>
            <w:tcW w:w="835" w:type="dxa"/>
            <w:tcBorders>
              <w:top w:val="single" w:color="auto" w:sz="4" w:space="0"/>
              <w:left w:val="single" w:color="auto" w:sz="4" w:space="0"/>
              <w:bottom w:val="single" w:color="auto" w:sz="4" w:space="0"/>
              <w:right w:val="single" w:color="auto" w:sz="4" w:space="0"/>
            </w:tcBorders>
            <w:vAlign w:val="center"/>
          </w:tcPr>
          <w:p w14:paraId="11D07B85">
            <w:pPr>
              <w:snapToGrid w:val="0"/>
              <w:jc w:val="center"/>
              <w:rPr>
                <w:rFonts w:hint="eastAsia" w:hAnsi="宋体"/>
                <w:b/>
                <w:sz w:val="21"/>
                <w:szCs w:val="21"/>
              </w:rPr>
            </w:pPr>
            <w:r>
              <w:rPr>
                <w:rFonts w:hint="eastAsia" w:hAnsi="宋体"/>
                <w:b/>
                <w:sz w:val="21"/>
                <w:szCs w:val="21"/>
              </w:rPr>
              <w:t>执行时间</w:t>
            </w:r>
          </w:p>
        </w:tc>
        <w:tc>
          <w:tcPr>
            <w:tcW w:w="832" w:type="dxa"/>
            <w:tcBorders>
              <w:top w:val="single" w:color="auto" w:sz="4" w:space="0"/>
              <w:left w:val="single" w:color="auto" w:sz="4" w:space="0"/>
              <w:bottom w:val="single" w:color="auto" w:sz="4" w:space="0"/>
              <w:right w:val="single" w:color="auto" w:sz="4" w:space="0"/>
            </w:tcBorders>
            <w:vAlign w:val="center"/>
          </w:tcPr>
          <w:p w14:paraId="061F4A5A">
            <w:pPr>
              <w:snapToGrid w:val="0"/>
              <w:jc w:val="center"/>
              <w:rPr>
                <w:rFonts w:hint="eastAsia" w:hAnsi="宋体"/>
                <w:b/>
                <w:sz w:val="21"/>
                <w:szCs w:val="21"/>
              </w:rPr>
            </w:pPr>
            <w:r>
              <w:rPr>
                <w:rFonts w:hint="eastAsia" w:hAnsi="宋体"/>
                <w:b/>
                <w:sz w:val="21"/>
                <w:szCs w:val="21"/>
              </w:rPr>
              <w:t>页码</w:t>
            </w:r>
          </w:p>
        </w:tc>
      </w:tr>
      <w:tr w14:paraId="0299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75DE48A9">
            <w:pPr>
              <w:pStyle w:val="28"/>
              <w:jc w:val="center"/>
              <w:rPr>
                <w:rFonts w:hint="eastAsia" w:hAnsi="宋体"/>
                <w:szCs w:val="21"/>
              </w:rPr>
            </w:pPr>
            <w:r>
              <w:rPr>
                <w:rFonts w:hint="eastAsia" w:hAnsi="宋体"/>
                <w:szCs w:val="21"/>
              </w:rPr>
              <w:t>1</w:t>
            </w:r>
          </w:p>
        </w:tc>
        <w:tc>
          <w:tcPr>
            <w:tcW w:w="3225" w:type="dxa"/>
            <w:tcBorders>
              <w:top w:val="single" w:color="auto" w:sz="4" w:space="0"/>
              <w:left w:val="single" w:color="auto" w:sz="4" w:space="0"/>
              <w:bottom w:val="single" w:color="auto" w:sz="4" w:space="0"/>
              <w:right w:val="single" w:color="auto" w:sz="4" w:space="0"/>
            </w:tcBorders>
          </w:tcPr>
          <w:p w14:paraId="6B967633">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064177A5">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1897A4D3">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0C9AE8C1">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2DDFED23">
            <w:pPr>
              <w:snapToGrid w:val="0"/>
              <w:spacing w:line="360" w:lineRule="auto"/>
              <w:rPr>
                <w:rFonts w:hint="eastAsia" w:hAnsi="宋体"/>
                <w:sz w:val="21"/>
                <w:szCs w:val="21"/>
                <w:u w:val="single"/>
              </w:rPr>
            </w:pPr>
          </w:p>
        </w:tc>
      </w:tr>
      <w:tr w14:paraId="6BC7C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459F7957">
            <w:pPr>
              <w:pStyle w:val="28"/>
              <w:jc w:val="center"/>
              <w:rPr>
                <w:rFonts w:hint="eastAsia" w:hAnsi="宋体"/>
                <w:szCs w:val="21"/>
              </w:rPr>
            </w:pPr>
            <w:r>
              <w:rPr>
                <w:rFonts w:hint="eastAsia" w:hAnsi="宋体"/>
                <w:szCs w:val="21"/>
              </w:rPr>
              <w:t>2</w:t>
            </w:r>
          </w:p>
        </w:tc>
        <w:tc>
          <w:tcPr>
            <w:tcW w:w="3225" w:type="dxa"/>
            <w:tcBorders>
              <w:top w:val="single" w:color="auto" w:sz="4" w:space="0"/>
              <w:left w:val="single" w:color="auto" w:sz="4" w:space="0"/>
              <w:bottom w:val="single" w:color="auto" w:sz="4" w:space="0"/>
              <w:right w:val="single" w:color="auto" w:sz="4" w:space="0"/>
            </w:tcBorders>
          </w:tcPr>
          <w:p w14:paraId="11FEE88F">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7B2C7A48">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745C0F2B">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0ABEDDEF">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5754D04C">
            <w:pPr>
              <w:snapToGrid w:val="0"/>
              <w:spacing w:line="360" w:lineRule="auto"/>
              <w:rPr>
                <w:rFonts w:hint="eastAsia" w:hAnsi="宋体"/>
                <w:sz w:val="21"/>
                <w:szCs w:val="21"/>
                <w:u w:val="single"/>
              </w:rPr>
            </w:pPr>
          </w:p>
        </w:tc>
      </w:tr>
      <w:tr w14:paraId="37E8D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6B6F22F4">
            <w:pPr>
              <w:pStyle w:val="28"/>
              <w:jc w:val="center"/>
              <w:rPr>
                <w:rFonts w:hint="eastAsia" w:hAnsi="宋体"/>
                <w:szCs w:val="21"/>
              </w:rPr>
            </w:pPr>
            <w:r>
              <w:rPr>
                <w:rFonts w:hint="eastAsia" w:hAnsi="宋体"/>
                <w:szCs w:val="21"/>
              </w:rPr>
              <w:t>3</w:t>
            </w:r>
          </w:p>
        </w:tc>
        <w:tc>
          <w:tcPr>
            <w:tcW w:w="3225" w:type="dxa"/>
            <w:tcBorders>
              <w:top w:val="single" w:color="auto" w:sz="4" w:space="0"/>
              <w:left w:val="single" w:color="auto" w:sz="4" w:space="0"/>
              <w:bottom w:val="single" w:color="auto" w:sz="4" w:space="0"/>
              <w:right w:val="single" w:color="auto" w:sz="4" w:space="0"/>
            </w:tcBorders>
          </w:tcPr>
          <w:p w14:paraId="219CEE4B">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1C6E6C45">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533C4F4F">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4BBB6509">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6F1FF437">
            <w:pPr>
              <w:snapToGrid w:val="0"/>
              <w:spacing w:line="360" w:lineRule="auto"/>
              <w:rPr>
                <w:rFonts w:hint="eastAsia" w:hAnsi="宋体"/>
                <w:sz w:val="21"/>
                <w:szCs w:val="21"/>
                <w:u w:val="single"/>
              </w:rPr>
            </w:pPr>
          </w:p>
        </w:tc>
      </w:tr>
      <w:tr w14:paraId="5C669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7B4E416C">
            <w:pPr>
              <w:pStyle w:val="28"/>
              <w:jc w:val="center"/>
              <w:rPr>
                <w:rFonts w:hint="eastAsia" w:hAnsi="宋体"/>
                <w:szCs w:val="21"/>
              </w:rPr>
            </w:pPr>
            <w:r>
              <w:rPr>
                <w:rFonts w:hint="eastAsia" w:hAnsi="宋体"/>
                <w:szCs w:val="21"/>
              </w:rPr>
              <w:t>…</w:t>
            </w:r>
          </w:p>
        </w:tc>
        <w:tc>
          <w:tcPr>
            <w:tcW w:w="3225" w:type="dxa"/>
            <w:tcBorders>
              <w:top w:val="single" w:color="auto" w:sz="4" w:space="0"/>
              <w:left w:val="single" w:color="auto" w:sz="4" w:space="0"/>
              <w:bottom w:val="single" w:color="auto" w:sz="4" w:space="0"/>
              <w:right w:val="single" w:color="auto" w:sz="4" w:space="0"/>
            </w:tcBorders>
          </w:tcPr>
          <w:p w14:paraId="0430CB9E">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5F0017C8">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219D3404">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26E1478F">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2B830514">
            <w:pPr>
              <w:snapToGrid w:val="0"/>
              <w:spacing w:line="360" w:lineRule="auto"/>
              <w:rPr>
                <w:rFonts w:hint="eastAsia" w:hAnsi="宋体"/>
                <w:sz w:val="21"/>
                <w:szCs w:val="21"/>
                <w:u w:val="single"/>
              </w:rPr>
            </w:pPr>
          </w:p>
        </w:tc>
      </w:tr>
      <w:tr w14:paraId="7725C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66FDBD7B">
            <w:pPr>
              <w:pStyle w:val="28"/>
              <w:jc w:val="center"/>
              <w:rPr>
                <w:rFonts w:hint="eastAsia" w:hAnsi="宋体"/>
                <w:szCs w:val="21"/>
              </w:rPr>
            </w:pPr>
          </w:p>
        </w:tc>
        <w:tc>
          <w:tcPr>
            <w:tcW w:w="3225" w:type="dxa"/>
            <w:tcBorders>
              <w:top w:val="single" w:color="auto" w:sz="4" w:space="0"/>
              <w:left w:val="single" w:color="auto" w:sz="4" w:space="0"/>
              <w:bottom w:val="single" w:color="auto" w:sz="4" w:space="0"/>
              <w:right w:val="single" w:color="auto" w:sz="4" w:space="0"/>
            </w:tcBorders>
          </w:tcPr>
          <w:p w14:paraId="2F5B1471">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542BF716">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35B2DE22">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2A00A1B5">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7548710C">
            <w:pPr>
              <w:snapToGrid w:val="0"/>
              <w:spacing w:line="360" w:lineRule="auto"/>
              <w:rPr>
                <w:rFonts w:hint="eastAsia" w:hAnsi="宋体"/>
                <w:sz w:val="21"/>
                <w:szCs w:val="21"/>
                <w:u w:val="single"/>
              </w:rPr>
            </w:pPr>
          </w:p>
        </w:tc>
      </w:tr>
      <w:tr w14:paraId="183F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7E55464E">
            <w:pPr>
              <w:pStyle w:val="28"/>
              <w:jc w:val="center"/>
              <w:rPr>
                <w:rFonts w:hint="eastAsia" w:hAnsi="宋体"/>
                <w:szCs w:val="21"/>
              </w:rPr>
            </w:pPr>
          </w:p>
        </w:tc>
        <w:tc>
          <w:tcPr>
            <w:tcW w:w="3225" w:type="dxa"/>
            <w:tcBorders>
              <w:top w:val="single" w:color="auto" w:sz="4" w:space="0"/>
              <w:left w:val="single" w:color="auto" w:sz="4" w:space="0"/>
              <w:bottom w:val="single" w:color="auto" w:sz="4" w:space="0"/>
              <w:right w:val="single" w:color="auto" w:sz="4" w:space="0"/>
            </w:tcBorders>
          </w:tcPr>
          <w:p w14:paraId="28771DA4">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7CB8E76E">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5C935268">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1ACD4BE8">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50E5BAE1">
            <w:pPr>
              <w:snapToGrid w:val="0"/>
              <w:spacing w:line="360" w:lineRule="auto"/>
              <w:rPr>
                <w:rFonts w:hint="eastAsia" w:hAnsi="宋体"/>
                <w:sz w:val="21"/>
                <w:szCs w:val="21"/>
                <w:u w:val="single"/>
              </w:rPr>
            </w:pPr>
          </w:p>
        </w:tc>
      </w:tr>
      <w:tr w14:paraId="52670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47FD052E">
            <w:pPr>
              <w:pStyle w:val="28"/>
              <w:jc w:val="center"/>
              <w:rPr>
                <w:rFonts w:hint="eastAsia" w:hAnsi="宋体"/>
                <w:szCs w:val="21"/>
              </w:rPr>
            </w:pPr>
          </w:p>
        </w:tc>
        <w:tc>
          <w:tcPr>
            <w:tcW w:w="3225" w:type="dxa"/>
            <w:tcBorders>
              <w:top w:val="single" w:color="auto" w:sz="4" w:space="0"/>
              <w:left w:val="single" w:color="auto" w:sz="4" w:space="0"/>
              <w:bottom w:val="single" w:color="auto" w:sz="4" w:space="0"/>
              <w:right w:val="single" w:color="auto" w:sz="4" w:space="0"/>
            </w:tcBorders>
          </w:tcPr>
          <w:p w14:paraId="50BC988A">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6E34D65F">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7C10FE75">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32FEC9C3">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738F1009">
            <w:pPr>
              <w:snapToGrid w:val="0"/>
              <w:spacing w:line="360" w:lineRule="auto"/>
              <w:rPr>
                <w:rFonts w:hint="eastAsia" w:hAnsi="宋体"/>
                <w:sz w:val="21"/>
                <w:szCs w:val="21"/>
                <w:u w:val="single"/>
              </w:rPr>
            </w:pPr>
          </w:p>
        </w:tc>
      </w:tr>
      <w:tr w14:paraId="6F7DE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1" w:type="dxa"/>
            <w:tcBorders>
              <w:top w:val="single" w:color="auto" w:sz="4" w:space="0"/>
              <w:left w:val="single" w:color="auto" w:sz="4" w:space="0"/>
              <w:bottom w:val="single" w:color="auto" w:sz="4" w:space="0"/>
              <w:right w:val="single" w:color="auto" w:sz="4" w:space="0"/>
            </w:tcBorders>
            <w:vAlign w:val="center"/>
          </w:tcPr>
          <w:p w14:paraId="566D69A4">
            <w:pPr>
              <w:pStyle w:val="28"/>
              <w:jc w:val="center"/>
              <w:rPr>
                <w:rFonts w:hint="eastAsia" w:hAnsi="宋体"/>
                <w:szCs w:val="21"/>
              </w:rPr>
            </w:pPr>
          </w:p>
        </w:tc>
        <w:tc>
          <w:tcPr>
            <w:tcW w:w="3225" w:type="dxa"/>
            <w:tcBorders>
              <w:top w:val="single" w:color="auto" w:sz="4" w:space="0"/>
              <w:left w:val="single" w:color="auto" w:sz="4" w:space="0"/>
              <w:bottom w:val="single" w:color="auto" w:sz="4" w:space="0"/>
              <w:right w:val="single" w:color="auto" w:sz="4" w:space="0"/>
            </w:tcBorders>
          </w:tcPr>
          <w:p w14:paraId="3E7AAD51">
            <w:pPr>
              <w:snapToGrid w:val="0"/>
              <w:spacing w:line="360" w:lineRule="auto"/>
              <w:rPr>
                <w:rFonts w:hint="eastAsia" w:hAnsi="宋体"/>
                <w:sz w:val="21"/>
                <w:szCs w:val="21"/>
                <w:u w:val="single"/>
              </w:rPr>
            </w:pPr>
          </w:p>
        </w:tc>
        <w:tc>
          <w:tcPr>
            <w:tcW w:w="1365" w:type="dxa"/>
            <w:tcBorders>
              <w:top w:val="single" w:color="auto" w:sz="4" w:space="0"/>
              <w:left w:val="single" w:color="auto" w:sz="4" w:space="0"/>
              <w:bottom w:val="single" w:color="auto" w:sz="4" w:space="0"/>
              <w:right w:val="single" w:color="auto" w:sz="4" w:space="0"/>
            </w:tcBorders>
          </w:tcPr>
          <w:p w14:paraId="0357D61E">
            <w:pPr>
              <w:snapToGrid w:val="0"/>
              <w:spacing w:line="360" w:lineRule="auto"/>
              <w:rPr>
                <w:rFonts w:hint="eastAsia" w:hAnsi="宋体"/>
                <w:sz w:val="21"/>
                <w:szCs w:val="21"/>
                <w:u w:val="single"/>
              </w:rPr>
            </w:pPr>
          </w:p>
        </w:tc>
        <w:tc>
          <w:tcPr>
            <w:tcW w:w="1721" w:type="dxa"/>
            <w:tcBorders>
              <w:top w:val="single" w:color="auto" w:sz="4" w:space="0"/>
              <w:left w:val="single" w:color="auto" w:sz="4" w:space="0"/>
              <w:bottom w:val="single" w:color="auto" w:sz="4" w:space="0"/>
              <w:right w:val="single" w:color="auto" w:sz="4" w:space="0"/>
            </w:tcBorders>
          </w:tcPr>
          <w:p w14:paraId="5BBE00A2">
            <w:pPr>
              <w:snapToGrid w:val="0"/>
              <w:spacing w:line="360" w:lineRule="auto"/>
              <w:rPr>
                <w:rFonts w:hint="eastAsia" w:hAnsi="宋体"/>
                <w:sz w:val="21"/>
                <w:szCs w:val="21"/>
                <w:u w:val="single"/>
              </w:rPr>
            </w:pPr>
          </w:p>
        </w:tc>
        <w:tc>
          <w:tcPr>
            <w:tcW w:w="835" w:type="dxa"/>
            <w:tcBorders>
              <w:top w:val="single" w:color="auto" w:sz="4" w:space="0"/>
              <w:left w:val="single" w:color="auto" w:sz="4" w:space="0"/>
              <w:bottom w:val="single" w:color="auto" w:sz="4" w:space="0"/>
              <w:right w:val="single" w:color="auto" w:sz="4" w:space="0"/>
            </w:tcBorders>
          </w:tcPr>
          <w:p w14:paraId="232B287C">
            <w:pPr>
              <w:snapToGrid w:val="0"/>
              <w:spacing w:line="360" w:lineRule="auto"/>
              <w:rPr>
                <w:rFonts w:hint="eastAsia" w:hAnsi="宋体"/>
                <w:sz w:val="21"/>
                <w:szCs w:val="21"/>
                <w:u w:val="single"/>
              </w:rPr>
            </w:pPr>
          </w:p>
        </w:tc>
        <w:tc>
          <w:tcPr>
            <w:tcW w:w="832" w:type="dxa"/>
            <w:tcBorders>
              <w:top w:val="single" w:color="auto" w:sz="4" w:space="0"/>
              <w:left w:val="single" w:color="auto" w:sz="4" w:space="0"/>
              <w:bottom w:val="single" w:color="auto" w:sz="4" w:space="0"/>
              <w:right w:val="single" w:color="auto" w:sz="4" w:space="0"/>
            </w:tcBorders>
          </w:tcPr>
          <w:p w14:paraId="49BCEA86">
            <w:pPr>
              <w:snapToGrid w:val="0"/>
              <w:spacing w:line="360" w:lineRule="auto"/>
              <w:rPr>
                <w:rFonts w:hint="eastAsia" w:hAnsi="宋体"/>
                <w:sz w:val="21"/>
                <w:szCs w:val="21"/>
                <w:u w:val="single"/>
              </w:rPr>
            </w:pPr>
          </w:p>
        </w:tc>
      </w:tr>
    </w:tbl>
    <w:p w14:paraId="4C72BC25">
      <w:pPr>
        <w:pStyle w:val="28"/>
        <w:spacing w:line="480" w:lineRule="exact"/>
        <w:rPr>
          <w:rFonts w:hint="eastAsia" w:hAnsi="宋体"/>
          <w:sz w:val="22"/>
          <w:szCs w:val="22"/>
        </w:rPr>
      </w:pPr>
    </w:p>
    <w:p w14:paraId="68A8B493">
      <w:pPr>
        <w:pStyle w:val="28"/>
        <w:spacing w:line="480" w:lineRule="exact"/>
        <w:rPr>
          <w:rFonts w:hint="eastAsia" w:hAnsi="宋体"/>
          <w:sz w:val="22"/>
          <w:szCs w:val="22"/>
        </w:rPr>
      </w:pPr>
      <w:r>
        <w:rPr>
          <w:rFonts w:hint="eastAsia" w:hAnsi="宋体"/>
          <w:sz w:val="22"/>
          <w:szCs w:val="22"/>
        </w:rPr>
        <w:t>要求：</w:t>
      </w:r>
    </w:p>
    <w:p w14:paraId="2B246324">
      <w:pPr>
        <w:pStyle w:val="28"/>
        <w:spacing w:line="480" w:lineRule="exact"/>
        <w:ind w:firstLine="440" w:firstLineChars="200"/>
        <w:rPr>
          <w:rFonts w:hint="eastAsia" w:hAnsi="宋体"/>
          <w:sz w:val="22"/>
          <w:szCs w:val="22"/>
        </w:rPr>
      </w:pPr>
      <w:r>
        <w:rPr>
          <w:rFonts w:hint="eastAsia" w:hAnsi="宋体"/>
          <w:sz w:val="22"/>
          <w:szCs w:val="22"/>
        </w:rPr>
        <w:t>供应商应当如实、完整地填写本表格，内容包括所有同类或近似项目业绩。根据评分标准提供相应的证明材料。在填写过程中请按年份顺序填写。</w:t>
      </w:r>
    </w:p>
    <w:p w14:paraId="2DFC1998">
      <w:pPr>
        <w:pStyle w:val="28"/>
        <w:spacing w:line="480" w:lineRule="exact"/>
        <w:rPr>
          <w:rFonts w:hint="eastAsia" w:hAnsi="宋体"/>
          <w:sz w:val="22"/>
          <w:szCs w:val="22"/>
        </w:rPr>
      </w:pPr>
    </w:p>
    <w:p w14:paraId="3B6EBAEE">
      <w:pPr>
        <w:overflowPunct w:val="0"/>
        <w:spacing w:line="460" w:lineRule="exact"/>
        <w:rPr>
          <w:rFonts w:hint="eastAsia" w:hAnsi="宋体"/>
          <w:sz w:val="22"/>
          <w:szCs w:val="22"/>
        </w:rPr>
      </w:pPr>
      <w:r>
        <w:rPr>
          <w:rFonts w:hint="eastAsia" w:hAnsi="宋体"/>
          <w:sz w:val="22"/>
          <w:szCs w:val="22"/>
        </w:rPr>
        <w:t>供应商名称（加盖公章）：</w:t>
      </w:r>
    </w:p>
    <w:p w14:paraId="220606B8">
      <w:pPr>
        <w:overflowPunct w:val="0"/>
        <w:spacing w:line="460" w:lineRule="exact"/>
        <w:rPr>
          <w:rFonts w:hint="eastAsia" w:hAnsi="宋体"/>
          <w:sz w:val="22"/>
          <w:szCs w:val="22"/>
        </w:rPr>
      </w:pPr>
      <w:r>
        <w:rPr>
          <w:rFonts w:hint="eastAsia" w:hAnsi="宋体"/>
          <w:sz w:val="22"/>
          <w:szCs w:val="22"/>
        </w:rPr>
        <w:t>供应商法定代表人或受委托人（签名或盖私章）：</w:t>
      </w:r>
    </w:p>
    <w:p w14:paraId="5C3C748B">
      <w:pPr>
        <w:overflowPunct w:val="0"/>
        <w:spacing w:line="460" w:lineRule="exact"/>
        <w:rPr>
          <w:rFonts w:hint="eastAsia" w:hAnsi="宋体"/>
          <w:sz w:val="22"/>
          <w:szCs w:val="22"/>
        </w:rPr>
      </w:pPr>
      <w:r>
        <w:rPr>
          <w:rFonts w:hint="eastAsia" w:hAnsi="宋体"/>
          <w:sz w:val="22"/>
          <w:szCs w:val="22"/>
        </w:rPr>
        <w:t xml:space="preserve">日期：年月日 </w:t>
      </w:r>
    </w:p>
    <w:p w14:paraId="164FDF13">
      <w:pPr>
        <w:pStyle w:val="6"/>
        <w:numPr>
          <w:ilvl w:val="0"/>
          <w:numId w:val="14"/>
        </w:numPr>
        <w:jc w:val="center"/>
        <w:rPr>
          <w:rFonts w:hint="eastAsia"/>
          <w:bCs/>
          <w:sz w:val="28"/>
          <w:szCs w:val="28"/>
        </w:rPr>
      </w:pPr>
      <w:r>
        <w:rPr>
          <w:sz w:val="22"/>
          <w:szCs w:val="22"/>
        </w:rPr>
        <w:br w:type="page"/>
      </w:r>
      <w:bookmarkStart w:id="274" w:name="_Toc6882"/>
      <w:bookmarkStart w:id="275" w:name="_Toc23633"/>
      <w:bookmarkStart w:id="276" w:name="_Toc17432"/>
      <w:bookmarkStart w:id="277" w:name="_Toc7897897"/>
      <w:r>
        <w:rPr>
          <w:rFonts w:hint="eastAsia"/>
          <w:bCs/>
          <w:sz w:val="28"/>
          <w:szCs w:val="28"/>
        </w:rPr>
        <w:t>在经营活动中没有重大违法记录的书面声明</w:t>
      </w:r>
      <w:bookmarkEnd w:id="274"/>
      <w:bookmarkEnd w:id="275"/>
      <w:bookmarkEnd w:id="276"/>
      <w:bookmarkEnd w:id="277"/>
    </w:p>
    <w:p w14:paraId="112DA8EF">
      <w:pPr>
        <w:pStyle w:val="78"/>
        <w:ind w:firstLine="0" w:firstLineChars="0"/>
        <w:jc w:val="center"/>
        <w:rPr>
          <w:rFonts w:hint="eastAsia" w:ascii="宋体" w:eastAsia="宋体"/>
          <w:b/>
          <w:sz w:val="28"/>
        </w:rPr>
      </w:pPr>
    </w:p>
    <w:p w14:paraId="1FB681D0">
      <w:pPr>
        <w:spacing w:line="360" w:lineRule="auto"/>
        <w:rPr>
          <w:rFonts w:hint="eastAsia" w:hAnsi="宋体"/>
          <w:sz w:val="21"/>
          <w:szCs w:val="21"/>
          <w:u w:val="single"/>
        </w:rPr>
      </w:pPr>
      <w:r>
        <w:rPr>
          <w:rFonts w:hint="eastAsia" w:hAnsi="宋体"/>
          <w:sz w:val="21"/>
          <w:szCs w:val="21"/>
        </w:rPr>
        <w:t>致：</w:t>
      </w:r>
    </w:p>
    <w:p w14:paraId="379EC9C0">
      <w:pPr>
        <w:spacing w:line="360" w:lineRule="auto"/>
        <w:rPr>
          <w:rFonts w:hint="eastAsia" w:hAnsi="宋体"/>
          <w:sz w:val="21"/>
          <w:szCs w:val="21"/>
        </w:rPr>
      </w:pPr>
      <w:r>
        <w:rPr>
          <w:rFonts w:hint="eastAsia" w:hAnsi="宋体"/>
          <w:sz w:val="21"/>
          <w:szCs w:val="21"/>
        </w:rPr>
        <w:t xml:space="preserve">        本公司参加采购项目（采购编号）的采购活动，并声明：</w:t>
      </w:r>
    </w:p>
    <w:p w14:paraId="61AEA5A3">
      <w:pPr>
        <w:spacing w:line="360" w:lineRule="auto"/>
        <w:rPr>
          <w:rFonts w:hint="eastAsia" w:hAnsi="宋体"/>
          <w:sz w:val="21"/>
          <w:szCs w:val="21"/>
        </w:rPr>
      </w:pPr>
      <w:r>
        <w:rPr>
          <w:rFonts w:hint="eastAsia" w:hAnsi="宋体"/>
          <w:sz w:val="21"/>
          <w:szCs w:val="21"/>
        </w:rPr>
        <w:t xml:space="preserve">    本公司参加本采购项目采购前3年内在经营活动中没有因违法经营受到刑事处罚或者责令停产停业、吊销许可证或者执照、较大数额罚款等行政处罚。</w:t>
      </w:r>
    </w:p>
    <w:p w14:paraId="041544B9">
      <w:pPr>
        <w:spacing w:line="360" w:lineRule="auto"/>
        <w:rPr>
          <w:rFonts w:hint="eastAsia" w:hAnsi="宋体"/>
          <w:sz w:val="21"/>
          <w:szCs w:val="21"/>
        </w:rPr>
      </w:pPr>
      <w:r>
        <w:rPr>
          <w:rFonts w:hint="eastAsia" w:hAnsi="宋体"/>
          <w:sz w:val="21"/>
          <w:szCs w:val="21"/>
        </w:rPr>
        <w:t xml:space="preserve">    特此声明！</w:t>
      </w:r>
    </w:p>
    <w:p w14:paraId="3EFA0CE7">
      <w:pPr>
        <w:rPr>
          <w:rFonts w:hint="eastAsia" w:hAnsi="宋体"/>
          <w:sz w:val="21"/>
          <w:szCs w:val="21"/>
        </w:rPr>
      </w:pPr>
    </w:p>
    <w:p w14:paraId="19CDCD64">
      <w:pPr>
        <w:rPr>
          <w:rFonts w:hint="eastAsia" w:hAnsi="宋体"/>
          <w:sz w:val="21"/>
          <w:szCs w:val="21"/>
        </w:rPr>
      </w:pPr>
    </w:p>
    <w:p w14:paraId="074D3625">
      <w:pPr>
        <w:overflowPunct w:val="0"/>
        <w:spacing w:line="460" w:lineRule="exact"/>
        <w:rPr>
          <w:rFonts w:hint="eastAsia" w:hAnsi="宋体"/>
          <w:sz w:val="21"/>
          <w:szCs w:val="21"/>
        </w:rPr>
      </w:pPr>
      <w:r>
        <w:rPr>
          <w:rFonts w:hint="eastAsia" w:hAnsi="宋体"/>
          <w:sz w:val="21"/>
          <w:szCs w:val="21"/>
        </w:rPr>
        <w:t>供应商名称（加盖公章）：</w:t>
      </w:r>
    </w:p>
    <w:p w14:paraId="3822E17D">
      <w:pPr>
        <w:overflowPunct w:val="0"/>
        <w:spacing w:line="460" w:lineRule="exact"/>
        <w:rPr>
          <w:rFonts w:hint="eastAsia" w:hAnsi="宋体"/>
          <w:sz w:val="21"/>
          <w:szCs w:val="21"/>
        </w:rPr>
      </w:pPr>
      <w:r>
        <w:rPr>
          <w:rFonts w:hint="eastAsia" w:hAnsi="宋体"/>
          <w:sz w:val="21"/>
          <w:szCs w:val="21"/>
        </w:rPr>
        <w:t>供应商法定代表人或受委托人（签名或盖私章）：</w:t>
      </w:r>
    </w:p>
    <w:p w14:paraId="2D314D28">
      <w:pPr>
        <w:overflowPunct w:val="0"/>
        <w:spacing w:line="460" w:lineRule="exact"/>
        <w:rPr>
          <w:rFonts w:hint="eastAsia" w:hAnsi="宋体"/>
          <w:sz w:val="21"/>
          <w:szCs w:val="21"/>
        </w:rPr>
      </w:pPr>
      <w:r>
        <w:rPr>
          <w:rFonts w:hint="eastAsia" w:hAnsi="宋体"/>
          <w:sz w:val="21"/>
          <w:szCs w:val="21"/>
        </w:rPr>
        <w:t xml:space="preserve">日期：年月日 </w:t>
      </w:r>
    </w:p>
    <w:bookmarkEnd w:id="236"/>
    <w:bookmarkEnd w:id="237"/>
    <w:bookmarkEnd w:id="238"/>
    <w:bookmarkEnd w:id="239"/>
    <w:bookmarkEnd w:id="240"/>
    <w:bookmarkEnd w:id="241"/>
    <w:bookmarkEnd w:id="242"/>
    <w:p w14:paraId="5769BBB7">
      <w:pPr>
        <w:pStyle w:val="6"/>
        <w:numPr>
          <w:ilvl w:val="0"/>
          <w:numId w:val="14"/>
        </w:numPr>
        <w:jc w:val="center"/>
        <w:rPr>
          <w:rFonts w:hint="eastAsia"/>
          <w:bCs/>
          <w:sz w:val="28"/>
          <w:szCs w:val="28"/>
        </w:rPr>
      </w:pPr>
      <w:bookmarkStart w:id="278" w:name="_Toc110953865"/>
      <w:bookmarkStart w:id="279" w:name="_Toc480171915"/>
      <w:bookmarkStart w:id="280" w:name="_Toc480010743"/>
      <w:bookmarkStart w:id="281" w:name="_Toc468606065"/>
      <w:bookmarkStart w:id="282" w:name="_Toc467236774"/>
      <w:bookmarkStart w:id="283" w:name="_Toc467987857"/>
      <w:bookmarkStart w:id="284" w:name="_Toc35233726"/>
      <w:bookmarkStart w:id="285" w:name="_Toc454701411"/>
      <w:bookmarkStart w:id="286" w:name="_Toc480020290"/>
      <w:bookmarkStart w:id="287" w:name="_Toc468157570"/>
      <w:bookmarkStart w:id="288" w:name="_Toc479991617"/>
      <w:bookmarkStart w:id="289" w:name="_Toc480021086"/>
      <w:bookmarkStart w:id="290" w:name="_Toc458262644"/>
      <w:r>
        <w:rPr>
          <w:sz w:val="22"/>
          <w:szCs w:val="22"/>
        </w:rPr>
        <w:br w:type="page"/>
      </w:r>
      <w:bookmarkEnd w:id="278"/>
      <w:bookmarkStart w:id="291" w:name="_Toc2461"/>
      <w:bookmarkStart w:id="292" w:name="_Toc8181"/>
      <w:bookmarkStart w:id="293" w:name="_Toc18024"/>
      <w:bookmarkStart w:id="294" w:name="_Toc7897900"/>
      <w:r>
        <w:rPr>
          <w:rFonts w:hint="eastAsia"/>
          <w:bCs/>
          <w:sz w:val="28"/>
          <w:szCs w:val="28"/>
        </w:rPr>
        <w:t>针对本项目拟派人员及其技术资格一览表</w:t>
      </w:r>
      <w:bookmarkEnd w:id="291"/>
      <w:bookmarkEnd w:id="292"/>
      <w:bookmarkEnd w:id="293"/>
      <w:bookmarkEnd w:id="294"/>
    </w:p>
    <w:p w14:paraId="0E534090">
      <w:pPr>
        <w:pStyle w:val="28"/>
        <w:spacing w:line="480" w:lineRule="exact"/>
        <w:ind w:left="-202" w:leftChars="-84" w:firstLine="241" w:firstLineChars="100"/>
        <w:rPr>
          <w:rFonts w:hint="eastAsia" w:hAnsi="宋体"/>
          <w:b/>
          <w:sz w:val="24"/>
          <w:szCs w:val="21"/>
        </w:rPr>
      </w:pPr>
    </w:p>
    <w:p w14:paraId="2AE08910">
      <w:pPr>
        <w:pStyle w:val="28"/>
        <w:spacing w:line="480" w:lineRule="exact"/>
        <w:ind w:left="-202" w:leftChars="-84" w:firstLine="221" w:firstLineChars="100"/>
        <w:rPr>
          <w:rFonts w:hint="eastAsia" w:hAnsi="宋体"/>
          <w:b/>
          <w:sz w:val="22"/>
          <w:szCs w:val="22"/>
          <w:u w:val="single"/>
        </w:rPr>
      </w:pPr>
    </w:p>
    <w:tbl>
      <w:tblPr>
        <w:tblStyle w:val="53"/>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026"/>
        <w:gridCol w:w="877"/>
        <w:gridCol w:w="1533"/>
        <w:gridCol w:w="1357"/>
        <w:gridCol w:w="1200"/>
        <w:gridCol w:w="1403"/>
        <w:gridCol w:w="1403"/>
      </w:tblGrid>
      <w:tr w14:paraId="49C96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vAlign w:val="center"/>
          </w:tcPr>
          <w:p w14:paraId="02F6FFDC">
            <w:pPr>
              <w:pStyle w:val="28"/>
              <w:spacing w:line="480" w:lineRule="exact"/>
              <w:jc w:val="center"/>
              <w:rPr>
                <w:rFonts w:hint="eastAsia" w:hAnsi="宋体"/>
                <w:b/>
                <w:szCs w:val="21"/>
              </w:rPr>
            </w:pPr>
            <w:r>
              <w:rPr>
                <w:rFonts w:hint="eastAsia" w:hAnsi="宋体"/>
                <w:b/>
                <w:szCs w:val="21"/>
              </w:rPr>
              <w:t>序号</w:t>
            </w:r>
          </w:p>
        </w:tc>
        <w:tc>
          <w:tcPr>
            <w:tcW w:w="1026" w:type="dxa"/>
            <w:vAlign w:val="center"/>
          </w:tcPr>
          <w:p w14:paraId="58C2549E">
            <w:pPr>
              <w:pStyle w:val="28"/>
              <w:spacing w:line="480" w:lineRule="exact"/>
              <w:jc w:val="center"/>
              <w:rPr>
                <w:rFonts w:hint="eastAsia" w:hAnsi="宋体"/>
                <w:b/>
                <w:szCs w:val="21"/>
              </w:rPr>
            </w:pPr>
            <w:r>
              <w:rPr>
                <w:rFonts w:hint="eastAsia" w:hAnsi="宋体"/>
                <w:b/>
                <w:szCs w:val="21"/>
              </w:rPr>
              <w:t>姓名</w:t>
            </w:r>
          </w:p>
        </w:tc>
        <w:tc>
          <w:tcPr>
            <w:tcW w:w="877" w:type="dxa"/>
            <w:vAlign w:val="center"/>
          </w:tcPr>
          <w:p w14:paraId="323505FF">
            <w:pPr>
              <w:pStyle w:val="28"/>
              <w:spacing w:line="480" w:lineRule="exact"/>
              <w:jc w:val="center"/>
              <w:rPr>
                <w:rFonts w:hint="eastAsia" w:hAnsi="宋体"/>
                <w:b/>
                <w:szCs w:val="21"/>
              </w:rPr>
            </w:pPr>
            <w:r>
              <w:rPr>
                <w:rFonts w:hint="eastAsia" w:hAnsi="宋体"/>
                <w:b/>
                <w:szCs w:val="21"/>
              </w:rPr>
              <w:t>职位</w:t>
            </w:r>
          </w:p>
        </w:tc>
        <w:tc>
          <w:tcPr>
            <w:tcW w:w="1533" w:type="dxa"/>
          </w:tcPr>
          <w:p w14:paraId="3733D4E3">
            <w:pPr>
              <w:pStyle w:val="28"/>
              <w:spacing w:line="480" w:lineRule="exact"/>
              <w:jc w:val="center"/>
              <w:rPr>
                <w:rFonts w:hint="eastAsia" w:hAnsi="宋体"/>
                <w:b/>
                <w:szCs w:val="21"/>
              </w:rPr>
            </w:pPr>
            <w:r>
              <w:rPr>
                <w:rFonts w:hint="eastAsia" w:hAnsi="宋体"/>
                <w:b/>
                <w:szCs w:val="21"/>
              </w:rPr>
              <w:t>拟在本项目担任职务</w:t>
            </w:r>
          </w:p>
        </w:tc>
        <w:tc>
          <w:tcPr>
            <w:tcW w:w="1357" w:type="dxa"/>
            <w:vAlign w:val="center"/>
          </w:tcPr>
          <w:p w14:paraId="5A7AECB8">
            <w:pPr>
              <w:pStyle w:val="28"/>
              <w:spacing w:line="480" w:lineRule="exact"/>
              <w:jc w:val="center"/>
              <w:rPr>
                <w:rFonts w:hint="eastAsia" w:hAnsi="宋体"/>
                <w:b/>
                <w:szCs w:val="21"/>
              </w:rPr>
            </w:pPr>
            <w:r>
              <w:rPr>
                <w:rFonts w:hint="eastAsia" w:hAnsi="宋体"/>
                <w:b/>
                <w:szCs w:val="21"/>
              </w:rPr>
              <w:t>专业、资格证件</w:t>
            </w:r>
          </w:p>
        </w:tc>
        <w:tc>
          <w:tcPr>
            <w:tcW w:w="1200" w:type="dxa"/>
            <w:vAlign w:val="center"/>
          </w:tcPr>
          <w:p w14:paraId="38D82A08">
            <w:pPr>
              <w:pStyle w:val="28"/>
              <w:spacing w:line="480" w:lineRule="exact"/>
              <w:jc w:val="center"/>
              <w:rPr>
                <w:rFonts w:hint="eastAsia" w:hAnsi="宋体"/>
                <w:b/>
                <w:szCs w:val="21"/>
              </w:rPr>
            </w:pPr>
            <w:r>
              <w:rPr>
                <w:rFonts w:hint="eastAsia" w:hAnsi="宋体"/>
                <w:b/>
                <w:szCs w:val="21"/>
              </w:rPr>
              <w:t>发证时间</w:t>
            </w:r>
          </w:p>
        </w:tc>
        <w:tc>
          <w:tcPr>
            <w:tcW w:w="1403" w:type="dxa"/>
            <w:vAlign w:val="center"/>
          </w:tcPr>
          <w:p w14:paraId="57D150EB">
            <w:pPr>
              <w:pStyle w:val="28"/>
              <w:spacing w:line="480" w:lineRule="exact"/>
              <w:jc w:val="center"/>
              <w:rPr>
                <w:rFonts w:hint="eastAsia" w:hAnsi="宋体"/>
                <w:b/>
                <w:szCs w:val="21"/>
              </w:rPr>
            </w:pPr>
            <w:r>
              <w:rPr>
                <w:rFonts w:hint="eastAsia" w:hAnsi="宋体"/>
                <w:b/>
                <w:szCs w:val="21"/>
              </w:rPr>
              <w:t>经验年限</w:t>
            </w:r>
          </w:p>
        </w:tc>
        <w:tc>
          <w:tcPr>
            <w:tcW w:w="1403" w:type="dxa"/>
          </w:tcPr>
          <w:p w14:paraId="141A2350">
            <w:pPr>
              <w:pStyle w:val="28"/>
              <w:spacing w:line="480" w:lineRule="exact"/>
              <w:jc w:val="center"/>
              <w:rPr>
                <w:rFonts w:hint="eastAsia" w:hAnsi="宋体"/>
                <w:b/>
                <w:szCs w:val="21"/>
              </w:rPr>
            </w:pPr>
            <w:r>
              <w:rPr>
                <w:rFonts w:hint="eastAsia" w:hAnsi="宋体"/>
                <w:b/>
                <w:szCs w:val="21"/>
              </w:rPr>
              <w:t>主要承担过的项目</w:t>
            </w:r>
          </w:p>
        </w:tc>
      </w:tr>
      <w:tr w14:paraId="048EE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DDB1336">
            <w:pPr>
              <w:pStyle w:val="28"/>
              <w:spacing w:line="480" w:lineRule="exact"/>
              <w:jc w:val="center"/>
              <w:rPr>
                <w:rFonts w:hint="eastAsia" w:hAnsi="宋体"/>
                <w:szCs w:val="21"/>
              </w:rPr>
            </w:pPr>
          </w:p>
        </w:tc>
        <w:tc>
          <w:tcPr>
            <w:tcW w:w="1026" w:type="dxa"/>
            <w:vAlign w:val="center"/>
          </w:tcPr>
          <w:p w14:paraId="687CD755">
            <w:pPr>
              <w:pStyle w:val="28"/>
              <w:spacing w:line="480" w:lineRule="exact"/>
              <w:jc w:val="center"/>
              <w:rPr>
                <w:rFonts w:hint="eastAsia" w:hAnsi="宋体"/>
                <w:szCs w:val="21"/>
              </w:rPr>
            </w:pPr>
          </w:p>
        </w:tc>
        <w:tc>
          <w:tcPr>
            <w:tcW w:w="877" w:type="dxa"/>
            <w:vAlign w:val="center"/>
          </w:tcPr>
          <w:p w14:paraId="185DB41E">
            <w:pPr>
              <w:pStyle w:val="28"/>
              <w:spacing w:line="480" w:lineRule="exact"/>
              <w:jc w:val="center"/>
              <w:rPr>
                <w:rFonts w:hint="eastAsia" w:hAnsi="宋体"/>
                <w:szCs w:val="21"/>
              </w:rPr>
            </w:pPr>
          </w:p>
        </w:tc>
        <w:tc>
          <w:tcPr>
            <w:tcW w:w="1533" w:type="dxa"/>
          </w:tcPr>
          <w:p w14:paraId="5DD3AD60">
            <w:pPr>
              <w:pStyle w:val="28"/>
              <w:spacing w:line="480" w:lineRule="exact"/>
              <w:jc w:val="center"/>
              <w:rPr>
                <w:rFonts w:hint="eastAsia" w:hAnsi="宋体"/>
                <w:szCs w:val="21"/>
              </w:rPr>
            </w:pPr>
            <w:r>
              <w:rPr>
                <w:rFonts w:hint="eastAsia" w:hAnsi="宋体"/>
                <w:szCs w:val="21"/>
              </w:rPr>
              <w:t>项目负责人</w:t>
            </w:r>
          </w:p>
        </w:tc>
        <w:tc>
          <w:tcPr>
            <w:tcW w:w="1357" w:type="dxa"/>
            <w:vAlign w:val="center"/>
          </w:tcPr>
          <w:p w14:paraId="1CAF2AD9">
            <w:pPr>
              <w:pStyle w:val="28"/>
              <w:spacing w:line="480" w:lineRule="exact"/>
              <w:jc w:val="center"/>
              <w:rPr>
                <w:rFonts w:hint="eastAsia" w:hAnsi="宋体"/>
                <w:szCs w:val="21"/>
              </w:rPr>
            </w:pPr>
          </w:p>
        </w:tc>
        <w:tc>
          <w:tcPr>
            <w:tcW w:w="1200" w:type="dxa"/>
            <w:vAlign w:val="center"/>
          </w:tcPr>
          <w:p w14:paraId="070B7AB0">
            <w:pPr>
              <w:pStyle w:val="28"/>
              <w:spacing w:line="480" w:lineRule="exact"/>
              <w:jc w:val="center"/>
              <w:rPr>
                <w:rFonts w:hint="eastAsia" w:hAnsi="宋体"/>
                <w:szCs w:val="21"/>
              </w:rPr>
            </w:pPr>
          </w:p>
        </w:tc>
        <w:tc>
          <w:tcPr>
            <w:tcW w:w="1403" w:type="dxa"/>
            <w:vAlign w:val="center"/>
          </w:tcPr>
          <w:p w14:paraId="5E6E59B9">
            <w:pPr>
              <w:pStyle w:val="28"/>
              <w:spacing w:line="480" w:lineRule="exact"/>
              <w:jc w:val="center"/>
              <w:rPr>
                <w:rFonts w:hint="eastAsia" w:hAnsi="宋体"/>
                <w:szCs w:val="21"/>
              </w:rPr>
            </w:pPr>
          </w:p>
        </w:tc>
        <w:tc>
          <w:tcPr>
            <w:tcW w:w="1403" w:type="dxa"/>
          </w:tcPr>
          <w:p w14:paraId="4A74F95B">
            <w:pPr>
              <w:pStyle w:val="28"/>
              <w:spacing w:line="480" w:lineRule="exact"/>
              <w:jc w:val="center"/>
              <w:rPr>
                <w:rFonts w:hint="eastAsia" w:hAnsi="宋体"/>
                <w:szCs w:val="21"/>
              </w:rPr>
            </w:pPr>
          </w:p>
        </w:tc>
      </w:tr>
      <w:tr w14:paraId="5CCA2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796D2709">
            <w:pPr>
              <w:pStyle w:val="28"/>
              <w:spacing w:line="480" w:lineRule="exact"/>
              <w:jc w:val="center"/>
              <w:rPr>
                <w:rFonts w:hint="eastAsia" w:hAnsi="宋体"/>
                <w:szCs w:val="21"/>
              </w:rPr>
            </w:pPr>
          </w:p>
        </w:tc>
        <w:tc>
          <w:tcPr>
            <w:tcW w:w="1026" w:type="dxa"/>
            <w:vAlign w:val="center"/>
          </w:tcPr>
          <w:p w14:paraId="6B7F82AC">
            <w:pPr>
              <w:pStyle w:val="28"/>
              <w:spacing w:line="480" w:lineRule="exact"/>
              <w:jc w:val="center"/>
              <w:rPr>
                <w:rFonts w:hint="eastAsia" w:hAnsi="宋体"/>
                <w:szCs w:val="21"/>
              </w:rPr>
            </w:pPr>
          </w:p>
        </w:tc>
        <w:tc>
          <w:tcPr>
            <w:tcW w:w="877" w:type="dxa"/>
            <w:vAlign w:val="center"/>
          </w:tcPr>
          <w:p w14:paraId="15C4EACF">
            <w:pPr>
              <w:pStyle w:val="28"/>
              <w:spacing w:line="480" w:lineRule="exact"/>
              <w:jc w:val="center"/>
              <w:rPr>
                <w:rFonts w:hint="eastAsia" w:hAnsi="宋体"/>
                <w:szCs w:val="21"/>
              </w:rPr>
            </w:pPr>
          </w:p>
        </w:tc>
        <w:tc>
          <w:tcPr>
            <w:tcW w:w="1533" w:type="dxa"/>
            <w:vAlign w:val="center"/>
          </w:tcPr>
          <w:p w14:paraId="3E70D773">
            <w:pPr>
              <w:jc w:val="center"/>
              <w:rPr>
                <w:rFonts w:hint="eastAsia" w:hAnsi="宋体"/>
                <w:sz w:val="21"/>
                <w:szCs w:val="21"/>
              </w:rPr>
            </w:pPr>
            <w:r>
              <w:rPr>
                <w:rFonts w:hint="eastAsia" w:hAnsi="宋体"/>
                <w:sz w:val="21"/>
                <w:szCs w:val="21"/>
              </w:rPr>
              <w:t>项目人员</w:t>
            </w:r>
          </w:p>
        </w:tc>
        <w:tc>
          <w:tcPr>
            <w:tcW w:w="1357" w:type="dxa"/>
            <w:vAlign w:val="center"/>
          </w:tcPr>
          <w:p w14:paraId="0A061EDD">
            <w:pPr>
              <w:pStyle w:val="28"/>
              <w:spacing w:line="480" w:lineRule="exact"/>
              <w:jc w:val="center"/>
              <w:rPr>
                <w:rFonts w:hint="eastAsia" w:hAnsi="宋体"/>
                <w:szCs w:val="21"/>
              </w:rPr>
            </w:pPr>
          </w:p>
        </w:tc>
        <w:tc>
          <w:tcPr>
            <w:tcW w:w="1200" w:type="dxa"/>
            <w:vAlign w:val="center"/>
          </w:tcPr>
          <w:p w14:paraId="27DAADB9">
            <w:pPr>
              <w:pStyle w:val="28"/>
              <w:spacing w:line="480" w:lineRule="exact"/>
              <w:jc w:val="center"/>
              <w:rPr>
                <w:rFonts w:hint="eastAsia" w:hAnsi="宋体"/>
                <w:szCs w:val="21"/>
              </w:rPr>
            </w:pPr>
          </w:p>
        </w:tc>
        <w:tc>
          <w:tcPr>
            <w:tcW w:w="1403" w:type="dxa"/>
            <w:vAlign w:val="center"/>
          </w:tcPr>
          <w:p w14:paraId="0B4756D8">
            <w:pPr>
              <w:pStyle w:val="28"/>
              <w:spacing w:line="480" w:lineRule="exact"/>
              <w:jc w:val="center"/>
              <w:rPr>
                <w:rFonts w:hint="eastAsia" w:hAnsi="宋体"/>
                <w:szCs w:val="21"/>
              </w:rPr>
            </w:pPr>
          </w:p>
        </w:tc>
        <w:tc>
          <w:tcPr>
            <w:tcW w:w="1403" w:type="dxa"/>
          </w:tcPr>
          <w:p w14:paraId="4ADB5EA1">
            <w:pPr>
              <w:pStyle w:val="28"/>
              <w:spacing w:line="480" w:lineRule="exact"/>
              <w:jc w:val="center"/>
              <w:rPr>
                <w:rFonts w:hint="eastAsia" w:hAnsi="宋体"/>
                <w:szCs w:val="21"/>
              </w:rPr>
            </w:pPr>
          </w:p>
        </w:tc>
      </w:tr>
      <w:tr w14:paraId="39C64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3830E73">
            <w:pPr>
              <w:pStyle w:val="28"/>
              <w:spacing w:line="480" w:lineRule="exact"/>
              <w:jc w:val="center"/>
              <w:rPr>
                <w:rFonts w:hint="eastAsia" w:hAnsi="宋体"/>
                <w:szCs w:val="21"/>
              </w:rPr>
            </w:pPr>
          </w:p>
        </w:tc>
        <w:tc>
          <w:tcPr>
            <w:tcW w:w="1026" w:type="dxa"/>
            <w:vAlign w:val="center"/>
          </w:tcPr>
          <w:p w14:paraId="65CE4311">
            <w:pPr>
              <w:pStyle w:val="28"/>
              <w:spacing w:line="480" w:lineRule="exact"/>
              <w:jc w:val="center"/>
              <w:rPr>
                <w:rFonts w:hint="eastAsia" w:hAnsi="宋体"/>
                <w:szCs w:val="21"/>
              </w:rPr>
            </w:pPr>
          </w:p>
        </w:tc>
        <w:tc>
          <w:tcPr>
            <w:tcW w:w="877" w:type="dxa"/>
            <w:vAlign w:val="center"/>
          </w:tcPr>
          <w:p w14:paraId="34EFD598">
            <w:pPr>
              <w:pStyle w:val="28"/>
              <w:spacing w:line="480" w:lineRule="exact"/>
              <w:jc w:val="center"/>
              <w:rPr>
                <w:rFonts w:hint="eastAsia" w:hAnsi="宋体"/>
                <w:szCs w:val="21"/>
              </w:rPr>
            </w:pPr>
          </w:p>
        </w:tc>
        <w:tc>
          <w:tcPr>
            <w:tcW w:w="1533" w:type="dxa"/>
          </w:tcPr>
          <w:p w14:paraId="6FE1E9B4">
            <w:pPr>
              <w:pStyle w:val="28"/>
              <w:spacing w:line="480" w:lineRule="exact"/>
              <w:jc w:val="center"/>
              <w:rPr>
                <w:rFonts w:hint="eastAsia" w:hAnsi="宋体"/>
                <w:szCs w:val="21"/>
              </w:rPr>
            </w:pPr>
            <w:r>
              <w:rPr>
                <w:rFonts w:hint="eastAsia" w:hAnsi="宋体"/>
                <w:szCs w:val="21"/>
              </w:rPr>
              <w:t>…</w:t>
            </w:r>
          </w:p>
        </w:tc>
        <w:tc>
          <w:tcPr>
            <w:tcW w:w="1357" w:type="dxa"/>
            <w:vAlign w:val="center"/>
          </w:tcPr>
          <w:p w14:paraId="48CF9527">
            <w:pPr>
              <w:pStyle w:val="28"/>
              <w:spacing w:line="480" w:lineRule="exact"/>
              <w:jc w:val="center"/>
              <w:rPr>
                <w:rFonts w:hint="eastAsia" w:hAnsi="宋体"/>
                <w:szCs w:val="21"/>
              </w:rPr>
            </w:pPr>
          </w:p>
        </w:tc>
        <w:tc>
          <w:tcPr>
            <w:tcW w:w="1200" w:type="dxa"/>
            <w:vAlign w:val="center"/>
          </w:tcPr>
          <w:p w14:paraId="5E99CF42">
            <w:pPr>
              <w:pStyle w:val="28"/>
              <w:spacing w:line="480" w:lineRule="exact"/>
              <w:jc w:val="center"/>
              <w:rPr>
                <w:rFonts w:hint="eastAsia" w:hAnsi="宋体"/>
                <w:szCs w:val="21"/>
              </w:rPr>
            </w:pPr>
          </w:p>
        </w:tc>
        <w:tc>
          <w:tcPr>
            <w:tcW w:w="1403" w:type="dxa"/>
            <w:vAlign w:val="center"/>
          </w:tcPr>
          <w:p w14:paraId="4DB10BDD">
            <w:pPr>
              <w:pStyle w:val="28"/>
              <w:spacing w:line="480" w:lineRule="exact"/>
              <w:jc w:val="center"/>
              <w:rPr>
                <w:rFonts w:hint="eastAsia" w:hAnsi="宋体"/>
                <w:szCs w:val="21"/>
              </w:rPr>
            </w:pPr>
          </w:p>
        </w:tc>
        <w:tc>
          <w:tcPr>
            <w:tcW w:w="1403" w:type="dxa"/>
          </w:tcPr>
          <w:p w14:paraId="1C2104EA">
            <w:pPr>
              <w:pStyle w:val="28"/>
              <w:spacing w:line="480" w:lineRule="exact"/>
              <w:jc w:val="center"/>
              <w:rPr>
                <w:rFonts w:hint="eastAsia" w:hAnsi="宋体"/>
                <w:szCs w:val="21"/>
              </w:rPr>
            </w:pPr>
          </w:p>
        </w:tc>
      </w:tr>
      <w:tr w14:paraId="78A6D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05A550E2">
            <w:pPr>
              <w:pStyle w:val="28"/>
              <w:spacing w:line="480" w:lineRule="exact"/>
              <w:jc w:val="center"/>
              <w:rPr>
                <w:rFonts w:hint="eastAsia" w:hAnsi="宋体"/>
                <w:szCs w:val="21"/>
              </w:rPr>
            </w:pPr>
          </w:p>
        </w:tc>
        <w:tc>
          <w:tcPr>
            <w:tcW w:w="1026" w:type="dxa"/>
            <w:vAlign w:val="center"/>
          </w:tcPr>
          <w:p w14:paraId="321CB489">
            <w:pPr>
              <w:pStyle w:val="28"/>
              <w:spacing w:line="480" w:lineRule="exact"/>
              <w:jc w:val="center"/>
              <w:rPr>
                <w:rFonts w:hint="eastAsia" w:hAnsi="宋体"/>
                <w:szCs w:val="21"/>
              </w:rPr>
            </w:pPr>
          </w:p>
        </w:tc>
        <w:tc>
          <w:tcPr>
            <w:tcW w:w="877" w:type="dxa"/>
            <w:vAlign w:val="center"/>
          </w:tcPr>
          <w:p w14:paraId="1246BBB9">
            <w:pPr>
              <w:pStyle w:val="28"/>
              <w:spacing w:line="480" w:lineRule="exact"/>
              <w:jc w:val="center"/>
              <w:rPr>
                <w:rFonts w:hint="eastAsia" w:hAnsi="宋体"/>
                <w:szCs w:val="21"/>
              </w:rPr>
            </w:pPr>
          </w:p>
        </w:tc>
        <w:tc>
          <w:tcPr>
            <w:tcW w:w="1533" w:type="dxa"/>
          </w:tcPr>
          <w:p w14:paraId="3E9C546A">
            <w:pPr>
              <w:pStyle w:val="28"/>
              <w:spacing w:line="480" w:lineRule="exact"/>
              <w:jc w:val="center"/>
              <w:rPr>
                <w:rFonts w:hint="eastAsia" w:hAnsi="宋体"/>
                <w:szCs w:val="21"/>
              </w:rPr>
            </w:pPr>
          </w:p>
        </w:tc>
        <w:tc>
          <w:tcPr>
            <w:tcW w:w="1357" w:type="dxa"/>
            <w:vAlign w:val="center"/>
          </w:tcPr>
          <w:p w14:paraId="0E5F46CB">
            <w:pPr>
              <w:pStyle w:val="28"/>
              <w:spacing w:line="480" w:lineRule="exact"/>
              <w:jc w:val="center"/>
              <w:rPr>
                <w:rFonts w:hint="eastAsia" w:hAnsi="宋体"/>
                <w:szCs w:val="21"/>
              </w:rPr>
            </w:pPr>
          </w:p>
        </w:tc>
        <w:tc>
          <w:tcPr>
            <w:tcW w:w="1200" w:type="dxa"/>
            <w:vAlign w:val="center"/>
          </w:tcPr>
          <w:p w14:paraId="782B9CE1">
            <w:pPr>
              <w:pStyle w:val="28"/>
              <w:spacing w:line="480" w:lineRule="exact"/>
              <w:jc w:val="center"/>
              <w:rPr>
                <w:rFonts w:hint="eastAsia" w:hAnsi="宋体"/>
                <w:szCs w:val="21"/>
              </w:rPr>
            </w:pPr>
          </w:p>
        </w:tc>
        <w:tc>
          <w:tcPr>
            <w:tcW w:w="1403" w:type="dxa"/>
            <w:vAlign w:val="center"/>
          </w:tcPr>
          <w:p w14:paraId="3C2E5A5A">
            <w:pPr>
              <w:pStyle w:val="28"/>
              <w:spacing w:line="480" w:lineRule="exact"/>
              <w:jc w:val="center"/>
              <w:rPr>
                <w:rFonts w:hint="eastAsia" w:hAnsi="宋体"/>
                <w:szCs w:val="21"/>
              </w:rPr>
            </w:pPr>
          </w:p>
        </w:tc>
        <w:tc>
          <w:tcPr>
            <w:tcW w:w="1403" w:type="dxa"/>
          </w:tcPr>
          <w:p w14:paraId="594CF6DA">
            <w:pPr>
              <w:pStyle w:val="28"/>
              <w:spacing w:line="480" w:lineRule="exact"/>
              <w:jc w:val="center"/>
              <w:rPr>
                <w:rFonts w:hint="eastAsia" w:hAnsi="宋体"/>
                <w:szCs w:val="21"/>
              </w:rPr>
            </w:pPr>
          </w:p>
        </w:tc>
      </w:tr>
      <w:tr w14:paraId="44677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34EAC73F">
            <w:pPr>
              <w:pStyle w:val="28"/>
              <w:spacing w:line="480" w:lineRule="exact"/>
              <w:jc w:val="center"/>
              <w:rPr>
                <w:rFonts w:hint="eastAsia" w:hAnsi="宋体"/>
                <w:szCs w:val="21"/>
              </w:rPr>
            </w:pPr>
          </w:p>
        </w:tc>
        <w:tc>
          <w:tcPr>
            <w:tcW w:w="1026" w:type="dxa"/>
            <w:vAlign w:val="center"/>
          </w:tcPr>
          <w:p w14:paraId="2DEA7E80">
            <w:pPr>
              <w:pStyle w:val="28"/>
              <w:spacing w:line="480" w:lineRule="exact"/>
              <w:jc w:val="center"/>
              <w:rPr>
                <w:rFonts w:hint="eastAsia" w:hAnsi="宋体"/>
                <w:szCs w:val="21"/>
              </w:rPr>
            </w:pPr>
          </w:p>
        </w:tc>
        <w:tc>
          <w:tcPr>
            <w:tcW w:w="877" w:type="dxa"/>
            <w:vAlign w:val="center"/>
          </w:tcPr>
          <w:p w14:paraId="1803BA56">
            <w:pPr>
              <w:pStyle w:val="28"/>
              <w:spacing w:line="480" w:lineRule="exact"/>
              <w:jc w:val="center"/>
              <w:rPr>
                <w:rFonts w:hint="eastAsia" w:hAnsi="宋体"/>
                <w:szCs w:val="21"/>
              </w:rPr>
            </w:pPr>
          </w:p>
        </w:tc>
        <w:tc>
          <w:tcPr>
            <w:tcW w:w="1533" w:type="dxa"/>
          </w:tcPr>
          <w:p w14:paraId="621033CE">
            <w:pPr>
              <w:pStyle w:val="28"/>
              <w:spacing w:line="480" w:lineRule="exact"/>
              <w:jc w:val="center"/>
              <w:rPr>
                <w:rFonts w:hint="eastAsia" w:hAnsi="宋体"/>
                <w:szCs w:val="21"/>
              </w:rPr>
            </w:pPr>
          </w:p>
        </w:tc>
        <w:tc>
          <w:tcPr>
            <w:tcW w:w="1357" w:type="dxa"/>
            <w:vAlign w:val="center"/>
          </w:tcPr>
          <w:p w14:paraId="22A05961">
            <w:pPr>
              <w:pStyle w:val="28"/>
              <w:spacing w:line="480" w:lineRule="exact"/>
              <w:jc w:val="center"/>
              <w:rPr>
                <w:rFonts w:hint="eastAsia" w:hAnsi="宋体"/>
                <w:szCs w:val="21"/>
              </w:rPr>
            </w:pPr>
          </w:p>
        </w:tc>
        <w:tc>
          <w:tcPr>
            <w:tcW w:w="1200" w:type="dxa"/>
            <w:vAlign w:val="center"/>
          </w:tcPr>
          <w:p w14:paraId="7C919528">
            <w:pPr>
              <w:pStyle w:val="28"/>
              <w:spacing w:line="480" w:lineRule="exact"/>
              <w:jc w:val="center"/>
              <w:rPr>
                <w:rFonts w:hint="eastAsia" w:hAnsi="宋体"/>
                <w:szCs w:val="21"/>
              </w:rPr>
            </w:pPr>
          </w:p>
        </w:tc>
        <w:tc>
          <w:tcPr>
            <w:tcW w:w="1403" w:type="dxa"/>
            <w:vAlign w:val="center"/>
          </w:tcPr>
          <w:p w14:paraId="78142533">
            <w:pPr>
              <w:pStyle w:val="28"/>
              <w:spacing w:line="480" w:lineRule="exact"/>
              <w:jc w:val="center"/>
              <w:rPr>
                <w:rFonts w:hint="eastAsia" w:hAnsi="宋体"/>
                <w:szCs w:val="21"/>
              </w:rPr>
            </w:pPr>
          </w:p>
        </w:tc>
        <w:tc>
          <w:tcPr>
            <w:tcW w:w="1403" w:type="dxa"/>
          </w:tcPr>
          <w:p w14:paraId="37E41787">
            <w:pPr>
              <w:pStyle w:val="28"/>
              <w:spacing w:line="480" w:lineRule="exact"/>
              <w:jc w:val="center"/>
              <w:rPr>
                <w:rFonts w:hint="eastAsia" w:hAnsi="宋体"/>
                <w:szCs w:val="21"/>
              </w:rPr>
            </w:pPr>
          </w:p>
        </w:tc>
      </w:tr>
      <w:tr w14:paraId="2E84D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01678F2">
            <w:pPr>
              <w:pStyle w:val="28"/>
              <w:spacing w:line="480" w:lineRule="exact"/>
              <w:jc w:val="center"/>
              <w:rPr>
                <w:rFonts w:hint="eastAsia" w:hAnsi="宋体"/>
                <w:szCs w:val="21"/>
              </w:rPr>
            </w:pPr>
          </w:p>
        </w:tc>
        <w:tc>
          <w:tcPr>
            <w:tcW w:w="1026" w:type="dxa"/>
            <w:vAlign w:val="center"/>
          </w:tcPr>
          <w:p w14:paraId="092AAF03">
            <w:pPr>
              <w:pStyle w:val="28"/>
              <w:spacing w:line="480" w:lineRule="exact"/>
              <w:jc w:val="center"/>
              <w:rPr>
                <w:rFonts w:hint="eastAsia" w:hAnsi="宋体"/>
                <w:szCs w:val="21"/>
              </w:rPr>
            </w:pPr>
          </w:p>
        </w:tc>
        <w:tc>
          <w:tcPr>
            <w:tcW w:w="877" w:type="dxa"/>
            <w:vAlign w:val="center"/>
          </w:tcPr>
          <w:p w14:paraId="4588CA6D">
            <w:pPr>
              <w:pStyle w:val="28"/>
              <w:spacing w:line="480" w:lineRule="exact"/>
              <w:jc w:val="center"/>
              <w:rPr>
                <w:rFonts w:hint="eastAsia" w:hAnsi="宋体"/>
                <w:szCs w:val="21"/>
              </w:rPr>
            </w:pPr>
          </w:p>
        </w:tc>
        <w:tc>
          <w:tcPr>
            <w:tcW w:w="1533" w:type="dxa"/>
          </w:tcPr>
          <w:p w14:paraId="2BCA8440">
            <w:pPr>
              <w:pStyle w:val="28"/>
              <w:spacing w:line="480" w:lineRule="exact"/>
              <w:jc w:val="center"/>
              <w:rPr>
                <w:rFonts w:hint="eastAsia" w:hAnsi="宋体"/>
                <w:szCs w:val="21"/>
              </w:rPr>
            </w:pPr>
          </w:p>
        </w:tc>
        <w:tc>
          <w:tcPr>
            <w:tcW w:w="1357" w:type="dxa"/>
            <w:vAlign w:val="center"/>
          </w:tcPr>
          <w:p w14:paraId="13405E20">
            <w:pPr>
              <w:pStyle w:val="28"/>
              <w:spacing w:line="480" w:lineRule="exact"/>
              <w:jc w:val="center"/>
              <w:rPr>
                <w:rFonts w:hint="eastAsia" w:hAnsi="宋体"/>
                <w:szCs w:val="21"/>
              </w:rPr>
            </w:pPr>
          </w:p>
        </w:tc>
        <w:tc>
          <w:tcPr>
            <w:tcW w:w="1200" w:type="dxa"/>
            <w:vAlign w:val="center"/>
          </w:tcPr>
          <w:p w14:paraId="2767A10E">
            <w:pPr>
              <w:pStyle w:val="28"/>
              <w:spacing w:line="480" w:lineRule="exact"/>
              <w:jc w:val="center"/>
              <w:rPr>
                <w:rFonts w:hint="eastAsia" w:hAnsi="宋体"/>
                <w:szCs w:val="21"/>
              </w:rPr>
            </w:pPr>
          </w:p>
        </w:tc>
        <w:tc>
          <w:tcPr>
            <w:tcW w:w="1403" w:type="dxa"/>
            <w:vAlign w:val="center"/>
          </w:tcPr>
          <w:p w14:paraId="4D9A6F1A">
            <w:pPr>
              <w:pStyle w:val="28"/>
              <w:spacing w:line="480" w:lineRule="exact"/>
              <w:jc w:val="center"/>
              <w:rPr>
                <w:rFonts w:hint="eastAsia" w:hAnsi="宋体"/>
                <w:szCs w:val="21"/>
              </w:rPr>
            </w:pPr>
          </w:p>
        </w:tc>
        <w:tc>
          <w:tcPr>
            <w:tcW w:w="1403" w:type="dxa"/>
          </w:tcPr>
          <w:p w14:paraId="38A50A31">
            <w:pPr>
              <w:pStyle w:val="28"/>
              <w:spacing w:line="480" w:lineRule="exact"/>
              <w:jc w:val="center"/>
              <w:rPr>
                <w:rFonts w:hint="eastAsia" w:hAnsi="宋体"/>
                <w:szCs w:val="21"/>
              </w:rPr>
            </w:pPr>
          </w:p>
        </w:tc>
      </w:tr>
      <w:tr w14:paraId="461AE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534" w:type="dxa"/>
            <w:vAlign w:val="center"/>
          </w:tcPr>
          <w:p w14:paraId="39B22100">
            <w:pPr>
              <w:pStyle w:val="28"/>
              <w:spacing w:line="480" w:lineRule="exact"/>
              <w:jc w:val="center"/>
              <w:rPr>
                <w:rFonts w:hint="eastAsia" w:hAnsi="宋体"/>
                <w:szCs w:val="21"/>
              </w:rPr>
            </w:pPr>
          </w:p>
        </w:tc>
        <w:tc>
          <w:tcPr>
            <w:tcW w:w="1026" w:type="dxa"/>
            <w:vAlign w:val="center"/>
          </w:tcPr>
          <w:p w14:paraId="01A8C922">
            <w:pPr>
              <w:pStyle w:val="28"/>
              <w:spacing w:line="480" w:lineRule="exact"/>
              <w:jc w:val="center"/>
              <w:rPr>
                <w:rFonts w:hint="eastAsia" w:hAnsi="宋体"/>
                <w:szCs w:val="21"/>
              </w:rPr>
            </w:pPr>
          </w:p>
        </w:tc>
        <w:tc>
          <w:tcPr>
            <w:tcW w:w="877" w:type="dxa"/>
            <w:vAlign w:val="center"/>
          </w:tcPr>
          <w:p w14:paraId="4338BF72">
            <w:pPr>
              <w:pStyle w:val="28"/>
              <w:spacing w:line="480" w:lineRule="exact"/>
              <w:jc w:val="center"/>
              <w:rPr>
                <w:rFonts w:hint="eastAsia" w:hAnsi="宋体"/>
                <w:szCs w:val="21"/>
              </w:rPr>
            </w:pPr>
          </w:p>
        </w:tc>
        <w:tc>
          <w:tcPr>
            <w:tcW w:w="1533" w:type="dxa"/>
          </w:tcPr>
          <w:p w14:paraId="731544B0">
            <w:pPr>
              <w:pStyle w:val="28"/>
              <w:spacing w:line="480" w:lineRule="exact"/>
              <w:jc w:val="center"/>
              <w:rPr>
                <w:rFonts w:hint="eastAsia" w:hAnsi="宋体"/>
                <w:szCs w:val="21"/>
              </w:rPr>
            </w:pPr>
          </w:p>
        </w:tc>
        <w:tc>
          <w:tcPr>
            <w:tcW w:w="1357" w:type="dxa"/>
            <w:vAlign w:val="center"/>
          </w:tcPr>
          <w:p w14:paraId="11F91C29">
            <w:pPr>
              <w:pStyle w:val="28"/>
              <w:spacing w:line="480" w:lineRule="exact"/>
              <w:jc w:val="center"/>
              <w:rPr>
                <w:rFonts w:hint="eastAsia" w:hAnsi="宋体"/>
                <w:szCs w:val="21"/>
              </w:rPr>
            </w:pPr>
          </w:p>
        </w:tc>
        <w:tc>
          <w:tcPr>
            <w:tcW w:w="1200" w:type="dxa"/>
            <w:vAlign w:val="center"/>
          </w:tcPr>
          <w:p w14:paraId="1CBA0D10">
            <w:pPr>
              <w:pStyle w:val="28"/>
              <w:spacing w:line="480" w:lineRule="exact"/>
              <w:jc w:val="center"/>
              <w:rPr>
                <w:rFonts w:hint="eastAsia" w:hAnsi="宋体"/>
                <w:szCs w:val="21"/>
              </w:rPr>
            </w:pPr>
          </w:p>
        </w:tc>
        <w:tc>
          <w:tcPr>
            <w:tcW w:w="1403" w:type="dxa"/>
            <w:vAlign w:val="center"/>
          </w:tcPr>
          <w:p w14:paraId="2893F32F">
            <w:pPr>
              <w:pStyle w:val="28"/>
              <w:spacing w:line="480" w:lineRule="exact"/>
              <w:jc w:val="center"/>
              <w:rPr>
                <w:rFonts w:hint="eastAsia" w:hAnsi="宋体"/>
                <w:szCs w:val="21"/>
              </w:rPr>
            </w:pPr>
          </w:p>
        </w:tc>
        <w:tc>
          <w:tcPr>
            <w:tcW w:w="1403" w:type="dxa"/>
          </w:tcPr>
          <w:p w14:paraId="4EE519C8">
            <w:pPr>
              <w:pStyle w:val="28"/>
              <w:spacing w:line="480" w:lineRule="exact"/>
              <w:jc w:val="center"/>
              <w:rPr>
                <w:rFonts w:hint="eastAsia" w:hAnsi="宋体"/>
                <w:szCs w:val="21"/>
              </w:rPr>
            </w:pPr>
          </w:p>
        </w:tc>
      </w:tr>
      <w:tr w14:paraId="5792E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1035B010">
            <w:pPr>
              <w:pStyle w:val="28"/>
              <w:spacing w:line="480" w:lineRule="exact"/>
              <w:jc w:val="center"/>
              <w:rPr>
                <w:rFonts w:hint="eastAsia" w:hAnsi="宋体"/>
                <w:szCs w:val="21"/>
              </w:rPr>
            </w:pPr>
          </w:p>
        </w:tc>
        <w:tc>
          <w:tcPr>
            <w:tcW w:w="1026" w:type="dxa"/>
            <w:vAlign w:val="center"/>
          </w:tcPr>
          <w:p w14:paraId="76B01619">
            <w:pPr>
              <w:pStyle w:val="28"/>
              <w:spacing w:line="480" w:lineRule="exact"/>
              <w:jc w:val="center"/>
              <w:rPr>
                <w:rFonts w:hint="eastAsia" w:hAnsi="宋体"/>
                <w:szCs w:val="21"/>
              </w:rPr>
            </w:pPr>
          </w:p>
        </w:tc>
        <w:tc>
          <w:tcPr>
            <w:tcW w:w="877" w:type="dxa"/>
            <w:vAlign w:val="center"/>
          </w:tcPr>
          <w:p w14:paraId="5C4CB770">
            <w:pPr>
              <w:pStyle w:val="28"/>
              <w:spacing w:line="480" w:lineRule="exact"/>
              <w:jc w:val="center"/>
              <w:rPr>
                <w:rFonts w:hint="eastAsia" w:hAnsi="宋体"/>
                <w:szCs w:val="21"/>
              </w:rPr>
            </w:pPr>
          </w:p>
        </w:tc>
        <w:tc>
          <w:tcPr>
            <w:tcW w:w="1533" w:type="dxa"/>
          </w:tcPr>
          <w:p w14:paraId="0626355C">
            <w:pPr>
              <w:pStyle w:val="28"/>
              <w:spacing w:line="480" w:lineRule="exact"/>
              <w:jc w:val="center"/>
              <w:rPr>
                <w:rFonts w:hint="eastAsia" w:hAnsi="宋体"/>
                <w:szCs w:val="21"/>
              </w:rPr>
            </w:pPr>
          </w:p>
        </w:tc>
        <w:tc>
          <w:tcPr>
            <w:tcW w:w="1357" w:type="dxa"/>
            <w:vAlign w:val="center"/>
          </w:tcPr>
          <w:p w14:paraId="02D9AC98">
            <w:pPr>
              <w:pStyle w:val="28"/>
              <w:spacing w:line="480" w:lineRule="exact"/>
              <w:jc w:val="center"/>
              <w:rPr>
                <w:rFonts w:hint="eastAsia" w:hAnsi="宋体"/>
                <w:szCs w:val="21"/>
              </w:rPr>
            </w:pPr>
          </w:p>
        </w:tc>
        <w:tc>
          <w:tcPr>
            <w:tcW w:w="1200" w:type="dxa"/>
            <w:vAlign w:val="center"/>
          </w:tcPr>
          <w:p w14:paraId="73BEF019">
            <w:pPr>
              <w:pStyle w:val="28"/>
              <w:spacing w:line="480" w:lineRule="exact"/>
              <w:jc w:val="center"/>
              <w:rPr>
                <w:rFonts w:hint="eastAsia" w:hAnsi="宋体"/>
                <w:szCs w:val="21"/>
              </w:rPr>
            </w:pPr>
          </w:p>
        </w:tc>
        <w:tc>
          <w:tcPr>
            <w:tcW w:w="1403" w:type="dxa"/>
            <w:vAlign w:val="center"/>
          </w:tcPr>
          <w:p w14:paraId="7F0DE7B7">
            <w:pPr>
              <w:pStyle w:val="28"/>
              <w:spacing w:line="480" w:lineRule="exact"/>
              <w:jc w:val="center"/>
              <w:rPr>
                <w:rFonts w:hint="eastAsia" w:hAnsi="宋体"/>
                <w:szCs w:val="21"/>
              </w:rPr>
            </w:pPr>
          </w:p>
        </w:tc>
        <w:tc>
          <w:tcPr>
            <w:tcW w:w="1403" w:type="dxa"/>
          </w:tcPr>
          <w:p w14:paraId="537F5955">
            <w:pPr>
              <w:pStyle w:val="28"/>
              <w:spacing w:line="480" w:lineRule="exact"/>
              <w:jc w:val="center"/>
              <w:rPr>
                <w:rFonts w:hint="eastAsia" w:hAnsi="宋体"/>
                <w:szCs w:val="21"/>
              </w:rPr>
            </w:pPr>
          </w:p>
        </w:tc>
      </w:tr>
      <w:tr w14:paraId="2746D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392D91BE">
            <w:pPr>
              <w:pStyle w:val="28"/>
              <w:spacing w:line="480" w:lineRule="exact"/>
              <w:jc w:val="center"/>
              <w:rPr>
                <w:rFonts w:hint="eastAsia" w:hAnsi="宋体"/>
                <w:szCs w:val="21"/>
              </w:rPr>
            </w:pPr>
          </w:p>
        </w:tc>
        <w:tc>
          <w:tcPr>
            <w:tcW w:w="1026" w:type="dxa"/>
            <w:vAlign w:val="center"/>
          </w:tcPr>
          <w:p w14:paraId="243CF85F">
            <w:pPr>
              <w:pStyle w:val="28"/>
              <w:spacing w:line="480" w:lineRule="exact"/>
              <w:jc w:val="center"/>
              <w:rPr>
                <w:rFonts w:hint="eastAsia" w:hAnsi="宋体"/>
                <w:szCs w:val="21"/>
              </w:rPr>
            </w:pPr>
          </w:p>
        </w:tc>
        <w:tc>
          <w:tcPr>
            <w:tcW w:w="877" w:type="dxa"/>
            <w:vAlign w:val="center"/>
          </w:tcPr>
          <w:p w14:paraId="52111FE4">
            <w:pPr>
              <w:pStyle w:val="28"/>
              <w:spacing w:line="480" w:lineRule="exact"/>
              <w:jc w:val="center"/>
              <w:rPr>
                <w:rFonts w:hint="eastAsia" w:hAnsi="宋体"/>
                <w:szCs w:val="21"/>
              </w:rPr>
            </w:pPr>
          </w:p>
        </w:tc>
        <w:tc>
          <w:tcPr>
            <w:tcW w:w="1533" w:type="dxa"/>
          </w:tcPr>
          <w:p w14:paraId="76013D53">
            <w:pPr>
              <w:pStyle w:val="28"/>
              <w:spacing w:line="480" w:lineRule="exact"/>
              <w:jc w:val="center"/>
              <w:rPr>
                <w:rFonts w:hint="eastAsia" w:hAnsi="宋体"/>
                <w:szCs w:val="21"/>
              </w:rPr>
            </w:pPr>
          </w:p>
        </w:tc>
        <w:tc>
          <w:tcPr>
            <w:tcW w:w="1357" w:type="dxa"/>
            <w:vAlign w:val="center"/>
          </w:tcPr>
          <w:p w14:paraId="289A8EA4">
            <w:pPr>
              <w:pStyle w:val="28"/>
              <w:spacing w:line="480" w:lineRule="exact"/>
              <w:jc w:val="center"/>
              <w:rPr>
                <w:rFonts w:hint="eastAsia" w:hAnsi="宋体"/>
                <w:szCs w:val="21"/>
              </w:rPr>
            </w:pPr>
          </w:p>
        </w:tc>
        <w:tc>
          <w:tcPr>
            <w:tcW w:w="1200" w:type="dxa"/>
            <w:vAlign w:val="center"/>
          </w:tcPr>
          <w:p w14:paraId="4C5EFC39">
            <w:pPr>
              <w:pStyle w:val="28"/>
              <w:spacing w:line="480" w:lineRule="exact"/>
              <w:jc w:val="center"/>
              <w:rPr>
                <w:rFonts w:hint="eastAsia" w:hAnsi="宋体"/>
                <w:szCs w:val="21"/>
              </w:rPr>
            </w:pPr>
          </w:p>
        </w:tc>
        <w:tc>
          <w:tcPr>
            <w:tcW w:w="1403" w:type="dxa"/>
            <w:vAlign w:val="center"/>
          </w:tcPr>
          <w:p w14:paraId="72FEFDF5">
            <w:pPr>
              <w:pStyle w:val="28"/>
              <w:spacing w:line="480" w:lineRule="exact"/>
              <w:jc w:val="center"/>
              <w:rPr>
                <w:rFonts w:hint="eastAsia" w:hAnsi="宋体"/>
                <w:szCs w:val="21"/>
              </w:rPr>
            </w:pPr>
          </w:p>
        </w:tc>
        <w:tc>
          <w:tcPr>
            <w:tcW w:w="1403" w:type="dxa"/>
          </w:tcPr>
          <w:p w14:paraId="3B618562">
            <w:pPr>
              <w:pStyle w:val="28"/>
              <w:spacing w:line="480" w:lineRule="exact"/>
              <w:jc w:val="center"/>
              <w:rPr>
                <w:rFonts w:hint="eastAsia" w:hAnsi="宋体"/>
                <w:szCs w:val="21"/>
              </w:rPr>
            </w:pPr>
          </w:p>
        </w:tc>
      </w:tr>
      <w:tr w14:paraId="258EE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62D84280">
            <w:pPr>
              <w:pStyle w:val="28"/>
              <w:spacing w:line="480" w:lineRule="exact"/>
              <w:jc w:val="center"/>
              <w:rPr>
                <w:rFonts w:hint="eastAsia" w:hAnsi="宋体"/>
                <w:szCs w:val="21"/>
              </w:rPr>
            </w:pPr>
          </w:p>
        </w:tc>
        <w:tc>
          <w:tcPr>
            <w:tcW w:w="1026" w:type="dxa"/>
            <w:vAlign w:val="center"/>
          </w:tcPr>
          <w:p w14:paraId="1D7C05F0">
            <w:pPr>
              <w:pStyle w:val="28"/>
              <w:spacing w:line="480" w:lineRule="exact"/>
              <w:jc w:val="center"/>
              <w:rPr>
                <w:rFonts w:hint="eastAsia" w:hAnsi="宋体"/>
                <w:szCs w:val="21"/>
              </w:rPr>
            </w:pPr>
          </w:p>
        </w:tc>
        <w:tc>
          <w:tcPr>
            <w:tcW w:w="877" w:type="dxa"/>
            <w:vAlign w:val="center"/>
          </w:tcPr>
          <w:p w14:paraId="39FC8F12">
            <w:pPr>
              <w:pStyle w:val="28"/>
              <w:spacing w:line="480" w:lineRule="exact"/>
              <w:jc w:val="center"/>
              <w:rPr>
                <w:rFonts w:hint="eastAsia" w:hAnsi="宋体"/>
                <w:szCs w:val="21"/>
              </w:rPr>
            </w:pPr>
          </w:p>
        </w:tc>
        <w:tc>
          <w:tcPr>
            <w:tcW w:w="1533" w:type="dxa"/>
          </w:tcPr>
          <w:p w14:paraId="290978F0">
            <w:pPr>
              <w:pStyle w:val="28"/>
              <w:spacing w:line="480" w:lineRule="exact"/>
              <w:jc w:val="center"/>
              <w:rPr>
                <w:rFonts w:hint="eastAsia" w:hAnsi="宋体"/>
                <w:szCs w:val="21"/>
              </w:rPr>
            </w:pPr>
          </w:p>
        </w:tc>
        <w:tc>
          <w:tcPr>
            <w:tcW w:w="1357" w:type="dxa"/>
            <w:vAlign w:val="center"/>
          </w:tcPr>
          <w:p w14:paraId="6B714908">
            <w:pPr>
              <w:pStyle w:val="28"/>
              <w:spacing w:line="480" w:lineRule="exact"/>
              <w:jc w:val="center"/>
              <w:rPr>
                <w:rFonts w:hint="eastAsia" w:hAnsi="宋体"/>
                <w:szCs w:val="21"/>
              </w:rPr>
            </w:pPr>
          </w:p>
        </w:tc>
        <w:tc>
          <w:tcPr>
            <w:tcW w:w="1200" w:type="dxa"/>
            <w:vAlign w:val="center"/>
          </w:tcPr>
          <w:p w14:paraId="740B9A6F">
            <w:pPr>
              <w:pStyle w:val="28"/>
              <w:spacing w:line="480" w:lineRule="exact"/>
              <w:jc w:val="center"/>
              <w:rPr>
                <w:rFonts w:hint="eastAsia" w:hAnsi="宋体"/>
                <w:szCs w:val="21"/>
              </w:rPr>
            </w:pPr>
          </w:p>
        </w:tc>
        <w:tc>
          <w:tcPr>
            <w:tcW w:w="1403" w:type="dxa"/>
            <w:vAlign w:val="center"/>
          </w:tcPr>
          <w:p w14:paraId="7C308F21">
            <w:pPr>
              <w:pStyle w:val="28"/>
              <w:spacing w:line="480" w:lineRule="exact"/>
              <w:jc w:val="center"/>
              <w:rPr>
                <w:rFonts w:hint="eastAsia" w:hAnsi="宋体"/>
                <w:szCs w:val="21"/>
              </w:rPr>
            </w:pPr>
          </w:p>
        </w:tc>
        <w:tc>
          <w:tcPr>
            <w:tcW w:w="1403" w:type="dxa"/>
          </w:tcPr>
          <w:p w14:paraId="6DEFDA19">
            <w:pPr>
              <w:pStyle w:val="28"/>
              <w:spacing w:line="480" w:lineRule="exact"/>
              <w:jc w:val="center"/>
              <w:rPr>
                <w:rFonts w:hint="eastAsia" w:hAnsi="宋体"/>
                <w:szCs w:val="21"/>
              </w:rPr>
            </w:pPr>
          </w:p>
        </w:tc>
      </w:tr>
    </w:tbl>
    <w:p w14:paraId="77415579">
      <w:pP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int="eastAsia" w:hAnsi="宋体"/>
          <w:sz w:val="22"/>
          <w:szCs w:val="22"/>
        </w:rPr>
      </w:pPr>
    </w:p>
    <w:p w14:paraId="2078E950">
      <w:pPr>
        <w:tabs>
          <w:tab w:val="left" w:pos="654"/>
          <w:tab w:val="left" w:pos="1734"/>
          <w:tab w:val="left" w:pos="2814"/>
          <w:tab w:val="left" w:pos="3894"/>
          <w:tab w:val="left" w:pos="5334"/>
          <w:tab w:val="left" w:pos="6414"/>
          <w:tab w:val="left" w:pos="7254"/>
          <w:tab w:val="left" w:pos="8574"/>
          <w:tab w:val="left" w:pos="9654"/>
        </w:tabs>
        <w:spacing w:line="480" w:lineRule="exact"/>
        <w:rPr>
          <w:rFonts w:hint="eastAsia" w:hAnsi="宋体"/>
          <w:sz w:val="21"/>
          <w:szCs w:val="21"/>
        </w:rPr>
      </w:pPr>
      <w:r>
        <w:rPr>
          <w:rFonts w:hint="eastAsia" w:hAnsi="宋体"/>
          <w:sz w:val="21"/>
          <w:szCs w:val="21"/>
        </w:rPr>
        <w:t>要求：</w:t>
      </w:r>
    </w:p>
    <w:p w14:paraId="599B5A55">
      <w:pP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hAnsi="宋体"/>
          <w:sz w:val="21"/>
          <w:szCs w:val="21"/>
        </w:rPr>
      </w:pPr>
      <w:r>
        <w:rPr>
          <w:rFonts w:hint="eastAsia" w:hAnsi="宋体"/>
          <w:sz w:val="21"/>
          <w:szCs w:val="21"/>
        </w:rPr>
        <w:t>1.供应商可以根据本表格内容和实际情况制作本表格。</w:t>
      </w:r>
    </w:p>
    <w:p w14:paraId="37E55887">
      <w:pP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int="eastAsia" w:hAnsi="宋体"/>
          <w:sz w:val="21"/>
          <w:szCs w:val="21"/>
        </w:rPr>
      </w:pPr>
      <w:r>
        <w:rPr>
          <w:rFonts w:hint="eastAsia" w:hAnsi="宋体"/>
          <w:sz w:val="21"/>
          <w:szCs w:val="21"/>
        </w:rPr>
        <w:t>2.供应商应当在响应文件中提供评分标准中要求提供的资料。（上述文件均加盖供应商公章）</w:t>
      </w:r>
    </w:p>
    <w:p w14:paraId="7482113A">
      <w:pPr>
        <w:pStyle w:val="2"/>
        <w:rPr>
          <w:rFonts w:hint="eastAsia" w:hAnsi="宋体"/>
          <w:sz w:val="21"/>
          <w:szCs w:val="21"/>
        </w:rPr>
      </w:pPr>
    </w:p>
    <w:p w14:paraId="3CDBC446">
      <w:pPr>
        <w:overflowPunct w:val="0"/>
        <w:spacing w:line="460" w:lineRule="exact"/>
        <w:rPr>
          <w:rFonts w:hint="eastAsia" w:hAnsi="宋体"/>
          <w:sz w:val="21"/>
          <w:szCs w:val="21"/>
        </w:rPr>
      </w:pPr>
      <w:r>
        <w:rPr>
          <w:rFonts w:hint="eastAsia" w:hAnsi="宋体"/>
          <w:sz w:val="21"/>
          <w:szCs w:val="21"/>
        </w:rPr>
        <w:t>供应商名称（加盖公章）：</w:t>
      </w:r>
    </w:p>
    <w:p w14:paraId="560581FA">
      <w:pPr>
        <w:overflowPunct w:val="0"/>
        <w:spacing w:line="460" w:lineRule="exact"/>
        <w:rPr>
          <w:rFonts w:hint="eastAsia" w:hAnsi="宋体"/>
          <w:sz w:val="21"/>
          <w:szCs w:val="21"/>
        </w:rPr>
      </w:pPr>
      <w:r>
        <w:rPr>
          <w:rFonts w:hint="eastAsia" w:hAnsi="宋体"/>
          <w:sz w:val="21"/>
          <w:szCs w:val="21"/>
        </w:rPr>
        <w:t>供应商法定代表人或受委托人（签名或盖私章）：</w:t>
      </w:r>
    </w:p>
    <w:p w14:paraId="2C5837C7">
      <w:pPr>
        <w:overflowPunct w:val="0"/>
        <w:spacing w:line="460" w:lineRule="exact"/>
        <w:rPr>
          <w:rFonts w:hint="eastAsia" w:hAnsi="宋体"/>
          <w:sz w:val="22"/>
          <w:szCs w:val="22"/>
        </w:rPr>
      </w:pPr>
      <w:r>
        <w:rPr>
          <w:rFonts w:hint="eastAsia" w:hAnsi="宋体"/>
          <w:sz w:val="21"/>
          <w:szCs w:val="21"/>
        </w:rPr>
        <w:t>日期：年月日</w:t>
      </w:r>
    </w:p>
    <w:p w14:paraId="4F608C9B">
      <w:pPr>
        <w:spacing w:line="480" w:lineRule="exact"/>
        <w:rPr>
          <w:rFonts w:hint="eastAsia" w:hAnsi="宋体"/>
          <w:b/>
          <w:bCs/>
          <w:szCs w:val="21"/>
          <w:u w:val="single"/>
        </w:rPr>
      </w:pPr>
    </w:p>
    <w:p w14:paraId="45FF02CE">
      <w:pPr>
        <w:pStyle w:val="6"/>
        <w:numPr>
          <w:ilvl w:val="0"/>
          <w:numId w:val="14"/>
        </w:numPr>
        <w:jc w:val="center"/>
        <w:rPr>
          <w:rFonts w:hint="eastAsia"/>
          <w:bCs/>
          <w:sz w:val="28"/>
          <w:szCs w:val="28"/>
        </w:rPr>
      </w:pPr>
      <w:r>
        <w:rPr>
          <w:bCs/>
          <w:szCs w:val="21"/>
        </w:rPr>
        <w:br w:type="page"/>
      </w:r>
      <w:bookmarkEnd w:id="279"/>
      <w:bookmarkEnd w:id="280"/>
      <w:bookmarkEnd w:id="281"/>
      <w:bookmarkEnd w:id="282"/>
      <w:bookmarkEnd w:id="283"/>
      <w:bookmarkEnd w:id="284"/>
      <w:bookmarkEnd w:id="285"/>
      <w:bookmarkEnd w:id="286"/>
      <w:bookmarkEnd w:id="287"/>
      <w:bookmarkEnd w:id="288"/>
      <w:bookmarkEnd w:id="289"/>
      <w:bookmarkEnd w:id="290"/>
      <w:bookmarkStart w:id="295" w:name="_Toc16598"/>
      <w:bookmarkStart w:id="296" w:name="_Toc13441"/>
      <w:r>
        <w:rPr>
          <w:rFonts w:hint="eastAsia"/>
          <w:bCs/>
          <w:sz w:val="28"/>
          <w:szCs w:val="28"/>
        </w:rPr>
        <w:t>磋商保证金汇入情况说明（适用于转账、电汇方式）</w:t>
      </w:r>
      <w:bookmarkEnd w:id="295"/>
      <w:bookmarkEnd w:id="296"/>
    </w:p>
    <w:p w14:paraId="631B7346">
      <w:pPr>
        <w:spacing w:line="460" w:lineRule="exact"/>
        <w:rPr>
          <w:rFonts w:hint="eastAsia" w:hAnsi="宋体"/>
          <w:b/>
          <w:bCs/>
          <w:sz w:val="22"/>
          <w:szCs w:val="22"/>
        </w:rPr>
      </w:pPr>
    </w:p>
    <w:p w14:paraId="2F22277C">
      <w:pPr>
        <w:spacing w:line="460" w:lineRule="exact"/>
        <w:rPr>
          <w:rFonts w:hint="eastAsia" w:hAnsi="宋体"/>
          <w:sz w:val="21"/>
          <w:szCs w:val="21"/>
        </w:rPr>
      </w:pPr>
      <w:r>
        <w:rPr>
          <w:rFonts w:hint="eastAsia" w:hAnsi="宋体"/>
          <w:sz w:val="21"/>
          <w:szCs w:val="21"/>
        </w:rPr>
        <w:t xml:space="preserve">广东洲际招标代理有限公司： </w:t>
      </w:r>
    </w:p>
    <w:p w14:paraId="4C519ED5">
      <w:pPr>
        <w:spacing w:line="460" w:lineRule="exact"/>
        <w:ind w:firstLine="420" w:firstLineChars="200"/>
        <w:rPr>
          <w:rFonts w:hint="eastAsia" w:hAnsi="宋体"/>
          <w:sz w:val="21"/>
          <w:szCs w:val="21"/>
        </w:rPr>
      </w:pPr>
      <w:r>
        <w:rPr>
          <w:rFonts w:hint="eastAsia" w:hAnsi="宋体"/>
          <w:sz w:val="21"/>
          <w:szCs w:val="21"/>
        </w:rPr>
        <w:t>本单位已按</w:t>
      </w:r>
      <w:r>
        <w:rPr>
          <w:rFonts w:hint="eastAsia" w:hAnsi="宋体"/>
          <w:sz w:val="21"/>
          <w:szCs w:val="21"/>
          <w:u w:val="single"/>
        </w:rPr>
        <w:t xml:space="preserve">  （项目名称）   （</w:t>
      </w:r>
      <w:r>
        <w:rPr>
          <w:rFonts w:hint="eastAsia" w:hAnsi="宋体"/>
          <w:sz w:val="21"/>
          <w:szCs w:val="21"/>
        </w:rPr>
        <w:t>采购编号：</w:t>
      </w:r>
      <w:r>
        <w:rPr>
          <w:rFonts w:hint="eastAsia" w:hAnsi="宋体"/>
          <w:sz w:val="21"/>
          <w:szCs w:val="21"/>
          <w:u w:val="single"/>
        </w:rPr>
        <w:t xml:space="preserve">     ）</w:t>
      </w:r>
      <w:r>
        <w:rPr>
          <w:rFonts w:hint="eastAsia" w:hAnsi="宋体"/>
          <w:sz w:val="21"/>
          <w:szCs w:val="21"/>
        </w:rPr>
        <w:t>的磋商文件要求，于年月日前以（付款形式）方式汇入指定帐户（帐户名称：，帐号：,开户银行：）。</w:t>
      </w:r>
    </w:p>
    <w:p w14:paraId="72472299">
      <w:pPr>
        <w:spacing w:line="460" w:lineRule="exact"/>
        <w:ind w:firstLine="420" w:firstLineChars="200"/>
        <w:rPr>
          <w:rFonts w:hint="eastAsia" w:hAnsi="宋体"/>
          <w:sz w:val="21"/>
          <w:szCs w:val="21"/>
        </w:rPr>
      </w:pPr>
      <w:r>
        <w:rPr>
          <w:rFonts w:hint="eastAsia" w:hAnsi="宋体"/>
          <w:sz w:val="21"/>
          <w:szCs w:val="21"/>
        </w:rPr>
        <w:t>供应商磋商保证金的汇款情况：（详见附件－磋商保证金进帐单）汇出时间：年月日；</w:t>
      </w:r>
    </w:p>
    <w:p w14:paraId="2E0743E4">
      <w:pPr>
        <w:spacing w:line="460" w:lineRule="exact"/>
        <w:ind w:firstLine="420" w:firstLineChars="200"/>
        <w:rPr>
          <w:rFonts w:hint="eastAsia" w:hAnsi="宋体"/>
          <w:sz w:val="21"/>
          <w:szCs w:val="21"/>
          <w:u w:val="single"/>
        </w:rPr>
      </w:pPr>
      <w:r>
        <w:rPr>
          <w:rFonts w:hint="eastAsia" w:hAnsi="宋体"/>
          <w:sz w:val="21"/>
          <w:szCs w:val="21"/>
        </w:rPr>
        <w:t>汇款金额：（大写）人民币</w:t>
      </w:r>
      <w:r>
        <w:rPr>
          <w:rFonts w:hint="eastAsia" w:hAnsi="宋体"/>
          <w:sz w:val="21"/>
          <w:szCs w:val="21"/>
          <w:u w:val="single"/>
        </w:rPr>
        <w:t xml:space="preserve">               元整</w:t>
      </w:r>
    </w:p>
    <w:p w14:paraId="67C4427D">
      <w:pPr>
        <w:spacing w:line="460" w:lineRule="exact"/>
        <w:ind w:firstLine="1365" w:firstLineChars="650"/>
        <w:rPr>
          <w:rFonts w:hint="eastAsia" w:hAnsi="宋体"/>
          <w:sz w:val="21"/>
          <w:szCs w:val="21"/>
          <w:u w:val="single"/>
        </w:rPr>
      </w:pPr>
      <w:r>
        <w:rPr>
          <w:rFonts w:hint="eastAsia" w:hAnsi="宋体"/>
          <w:sz w:val="21"/>
          <w:szCs w:val="21"/>
        </w:rPr>
        <w:t>（小写）￥元。</w:t>
      </w:r>
    </w:p>
    <w:p w14:paraId="6F37AC3E">
      <w:pPr>
        <w:spacing w:line="460" w:lineRule="exact"/>
        <w:ind w:firstLine="420" w:firstLineChars="200"/>
        <w:rPr>
          <w:rFonts w:hint="eastAsia" w:hAnsi="宋体"/>
          <w:sz w:val="21"/>
          <w:szCs w:val="21"/>
          <w:u w:val="single"/>
        </w:rPr>
      </w:pPr>
      <w:r>
        <w:rPr>
          <w:rFonts w:hint="eastAsia" w:hAnsi="宋体"/>
          <w:sz w:val="21"/>
          <w:szCs w:val="21"/>
        </w:rPr>
        <w:t>汇款帐户名称：</w:t>
      </w:r>
      <w:r>
        <w:rPr>
          <w:rFonts w:hint="eastAsia" w:hAnsi="宋体"/>
          <w:sz w:val="21"/>
          <w:szCs w:val="21"/>
          <w:u w:val="single"/>
        </w:rPr>
        <w:t xml:space="preserve">  （必须是磋商时使用的单位名称）   </w:t>
      </w:r>
    </w:p>
    <w:p w14:paraId="45D7C9DF">
      <w:pPr>
        <w:spacing w:line="460" w:lineRule="exact"/>
        <w:ind w:firstLine="420" w:firstLineChars="200"/>
        <w:rPr>
          <w:rFonts w:hint="eastAsia" w:hAnsi="宋体"/>
          <w:sz w:val="21"/>
          <w:szCs w:val="21"/>
        </w:rPr>
      </w:pPr>
      <w:r>
        <w:rPr>
          <w:rFonts w:hint="eastAsia" w:hAnsi="宋体"/>
          <w:sz w:val="21"/>
          <w:szCs w:val="21"/>
        </w:rPr>
        <w:t>帐    号：</w:t>
      </w:r>
      <w:r>
        <w:rPr>
          <w:rFonts w:hint="eastAsia" w:hAnsi="宋体"/>
          <w:sz w:val="21"/>
          <w:szCs w:val="21"/>
          <w:u w:val="single"/>
        </w:rPr>
        <w:t xml:space="preserve">  （必须是磋商时使用的帐号）     </w:t>
      </w:r>
    </w:p>
    <w:p w14:paraId="026859E4">
      <w:pPr>
        <w:spacing w:line="460" w:lineRule="exact"/>
        <w:ind w:firstLine="420" w:firstLineChars="200"/>
        <w:rPr>
          <w:rFonts w:hint="eastAsia" w:hAnsi="宋体"/>
          <w:sz w:val="21"/>
          <w:szCs w:val="21"/>
          <w:u w:val="single"/>
        </w:rPr>
      </w:pPr>
      <w:r>
        <w:rPr>
          <w:rFonts w:hint="eastAsia" w:hAnsi="宋体"/>
          <w:sz w:val="21"/>
          <w:szCs w:val="21"/>
        </w:rPr>
        <w:t>开户银行：</w:t>
      </w:r>
      <w:r>
        <w:rPr>
          <w:rFonts w:hint="eastAsia" w:hAnsi="宋体"/>
          <w:sz w:val="21"/>
          <w:szCs w:val="21"/>
          <w:u w:val="single"/>
        </w:rPr>
        <w:t xml:space="preserve">    银行   省    市          (分行/支行)    </w:t>
      </w:r>
    </w:p>
    <w:p w14:paraId="784D2630">
      <w:pPr>
        <w:spacing w:line="460" w:lineRule="exact"/>
        <w:ind w:firstLine="420" w:firstLineChars="200"/>
        <w:rPr>
          <w:rFonts w:hint="eastAsia" w:hAnsi="宋体"/>
          <w:sz w:val="21"/>
          <w:szCs w:val="21"/>
        </w:rPr>
      </w:pPr>
      <w:r>
        <w:rPr>
          <w:rFonts w:hint="eastAsia" w:hAnsi="宋体"/>
          <w:sz w:val="21"/>
          <w:szCs w:val="21"/>
        </w:rPr>
        <w:t>本单位谨承诺上述资料是正确、真实的，如因上述证明与事实不符导致的一切损失，本单位保证承担赔偿等一切法律责任。</w:t>
      </w:r>
    </w:p>
    <w:p w14:paraId="42BEFFA4">
      <w:pPr>
        <w:spacing w:line="460" w:lineRule="exact"/>
        <w:ind w:firstLine="420" w:firstLineChars="200"/>
        <w:rPr>
          <w:rFonts w:hint="eastAsia" w:hAnsi="宋体"/>
          <w:sz w:val="21"/>
          <w:szCs w:val="21"/>
        </w:rPr>
      </w:pPr>
      <w:r>
        <w:rPr>
          <w:rFonts w:hint="eastAsia" w:hAnsi="宋体"/>
          <w:sz w:val="21"/>
          <w:szCs w:val="21"/>
        </w:rPr>
        <w:t>磋商保证金退回时，请按上述资料退回。</w:t>
      </w:r>
    </w:p>
    <w:p w14:paraId="34621F41">
      <w:pPr>
        <w:spacing w:line="460" w:lineRule="exact"/>
        <w:rPr>
          <w:rFonts w:hint="eastAsia" w:hAnsi="宋体"/>
          <w:b/>
          <w:bCs/>
          <w:sz w:val="21"/>
          <w:szCs w:val="21"/>
        </w:rPr>
      </w:pPr>
    </w:p>
    <w:p w14:paraId="3355D0F0">
      <w:pPr>
        <w:spacing w:line="460" w:lineRule="exact"/>
        <w:rPr>
          <w:rFonts w:hint="eastAsia" w:hAnsi="宋体"/>
          <w:b/>
          <w:bCs/>
          <w:sz w:val="21"/>
          <w:szCs w:val="21"/>
        </w:rPr>
      </w:pPr>
      <w:r>
        <w:rPr>
          <w:rFonts w:hint="eastAsia" w:hAnsi="宋体"/>
          <w:b/>
          <w:bCs/>
          <w:sz w:val="21"/>
          <w:szCs w:val="21"/>
        </w:rPr>
        <w:t>附件：磋商保证金进帐单复印件（加盖公章）</w:t>
      </w:r>
    </w:p>
    <w:p w14:paraId="7E3D563C">
      <w:pPr>
        <w:spacing w:line="460" w:lineRule="exact"/>
        <w:ind w:right="965" w:rightChars="402"/>
        <w:jc w:val="right"/>
        <w:rPr>
          <w:rFonts w:hint="eastAsia" w:hAnsi="宋体"/>
          <w:sz w:val="21"/>
          <w:szCs w:val="21"/>
        </w:rPr>
      </w:pPr>
      <w:r>
        <w:rPr>
          <w:rFonts w:hint="eastAsia" w:hAnsi="宋体"/>
          <w:sz w:val="21"/>
          <w:szCs w:val="21"/>
        </w:rPr>
        <w:t>（公章）</w:t>
      </w:r>
    </w:p>
    <w:p w14:paraId="12222DD7">
      <w:pPr>
        <w:spacing w:line="460" w:lineRule="exact"/>
        <w:ind w:right="718" w:rightChars="299"/>
        <w:jc w:val="right"/>
        <w:rPr>
          <w:rFonts w:hint="eastAsia" w:hAnsi="宋体"/>
          <w:sz w:val="21"/>
          <w:szCs w:val="21"/>
        </w:rPr>
      </w:pPr>
      <w:r>
        <w:rPr>
          <w:rFonts w:hint="eastAsia" w:hAnsi="宋体"/>
          <w:sz w:val="21"/>
          <w:szCs w:val="21"/>
        </w:rPr>
        <w:t>年   月   日</w:t>
      </w:r>
    </w:p>
    <w:p w14:paraId="44455644">
      <w:pPr>
        <w:spacing w:line="460" w:lineRule="exact"/>
        <w:rPr>
          <w:rFonts w:hint="eastAsia" w:hAnsi="宋体"/>
          <w:sz w:val="21"/>
          <w:szCs w:val="21"/>
        </w:rPr>
      </w:pPr>
      <w:r>
        <w:rPr>
          <w:rFonts w:hint="eastAsia" w:hAnsi="宋体"/>
          <w:sz w:val="21"/>
          <w:szCs w:val="21"/>
        </w:rPr>
        <w:t xml:space="preserve">单位名称：           </w:t>
      </w:r>
    </w:p>
    <w:p w14:paraId="330B3B48">
      <w:pPr>
        <w:spacing w:line="460" w:lineRule="exact"/>
        <w:rPr>
          <w:rFonts w:hint="eastAsia" w:hAnsi="宋体"/>
          <w:sz w:val="21"/>
          <w:szCs w:val="21"/>
        </w:rPr>
      </w:pPr>
      <w:r>
        <w:rPr>
          <w:rFonts w:hint="eastAsia" w:hAnsi="宋体"/>
          <w:sz w:val="21"/>
          <w:szCs w:val="21"/>
        </w:rPr>
        <w:t xml:space="preserve">单位地址：           </w:t>
      </w:r>
    </w:p>
    <w:p w14:paraId="50EE050F">
      <w:pPr>
        <w:spacing w:line="460" w:lineRule="exact"/>
        <w:rPr>
          <w:rFonts w:hint="eastAsia" w:hAnsi="宋体"/>
          <w:sz w:val="21"/>
          <w:szCs w:val="21"/>
        </w:rPr>
      </w:pPr>
      <w:r>
        <w:rPr>
          <w:rFonts w:hint="eastAsia" w:hAnsi="宋体"/>
          <w:sz w:val="21"/>
          <w:szCs w:val="21"/>
        </w:rPr>
        <w:t xml:space="preserve">联系人：                   </w:t>
      </w:r>
    </w:p>
    <w:p w14:paraId="5644EA5D">
      <w:pPr>
        <w:spacing w:line="460" w:lineRule="exact"/>
        <w:rPr>
          <w:rFonts w:hint="eastAsia" w:hAnsi="宋体"/>
          <w:sz w:val="21"/>
          <w:szCs w:val="21"/>
        </w:rPr>
      </w:pPr>
      <w:r>
        <w:rPr>
          <w:rFonts w:hint="eastAsia" w:hAnsi="宋体"/>
          <w:sz w:val="21"/>
          <w:szCs w:val="21"/>
        </w:rPr>
        <w:t xml:space="preserve">单位电话：                 联系人手机：              </w:t>
      </w:r>
    </w:p>
    <w:p w14:paraId="2CDFCA6D">
      <w:pPr>
        <w:spacing w:line="360" w:lineRule="auto"/>
        <w:rPr>
          <w:rFonts w:hint="eastAsia" w:hAnsi="宋体"/>
          <w:b/>
          <w:sz w:val="21"/>
          <w:szCs w:val="21"/>
        </w:rPr>
      </w:pPr>
    </w:p>
    <w:p w14:paraId="20658CDE">
      <w:pPr>
        <w:jc w:val="center"/>
        <w:rPr>
          <w:sz w:val="21"/>
          <w:szCs w:val="21"/>
        </w:rPr>
      </w:pPr>
      <w:r>
        <w:rPr>
          <w:rFonts w:hint="eastAsia"/>
          <w:sz w:val="21"/>
          <w:szCs w:val="21"/>
        </w:rPr>
        <w:t>注：1、本说明的所有内容（包括所填写内容）均需打印；2、本说明及磋商保证金进帐单复印件（加盖公章）在磋商时放入唱标信封内。</w:t>
      </w:r>
      <w:bookmarkStart w:id="297" w:name="_Toc3023"/>
      <w:bookmarkStart w:id="298" w:name="_Toc25023"/>
      <w:bookmarkStart w:id="299" w:name="_Toc32258"/>
      <w:bookmarkStart w:id="300" w:name="_Toc28312"/>
      <w:bookmarkStart w:id="301" w:name="_Toc24921"/>
      <w:bookmarkStart w:id="302" w:name="_Toc3469"/>
      <w:bookmarkStart w:id="303" w:name="_Toc23871"/>
      <w:bookmarkStart w:id="304" w:name="_Toc5810"/>
      <w:bookmarkStart w:id="305" w:name="_Toc9804"/>
      <w:bookmarkStart w:id="306" w:name="_Toc1711"/>
      <w:bookmarkStart w:id="307" w:name="_Toc10038"/>
    </w:p>
    <w:p w14:paraId="72D9EF3F">
      <w:pPr>
        <w:rPr>
          <w:rFonts w:hint="eastAsia"/>
          <w:b/>
          <w:bCs/>
        </w:rPr>
      </w:pPr>
      <w:r>
        <w:rPr>
          <w:rFonts w:hint="eastAsia"/>
          <w:b/>
          <w:bCs/>
        </w:rPr>
        <w:br w:type="page"/>
      </w:r>
    </w:p>
    <w:p w14:paraId="41B83E67">
      <w:pPr>
        <w:pStyle w:val="6"/>
        <w:numPr>
          <w:ilvl w:val="0"/>
          <w:numId w:val="14"/>
        </w:numPr>
        <w:jc w:val="center"/>
        <w:rPr>
          <w:rFonts w:hint="eastAsia"/>
          <w:bCs/>
          <w:sz w:val="28"/>
          <w:szCs w:val="28"/>
        </w:rPr>
      </w:pPr>
      <w:r>
        <w:rPr>
          <w:rFonts w:hint="eastAsia"/>
          <w:bCs/>
          <w:sz w:val="28"/>
          <w:szCs w:val="28"/>
          <w:lang w:val="en-US" w:eastAsia="zh-CN"/>
        </w:rPr>
        <w:t>承诺函</w:t>
      </w:r>
    </w:p>
    <w:p w14:paraId="6B3BF901">
      <w:pPr>
        <w:jc w:val="center"/>
        <w:rPr>
          <w:rFonts w:hAnsi="宋体" w:cs="宋体"/>
          <w:b/>
          <w:bCs/>
        </w:rPr>
      </w:pPr>
      <w:r>
        <w:rPr>
          <w:rFonts w:hint="eastAsia" w:hAnsi="宋体" w:cs="宋体"/>
          <w:b/>
          <w:bCs/>
        </w:rPr>
        <w:t>承诺函</w:t>
      </w:r>
    </w:p>
    <w:p w14:paraId="76CC927F">
      <w:pPr>
        <w:jc w:val="center"/>
        <w:rPr>
          <w:rFonts w:hAnsi="宋体" w:cs="宋体"/>
          <w:b/>
          <w:bCs/>
        </w:rPr>
      </w:pPr>
    </w:p>
    <w:p w14:paraId="211D0B26">
      <w:pPr>
        <w:spacing w:line="480" w:lineRule="auto"/>
        <w:rPr>
          <w:rFonts w:hint="eastAsia" w:ascii="宋体" w:hAnsi="宋体"/>
          <w:szCs w:val="21"/>
        </w:rPr>
      </w:pPr>
      <w:r>
        <w:rPr>
          <w:rFonts w:ascii="宋体" w:hAnsi="宋体"/>
          <w:szCs w:val="21"/>
        </w:rPr>
        <w:t>致：</w:t>
      </w:r>
      <w:r>
        <w:rPr>
          <w:rFonts w:hint="eastAsia" w:ascii="宋体" w:hAnsi="宋体"/>
          <w:szCs w:val="21"/>
        </w:rPr>
        <w:t>东莞文旅有限公司</w:t>
      </w:r>
    </w:p>
    <w:p w14:paraId="5474BB74">
      <w:pPr>
        <w:spacing w:line="480" w:lineRule="auto"/>
        <w:rPr>
          <w:rFonts w:hint="eastAsia" w:ascii="宋体" w:hAnsi="宋体" w:eastAsia="宋体" w:cs="宋体"/>
          <w:bCs/>
          <w:color w:val="000000"/>
          <w:kern w:val="2"/>
          <w:sz w:val="21"/>
          <w:szCs w:val="21"/>
          <w:lang w:val="en-US" w:eastAsia="zh-CN" w:bidi="ar-SA"/>
        </w:rPr>
      </w:pPr>
      <w:r>
        <w:rPr>
          <w:rFonts w:ascii="宋体" w:hAnsi="宋体"/>
          <w:szCs w:val="21"/>
        </w:rPr>
        <w:t>我</w:t>
      </w:r>
      <w:r>
        <w:rPr>
          <w:rFonts w:hint="eastAsia" w:ascii="宋体" w:hAnsi="宋体"/>
          <w:szCs w:val="21"/>
        </w:rPr>
        <w:t>司</w:t>
      </w:r>
      <w:r>
        <w:rPr>
          <w:rFonts w:ascii="宋体" w:hAnsi="宋体"/>
          <w:szCs w:val="21"/>
        </w:rPr>
        <w:t>承诺</w:t>
      </w:r>
      <w:r>
        <w:rPr>
          <w:rFonts w:hint="eastAsia" w:ascii="宋体" w:hAnsi="宋体"/>
          <w:szCs w:val="21"/>
        </w:rPr>
        <w:t>：</w:t>
      </w:r>
      <w:r>
        <w:rPr>
          <w:rFonts w:hint="eastAsia" w:ascii="宋体" w:hAnsi="宋体" w:eastAsia="宋体" w:cs="宋体"/>
          <w:bCs/>
          <w:color w:val="000000"/>
          <w:kern w:val="2"/>
          <w:sz w:val="21"/>
          <w:szCs w:val="21"/>
          <w:lang w:val="en-US" w:eastAsia="zh-CN" w:bidi="ar-SA"/>
        </w:rPr>
        <w:t>1</w:t>
      </w:r>
      <w:r>
        <w:rPr>
          <w:rFonts w:hint="eastAsia" w:hAnsi="宋体" w:cs="宋体"/>
          <w:bCs/>
          <w:color w:val="000000"/>
          <w:kern w:val="2"/>
          <w:sz w:val="21"/>
          <w:szCs w:val="21"/>
          <w:lang w:val="en-US" w:eastAsia="zh-CN" w:bidi="ar-SA"/>
        </w:rPr>
        <w:t>、</w:t>
      </w:r>
      <w:r>
        <w:rPr>
          <w:rFonts w:hint="eastAsia" w:ascii="宋体" w:hAnsi="宋体" w:eastAsia="宋体" w:cs="宋体"/>
          <w:bCs/>
          <w:color w:val="000000"/>
          <w:kern w:val="2"/>
          <w:sz w:val="21"/>
          <w:szCs w:val="21"/>
          <w:lang w:val="zh-CN" w:eastAsia="zh-CN" w:bidi="ar-SA"/>
        </w:rPr>
        <w:t>施工阶段，施工负责人须全程驻场，负责现场施工管理与协调工作，确保施工活动按照设计图纸、技术规范及合同要求顺利实施，及时处理施工过程中的问题，保障工程进度与质量。</w:t>
      </w:r>
      <w:r>
        <w:rPr>
          <w:rFonts w:hint="eastAsia" w:ascii="宋体" w:hAnsi="宋体" w:eastAsia="宋体" w:cs="宋体"/>
          <w:bCs/>
          <w:color w:val="000000"/>
          <w:kern w:val="2"/>
          <w:sz w:val="21"/>
          <w:szCs w:val="21"/>
          <w:lang w:val="en-US" w:eastAsia="zh-CN" w:bidi="ar-SA"/>
        </w:rPr>
        <w:t>2</w:t>
      </w:r>
      <w:r>
        <w:rPr>
          <w:rFonts w:hint="eastAsia" w:hAnsi="宋体" w:cs="宋体"/>
          <w:bCs/>
          <w:color w:val="000000"/>
          <w:kern w:val="2"/>
          <w:sz w:val="21"/>
          <w:szCs w:val="21"/>
          <w:lang w:val="en-US" w:eastAsia="zh-CN" w:bidi="ar-SA"/>
        </w:rPr>
        <w:t>、</w:t>
      </w:r>
      <w:r>
        <w:rPr>
          <w:rFonts w:hint="eastAsia" w:ascii="宋体" w:hAnsi="宋体" w:eastAsia="宋体" w:cs="宋体"/>
          <w:bCs/>
          <w:color w:val="000000"/>
          <w:kern w:val="2"/>
          <w:sz w:val="21"/>
          <w:szCs w:val="21"/>
          <w:lang w:val="en-US" w:eastAsia="zh-CN" w:bidi="ar-SA"/>
        </w:rPr>
        <w:t>设计师应根据项目实际进展及需求，在涉及重大设计变更需即时技术论证与方案调整，或远程沟通无法满足设计问题解决需求时驻场，确保设计意图精准实现、方案优化及设计与施工的无缝衔接。</w:t>
      </w:r>
    </w:p>
    <w:p w14:paraId="00D29540">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供应商（加盖公章）：</w:t>
      </w:r>
    </w:p>
    <w:p w14:paraId="29B467AE">
      <w:pPr>
        <w:widowControl w:val="0"/>
        <w:spacing w:line="360" w:lineRule="auto"/>
        <w:ind w:firstLine="420" w:firstLineChars="200"/>
        <w:jc w:val="both"/>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日     期：</w:t>
      </w:r>
    </w:p>
    <w:bookmarkEnd w:id="297"/>
    <w:bookmarkEnd w:id="298"/>
    <w:bookmarkEnd w:id="299"/>
    <w:bookmarkEnd w:id="300"/>
    <w:bookmarkEnd w:id="301"/>
    <w:bookmarkEnd w:id="302"/>
    <w:bookmarkEnd w:id="303"/>
    <w:bookmarkEnd w:id="304"/>
    <w:bookmarkEnd w:id="305"/>
    <w:bookmarkEnd w:id="306"/>
    <w:bookmarkEnd w:id="307"/>
    <w:p w14:paraId="6C2C737B">
      <w:pPr>
        <w:rPr>
          <w:rFonts w:hint="eastAsia"/>
          <w:bCs/>
          <w:sz w:val="28"/>
          <w:szCs w:val="28"/>
        </w:rPr>
      </w:pPr>
      <w:bookmarkStart w:id="308" w:name="_Toc19888"/>
      <w:bookmarkStart w:id="309" w:name="_Toc20966"/>
      <w:r>
        <w:rPr>
          <w:rFonts w:hint="eastAsia"/>
          <w:bCs/>
          <w:sz w:val="28"/>
          <w:szCs w:val="28"/>
        </w:rPr>
        <w:br w:type="page"/>
      </w:r>
    </w:p>
    <w:p w14:paraId="2DBC327B">
      <w:pPr>
        <w:pStyle w:val="6"/>
        <w:pageBreakBefore/>
        <w:spacing w:line="360" w:lineRule="auto"/>
        <w:jc w:val="center"/>
        <w:rPr>
          <w:rFonts w:hint="eastAsia"/>
          <w:bCs/>
          <w:sz w:val="28"/>
          <w:szCs w:val="28"/>
        </w:rPr>
      </w:pPr>
      <w:r>
        <w:rPr>
          <w:rFonts w:hint="eastAsia"/>
          <w:bCs/>
          <w:sz w:val="28"/>
          <w:szCs w:val="28"/>
        </w:rPr>
        <w:t>第三部分 技术文件</w:t>
      </w:r>
      <w:bookmarkEnd w:id="308"/>
      <w:bookmarkEnd w:id="309"/>
    </w:p>
    <w:p w14:paraId="27E9766C">
      <w:pPr>
        <w:jc w:val="center"/>
      </w:pPr>
    </w:p>
    <w:p w14:paraId="4270C9A0">
      <w:pPr>
        <w:pStyle w:val="6"/>
        <w:numPr>
          <w:ilvl w:val="0"/>
          <w:numId w:val="15"/>
        </w:numPr>
        <w:jc w:val="center"/>
        <w:rPr>
          <w:rFonts w:hint="eastAsia"/>
        </w:rPr>
      </w:pPr>
      <w:bookmarkStart w:id="310" w:name="_Toc15167"/>
      <w:bookmarkStart w:id="311" w:name="_Toc24064"/>
      <w:bookmarkStart w:id="312" w:name="_Toc28884"/>
      <w:bookmarkStart w:id="313" w:name="_Toc25949"/>
      <w:bookmarkStart w:id="314" w:name="_Toc1852"/>
      <w:bookmarkStart w:id="315" w:name="_Toc9579"/>
      <w:bookmarkStart w:id="316" w:name="_Toc31683"/>
      <w:bookmarkStart w:id="317" w:name="_Toc7161"/>
      <w:bookmarkStart w:id="318" w:name="_Toc9540"/>
      <w:r>
        <w:rPr>
          <w:rFonts w:hint="eastAsia"/>
        </w:rPr>
        <w:t>技术方案</w:t>
      </w:r>
      <w:bookmarkEnd w:id="310"/>
      <w:bookmarkEnd w:id="311"/>
      <w:bookmarkEnd w:id="312"/>
      <w:bookmarkEnd w:id="313"/>
      <w:bookmarkEnd w:id="314"/>
      <w:bookmarkEnd w:id="315"/>
      <w:bookmarkEnd w:id="316"/>
      <w:bookmarkEnd w:id="317"/>
      <w:bookmarkEnd w:id="318"/>
    </w:p>
    <w:p w14:paraId="7BF3E865">
      <w:pPr>
        <w:snapToGrid w:val="0"/>
        <w:spacing w:line="360" w:lineRule="auto"/>
        <w:rPr>
          <w:rFonts w:hint="eastAsia" w:hAnsi="宋体"/>
          <w:sz w:val="21"/>
          <w:szCs w:val="21"/>
        </w:rPr>
      </w:pPr>
    </w:p>
    <w:p w14:paraId="572772C3">
      <w:pPr>
        <w:snapToGrid w:val="0"/>
        <w:spacing w:line="360" w:lineRule="auto"/>
        <w:ind w:firstLine="420" w:firstLineChars="200"/>
        <w:rPr>
          <w:rFonts w:hint="eastAsia" w:hAnsi="宋体"/>
          <w:sz w:val="21"/>
          <w:szCs w:val="21"/>
        </w:rPr>
      </w:pPr>
      <w:r>
        <w:rPr>
          <w:rFonts w:hint="eastAsia" w:hAnsi="宋体"/>
          <w:sz w:val="21"/>
          <w:szCs w:val="21"/>
        </w:rPr>
        <w:t>根据用户需求书编写。</w:t>
      </w:r>
    </w:p>
    <w:p w14:paraId="1F6A7749">
      <w:pPr>
        <w:snapToGrid w:val="0"/>
        <w:spacing w:line="360" w:lineRule="auto"/>
        <w:rPr>
          <w:rFonts w:hint="eastAsia" w:hAnsi="宋体"/>
          <w:sz w:val="21"/>
          <w:szCs w:val="21"/>
        </w:rPr>
      </w:pPr>
    </w:p>
    <w:p w14:paraId="526EFA32">
      <w:pPr>
        <w:pStyle w:val="15"/>
        <w:rPr>
          <w:rFonts w:hint="eastAsia" w:hAnsi="宋体"/>
          <w:sz w:val="21"/>
          <w:szCs w:val="21"/>
        </w:rPr>
      </w:pPr>
    </w:p>
    <w:p w14:paraId="06811F5E">
      <w:pPr>
        <w:pStyle w:val="15"/>
        <w:rPr>
          <w:rFonts w:hint="eastAsia" w:hAnsi="宋体"/>
          <w:sz w:val="21"/>
          <w:szCs w:val="21"/>
        </w:rPr>
      </w:pPr>
    </w:p>
    <w:p w14:paraId="229D0C67">
      <w:pPr>
        <w:pStyle w:val="15"/>
        <w:rPr>
          <w:rFonts w:hint="eastAsia" w:hAnsi="宋体"/>
          <w:sz w:val="21"/>
          <w:szCs w:val="21"/>
        </w:rPr>
      </w:pPr>
    </w:p>
    <w:p w14:paraId="7DF1882E">
      <w:pPr>
        <w:pStyle w:val="15"/>
        <w:rPr>
          <w:rFonts w:hint="eastAsia" w:hAnsi="宋体"/>
          <w:sz w:val="21"/>
          <w:szCs w:val="21"/>
        </w:rPr>
      </w:pPr>
    </w:p>
    <w:p w14:paraId="360258D4">
      <w:pPr>
        <w:pStyle w:val="15"/>
        <w:rPr>
          <w:rFonts w:hint="eastAsia" w:hAnsi="宋体"/>
          <w:sz w:val="21"/>
          <w:szCs w:val="21"/>
        </w:rPr>
      </w:pPr>
    </w:p>
    <w:p w14:paraId="13168A45">
      <w:pPr>
        <w:pStyle w:val="15"/>
        <w:rPr>
          <w:rFonts w:hint="eastAsia" w:hAnsi="宋体"/>
          <w:sz w:val="21"/>
          <w:szCs w:val="21"/>
        </w:rPr>
      </w:pPr>
    </w:p>
    <w:p w14:paraId="62C336F5">
      <w:pPr>
        <w:pStyle w:val="15"/>
        <w:rPr>
          <w:rFonts w:hint="eastAsia" w:hAnsi="宋体"/>
          <w:sz w:val="21"/>
          <w:szCs w:val="21"/>
        </w:rPr>
      </w:pPr>
    </w:p>
    <w:p w14:paraId="76203030">
      <w:pPr>
        <w:pStyle w:val="15"/>
        <w:rPr>
          <w:rFonts w:hint="eastAsia" w:hAnsi="宋体"/>
          <w:sz w:val="21"/>
          <w:szCs w:val="21"/>
        </w:rPr>
      </w:pPr>
    </w:p>
    <w:p w14:paraId="4BE5A3D0">
      <w:pPr>
        <w:pStyle w:val="15"/>
        <w:rPr>
          <w:rFonts w:hint="eastAsia" w:hAnsi="宋体"/>
          <w:sz w:val="21"/>
          <w:szCs w:val="21"/>
        </w:rPr>
      </w:pPr>
    </w:p>
    <w:p w14:paraId="43CA3E80">
      <w:pPr>
        <w:pStyle w:val="15"/>
        <w:rPr>
          <w:rFonts w:hint="eastAsia" w:hAnsi="宋体"/>
          <w:sz w:val="21"/>
          <w:szCs w:val="21"/>
        </w:rPr>
      </w:pPr>
    </w:p>
    <w:p w14:paraId="40CC8978">
      <w:pPr>
        <w:pStyle w:val="15"/>
        <w:rPr>
          <w:rFonts w:hint="eastAsia" w:hAnsi="宋体"/>
          <w:sz w:val="21"/>
          <w:szCs w:val="21"/>
        </w:rPr>
      </w:pPr>
    </w:p>
    <w:p w14:paraId="01C299B0">
      <w:pPr>
        <w:pStyle w:val="15"/>
        <w:rPr>
          <w:rFonts w:hint="eastAsia" w:hAnsi="宋体"/>
          <w:sz w:val="21"/>
          <w:szCs w:val="21"/>
        </w:rPr>
      </w:pPr>
    </w:p>
    <w:p w14:paraId="218EA74B">
      <w:pPr>
        <w:pStyle w:val="15"/>
        <w:rPr>
          <w:rFonts w:hint="eastAsia" w:hAnsi="宋体"/>
          <w:sz w:val="21"/>
          <w:szCs w:val="21"/>
        </w:rPr>
      </w:pPr>
    </w:p>
    <w:p w14:paraId="78B49E1E">
      <w:pPr>
        <w:pStyle w:val="15"/>
        <w:rPr>
          <w:rFonts w:hint="eastAsia" w:hAnsi="宋体"/>
          <w:sz w:val="21"/>
          <w:szCs w:val="21"/>
        </w:rPr>
      </w:pPr>
    </w:p>
    <w:p w14:paraId="4422ECBE">
      <w:pPr>
        <w:pStyle w:val="15"/>
        <w:rPr>
          <w:rFonts w:hint="eastAsia" w:hAnsi="宋体"/>
          <w:sz w:val="21"/>
          <w:szCs w:val="21"/>
        </w:rPr>
      </w:pPr>
    </w:p>
    <w:p w14:paraId="0AE11B01">
      <w:pPr>
        <w:pStyle w:val="15"/>
        <w:rPr>
          <w:rFonts w:hint="eastAsia" w:hAnsi="宋体"/>
          <w:sz w:val="21"/>
          <w:szCs w:val="21"/>
        </w:rPr>
      </w:pPr>
    </w:p>
    <w:p w14:paraId="78D5B101">
      <w:pPr>
        <w:pStyle w:val="15"/>
        <w:rPr>
          <w:rFonts w:hint="eastAsia" w:hAnsi="宋体"/>
          <w:sz w:val="21"/>
          <w:szCs w:val="21"/>
        </w:rPr>
      </w:pPr>
    </w:p>
    <w:p w14:paraId="38F463AE">
      <w:pPr>
        <w:pStyle w:val="15"/>
        <w:rPr>
          <w:rFonts w:hint="eastAsia" w:hAnsi="宋体"/>
          <w:sz w:val="21"/>
          <w:szCs w:val="21"/>
        </w:rPr>
      </w:pPr>
    </w:p>
    <w:p w14:paraId="12A0EED8">
      <w:pPr>
        <w:pStyle w:val="15"/>
        <w:rPr>
          <w:rFonts w:hint="eastAsia" w:hAnsi="宋体"/>
          <w:sz w:val="21"/>
          <w:szCs w:val="21"/>
        </w:rPr>
      </w:pPr>
    </w:p>
    <w:p w14:paraId="42F785C6">
      <w:pPr>
        <w:pStyle w:val="15"/>
        <w:rPr>
          <w:rFonts w:hint="eastAsia" w:hAnsi="宋体"/>
          <w:sz w:val="21"/>
          <w:szCs w:val="21"/>
        </w:rPr>
      </w:pPr>
    </w:p>
    <w:p w14:paraId="2CD3C456">
      <w:pPr>
        <w:pStyle w:val="15"/>
        <w:rPr>
          <w:rFonts w:hint="eastAsia" w:hAnsi="宋体"/>
          <w:sz w:val="21"/>
          <w:szCs w:val="21"/>
        </w:rPr>
      </w:pPr>
    </w:p>
    <w:p w14:paraId="531FF50D">
      <w:pPr>
        <w:pStyle w:val="15"/>
        <w:rPr>
          <w:rFonts w:hint="eastAsia" w:hAnsi="宋体"/>
          <w:sz w:val="21"/>
          <w:szCs w:val="21"/>
        </w:rPr>
      </w:pPr>
    </w:p>
    <w:p w14:paraId="0C08DD73">
      <w:pPr>
        <w:pStyle w:val="15"/>
        <w:rPr>
          <w:rFonts w:hint="eastAsia" w:hAnsi="宋体"/>
          <w:sz w:val="21"/>
          <w:szCs w:val="21"/>
        </w:rPr>
      </w:pPr>
    </w:p>
    <w:p w14:paraId="4B244391">
      <w:pPr>
        <w:pStyle w:val="15"/>
        <w:rPr>
          <w:rFonts w:hint="eastAsia" w:hAnsi="宋体"/>
          <w:sz w:val="21"/>
          <w:szCs w:val="21"/>
        </w:rPr>
      </w:pPr>
    </w:p>
    <w:p w14:paraId="4940F3C2">
      <w:pPr>
        <w:pStyle w:val="15"/>
        <w:rPr>
          <w:rFonts w:hint="eastAsia" w:hAnsi="宋体"/>
          <w:sz w:val="21"/>
          <w:szCs w:val="21"/>
        </w:rPr>
      </w:pPr>
    </w:p>
    <w:p w14:paraId="5BD42A66">
      <w:pPr>
        <w:pStyle w:val="15"/>
        <w:rPr>
          <w:rFonts w:hint="eastAsia" w:hAnsi="宋体"/>
          <w:sz w:val="21"/>
          <w:szCs w:val="21"/>
        </w:rPr>
      </w:pPr>
    </w:p>
    <w:p w14:paraId="756B6B7C">
      <w:pPr>
        <w:pStyle w:val="15"/>
        <w:rPr>
          <w:rFonts w:hint="eastAsia" w:hAnsi="宋体"/>
          <w:sz w:val="21"/>
          <w:szCs w:val="21"/>
        </w:rPr>
      </w:pPr>
    </w:p>
    <w:p w14:paraId="35076B7C">
      <w:pPr>
        <w:pStyle w:val="15"/>
        <w:rPr>
          <w:rFonts w:hint="eastAsia" w:hAnsi="宋体"/>
          <w:sz w:val="21"/>
          <w:szCs w:val="21"/>
        </w:rPr>
      </w:pPr>
    </w:p>
    <w:p w14:paraId="78B33C33">
      <w:pPr>
        <w:pStyle w:val="15"/>
        <w:rPr>
          <w:rFonts w:hint="eastAsia" w:hAnsi="宋体"/>
          <w:sz w:val="21"/>
          <w:szCs w:val="21"/>
        </w:rPr>
      </w:pPr>
    </w:p>
    <w:p w14:paraId="0F196DA9">
      <w:pPr>
        <w:pStyle w:val="15"/>
        <w:rPr>
          <w:rFonts w:hint="eastAsia" w:hAnsi="宋体"/>
          <w:sz w:val="21"/>
          <w:szCs w:val="21"/>
        </w:rPr>
      </w:pPr>
    </w:p>
    <w:p w14:paraId="5D90AD0E">
      <w:pPr>
        <w:pStyle w:val="15"/>
        <w:rPr>
          <w:rFonts w:hint="eastAsia" w:hAnsi="宋体"/>
          <w:sz w:val="21"/>
          <w:szCs w:val="21"/>
        </w:rPr>
      </w:pPr>
    </w:p>
    <w:p w14:paraId="124BE8ED">
      <w:pPr>
        <w:pStyle w:val="15"/>
        <w:rPr>
          <w:rFonts w:hint="eastAsia" w:hAnsi="宋体"/>
          <w:sz w:val="21"/>
          <w:szCs w:val="21"/>
        </w:rPr>
      </w:pPr>
    </w:p>
    <w:p w14:paraId="053382B9">
      <w:pPr>
        <w:pStyle w:val="15"/>
        <w:rPr>
          <w:rFonts w:hint="eastAsia" w:hAnsi="宋体"/>
          <w:sz w:val="21"/>
          <w:szCs w:val="21"/>
        </w:rPr>
      </w:pPr>
    </w:p>
    <w:p w14:paraId="242AB6A5">
      <w:pPr>
        <w:pStyle w:val="15"/>
        <w:rPr>
          <w:rFonts w:hint="eastAsia" w:hAnsi="宋体"/>
          <w:sz w:val="21"/>
          <w:szCs w:val="21"/>
        </w:rPr>
      </w:pPr>
    </w:p>
    <w:p w14:paraId="15AD9DB4">
      <w:pPr>
        <w:pStyle w:val="15"/>
        <w:rPr>
          <w:rFonts w:hint="eastAsia" w:hAnsi="宋体"/>
          <w:sz w:val="21"/>
          <w:szCs w:val="21"/>
        </w:rPr>
      </w:pPr>
    </w:p>
    <w:p w14:paraId="4087B9FD">
      <w:pPr>
        <w:pStyle w:val="6"/>
        <w:numPr>
          <w:ilvl w:val="0"/>
          <w:numId w:val="15"/>
        </w:numPr>
        <w:jc w:val="center"/>
        <w:rPr>
          <w:rFonts w:hint="eastAsia"/>
        </w:rPr>
      </w:pPr>
      <w:bookmarkStart w:id="319" w:name="_Toc30049"/>
      <w:bookmarkStart w:id="320" w:name="_Toc11036"/>
      <w:bookmarkStart w:id="321" w:name="_Toc28953"/>
      <w:bookmarkStart w:id="322" w:name="_Toc23849"/>
      <w:bookmarkStart w:id="323" w:name="_Toc9982"/>
      <w:bookmarkStart w:id="324" w:name="_Toc15530"/>
      <w:bookmarkStart w:id="325" w:name="_Toc12278"/>
      <w:bookmarkStart w:id="326" w:name="_Toc24947"/>
      <w:bookmarkStart w:id="327" w:name="_Toc9619"/>
      <w:r>
        <w:rPr>
          <w:rFonts w:hint="eastAsia"/>
        </w:rPr>
        <w:t>其他资料</w:t>
      </w:r>
      <w:bookmarkEnd w:id="319"/>
      <w:bookmarkEnd w:id="320"/>
      <w:bookmarkEnd w:id="321"/>
      <w:bookmarkEnd w:id="322"/>
      <w:bookmarkEnd w:id="323"/>
      <w:bookmarkEnd w:id="324"/>
      <w:bookmarkEnd w:id="325"/>
      <w:bookmarkEnd w:id="326"/>
      <w:bookmarkEnd w:id="327"/>
    </w:p>
    <w:p w14:paraId="31F6F035">
      <w:pPr>
        <w:pStyle w:val="28"/>
        <w:spacing w:line="360" w:lineRule="auto"/>
        <w:ind w:firstLine="420"/>
        <w:rPr>
          <w:rFonts w:hint="eastAsia" w:hAnsi="宋体"/>
        </w:rPr>
      </w:pPr>
    </w:p>
    <w:p w14:paraId="6969FE2A">
      <w:pPr>
        <w:spacing w:line="360" w:lineRule="auto"/>
        <w:rPr>
          <w:rFonts w:hint="eastAsia" w:hAnsi="宋体"/>
          <w:sz w:val="21"/>
          <w:szCs w:val="21"/>
        </w:rPr>
      </w:pPr>
      <w:r>
        <w:rPr>
          <w:rFonts w:hint="eastAsia" w:hAnsi="宋体"/>
          <w:sz w:val="21"/>
          <w:szCs w:val="21"/>
        </w:rPr>
        <w:t>1、磋商文件要求提供的其他资料（如有）</w:t>
      </w:r>
    </w:p>
    <w:p w14:paraId="22487417">
      <w:pPr>
        <w:spacing w:line="360" w:lineRule="auto"/>
        <w:rPr>
          <w:rFonts w:hint="eastAsia" w:hAnsi="宋体"/>
          <w:sz w:val="21"/>
          <w:szCs w:val="21"/>
        </w:rPr>
      </w:pPr>
      <w:r>
        <w:rPr>
          <w:rFonts w:hint="eastAsia" w:hAnsi="宋体"/>
          <w:sz w:val="21"/>
          <w:szCs w:val="21"/>
        </w:rPr>
        <w:t>2、供应商认为需要提供的其他资料（如有）</w:t>
      </w:r>
    </w:p>
    <w:p w14:paraId="509A603C">
      <w:pPr>
        <w:pStyle w:val="15"/>
        <w:rPr>
          <w:rFonts w:hint="eastAsia" w:hAnsi="宋体"/>
          <w:sz w:val="21"/>
          <w:szCs w:val="21"/>
        </w:rPr>
      </w:pPr>
    </w:p>
    <w:p w14:paraId="4D6ABB62">
      <w:pPr>
        <w:pStyle w:val="15"/>
        <w:rPr>
          <w:rFonts w:hint="eastAsia" w:hAnsi="宋体"/>
          <w:sz w:val="21"/>
          <w:szCs w:val="21"/>
        </w:rPr>
      </w:pPr>
    </w:p>
    <w:p w14:paraId="12A3736C">
      <w:pPr>
        <w:pStyle w:val="15"/>
        <w:rPr>
          <w:rFonts w:hint="eastAsia" w:hAnsi="宋体"/>
          <w:sz w:val="21"/>
          <w:szCs w:val="21"/>
        </w:rPr>
      </w:pPr>
    </w:p>
    <w:p w14:paraId="238FC164">
      <w:pPr>
        <w:pStyle w:val="15"/>
        <w:rPr>
          <w:rFonts w:hint="eastAsia" w:hAnsi="宋体"/>
          <w:sz w:val="21"/>
          <w:szCs w:val="21"/>
        </w:rPr>
      </w:pPr>
    </w:p>
    <w:p w14:paraId="5CFAD3EC">
      <w:pPr>
        <w:pStyle w:val="15"/>
        <w:rPr>
          <w:rFonts w:hint="eastAsia" w:hAnsi="宋体"/>
          <w:sz w:val="21"/>
          <w:szCs w:val="21"/>
        </w:rPr>
      </w:pPr>
    </w:p>
    <w:p w14:paraId="1DA0E039">
      <w:pPr>
        <w:pStyle w:val="15"/>
        <w:rPr>
          <w:rFonts w:hint="eastAsia" w:hAnsi="宋体"/>
          <w:sz w:val="21"/>
          <w:szCs w:val="21"/>
        </w:rPr>
      </w:pPr>
    </w:p>
    <w:p w14:paraId="3FC6BC3B">
      <w:pPr>
        <w:pStyle w:val="15"/>
        <w:rPr>
          <w:rFonts w:hint="eastAsia" w:hAnsi="宋体"/>
          <w:sz w:val="21"/>
          <w:szCs w:val="21"/>
        </w:rPr>
      </w:pPr>
    </w:p>
    <w:p w14:paraId="462FEEE3">
      <w:pPr>
        <w:pStyle w:val="15"/>
        <w:rPr>
          <w:rFonts w:hint="eastAsia" w:hAnsi="宋体"/>
          <w:sz w:val="21"/>
          <w:szCs w:val="21"/>
        </w:rPr>
      </w:pPr>
    </w:p>
    <w:p w14:paraId="37EC50EF">
      <w:pPr>
        <w:pStyle w:val="15"/>
        <w:rPr>
          <w:rFonts w:hint="eastAsia" w:hAnsi="宋体"/>
          <w:sz w:val="21"/>
          <w:szCs w:val="21"/>
        </w:rPr>
      </w:pPr>
    </w:p>
    <w:p w14:paraId="7FE9ABD3">
      <w:pPr>
        <w:pStyle w:val="15"/>
        <w:rPr>
          <w:rFonts w:hint="eastAsia" w:hAnsi="宋体"/>
          <w:sz w:val="21"/>
          <w:szCs w:val="21"/>
        </w:rPr>
      </w:pPr>
    </w:p>
    <w:p w14:paraId="4271B709">
      <w:pPr>
        <w:pStyle w:val="15"/>
        <w:rPr>
          <w:rFonts w:hint="eastAsia" w:hAnsi="宋体"/>
          <w:sz w:val="21"/>
          <w:szCs w:val="21"/>
        </w:rPr>
      </w:pPr>
    </w:p>
    <w:p w14:paraId="1F87B800">
      <w:pPr>
        <w:pStyle w:val="15"/>
        <w:rPr>
          <w:rFonts w:hint="eastAsia" w:hAnsi="宋体"/>
          <w:sz w:val="21"/>
          <w:szCs w:val="21"/>
        </w:rPr>
      </w:pPr>
    </w:p>
    <w:p w14:paraId="34AAA8C6">
      <w:pPr>
        <w:pStyle w:val="15"/>
        <w:rPr>
          <w:rFonts w:hint="eastAsia" w:hAnsi="宋体"/>
          <w:sz w:val="21"/>
          <w:szCs w:val="21"/>
        </w:rPr>
      </w:pPr>
    </w:p>
    <w:p w14:paraId="1219866E">
      <w:pPr>
        <w:pStyle w:val="15"/>
        <w:rPr>
          <w:rFonts w:hint="eastAsia" w:hAnsi="宋体"/>
          <w:sz w:val="21"/>
          <w:szCs w:val="21"/>
        </w:rPr>
      </w:pPr>
    </w:p>
    <w:p w14:paraId="7846DCE9">
      <w:pPr>
        <w:pStyle w:val="15"/>
        <w:rPr>
          <w:rFonts w:hint="eastAsia" w:hAnsi="宋体"/>
          <w:sz w:val="21"/>
          <w:szCs w:val="21"/>
        </w:rPr>
      </w:pPr>
    </w:p>
    <w:p w14:paraId="5195C444">
      <w:pPr>
        <w:pStyle w:val="15"/>
        <w:rPr>
          <w:rFonts w:hint="eastAsia" w:hAnsi="宋体"/>
          <w:sz w:val="21"/>
          <w:szCs w:val="21"/>
        </w:rPr>
      </w:pPr>
    </w:p>
    <w:p w14:paraId="799734A6">
      <w:pPr>
        <w:pStyle w:val="15"/>
        <w:rPr>
          <w:rFonts w:hint="eastAsia" w:hAnsi="宋体"/>
          <w:sz w:val="21"/>
          <w:szCs w:val="21"/>
        </w:rPr>
      </w:pPr>
    </w:p>
    <w:p w14:paraId="38CBBD3D">
      <w:pPr>
        <w:pStyle w:val="15"/>
        <w:rPr>
          <w:rFonts w:hint="eastAsia" w:hAnsi="宋体"/>
          <w:sz w:val="21"/>
          <w:szCs w:val="21"/>
        </w:rPr>
      </w:pPr>
    </w:p>
    <w:p w14:paraId="7B27AD97">
      <w:pPr>
        <w:pStyle w:val="15"/>
        <w:rPr>
          <w:rFonts w:hint="eastAsia" w:hAnsi="宋体"/>
          <w:sz w:val="21"/>
          <w:szCs w:val="21"/>
        </w:rPr>
      </w:pPr>
    </w:p>
    <w:p w14:paraId="3C3B714B">
      <w:pPr>
        <w:pStyle w:val="15"/>
        <w:rPr>
          <w:rFonts w:hint="eastAsia" w:hAnsi="宋体"/>
          <w:sz w:val="21"/>
          <w:szCs w:val="21"/>
        </w:rPr>
      </w:pPr>
    </w:p>
    <w:p w14:paraId="4F761267">
      <w:pPr>
        <w:pStyle w:val="15"/>
        <w:rPr>
          <w:rFonts w:hint="eastAsia" w:hAnsi="宋体"/>
          <w:sz w:val="21"/>
          <w:szCs w:val="21"/>
        </w:rPr>
      </w:pPr>
    </w:p>
    <w:p w14:paraId="7FACD02E">
      <w:pPr>
        <w:pStyle w:val="15"/>
        <w:rPr>
          <w:rFonts w:hint="eastAsia" w:hAnsi="宋体"/>
          <w:sz w:val="21"/>
          <w:szCs w:val="21"/>
        </w:rPr>
      </w:pPr>
    </w:p>
    <w:p w14:paraId="23BB81F4">
      <w:pPr>
        <w:pStyle w:val="15"/>
        <w:rPr>
          <w:rFonts w:hint="eastAsia" w:hAnsi="宋体"/>
          <w:sz w:val="21"/>
          <w:szCs w:val="21"/>
        </w:rPr>
      </w:pPr>
    </w:p>
    <w:p w14:paraId="6B753040">
      <w:pPr>
        <w:pStyle w:val="15"/>
        <w:rPr>
          <w:rFonts w:hint="eastAsia" w:hAnsi="宋体"/>
          <w:sz w:val="21"/>
          <w:szCs w:val="21"/>
        </w:rPr>
      </w:pPr>
    </w:p>
    <w:p w14:paraId="09C8F373">
      <w:pPr>
        <w:pStyle w:val="15"/>
        <w:rPr>
          <w:rFonts w:hint="eastAsia" w:hAnsi="宋体"/>
          <w:sz w:val="21"/>
          <w:szCs w:val="21"/>
        </w:rPr>
      </w:pPr>
    </w:p>
    <w:p w14:paraId="7D304157">
      <w:pPr>
        <w:pStyle w:val="15"/>
        <w:rPr>
          <w:rFonts w:hint="eastAsia" w:hAnsi="宋体"/>
          <w:sz w:val="21"/>
          <w:szCs w:val="21"/>
        </w:rPr>
      </w:pPr>
    </w:p>
    <w:p w14:paraId="3F479A25">
      <w:pPr>
        <w:pStyle w:val="15"/>
        <w:rPr>
          <w:rFonts w:hint="eastAsia" w:hAnsi="宋体"/>
          <w:sz w:val="21"/>
          <w:szCs w:val="21"/>
        </w:rPr>
      </w:pPr>
    </w:p>
    <w:p w14:paraId="38F15AE1">
      <w:pPr>
        <w:pStyle w:val="15"/>
        <w:rPr>
          <w:rFonts w:hint="eastAsia" w:hAnsi="宋体"/>
          <w:sz w:val="21"/>
          <w:szCs w:val="21"/>
        </w:rPr>
      </w:pPr>
    </w:p>
    <w:p w14:paraId="1E38309F">
      <w:pPr>
        <w:pStyle w:val="15"/>
        <w:rPr>
          <w:rFonts w:hint="eastAsia" w:hAnsi="宋体"/>
          <w:sz w:val="21"/>
          <w:szCs w:val="21"/>
        </w:rPr>
      </w:pPr>
    </w:p>
    <w:p w14:paraId="6CAE1728">
      <w:pPr>
        <w:pStyle w:val="15"/>
        <w:rPr>
          <w:rFonts w:hint="eastAsia" w:hAnsi="宋体"/>
          <w:sz w:val="21"/>
          <w:szCs w:val="21"/>
        </w:rPr>
      </w:pPr>
    </w:p>
    <w:p w14:paraId="6DBB39BD">
      <w:pPr>
        <w:pStyle w:val="15"/>
        <w:rPr>
          <w:rFonts w:hint="eastAsia" w:hAnsi="宋体"/>
          <w:sz w:val="21"/>
          <w:szCs w:val="21"/>
        </w:rPr>
      </w:pPr>
    </w:p>
    <w:p w14:paraId="42A2EA31">
      <w:pPr>
        <w:pStyle w:val="15"/>
        <w:rPr>
          <w:rFonts w:hint="eastAsia" w:hAnsi="宋体"/>
          <w:sz w:val="21"/>
          <w:szCs w:val="21"/>
        </w:rPr>
      </w:pPr>
    </w:p>
    <w:p w14:paraId="7EFF2E3E">
      <w:pPr>
        <w:pStyle w:val="15"/>
        <w:rPr>
          <w:rFonts w:hint="eastAsia" w:hAnsi="宋体"/>
          <w:sz w:val="21"/>
          <w:szCs w:val="21"/>
        </w:rPr>
      </w:pPr>
    </w:p>
    <w:p w14:paraId="1E9DF590">
      <w:pPr>
        <w:pStyle w:val="15"/>
        <w:rPr>
          <w:rFonts w:hint="eastAsia" w:hAnsi="宋体"/>
          <w:sz w:val="21"/>
          <w:szCs w:val="21"/>
        </w:rPr>
      </w:pPr>
    </w:p>
    <w:p w14:paraId="2CE264AA">
      <w:pPr>
        <w:pStyle w:val="15"/>
        <w:rPr>
          <w:rFonts w:hint="eastAsia" w:hAnsi="宋体"/>
          <w:sz w:val="21"/>
          <w:szCs w:val="21"/>
        </w:rPr>
      </w:pPr>
    </w:p>
    <w:p w14:paraId="043C8EF3">
      <w:pPr>
        <w:pStyle w:val="15"/>
        <w:rPr>
          <w:rFonts w:hint="eastAsia" w:hAnsi="宋体"/>
          <w:sz w:val="21"/>
          <w:szCs w:val="21"/>
        </w:rPr>
      </w:pPr>
    </w:p>
    <w:p w14:paraId="2244B4CE">
      <w:pPr>
        <w:pStyle w:val="15"/>
        <w:rPr>
          <w:rFonts w:hint="eastAsia" w:hAnsi="宋体"/>
          <w:sz w:val="21"/>
          <w:szCs w:val="21"/>
        </w:rPr>
      </w:pPr>
    </w:p>
    <w:p w14:paraId="40D902FA">
      <w:pPr>
        <w:pStyle w:val="6"/>
        <w:jc w:val="center"/>
        <w:rPr>
          <w:rFonts w:hint="eastAsia"/>
          <w:sz w:val="28"/>
          <w:szCs w:val="28"/>
        </w:rPr>
      </w:pPr>
      <w:bookmarkStart w:id="328" w:name="_Toc17492"/>
      <w:r>
        <w:rPr>
          <w:rFonts w:hint="eastAsia"/>
          <w:sz w:val="28"/>
          <w:szCs w:val="28"/>
        </w:rPr>
        <w:t>第四部分 唱标信封</w:t>
      </w:r>
      <w:r>
        <w:rPr>
          <w:rFonts w:hint="eastAsia"/>
          <w:bCs/>
          <w:sz w:val="28"/>
          <w:szCs w:val="28"/>
        </w:rPr>
        <w:t>（单独编制装订成册，单独封装）</w:t>
      </w:r>
      <w:bookmarkEnd w:id="328"/>
    </w:p>
    <w:p w14:paraId="6053F6E0">
      <w:pPr>
        <w:pStyle w:val="78"/>
        <w:spacing w:line="460" w:lineRule="exact"/>
        <w:ind w:firstLine="0" w:firstLineChars="0"/>
        <w:rPr>
          <w:rFonts w:hint="eastAsia" w:ascii="宋体" w:eastAsia="宋体"/>
          <w:sz w:val="21"/>
          <w:szCs w:val="21"/>
        </w:rPr>
      </w:pPr>
      <w:r>
        <w:rPr>
          <w:rFonts w:hint="eastAsia" w:ascii="宋体" w:eastAsia="宋体"/>
          <w:sz w:val="21"/>
          <w:szCs w:val="21"/>
        </w:rPr>
        <w:t>唱标信封内装：</w:t>
      </w:r>
    </w:p>
    <w:p w14:paraId="1032E936">
      <w:pPr>
        <w:pStyle w:val="78"/>
        <w:spacing w:line="460" w:lineRule="exact"/>
        <w:ind w:firstLine="433"/>
        <w:rPr>
          <w:rFonts w:hint="eastAsia" w:ascii="宋体" w:eastAsia="宋体"/>
          <w:sz w:val="21"/>
          <w:szCs w:val="21"/>
        </w:rPr>
      </w:pPr>
      <w:r>
        <w:rPr>
          <w:rFonts w:hint="eastAsia" w:ascii="宋体" w:eastAsia="宋体"/>
          <w:sz w:val="21"/>
          <w:szCs w:val="21"/>
        </w:rPr>
        <w:t>（1）磋商保证金汇入情况说明及银行汇款凭证复印件加盖公章；</w:t>
      </w:r>
    </w:p>
    <w:p w14:paraId="0C297D6F">
      <w:pPr>
        <w:pStyle w:val="78"/>
        <w:spacing w:line="460" w:lineRule="exact"/>
        <w:ind w:firstLine="433"/>
        <w:rPr>
          <w:rFonts w:hint="eastAsia" w:ascii="宋体" w:eastAsia="宋体"/>
          <w:sz w:val="21"/>
          <w:szCs w:val="21"/>
        </w:rPr>
      </w:pPr>
      <w:r>
        <w:rPr>
          <w:rFonts w:hint="eastAsia" w:ascii="宋体" w:eastAsia="宋体"/>
          <w:sz w:val="21"/>
          <w:szCs w:val="21"/>
        </w:rPr>
        <w:t>（2）法定代表人证明书原件或正本复印件加盖公章；</w:t>
      </w:r>
    </w:p>
    <w:p w14:paraId="2EBDC35F">
      <w:pPr>
        <w:pStyle w:val="78"/>
        <w:spacing w:line="460" w:lineRule="exact"/>
        <w:ind w:firstLine="433"/>
        <w:rPr>
          <w:rFonts w:hint="eastAsia" w:ascii="宋体" w:eastAsia="宋体"/>
          <w:sz w:val="21"/>
          <w:szCs w:val="21"/>
        </w:rPr>
      </w:pPr>
      <w:r>
        <w:rPr>
          <w:rFonts w:hint="eastAsia" w:ascii="宋体" w:eastAsia="宋体"/>
          <w:sz w:val="21"/>
          <w:szCs w:val="21"/>
        </w:rPr>
        <w:t>（3）法定代表人授权委托书原件或正本复印件加盖公章（法定代表人磋商的除外）；</w:t>
      </w:r>
    </w:p>
    <w:p w14:paraId="40FCE842">
      <w:pPr>
        <w:pStyle w:val="78"/>
        <w:spacing w:line="460" w:lineRule="exact"/>
        <w:ind w:firstLine="433"/>
        <w:rPr>
          <w:rFonts w:hint="eastAsia" w:ascii="宋体" w:eastAsia="宋体"/>
          <w:sz w:val="22"/>
          <w:szCs w:val="22"/>
        </w:rPr>
      </w:pPr>
      <w:r>
        <w:rPr>
          <w:rFonts w:hint="eastAsia" w:ascii="宋体" w:eastAsia="宋体"/>
          <w:sz w:val="21"/>
          <w:szCs w:val="21"/>
        </w:rPr>
        <w:t>（4）磋商文件电子文件（须含盖章版PDF磋商响应文件和WORD版磋商响应文件各一版，文字采用WORD文档，计算表格采用 EXCEL文档, 可采用光盘介质或U盘装载）；</w:t>
      </w:r>
    </w:p>
    <w:p w14:paraId="075600DB">
      <w:pPr>
        <w:pStyle w:val="78"/>
        <w:spacing w:line="460" w:lineRule="exact"/>
        <w:ind w:firstLine="453"/>
        <w:rPr>
          <w:rFonts w:hint="eastAsia" w:ascii="宋体" w:eastAsia="宋体"/>
          <w:sz w:val="22"/>
          <w:szCs w:val="22"/>
        </w:rPr>
      </w:pPr>
    </w:p>
    <w:p w14:paraId="013BDF8E">
      <w:pPr>
        <w:ind w:firstLine="470" w:firstLineChars="196"/>
        <w:rPr>
          <w:lang w:val="zh-CN"/>
        </w:rPr>
      </w:pPr>
    </w:p>
    <w:sectPr>
      <w:headerReference r:id="rId3" w:type="default"/>
      <w:footerReference r:id="rId4" w:type="default"/>
      <w:type w:val="continuous"/>
      <w:pgSz w:w="11907" w:h="16840"/>
      <w:pgMar w:top="1440" w:right="1134" w:bottom="1440" w:left="1134" w:header="850" w:footer="720"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FE5E48E-5ED5-448C-9824-83D502F9D53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EF7555C-C47D-4829-A4F3-A590C4437894}"/>
  </w:font>
  <w:font w:name="Garamond">
    <w:altName w:val="PMingLiU-ExtB"/>
    <w:panose1 w:val="02020404030301010803"/>
    <w:charset w:val="00"/>
    <w:family w:val="roman"/>
    <w:pitch w:val="default"/>
    <w:sig w:usb0="00000000"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ˎ̥">
    <w:altName w:val="宋体"/>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华文细黑">
    <w:altName w:val="微软雅黑"/>
    <w:panose1 w:val="02010600040101010101"/>
    <w:charset w:val="86"/>
    <w:family w:val="auto"/>
    <w:pitch w:val="default"/>
    <w:sig w:usb0="00000000" w:usb1="0000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DFKai-SB">
    <w:altName w:val="Microsoft JhengHei"/>
    <w:panose1 w:val="00000000000000000000"/>
    <w:charset w:val="88"/>
    <w:family w:val="script"/>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思源黑体 CN Regular">
    <w:altName w:val="黑体"/>
    <w:panose1 w:val="020B0500000000000000"/>
    <w:charset w:val="86"/>
    <w:family w:val="auto"/>
    <w:pitch w:val="default"/>
    <w:sig w:usb0="00000000" w:usb1="00000000" w:usb2="00000016" w:usb3="00000000" w:csb0="60060107" w:csb1="00000000"/>
  </w:font>
  <w:font w:name="时尚中黑简体">
    <w:panose1 w:val="01010104010101010101"/>
    <w:charset w:val="86"/>
    <w:family w:val="auto"/>
    <w:pitch w:val="default"/>
    <w:sig w:usb0="800002BF" w:usb1="184F6CF8" w:usb2="00000012" w:usb3="00000000" w:csb0="00040001" w:csb1="00000000"/>
    <w:embedRegular r:id="rId3" w:fontKey="{5AD42938-AB0C-4011-8635-1180C03BCA4E}"/>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1414B">
    <w:pPr>
      <w:pStyle w:val="33"/>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a:effectLst/>
                    </wps:spPr>
                    <wps:txbx>
                      <w:txbxContent>
                        <w:p w14:paraId="5E4BC1B3">
                          <w:pPr>
                            <w:pStyle w:val="33"/>
                          </w:pPr>
                          <w:r>
                            <w:fldChar w:fldCharType="begin"/>
                          </w:r>
                          <w:r>
                            <w:instrText xml:space="preserve"> PAGE  \* MERGEFORMAT </w:instrText>
                          </w:r>
                          <w:r>
                            <w:fldChar w:fldCharType="separate"/>
                          </w:r>
                          <w:r>
                            <w:t>75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59264;mso-width-relative:page;mso-height-relative:page;" filled="f" stroked="f" coordsize="21600,21600" o:gfxdata="UEsDBAoAAAAAAIdO4kAAAAAAAAAAAAAAAAAEAAAAZHJzL1BLAwQUAAAACACHTuJAlE7Vt9QAAAAC&#10;AQAADwAAAGRycy9kb3ducmV2LnhtbE2PQUsDMRCF74L/IYzgpdhkW5F23WxBoTcLbRW8pptxd+tm&#10;siTptvXXO/ZSLwOP93jvm2Jxcp0YMMTWk4ZsrEAgVd62VGv4eF8+zEDEZMiazhNqOGOERXl7U5jc&#10;+iNtcNimWnAJxdxoaFLqcylj1aAzcex7JPa+fHAmsQy1tMEcudx1cqLUk3SmJV5oTI+vDVbf24PT&#10;8Pn2g7iZvYxGw+N+H9Ryvq7kSuv7u0w9g0h4Stcw/OEzOpTMtPMHslF0GviRdLnszTMQOw2T6RRk&#10;Wcj/6OUvUEsDBBQAAAAIAIdO4kASVoIm1AEAAKIDAAAOAAAAZHJzL2Uyb0RvYy54bWytU0tu2zAQ&#10;3RfoHQjua9mBVTuC5aCFkSBA0RZIegCaIi0C/IFDW/IF2ht01U33PZfPkSElO0W6yaIban58nPdm&#10;tLrpjSYHEUA5W9PZZEqJsNw1yu5q+u3x9t2SEojMNkw7K2p6FEBv1m/frDpfiSvXOt2IQBDEQtX5&#10;mrYx+qoogLfCMJg4LywmpQuGRXTDrmgC6xDd6OJqOn1fdC40PjguADC6GZJ0RAyvAXRSKi42ju+N&#10;sHFADUKziJSgVR7oOncrpeDxi5QgItE1RaYxn/gI2tt0FusVq3aB+VbxsQX2mhZecDJMWXz0ArVh&#10;kZF9UP9AGcWDAyfjhDtTDESyIshiNn2hzUPLvMhcUGrwF9Hh/8Hyz4evgaimpnNKLDM48NPPH6df&#10;f06/v5N5kqfzUGHVg8e62H90PS7NOQ4YTKx7GUz6Ih+CeRT3eBFX9JFwDJaLxbKkhGNmNl9cl2UC&#10;KZ7v+gDxTjhDklHTgKPLirLDJ4hD6bkkPWXdrdI6j09b0iFouVyU+cYlhejapmKRN2HESYSGxpMV&#10;+20/sty65ogkO9yGmlpcfkr0vUWx0+KcjXA2tqOR8MF/2EdsKPeZUAco5JccHF1mOq5Z2o2//Vz1&#10;/Gutn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UTtW31AAAAAIBAAAPAAAAAAAAAAEAIAAAACIA&#10;AABkcnMvZG93bnJldi54bWxQSwECFAAUAAAACACHTuJAElaCJtQBAACiAwAADgAAAAAAAAABACAA&#10;AAAjAQAAZHJzL2Uyb0RvYy54bWxQSwUGAAAAAAYABgBZAQAAaQUAAAAA&#10;">
              <v:fill on="f" focussize="0,0"/>
              <v:stroke on="f" weight="1.25pt"/>
              <v:imagedata o:title=""/>
              <o:lock v:ext="edit" aspectratio="f"/>
              <v:textbox inset="0mm,0mm,0mm,0mm" style="mso-fit-shape-to-text:t;">
                <w:txbxContent>
                  <w:p w14:paraId="5E4BC1B3">
                    <w:pPr>
                      <w:pStyle w:val="33"/>
                    </w:pPr>
                    <w:r>
                      <w:fldChar w:fldCharType="begin"/>
                    </w:r>
                    <w:r>
                      <w:instrText xml:space="preserve"> PAGE  \* MERGEFORMAT </w:instrText>
                    </w:r>
                    <w:r>
                      <w:fldChar w:fldCharType="separate"/>
                    </w:r>
                    <w:r>
                      <w:t>75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362F4">
    <w:pPr>
      <w:pStyle w:val="34"/>
      <w:pBdr>
        <w:bottom w:val="thickThinLargeGap" w:color="auto" w:sz="4" w:space="1"/>
      </w:pBdr>
      <w:wordWrap w:val="0"/>
      <w:ind w:right="420"/>
      <w:jc w:val="right"/>
      <w:rPr>
        <w:rFonts w:hint="eastAsia" w:hAnsi="宋体"/>
        <w:bCs/>
        <w:sz w:val="21"/>
        <w:szCs w:val="21"/>
      </w:rPr>
    </w:pPr>
    <w:r>
      <w:rPr>
        <w:rFonts w:hint="eastAsia" w:hAnsi="宋体" w:cs="时尚中黑简体"/>
        <w:bCs/>
        <w:sz w:val="21"/>
        <w:szCs w:val="21"/>
      </w:rPr>
      <w:t>广东</w:t>
    </w:r>
    <w:r>
      <w:rPr>
        <w:rFonts w:hint="eastAsia" w:hAnsi="宋体"/>
        <w:bCs/>
        <w:sz w:val="21"/>
        <w:szCs w:val="21"/>
      </w:rPr>
      <w:t>洲际招标代理有限公司</w:t>
    </w:r>
    <w:r>
      <w:rPr>
        <w:rFonts w:hint="eastAsia" w:hAnsi="宋体" w:cs="时尚中黑简体"/>
        <w:bCs/>
        <w:sz w:val="21"/>
        <w:szCs w:val="21"/>
      </w:rPr>
      <w:t xml:space="preserve">  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EAC35"/>
    <w:multiLevelType w:val="singleLevel"/>
    <w:tmpl w:val="92EEAC35"/>
    <w:lvl w:ilvl="0" w:tentative="0">
      <w:start w:val="1"/>
      <w:numFmt w:val="chineseCounting"/>
      <w:suff w:val="nothing"/>
      <w:lvlText w:val="%1、"/>
      <w:lvlJc w:val="left"/>
      <w:pPr>
        <w:ind w:left="0" w:firstLine="420"/>
      </w:pPr>
      <w:rPr>
        <w:rFonts w:hint="eastAsia"/>
      </w:rPr>
    </w:lvl>
  </w:abstractNum>
  <w:abstractNum w:abstractNumId="1">
    <w:nsid w:val="EC01E890"/>
    <w:multiLevelType w:val="singleLevel"/>
    <w:tmpl w:val="EC01E890"/>
    <w:lvl w:ilvl="0" w:tentative="0">
      <w:start w:val="1"/>
      <w:numFmt w:val="chineseCounting"/>
      <w:suff w:val="nothing"/>
      <w:lvlText w:val="%1、"/>
      <w:lvlJc w:val="left"/>
      <w:pPr>
        <w:ind w:left="0" w:firstLine="420"/>
      </w:pPr>
      <w:rPr>
        <w:rFonts w:hint="eastAsia"/>
      </w:rPr>
    </w:lvl>
  </w:abstractNum>
  <w:abstractNum w:abstractNumId="2">
    <w:nsid w:val="00000010"/>
    <w:multiLevelType w:val="multilevel"/>
    <w:tmpl w:val="00000010"/>
    <w:lvl w:ilvl="0" w:tentative="0">
      <w:start w:val="1"/>
      <w:numFmt w:val="decimal"/>
      <w:lvlText w:val="%1"/>
      <w:lvlJc w:val="left"/>
      <w:pPr>
        <w:tabs>
          <w:tab w:val="left" w:pos="425"/>
        </w:tabs>
        <w:ind w:left="425" w:hanging="425"/>
      </w:pPr>
    </w:lvl>
    <w:lvl w:ilvl="1" w:tentative="0">
      <w:start w:val="1"/>
      <w:numFmt w:val="decimal"/>
      <w:pStyle w:val="105"/>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11"/>
    <w:multiLevelType w:val="multilevel"/>
    <w:tmpl w:val="00000011"/>
    <w:lvl w:ilvl="0" w:tentative="0">
      <w:start w:val="4"/>
      <w:numFmt w:val="japaneseCounting"/>
      <w:lvlText w:val="第%1篇"/>
      <w:lvlJc w:val="left"/>
      <w:pPr>
        <w:tabs>
          <w:tab w:val="left" w:pos="1080"/>
        </w:tabs>
        <w:ind w:left="1080" w:hanging="1080"/>
      </w:pPr>
      <w:rPr>
        <w:rFonts w:hint="default"/>
      </w:rPr>
    </w:lvl>
    <w:lvl w:ilvl="1" w:tentative="0">
      <w:start w:val="3"/>
      <w:numFmt w:val="japaneseCounting"/>
      <w:lvlText w:val="%2、"/>
      <w:lvlJc w:val="left"/>
      <w:pPr>
        <w:tabs>
          <w:tab w:val="left" w:pos="900"/>
        </w:tabs>
        <w:ind w:left="900" w:hanging="480"/>
      </w:pPr>
      <w:rPr>
        <w:rFonts w:hint="default"/>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2"/>
    <w:multiLevelType w:val="multilevel"/>
    <w:tmpl w:val="00000012"/>
    <w:lvl w:ilvl="0" w:tentative="0">
      <w:start w:val="1"/>
      <w:numFmt w:val="bullet"/>
      <w:pStyle w:val="95"/>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13"/>
    <w:multiLevelType w:val="multilevel"/>
    <w:tmpl w:val="00000013"/>
    <w:lvl w:ilvl="0" w:tentative="0">
      <w:start w:val="1"/>
      <w:numFmt w:val="decimal"/>
      <w:pStyle w:val="113"/>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16"/>
    <w:multiLevelType w:val="multilevel"/>
    <w:tmpl w:val="00000016"/>
    <w:lvl w:ilvl="0" w:tentative="0">
      <w:start w:val="1"/>
      <w:numFmt w:val="decimal"/>
      <w:pStyle w:val="17"/>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0"/>
    <w:multiLevelType w:val="multilevel"/>
    <w:tmpl w:val="00000020"/>
    <w:lvl w:ilvl="0" w:tentative="0">
      <w:start w:val="1"/>
      <w:numFmt w:val="bullet"/>
      <w:pStyle w:val="9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9">
    <w:nsid w:val="00000028"/>
    <w:multiLevelType w:val="multilevel"/>
    <w:tmpl w:val="00000028"/>
    <w:lvl w:ilvl="0" w:tentative="0">
      <w:start w:val="1"/>
      <w:numFmt w:val="japaneseCounting"/>
      <w:lvlText w:val="第%1篇"/>
      <w:lvlJc w:val="left"/>
      <w:pPr>
        <w:ind w:left="1080" w:hanging="1080"/>
      </w:pPr>
      <w:rPr>
        <w:rFonts w:hint="default"/>
      </w:rPr>
    </w:lvl>
    <w:lvl w:ilvl="1" w:tentative="0">
      <w:start w:val="1"/>
      <w:numFmt w:val="japaneseCounting"/>
      <w:lvlText w:val="（%2）"/>
      <w:lvlJc w:val="left"/>
      <w:pPr>
        <w:ind w:left="1185" w:hanging="76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9"/>
    <w:multiLevelType w:val="multilevel"/>
    <w:tmpl w:val="00000029"/>
    <w:lvl w:ilvl="0" w:tentative="0">
      <w:start w:val="1"/>
      <w:numFmt w:val="bullet"/>
      <w:pStyle w:val="48"/>
      <w:lvlText w:val=""/>
      <w:lvlJc w:val="left"/>
      <w:pPr>
        <w:tabs>
          <w:tab w:val="left" w:pos="2121"/>
        </w:tabs>
        <w:ind w:left="2121" w:hanging="420"/>
      </w:pPr>
      <w:rPr>
        <w:rFonts w:hint="default" w:ascii="Wingdings" w:hAnsi="Wingdings"/>
      </w:rPr>
    </w:lvl>
    <w:lvl w:ilvl="1" w:tentative="0">
      <w:start w:val="1"/>
      <w:numFmt w:val="bullet"/>
      <w:lvlText w:val=""/>
      <w:lvlJc w:val="left"/>
      <w:pPr>
        <w:tabs>
          <w:tab w:val="left" w:pos="2541"/>
        </w:tabs>
        <w:ind w:left="2541" w:hanging="420"/>
      </w:pPr>
      <w:rPr>
        <w:rFonts w:hint="default" w:ascii="Wingdings" w:hAnsi="Wingdings"/>
      </w:rPr>
    </w:lvl>
    <w:lvl w:ilvl="2" w:tentative="0">
      <w:start w:val="1"/>
      <w:numFmt w:val="bullet"/>
      <w:lvlText w:val=""/>
      <w:lvlJc w:val="left"/>
      <w:pPr>
        <w:tabs>
          <w:tab w:val="left" w:pos="2961"/>
        </w:tabs>
        <w:ind w:left="2961" w:hanging="420"/>
      </w:pPr>
      <w:rPr>
        <w:rFonts w:hint="default" w:ascii="Wingdings" w:hAnsi="Wingdings"/>
      </w:rPr>
    </w:lvl>
    <w:lvl w:ilvl="3" w:tentative="0">
      <w:start w:val="1"/>
      <w:numFmt w:val="bullet"/>
      <w:lvlText w:val=""/>
      <w:lvlJc w:val="left"/>
      <w:pPr>
        <w:tabs>
          <w:tab w:val="left" w:pos="3381"/>
        </w:tabs>
        <w:ind w:left="3381" w:hanging="420"/>
      </w:pPr>
      <w:rPr>
        <w:rFonts w:hint="default" w:ascii="Wingdings" w:hAnsi="Wingdings"/>
      </w:rPr>
    </w:lvl>
    <w:lvl w:ilvl="4" w:tentative="0">
      <w:start w:val="1"/>
      <w:numFmt w:val="bullet"/>
      <w:lvlText w:val=""/>
      <w:lvlJc w:val="left"/>
      <w:pPr>
        <w:tabs>
          <w:tab w:val="left" w:pos="3801"/>
        </w:tabs>
        <w:ind w:left="3801" w:hanging="420"/>
      </w:pPr>
      <w:rPr>
        <w:rFonts w:hint="default" w:ascii="Wingdings" w:hAnsi="Wingdings"/>
      </w:rPr>
    </w:lvl>
    <w:lvl w:ilvl="5" w:tentative="0">
      <w:start w:val="1"/>
      <w:numFmt w:val="bullet"/>
      <w:lvlText w:val=""/>
      <w:lvlJc w:val="left"/>
      <w:pPr>
        <w:tabs>
          <w:tab w:val="left" w:pos="4221"/>
        </w:tabs>
        <w:ind w:left="4221" w:hanging="420"/>
      </w:pPr>
      <w:rPr>
        <w:rFonts w:hint="default" w:ascii="Wingdings" w:hAnsi="Wingdings"/>
      </w:rPr>
    </w:lvl>
    <w:lvl w:ilvl="6" w:tentative="0">
      <w:start w:val="1"/>
      <w:numFmt w:val="bullet"/>
      <w:lvlText w:val=""/>
      <w:lvlJc w:val="left"/>
      <w:pPr>
        <w:tabs>
          <w:tab w:val="left" w:pos="4641"/>
        </w:tabs>
        <w:ind w:left="4641" w:hanging="420"/>
      </w:pPr>
      <w:rPr>
        <w:rFonts w:hint="default" w:ascii="Wingdings" w:hAnsi="Wingdings"/>
      </w:rPr>
    </w:lvl>
    <w:lvl w:ilvl="7" w:tentative="0">
      <w:start w:val="1"/>
      <w:numFmt w:val="bullet"/>
      <w:lvlText w:val=""/>
      <w:lvlJc w:val="left"/>
      <w:pPr>
        <w:tabs>
          <w:tab w:val="left" w:pos="5061"/>
        </w:tabs>
        <w:ind w:left="5061" w:hanging="420"/>
      </w:pPr>
      <w:rPr>
        <w:rFonts w:hint="default" w:ascii="Wingdings" w:hAnsi="Wingdings"/>
      </w:rPr>
    </w:lvl>
    <w:lvl w:ilvl="8" w:tentative="0">
      <w:start w:val="1"/>
      <w:numFmt w:val="bullet"/>
      <w:lvlText w:val=""/>
      <w:lvlJc w:val="left"/>
      <w:pPr>
        <w:tabs>
          <w:tab w:val="left" w:pos="5481"/>
        </w:tabs>
        <w:ind w:left="5481" w:hanging="420"/>
      </w:pPr>
      <w:rPr>
        <w:rFonts w:hint="default" w:ascii="Wingdings" w:hAnsi="Wingdings"/>
      </w:rPr>
    </w:lvl>
  </w:abstractNum>
  <w:abstractNum w:abstractNumId="11">
    <w:nsid w:val="00000031"/>
    <w:multiLevelType w:val="multilevel"/>
    <w:tmpl w:val="00000031"/>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727DD9B"/>
    <w:multiLevelType w:val="multilevel"/>
    <w:tmpl w:val="2727DD9B"/>
    <w:lvl w:ilvl="0" w:tentative="0">
      <w:start w:val="1"/>
      <w:numFmt w:val="decimal"/>
      <w:pStyle w:val="18"/>
      <w:lvlText w:val="%1、"/>
      <w:lvlJc w:val="left"/>
      <w:pPr>
        <w:tabs>
          <w:tab w:val="left" w:pos="420"/>
        </w:tabs>
        <w:ind w:left="840" w:hanging="420"/>
      </w:pPr>
      <w:rPr>
        <w:rFonts w:ascii="Times New Roman" w:hAnsi="Times New Roman" w:eastAsia="Times New Roman" w:cs="Times New Roman"/>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3">
    <w:nsid w:val="37402185"/>
    <w:multiLevelType w:val="singleLevel"/>
    <w:tmpl w:val="37402185"/>
    <w:lvl w:ilvl="0" w:tentative="0">
      <w:start w:val="1"/>
      <w:numFmt w:val="decimal"/>
      <w:pStyle w:val="23"/>
      <w:lvlText w:val="%1."/>
      <w:lvlJc w:val="left"/>
      <w:pPr>
        <w:tabs>
          <w:tab w:val="left" w:pos="1200"/>
        </w:tabs>
        <w:ind w:left="1200" w:hanging="360"/>
      </w:pPr>
    </w:lvl>
  </w:abstractNum>
  <w:abstractNum w:abstractNumId="14">
    <w:nsid w:val="52F421C6"/>
    <w:multiLevelType w:val="singleLevel"/>
    <w:tmpl w:val="52F421C6"/>
    <w:lvl w:ilvl="0" w:tentative="0">
      <w:start w:val="1"/>
      <w:numFmt w:val="chineseCounting"/>
      <w:suff w:val="nothing"/>
      <w:lvlText w:val="%1、"/>
      <w:lvlJc w:val="left"/>
      <w:pPr>
        <w:ind w:left="0" w:firstLine="420"/>
      </w:pPr>
      <w:rPr>
        <w:rFonts w:hint="eastAsia"/>
      </w:rPr>
    </w:lvl>
  </w:abstractNum>
  <w:num w:numId="1">
    <w:abstractNumId w:val="6"/>
  </w:num>
  <w:num w:numId="2">
    <w:abstractNumId w:val="12"/>
  </w:num>
  <w:num w:numId="3">
    <w:abstractNumId w:val="13"/>
  </w:num>
  <w:num w:numId="4">
    <w:abstractNumId w:val="10"/>
  </w:num>
  <w:num w:numId="5">
    <w:abstractNumId w:val="7"/>
  </w:num>
  <w:num w:numId="6">
    <w:abstractNumId w:val="4"/>
  </w:num>
  <w:num w:numId="7">
    <w:abstractNumId w:val="2"/>
  </w:num>
  <w:num w:numId="8">
    <w:abstractNumId w:val="5"/>
  </w:num>
  <w:num w:numId="9">
    <w:abstractNumId w:val="11"/>
  </w:num>
  <w:num w:numId="10">
    <w:abstractNumId w:val="9"/>
  </w:num>
  <w:num w:numId="11">
    <w:abstractNumId w:val="3"/>
  </w:num>
  <w:num w:numId="12">
    <w:abstractNumId w:val="8"/>
  </w:num>
  <w:num w:numId="13">
    <w:abstractNumId w:val="0"/>
  </w:num>
  <w:num w:numId="14">
    <w:abstractNumId w:val="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720"/>
  <w:drawingGridHorizontalSpacing w:val="120"/>
  <w:drawingGridVerticalSpacing w:val="163"/>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wYmYxMTEyODE0ZTZmMjJhMThiYTY0ZTIyMmY0NDIifQ=="/>
  </w:docVars>
  <w:rsids>
    <w:rsidRoot w:val="00172A27"/>
    <w:rsid w:val="00003320"/>
    <w:rsid w:val="00010435"/>
    <w:rsid w:val="0002249C"/>
    <w:rsid w:val="00027890"/>
    <w:rsid w:val="000310C4"/>
    <w:rsid w:val="00036141"/>
    <w:rsid w:val="000503A0"/>
    <w:rsid w:val="00055CD6"/>
    <w:rsid w:val="00060BFF"/>
    <w:rsid w:val="00064C43"/>
    <w:rsid w:val="000656BF"/>
    <w:rsid w:val="00071A8E"/>
    <w:rsid w:val="00075200"/>
    <w:rsid w:val="000823D9"/>
    <w:rsid w:val="000956EF"/>
    <w:rsid w:val="000B2732"/>
    <w:rsid w:val="000C2F9B"/>
    <w:rsid w:val="000E3D5A"/>
    <w:rsid w:val="000F217E"/>
    <w:rsid w:val="000F4D34"/>
    <w:rsid w:val="000F69BF"/>
    <w:rsid w:val="0010065B"/>
    <w:rsid w:val="00106809"/>
    <w:rsid w:val="001118BF"/>
    <w:rsid w:val="00113D74"/>
    <w:rsid w:val="00114009"/>
    <w:rsid w:val="0011439F"/>
    <w:rsid w:val="00114927"/>
    <w:rsid w:val="00124125"/>
    <w:rsid w:val="00135223"/>
    <w:rsid w:val="00145E79"/>
    <w:rsid w:val="00152EFD"/>
    <w:rsid w:val="00154A70"/>
    <w:rsid w:val="001617C8"/>
    <w:rsid w:val="00164C52"/>
    <w:rsid w:val="00165917"/>
    <w:rsid w:val="00172A27"/>
    <w:rsid w:val="001749FA"/>
    <w:rsid w:val="00177792"/>
    <w:rsid w:val="00181238"/>
    <w:rsid w:val="001B1D3C"/>
    <w:rsid w:val="001B549E"/>
    <w:rsid w:val="001B72E4"/>
    <w:rsid w:val="001C49E6"/>
    <w:rsid w:val="001C51E0"/>
    <w:rsid w:val="001D4260"/>
    <w:rsid w:val="001E2687"/>
    <w:rsid w:val="001E273B"/>
    <w:rsid w:val="001E3021"/>
    <w:rsid w:val="001E5ADB"/>
    <w:rsid w:val="001E5E16"/>
    <w:rsid w:val="001E5ED9"/>
    <w:rsid w:val="001E68CA"/>
    <w:rsid w:val="002002A4"/>
    <w:rsid w:val="00201FF9"/>
    <w:rsid w:val="00205AF1"/>
    <w:rsid w:val="0021550C"/>
    <w:rsid w:val="00216ABC"/>
    <w:rsid w:val="002172C9"/>
    <w:rsid w:val="00217AB8"/>
    <w:rsid w:val="002326CA"/>
    <w:rsid w:val="00233E0E"/>
    <w:rsid w:val="0025621E"/>
    <w:rsid w:val="00265319"/>
    <w:rsid w:val="00265A37"/>
    <w:rsid w:val="00267764"/>
    <w:rsid w:val="00270A95"/>
    <w:rsid w:val="002737EB"/>
    <w:rsid w:val="0028108D"/>
    <w:rsid w:val="0028393C"/>
    <w:rsid w:val="002877C1"/>
    <w:rsid w:val="002908F6"/>
    <w:rsid w:val="00291FAB"/>
    <w:rsid w:val="00294C68"/>
    <w:rsid w:val="002A4A2C"/>
    <w:rsid w:val="002B2643"/>
    <w:rsid w:val="002B769E"/>
    <w:rsid w:val="002B7D02"/>
    <w:rsid w:val="002C0888"/>
    <w:rsid w:val="002C53F2"/>
    <w:rsid w:val="002D14E4"/>
    <w:rsid w:val="002D4AB1"/>
    <w:rsid w:val="002D687C"/>
    <w:rsid w:val="002E294B"/>
    <w:rsid w:val="002E58AE"/>
    <w:rsid w:val="002F0476"/>
    <w:rsid w:val="00302D61"/>
    <w:rsid w:val="0031349A"/>
    <w:rsid w:val="003240C4"/>
    <w:rsid w:val="0033575E"/>
    <w:rsid w:val="003537B6"/>
    <w:rsid w:val="00354336"/>
    <w:rsid w:val="003613BD"/>
    <w:rsid w:val="00376337"/>
    <w:rsid w:val="003824C3"/>
    <w:rsid w:val="0038426C"/>
    <w:rsid w:val="00391ED7"/>
    <w:rsid w:val="00393E42"/>
    <w:rsid w:val="003A1E9B"/>
    <w:rsid w:val="003A2560"/>
    <w:rsid w:val="003B195A"/>
    <w:rsid w:val="003B3F61"/>
    <w:rsid w:val="003C0ADC"/>
    <w:rsid w:val="003C228D"/>
    <w:rsid w:val="003C2F31"/>
    <w:rsid w:val="003F7CF2"/>
    <w:rsid w:val="00414870"/>
    <w:rsid w:val="004167E4"/>
    <w:rsid w:val="004207FB"/>
    <w:rsid w:val="0044257A"/>
    <w:rsid w:val="0045071E"/>
    <w:rsid w:val="0046288B"/>
    <w:rsid w:val="00465BC3"/>
    <w:rsid w:val="00473DA1"/>
    <w:rsid w:val="00485CB1"/>
    <w:rsid w:val="00494A94"/>
    <w:rsid w:val="004A7F3C"/>
    <w:rsid w:val="004C21CC"/>
    <w:rsid w:val="004D1919"/>
    <w:rsid w:val="004D2652"/>
    <w:rsid w:val="004D65A7"/>
    <w:rsid w:val="00510F3C"/>
    <w:rsid w:val="00531DA8"/>
    <w:rsid w:val="005471BA"/>
    <w:rsid w:val="00553F3A"/>
    <w:rsid w:val="00555F92"/>
    <w:rsid w:val="00563F71"/>
    <w:rsid w:val="005663EA"/>
    <w:rsid w:val="00580083"/>
    <w:rsid w:val="00585BAB"/>
    <w:rsid w:val="005A06DF"/>
    <w:rsid w:val="005A5A0D"/>
    <w:rsid w:val="005B577E"/>
    <w:rsid w:val="005B5C14"/>
    <w:rsid w:val="005C3A06"/>
    <w:rsid w:val="005C7F93"/>
    <w:rsid w:val="005E0DBE"/>
    <w:rsid w:val="005E4166"/>
    <w:rsid w:val="005E71EB"/>
    <w:rsid w:val="005F0840"/>
    <w:rsid w:val="005F0A79"/>
    <w:rsid w:val="005F37C4"/>
    <w:rsid w:val="005F6072"/>
    <w:rsid w:val="00600A99"/>
    <w:rsid w:val="006023DD"/>
    <w:rsid w:val="006071A1"/>
    <w:rsid w:val="0061004A"/>
    <w:rsid w:val="0061365B"/>
    <w:rsid w:val="00636A66"/>
    <w:rsid w:val="00637720"/>
    <w:rsid w:val="006421D2"/>
    <w:rsid w:val="00643C95"/>
    <w:rsid w:val="006529BE"/>
    <w:rsid w:val="00653022"/>
    <w:rsid w:val="00657899"/>
    <w:rsid w:val="00661DDF"/>
    <w:rsid w:val="00662A8A"/>
    <w:rsid w:val="00675141"/>
    <w:rsid w:val="006A503B"/>
    <w:rsid w:val="006A7482"/>
    <w:rsid w:val="006B678C"/>
    <w:rsid w:val="006C4ED2"/>
    <w:rsid w:val="006E2C33"/>
    <w:rsid w:val="006E41E9"/>
    <w:rsid w:val="006F452C"/>
    <w:rsid w:val="006F7565"/>
    <w:rsid w:val="00704090"/>
    <w:rsid w:val="00706CCC"/>
    <w:rsid w:val="00710A88"/>
    <w:rsid w:val="00722579"/>
    <w:rsid w:val="007266BA"/>
    <w:rsid w:val="00737573"/>
    <w:rsid w:val="00746284"/>
    <w:rsid w:val="0075111E"/>
    <w:rsid w:val="00753F91"/>
    <w:rsid w:val="00765F25"/>
    <w:rsid w:val="00766AFF"/>
    <w:rsid w:val="007711E1"/>
    <w:rsid w:val="00792880"/>
    <w:rsid w:val="0079444F"/>
    <w:rsid w:val="007A2C02"/>
    <w:rsid w:val="007A62E2"/>
    <w:rsid w:val="007A6701"/>
    <w:rsid w:val="007A6D33"/>
    <w:rsid w:val="007B21FC"/>
    <w:rsid w:val="007B3581"/>
    <w:rsid w:val="007C0EDF"/>
    <w:rsid w:val="007C2BBB"/>
    <w:rsid w:val="007C3105"/>
    <w:rsid w:val="007C341E"/>
    <w:rsid w:val="007D280B"/>
    <w:rsid w:val="007F1FF8"/>
    <w:rsid w:val="007F2B89"/>
    <w:rsid w:val="00803F10"/>
    <w:rsid w:val="00813E25"/>
    <w:rsid w:val="00821042"/>
    <w:rsid w:val="00821BD7"/>
    <w:rsid w:val="00821FDE"/>
    <w:rsid w:val="00823A4E"/>
    <w:rsid w:val="0082755B"/>
    <w:rsid w:val="00831E15"/>
    <w:rsid w:val="00835AD1"/>
    <w:rsid w:val="00847835"/>
    <w:rsid w:val="00855EE7"/>
    <w:rsid w:val="00867760"/>
    <w:rsid w:val="00882ED3"/>
    <w:rsid w:val="008A0878"/>
    <w:rsid w:val="008A3562"/>
    <w:rsid w:val="008A536F"/>
    <w:rsid w:val="008B5078"/>
    <w:rsid w:val="008B52E4"/>
    <w:rsid w:val="008C1588"/>
    <w:rsid w:val="008C4084"/>
    <w:rsid w:val="008C4968"/>
    <w:rsid w:val="008D2C58"/>
    <w:rsid w:val="008E129D"/>
    <w:rsid w:val="008E37B0"/>
    <w:rsid w:val="008E464C"/>
    <w:rsid w:val="008E4970"/>
    <w:rsid w:val="008E64C3"/>
    <w:rsid w:val="009009BC"/>
    <w:rsid w:val="00904619"/>
    <w:rsid w:val="00915614"/>
    <w:rsid w:val="00915F7F"/>
    <w:rsid w:val="00921F1A"/>
    <w:rsid w:val="009229CB"/>
    <w:rsid w:val="00926978"/>
    <w:rsid w:val="009368EA"/>
    <w:rsid w:val="009422CE"/>
    <w:rsid w:val="00944486"/>
    <w:rsid w:val="00944D1A"/>
    <w:rsid w:val="00951A8F"/>
    <w:rsid w:val="009628FD"/>
    <w:rsid w:val="009758C0"/>
    <w:rsid w:val="009B27B4"/>
    <w:rsid w:val="009C5EEF"/>
    <w:rsid w:val="009C6B18"/>
    <w:rsid w:val="009D55AF"/>
    <w:rsid w:val="009E154F"/>
    <w:rsid w:val="009E16DF"/>
    <w:rsid w:val="009E2C75"/>
    <w:rsid w:val="009E60CF"/>
    <w:rsid w:val="009E6598"/>
    <w:rsid w:val="009F0C5F"/>
    <w:rsid w:val="009F7268"/>
    <w:rsid w:val="00A03228"/>
    <w:rsid w:val="00A1101A"/>
    <w:rsid w:val="00A11A47"/>
    <w:rsid w:val="00A17D74"/>
    <w:rsid w:val="00A36EC6"/>
    <w:rsid w:val="00A37D41"/>
    <w:rsid w:val="00A52F6D"/>
    <w:rsid w:val="00A613B6"/>
    <w:rsid w:val="00A71C09"/>
    <w:rsid w:val="00A72735"/>
    <w:rsid w:val="00A72DA8"/>
    <w:rsid w:val="00A752A6"/>
    <w:rsid w:val="00A82229"/>
    <w:rsid w:val="00A943C3"/>
    <w:rsid w:val="00A95831"/>
    <w:rsid w:val="00A975B4"/>
    <w:rsid w:val="00AA2F04"/>
    <w:rsid w:val="00AA7D8C"/>
    <w:rsid w:val="00AB4015"/>
    <w:rsid w:val="00AB78DA"/>
    <w:rsid w:val="00AC148A"/>
    <w:rsid w:val="00AF5D84"/>
    <w:rsid w:val="00AF6912"/>
    <w:rsid w:val="00B04B0E"/>
    <w:rsid w:val="00B12ED1"/>
    <w:rsid w:val="00B16495"/>
    <w:rsid w:val="00B225FD"/>
    <w:rsid w:val="00B248DA"/>
    <w:rsid w:val="00B26735"/>
    <w:rsid w:val="00B275C8"/>
    <w:rsid w:val="00B50EA0"/>
    <w:rsid w:val="00B71A50"/>
    <w:rsid w:val="00B73B35"/>
    <w:rsid w:val="00B74DE3"/>
    <w:rsid w:val="00B80D89"/>
    <w:rsid w:val="00B818AE"/>
    <w:rsid w:val="00B8313C"/>
    <w:rsid w:val="00B834EE"/>
    <w:rsid w:val="00B86C6C"/>
    <w:rsid w:val="00B96173"/>
    <w:rsid w:val="00BA1990"/>
    <w:rsid w:val="00BA312E"/>
    <w:rsid w:val="00BB48AD"/>
    <w:rsid w:val="00BB6F89"/>
    <w:rsid w:val="00BC02E2"/>
    <w:rsid w:val="00BD5CA9"/>
    <w:rsid w:val="00BE183C"/>
    <w:rsid w:val="00BE76D0"/>
    <w:rsid w:val="00BE779E"/>
    <w:rsid w:val="00BF09ED"/>
    <w:rsid w:val="00BF27E1"/>
    <w:rsid w:val="00C00F5A"/>
    <w:rsid w:val="00C03F08"/>
    <w:rsid w:val="00C12379"/>
    <w:rsid w:val="00C16CB7"/>
    <w:rsid w:val="00C22024"/>
    <w:rsid w:val="00C24419"/>
    <w:rsid w:val="00C25C61"/>
    <w:rsid w:val="00C40AF8"/>
    <w:rsid w:val="00C41180"/>
    <w:rsid w:val="00C4357E"/>
    <w:rsid w:val="00C566C9"/>
    <w:rsid w:val="00C5753E"/>
    <w:rsid w:val="00C61390"/>
    <w:rsid w:val="00C62932"/>
    <w:rsid w:val="00C676BE"/>
    <w:rsid w:val="00C7055E"/>
    <w:rsid w:val="00C760CD"/>
    <w:rsid w:val="00C9047D"/>
    <w:rsid w:val="00C9061D"/>
    <w:rsid w:val="00C97323"/>
    <w:rsid w:val="00CB45F9"/>
    <w:rsid w:val="00CC3CDE"/>
    <w:rsid w:val="00CC7EB3"/>
    <w:rsid w:val="00CD0AE3"/>
    <w:rsid w:val="00CD3B80"/>
    <w:rsid w:val="00CE2A5F"/>
    <w:rsid w:val="00CE7558"/>
    <w:rsid w:val="00D00881"/>
    <w:rsid w:val="00D17FB1"/>
    <w:rsid w:val="00D31F0D"/>
    <w:rsid w:val="00D34EDF"/>
    <w:rsid w:val="00D350D1"/>
    <w:rsid w:val="00D35C22"/>
    <w:rsid w:val="00D61CB4"/>
    <w:rsid w:val="00D66903"/>
    <w:rsid w:val="00D954DE"/>
    <w:rsid w:val="00DA496F"/>
    <w:rsid w:val="00DB7E8A"/>
    <w:rsid w:val="00DC735D"/>
    <w:rsid w:val="00DD7010"/>
    <w:rsid w:val="00DE49C8"/>
    <w:rsid w:val="00DF0CE0"/>
    <w:rsid w:val="00E023D0"/>
    <w:rsid w:val="00E406AE"/>
    <w:rsid w:val="00E419FA"/>
    <w:rsid w:val="00E4323E"/>
    <w:rsid w:val="00E438D2"/>
    <w:rsid w:val="00E53F8C"/>
    <w:rsid w:val="00E61200"/>
    <w:rsid w:val="00E622DF"/>
    <w:rsid w:val="00E6323C"/>
    <w:rsid w:val="00E63FBE"/>
    <w:rsid w:val="00E678C7"/>
    <w:rsid w:val="00E80F9B"/>
    <w:rsid w:val="00E82600"/>
    <w:rsid w:val="00E90F29"/>
    <w:rsid w:val="00EB1ABE"/>
    <w:rsid w:val="00EB4346"/>
    <w:rsid w:val="00EC3C5C"/>
    <w:rsid w:val="00ED1779"/>
    <w:rsid w:val="00EE7CA8"/>
    <w:rsid w:val="00EF189B"/>
    <w:rsid w:val="00EF6736"/>
    <w:rsid w:val="00EF6B76"/>
    <w:rsid w:val="00F014C7"/>
    <w:rsid w:val="00F02C24"/>
    <w:rsid w:val="00F04A9D"/>
    <w:rsid w:val="00F07594"/>
    <w:rsid w:val="00F135F1"/>
    <w:rsid w:val="00F31719"/>
    <w:rsid w:val="00F32228"/>
    <w:rsid w:val="00F32C3A"/>
    <w:rsid w:val="00F373D1"/>
    <w:rsid w:val="00F4253E"/>
    <w:rsid w:val="00F53394"/>
    <w:rsid w:val="00F54AFB"/>
    <w:rsid w:val="00F67D80"/>
    <w:rsid w:val="00F718C6"/>
    <w:rsid w:val="00F72C67"/>
    <w:rsid w:val="00F815FF"/>
    <w:rsid w:val="00F84E42"/>
    <w:rsid w:val="00FB173E"/>
    <w:rsid w:val="00FB44A7"/>
    <w:rsid w:val="00FC4DD8"/>
    <w:rsid w:val="00FC5FC0"/>
    <w:rsid w:val="00FC6B2E"/>
    <w:rsid w:val="00FD06DA"/>
    <w:rsid w:val="00FD148B"/>
    <w:rsid w:val="00FD3477"/>
    <w:rsid w:val="00FD3C51"/>
    <w:rsid w:val="00FD40C9"/>
    <w:rsid w:val="01016788"/>
    <w:rsid w:val="010B18A0"/>
    <w:rsid w:val="01101FD4"/>
    <w:rsid w:val="013511BC"/>
    <w:rsid w:val="01547328"/>
    <w:rsid w:val="01630778"/>
    <w:rsid w:val="01857C73"/>
    <w:rsid w:val="01886BEA"/>
    <w:rsid w:val="01933A29"/>
    <w:rsid w:val="01964C25"/>
    <w:rsid w:val="01A12C3F"/>
    <w:rsid w:val="01CD1195"/>
    <w:rsid w:val="01D142D7"/>
    <w:rsid w:val="01F95CF9"/>
    <w:rsid w:val="021F4C81"/>
    <w:rsid w:val="02347182"/>
    <w:rsid w:val="02414B92"/>
    <w:rsid w:val="028339A0"/>
    <w:rsid w:val="028366E4"/>
    <w:rsid w:val="02A56B80"/>
    <w:rsid w:val="02B5383F"/>
    <w:rsid w:val="02C560C8"/>
    <w:rsid w:val="02F741FF"/>
    <w:rsid w:val="03077BF2"/>
    <w:rsid w:val="03240B2D"/>
    <w:rsid w:val="03404A6C"/>
    <w:rsid w:val="035324D3"/>
    <w:rsid w:val="035644BB"/>
    <w:rsid w:val="036719BE"/>
    <w:rsid w:val="03772BBD"/>
    <w:rsid w:val="038413BE"/>
    <w:rsid w:val="038C71B9"/>
    <w:rsid w:val="0396442E"/>
    <w:rsid w:val="03C53166"/>
    <w:rsid w:val="03E3700D"/>
    <w:rsid w:val="04082941"/>
    <w:rsid w:val="042756B2"/>
    <w:rsid w:val="0437435F"/>
    <w:rsid w:val="043948C2"/>
    <w:rsid w:val="043B2233"/>
    <w:rsid w:val="0441683D"/>
    <w:rsid w:val="04755FE3"/>
    <w:rsid w:val="04897AAE"/>
    <w:rsid w:val="048B0EEA"/>
    <w:rsid w:val="048D3C72"/>
    <w:rsid w:val="04946A57"/>
    <w:rsid w:val="049E01CA"/>
    <w:rsid w:val="04A67F3F"/>
    <w:rsid w:val="04AA7A54"/>
    <w:rsid w:val="04C37B39"/>
    <w:rsid w:val="04C5780A"/>
    <w:rsid w:val="04DC1E95"/>
    <w:rsid w:val="05056F9C"/>
    <w:rsid w:val="053B507A"/>
    <w:rsid w:val="056B6415"/>
    <w:rsid w:val="056F7E9D"/>
    <w:rsid w:val="05815B47"/>
    <w:rsid w:val="05A04252"/>
    <w:rsid w:val="05B531D5"/>
    <w:rsid w:val="05D17368"/>
    <w:rsid w:val="05D64E8C"/>
    <w:rsid w:val="05D70893"/>
    <w:rsid w:val="05D879EE"/>
    <w:rsid w:val="05E66954"/>
    <w:rsid w:val="05E76E48"/>
    <w:rsid w:val="05EF3BF5"/>
    <w:rsid w:val="061B4DCC"/>
    <w:rsid w:val="0631131C"/>
    <w:rsid w:val="06345BBB"/>
    <w:rsid w:val="065C4ACB"/>
    <w:rsid w:val="0684556E"/>
    <w:rsid w:val="06B72B51"/>
    <w:rsid w:val="06D1100B"/>
    <w:rsid w:val="06D773BE"/>
    <w:rsid w:val="07005EC6"/>
    <w:rsid w:val="07144968"/>
    <w:rsid w:val="071F2807"/>
    <w:rsid w:val="07231446"/>
    <w:rsid w:val="074D0B91"/>
    <w:rsid w:val="075F1894"/>
    <w:rsid w:val="07667537"/>
    <w:rsid w:val="076F789A"/>
    <w:rsid w:val="07703D2F"/>
    <w:rsid w:val="0784472B"/>
    <w:rsid w:val="079B0031"/>
    <w:rsid w:val="079F5559"/>
    <w:rsid w:val="07B00267"/>
    <w:rsid w:val="07B55B45"/>
    <w:rsid w:val="07E16810"/>
    <w:rsid w:val="08091249"/>
    <w:rsid w:val="08213B81"/>
    <w:rsid w:val="084C0B9D"/>
    <w:rsid w:val="0873640D"/>
    <w:rsid w:val="08783888"/>
    <w:rsid w:val="087D7A26"/>
    <w:rsid w:val="08AE00F7"/>
    <w:rsid w:val="08C30F20"/>
    <w:rsid w:val="08D1467C"/>
    <w:rsid w:val="08D23011"/>
    <w:rsid w:val="08DD3BDB"/>
    <w:rsid w:val="08ED6EB4"/>
    <w:rsid w:val="093F4ABD"/>
    <w:rsid w:val="09583AE9"/>
    <w:rsid w:val="09717CB2"/>
    <w:rsid w:val="098B7203"/>
    <w:rsid w:val="099F3397"/>
    <w:rsid w:val="09A37C42"/>
    <w:rsid w:val="09B71979"/>
    <w:rsid w:val="09CA4C87"/>
    <w:rsid w:val="09EC0032"/>
    <w:rsid w:val="0A1846AD"/>
    <w:rsid w:val="0A3275B8"/>
    <w:rsid w:val="0A334DE9"/>
    <w:rsid w:val="0A363446"/>
    <w:rsid w:val="0A3673D1"/>
    <w:rsid w:val="0A391C61"/>
    <w:rsid w:val="0A747C95"/>
    <w:rsid w:val="0A7E31A9"/>
    <w:rsid w:val="0A99628C"/>
    <w:rsid w:val="0A9C345B"/>
    <w:rsid w:val="0AA12C61"/>
    <w:rsid w:val="0AD50B07"/>
    <w:rsid w:val="0AE757D3"/>
    <w:rsid w:val="0B0D3780"/>
    <w:rsid w:val="0B192E69"/>
    <w:rsid w:val="0B1E5674"/>
    <w:rsid w:val="0B4340AA"/>
    <w:rsid w:val="0B481D54"/>
    <w:rsid w:val="0B504CAD"/>
    <w:rsid w:val="0B567FBC"/>
    <w:rsid w:val="0B64667B"/>
    <w:rsid w:val="0BA32867"/>
    <w:rsid w:val="0C405D06"/>
    <w:rsid w:val="0C417DC3"/>
    <w:rsid w:val="0C4E1011"/>
    <w:rsid w:val="0C5F45C4"/>
    <w:rsid w:val="0C6352C9"/>
    <w:rsid w:val="0C694A19"/>
    <w:rsid w:val="0C6E22F8"/>
    <w:rsid w:val="0C752414"/>
    <w:rsid w:val="0C781DA4"/>
    <w:rsid w:val="0CA4014A"/>
    <w:rsid w:val="0CC23CB2"/>
    <w:rsid w:val="0CD86DE7"/>
    <w:rsid w:val="0CE51F42"/>
    <w:rsid w:val="0CF9441B"/>
    <w:rsid w:val="0CFE63A4"/>
    <w:rsid w:val="0D0807FC"/>
    <w:rsid w:val="0D282054"/>
    <w:rsid w:val="0D33119A"/>
    <w:rsid w:val="0D4A2577"/>
    <w:rsid w:val="0D4D7EA2"/>
    <w:rsid w:val="0D596969"/>
    <w:rsid w:val="0D6D348A"/>
    <w:rsid w:val="0D826038"/>
    <w:rsid w:val="0D8B6C53"/>
    <w:rsid w:val="0D9C0739"/>
    <w:rsid w:val="0DC77E1F"/>
    <w:rsid w:val="0DC87629"/>
    <w:rsid w:val="0DE500C7"/>
    <w:rsid w:val="0DFF5312"/>
    <w:rsid w:val="0E30061A"/>
    <w:rsid w:val="0E456580"/>
    <w:rsid w:val="0E565A26"/>
    <w:rsid w:val="0E6759EA"/>
    <w:rsid w:val="0E693E94"/>
    <w:rsid w:val="0E88287D"/>
    <w:rsid w:val="0E8C3E34"/>
    <w:rsid w:val="0E9A3877"/>
    <w:rsid w:val="0EA74FA0"/>
    <w:rsid w:val="0EAB15DF"/>
    <w:rsid w:val="0EB71B66"/>
    <w:rsid w:val="0EBD4ECC"/>
    <w:rsid w:val="0EC12B61"/>
    <w:rsid w:val="0ECB16D0"/>
    <w:rsid w:val="0F0F3E67"/>
    <w:rsid w:val="0F36681E"/>
    <w:rsid w:val="0F4B3B77"/>
    <w:rsid w:val="0F513C81"/>
    <w:rsid w:val="0F554B61"/>
    <w:rsid w:val="0F684139"/>
    <w:rsid w:val="0FA658B8"/>
    <w:rsid w:val="0FA725F9"/>
    <w:rsid w:val="0FB125A0"/>
    <w:rsid w:val="0FD32B55"/>
    <w:rsid w:val="0FF75B36"/>
    <w:rsid w:val="1007384E"/>
    <w:rsid w:val="10300F0A"/>
    <w:rsid w:val="10381817"/>
    <w:rsid w:val="107962EB"/>
    <w:rsid w:val="107D7A08"/>
    <w:rsid w:val="108C6692"/>
    <w:rsid w:val="109E5300"/>
    <w:rsid w:val="10B84553"/>
    <w:rsid w:val="10BF5108"/>
    <w:rsid w:val="10C4053D"/>
    <w:rsid w:val="10D064F7"/>
    <w:rsid w:val="10D24A7B"/>
    <w:rsid w:val="10D763F7"/>
    <w:rsid w:val="10DA580F"/>
    <w:rsid w:val="10DF7BBC"/>
    <w:rsid w:val="110B7E38"/>
    <w:rsid w:val="111A2A3D"/>
    <w:rsid w:val="11244D2A"/>
    <w:rsid w:val="114253E0"/>
    <w:rsid w:val="11461A94"/>
    <w:rsid w:val="115D274C"/>
    <w:rsid w:val="115E3727"/>
    <w:rsid w:val="11B472DB"/>
    <w:rsid w:val="11EC0C90"/>
    <w:rsid w:val="11EC1420"/>
    <w:rsid w:val="11EE2FAE"/>
    <w:rsid w:val="11F3410F"/>
    <w:rsid w:val="11FA2120"/>
    <w:rsid w:val="1207493D"/>
    <w:rsid w:val="120D27E9"/>
    <w:rsid w:val="123258EF"/>
    <w:rsid w:val="124364E9"/>
    <w:rsid w:val="124876D2"/>
    <w:rsid w:val="127E00C7"/>
    <w:rsid w:val="12835C65"/>
    <w:rsid w:val="129E014D"/>
    <w:rsid w:val="12AC1D0D"/>
    <w:rsid w:val="12BA6A0A"/>
    <w:rsid w:val="12C2266E"/>
    <w:rsid w:val="12CB160F"/>
    <w:rsid w:val="12D77FEC"/>
    <w:rsid w:val="12DB00BA"/>
    <w:rsid w:val="12F90EE0"/>
    <w:rsid w:val="1306089F"/>
    <w:rsid w:val="13276FF6"/>
    <w:rsid w:val="134F0DA1"/>
    <w:rsid w:val="13693296"/>
    <w:rsid w:val="1393579A"/>
    <w:rsid w:val="1394783B"/>
    <w:rsid w:val="139726F4"/>
    <w:rsid w:val="139B4F53"/>
    <w:rsid w:val="13CE5FC4"/>
    <w:rsid w:val="13DC0939"/>
    <w:rsid w:val="13F53443"/>
    <w:rsid w:val="144C6770"/>
    <w:rsid w:val="145204CA"/>
    <w:rsid w:val="147778EA"/>
    <w:rsid w:val="14943CCC"/>
    <w:rsid w:val="14AB5FD0"/>
    <w:rsid w:val="14BA14E6"/>
    <w:rsid w:val="14BA4603"/>
    <w:rsid w:val="14CD7B2A"/>
    <w:rsid w:val="14F16B6F"/>
    <w:rsid w:val="14F865C3"/>
    <w:rsid w:val="14FD2DF1"/>
    <w:rsid w:val="150F189B"/>
    <w:rsid w:val="1517294D"/>
    <w:rsid w:val="153642D6"/>
    <w:rsid w:val="15457698"/>
    <w:rsid w:val="154A5906"/>
    <w:rsid w:val="155558C2"/>
    <w:rsid w:val="15753037"/>
    <w:rsid w:val="158A75E1"/>
    <w:rsid w:val="1592511B"/>
    <w:rsid w:val="159C567E"/>
    <w:rsid w:val="15A520DA"/>
    <w:rsid w:val="15BA178C"/>
    <w:rsid w:val="15C0221F"/>
    <w:rsid w:val="15D77617"/>
    <w:rsid w:val="15D85E33"/>
    <w:rsid w:val="15E6513C"/>
    <w:rsid w:val="15E819C1"/>
    <w:rsid w:val="15F81571"/>
    <w:rsid w:val="161124BB"/>
    <w:rsid w:val="162B4831"/>
    <w:rsid w:val="16483E1A"/>
    <w:rsid w:val="16554F68"/>
    <w:rsid w:val="165B5F0F"/>
    <w:rsid w:val="166320D6"/>
    <w:rsid w:val="166C4896"/>
    <w:rsid w:val="167B7AAC"/>
    <w:rsid w:val="169140C1"/>
    <w:rsid w:val="169B4AF9"/>
    <w:rsid w:val="16DB0595"/>
    <w:rsid w:val="16DF2F08"/>
    <w:rsid w:val="16E051E8"/>
    <w:rsid w:val="16ED26EB"/>
    <w:rsid w:val="17066EDE"/>
    <w:rsid w:val="1713214D"/>
    <w:rsid w:val="171C16DE"/>
    <w:rsid w:val="17945C52"/>
    <w:rsid w:val="17970727"/>
    <w:rsid w:val="17A31C1E"/>
    <w:rsid w:val="17DD1C51"/>
    <w:rsid w:val="17F24D1E"/>
    <w:rsid w:val="18092CD5"/>
    <w:rsid w:val="180D00A7"/>
    <w:rsid w:val="181A6207"/>
    <w:rsid w:val="18214341"/>
    <w:rsid w:val="182C0486"/>
    <w:rsid w:val="18336B8F"/>
    <w:rsid w:val="1874792B"/>
    <w:rsid w:val="18C00D35"/>
    <w:rsid w:val="18D13A9A"/>
    <w:rsid w:val="18DE453C"/>
    <w:rsid w:val="18E514CE"/>
    <w:rsid w:val="190848C5"/>
    <w:rsid w:val="190A3B3E"/>
    <w:rsid w:val="191474B7"/>
    <w:rsid w:val="191911EB"/>
    <w:rsid w:val="192616BB"/>
    <w:rsid w:val="192C0FEE"/>
    <w:rsid w:val="19331160"/>
    <w:rsid w:val="19496281"/>
    <w:rsid w:val="196F6FC1"/>
    <w:rsid w:val="19711A8D"/>
    <w:rsid w:val="19992BD1"/>
    <w:rsid w:val="19AB5ACC"/>
    <w:rsid w:val="19C3351E"/>
    <w:rsid w:val="19CA0483"/>
    <w:rsid w:val="19DF63F5"/>
    <w:rsid w:val="1A1D464D"/>
    <w:rsid w:val="1A571CF7"/>
    <w:rsid w:val="1A5F77D3"/>
    <w:rsid w:val="1A6E6871"/>
    <w:rsid w:val="1A8635C8"/>
    <w:rsid w:val="1AB56D4E"/>
    <w:rsid w:val="1AC91283"/>
    <w:rsid w:val="1ADA1355"/>
    <w:rsid w:val="1B006539"/>
    <w:rsid w:val="1B194961"/>
    <w:rsid w:val="1B195DEC"/>
    <w:rsid w:val="1B285C20"/>
    <w:rsid w:val="1B3A6DA2"/>
    <w:rsid w:val="1B4A6BAE"/>
    <w:rsid w:val="1B4B370A"/>
    <w:rsid w:val="1B537FF8"/>
    <w:rsid w:val="1B767B01"/>
    <w:rsid w:val="1B7D343C"/>
    <w:rsid w:val="1B860FD9"/>
    <w:rsid w:val="1BB05E26"/>
    <w:rsid w:val="1BB93CA5"/>
    <w:rsid w:val="1BC40E99"/>
    <w:rsid w:val="1BC8314E"/>
    <w:rsid w:val="1BCA7890"/>
    <w:rsid w:val="1BCB6A47"/>
    <w:rsid w:val="1BFB1779"/>
    <w:rsid w:val="1BFD00F2"/>
    <w:rsid w:val="1C1327C3"/>
    <w:rsid w:val="1C3670C8"/>
    <w:rsid w:val="1C43363D"/>
    <w:rsid w:val="1C4628F7"/>
    <w:rsid w:val="1C5E28E7"/>
    <w:rsid w:val="1C79295A"/>
    <w:rsid w:val="1CA03602"/>
    <w:rsid w:val="1CA84555"/>
    <w:rsid w:val="1CC16689"/>
    <w:rsid w:val="1CCC24BC"/>
    <w:rsid w:val="1CE512E6"/>
    <w:rsid w:val="1CEF1159"/>
    <w:rsid w:val="1CEF2480"/>
    <w:rsid w:val="1D061139"/>
    <w:rsid w:val="1D155742"/>
    <w:rsid w:val="1D870AB9"/>
    <w:rsid w:val="1D8A0E3C"/>
    <w:rsid w:val="1D8F4459"/>
    <w:rsid w:val="1D9254CD"/>
    <w:rsid w:val="1DA15E50"/>
    <w:rsid w:val="1DB01096"/>
    <w:rsid w:val="1DB27B15"/>
    <w:rsid w:val="1DB87E85"/>
    <w:rsid w:val="1DC85751"/>
    <w:rsid w:val="1DC934BA"/>
    <w:rsid w:val="1DDE6813"/>
    <w:rsid w:val="1DEB61F5"/>
    <w:rsid w:val="1E0A627C"/>
    <w:rsid w:val="1E16086E"/>
    <w:rsid w:val="1E3A6AB1"/>
    <w:rsid w:val="1E80319B"/>
    <w:rsid w:val="1E885A3B"/>
    <w:rsid w:val="1E927FD6"/>
    <w:rsid w:val="1E9860A5"/>
    <w:rsid w:val="1EA838E7"/>
    <w:rsid w:val="1EC41FC5"/>
    <w:rsid w:val="1ED20877"/>
    <w:rsid w:val="1ED94E4B"/>
    <w:rsid w:val="1EDE5D5E"/>
    <w:rsid w:val="1EF77DC5"/>
    <w:rsid w:val="1F383ACC"/>
    <w:rsid w:val="1F38645C"/>
    <w:rsid w:val="1F394458"/>
    <w:rsid w:val="1F596305"/>
    <w:rsid w:val="1F8811C7"/>
    <w:rsid w:val="1F8B541A"/>
    <w:rsid w:val="1F8D31BC"/>
    <w:rsid w:val="1F9062F5"/>
    <w:rsid w:val="1FEB5C6A"/>
    <w:rsid w:val="1FFF5A5F"/>
    <w:rsid w:val="202209B9"/>
    <w:rsid w:val="20280066"/>
    <w:rsid w:val="202C0E96"/>
    <w:rsid w:val="20304AD2"/>
    <w:rsid w:val="203B6599"/>
    <w:rsid w:val="204F6722"/>
    <w:rsid w:val="20782C9F"/>
    <w:rsid w:val="20902778"/>
    <w:rsid w:val="20AF30C4"/>
    <w:rsid w:val="20C20F88"/>
    <w:rsid w:val="20FD5C7C"/>
    <w:rsid w:val="21096CBA"/>
    <w:rsid w:val="21113C61"/>
    <w:rsid w:val="21142ADE"/>
    <w:rsid w:val="2115662C"/>
    <w:rsid w:val="211E06F8"/>
    <w:rsid w:val="212D5C7C"/>
    <w:rsid w:val="21361A04"/>
    <w:rsid w:val="214418DF"/>
    <w:rsid w:val="21B95143"/>
    <w:rsid w:val="21C04FD1"/>
    <w:rsid w:val="21D51B3D"/>
    <w:rsid w:val="21FE0CB2"/>
    <w:rsid w:val="2201295E"/>
    <w:rsid w:val="220D3C83"/>
    <w:rsid w:val="220D6242"/>
    <w:rsid w:val="22196712"/>
    <w:rsid w:val="222B4109"/>
    <w:rsid w:val="2272212A"/>
    <w:rsid w:val="22B319A3"/>
    <w:rsid w:val="22EC4950"/>
    <w:rsid w:val="22ED5F44"/>
    <w:rsid w:val="23197F12"/>
    <w:rsid w:val="231A56E2"/>
    <w:rsid w:val="231F7C19"/>
    <w:rsid w:val="232B5FAF"/>
    <w:rsid w:val="233F76E0"/>
    <w:rsid w:val="23475472"/>
    <w:rsid w:val="23481CC9"/>
    <w:rsid w:val="235F1272"/>
    <w:rsid w:val="23AE10BA"/>
    <w:rsid w:val="23CF11EF"/>
    <w:rsid w:val="23E56B32"/>
    <w:rsid w:val="24142B46"/>
    <w:rsid w:val="24183F62"/>
    <w:rsid w:val="241D037F"/>
    <w:rsid w:val="2433149D"/>
    <w:rsid w:val="24391126"/>
    <w:rsid w:val="246270E4"/>
    <w:rsid w:val="246D72C9"/>
    <w:rsid w:val="24703D25"/>
    <w:rsid w:val="24772C2B"/>
    <w:rsid w:val="24874310"/>
    <w:rsid w:val="248B2E3F"/>
    <w:rsid w:val="24DF22D5"/>
    <w:rsid w:val="25241FCD"/>
    <w:rsid w:val="25314C51"/>
    <w:rsid w:val="254A4C11"/>
    <w:rsid w:val="256D7355"/>
    <w:rsid w:val="257008BE"/>
    <w:rsid w:val="258A0443"/>
    <w:rsid w:val="25E86FC2"/>
    <w:rsid w:val="260C3AE7"/>
    <w:rsid w:val="261B35E2"/>
    <w:rsid w:val="261D7A35"/>
    <w:rsid w:val="263A612D"/>
    <w:rsid w:val="26483965"/>
    <w:rsid w:val="264D0715"/>
    <w:rsid w:val="26684108"/>
    <w:rsid w:val="268B0B22"/>
    <w:rsid w:val="269A1A87"/>
    <w:rsid w:val="26BB607A"/>
    <w:rsid w:val="26BB7E4E"/>
    <w:rsid w:val="26C10F08"/>
    <w:rsid w:val="26D075A8"/>
    <w:rsid w:val="26D17DBC"/>
    <w:rsid w:val="26D24757"/>
    <w:rsid w:val="27242422"/>
    <w:rsid w:val="274D17E4"/>
    <w:rsid w:val="27506176"/>
    <w:rsid w:val="275D4096"/>
    <w:rsid w:val="276C3DD0"/>
    <w:rsid w:val="277B4947"/>
    <w:rsid w:val="27A57C3A"/>
    <w:rsid w:val="27D20BC1"/>
    <w:rsid w:val="27EB7AF0"/>
    <w:rsid w:val="280553D3"/>
    <w:rsid w:val="280F6C60"/>
    <w:rsid w:val="281253C2"/>
    <w:rsid w:val="28163476"/>
    <w:rsid w:val="282455AC"/>
    <w:rsid w:val="28261D0F"/>
    <w:rsid w:val="2838738D"/>
    <w:rsid w:val="28601E6B"/>
    <w:rsid w:val="28651505"/>
    <w:rsid w:val="286F250E"/>
    <w:rsid w:val="287D2504"/>
    <w:rsid w:val="28833B10"/>
    <w:rsid w:val="2886147E"/>
    <w:rsid w:val="28A87389"/>
    <w:rsid w:val="28AB0694"/>
    <w:rsid w:val="28AE6A69"/>
    <w:rsid w:val="28AF15F0"/>
    <w:rsid w:val="28B81772"/>
    <w:rsid w:val="28E6171F"/>
    <w:rsid w:val="290A4DA8"/>
    <w:rsid w:val="291176CC"/>
    <w:rsid w:val="291B6CB7"/>
    <w:rsid w:val="291C67BC"/>
    <w:rsid w:val="2944347B"/>
    <w:rsid w:val="294907C7"/>
    <w:rsid w:val="29503AAE"/>
    <w:rsid w:val="29573123"/>
    <w:rsid w:val="297F7A53"/>
    <w:rsid w:val="2992095F"/>
    <w:rsid w:val="29AC6651"/>
    <w:rsid w:val="29C4608A"/>
    <w:rsid w:val="29E769C8"/>
    <w:rsid w:val="29F21662"/>
    <w:rsid w:val="29F51AC1"/>
    <w:rsid w:val="29F51D07"/>
    <w:rsid w:val="29FC30C2"/>
    <w:rsid w:val="2A406B43"/>
    <w:rsid w:val="2A481CFC"/>
    <w:rsid w:val="2A6D3E9B"/>
    <w:rsid w:val="2A706411"/>
    <w:rsid w:val="2A783D0E"/>
    <w:rsid w:val="2A9C0461"/>
    <w:rsid w:val="2AD0515C"/>
    <w:rsid w:val="2AE8528D"/>
    <w:rsid w:val="2AF16E8B"/>
    <w:rsid w:val="2B0B7CEC"/>
    <w:rsid w:val="2B267384"/>
    <w:rsid w:val="2B27452A"/>
    <w:rsid w:val="2B2D4BDC"/>
    <w:rsid w:val="2B4503EF"/>
    <w:rsid w:val="2B767712"/>
    <w:rsid w:val="2BBA7AC6"/>
    <w:rsid w:val="2BFC26B9"/>
    <w:rsid w:val="2BFF2965"/>
    <w:rsid w:val="2C3C0295"/>
    <w:rsid w:val="2C3C0A88"/>
    <w:rsid w:val="2C51001B"/>
    <w:rsid w:val="2C596FFF"/>
    <w:rsid w:val="2C906216"/>
    <w:rsid w:val="2C9A17D6"/>
    <w:rsid w:val="2CA6566A"/>
    <w:rsid w:val="2CAE7599"/>
    <w:rsid w:val="2CB749B3"/>
    <w:rsid w:val="2CB76CC5"/>
    <w:rsid w:val="2CBB6294"/>
    <w:rsid w:val="2CBF39BD"/>
    <w:rsid w:val="2D016EDC"/>
    <w:rsid w:val="2D2E04D4"/>
    <w:rsid w:val="2D3878C4"/>
    <w:rsid w:val="2D3A4057"/>
    <w:rsid w:val="2D5343E6"/>
    <w:rsid w:val="2D9134BB"/>
    <w:rsid w:val="2D994DBE"/>
    <w:rsid w:val="2DA33370"/>
    <w:rsid w:val="2DD53F02"/>
    <w:rsid w:val="2DE178C4"/>
    <w:rsid w:val="2E0A0263"/>
    <w:rsid w:val="2E2A6F78"/>
    <w:rsid w:val="2E6932C2"/>
    <w:rsid w:val="2E73484D"/>
    <w:rsid w:val="2E734C4D"/>
    <w:rsid w:val="2E9A7164"/>
    <w:rsid w:val="2ED21188"/>
    <w:rsid w:val="2EE1137A"/>
    <w:rsid w:val="2EE6759F"/>
    <w:rsid w:val="2EEB0819"/>
    <w:rsid w:val="2EF44200"/>
    <w:rsid w:val="2F010E90"/>
    <w:rsid w:val="2F090286"/>
    <w:rsid w:val="2F0C69E6"/>
    <w:rsid w:val="2F0D5CED"/>
    <w:rsid w:val="2F110235"/>
    <w:rsid w:val="2F16689C"/>
    <w:rsid w:val="2F1C6FC0"/>
    <w:rsid w:val="2F236129"/>
    <w:rsid w:val="2F2C56BA"/>
    <w:rsid w:val="2F2D0218"/>
    <w:rsid w:val="2F356A16"/>
    <w:rsid w:val="2F3B5F9D"/>
    <w:rsid w:val="2F4614DA"/>
    <w:rsid w:val="2F636A54"/>
    <w:rsid w:val="2FA00DAE"/>
    <w:rsid w:val="30081603"/>
    <w:rsid w:val="30420830"/>
    <w:rsid w:val="30840ACC"/>
    <w:rsid w:val="309C224F"/>
    <w:rsid w:val="31190489"/>
    <w:rsid w:val="311C3987"/>
    <w:rsid w:val="31232963"/>
    <w:rsid w:val="312C101E"/>
    <w:rsid w:val="313071E7"/>
    <w:rsid w:val="31325DCD"/>
    <w:rsid w:val="314C7D21"/>
    <w:rsid w:val="31540C79"/>
    <w:rsid w:val="315857B1"/>
    <w:rsid w:val="31650177"/>
    <w:rsid w:val="317C1F29"/>
    <w:rsid w:val="318063A3"/>
    <w:rsid w:val="31A43DC9"/>
    <w:rsid w:val="31AB6658"/>
    <w:rsid w:val="31BC3F1B"/>
    <w:rsid w:val="31C37B9C"/>
    <w:rsid w:val="31EA7F55"/>
    <w:rsid w:val="32137CF0"/>
    <w:rsid w:val="321E50BD"/>
    <w:rsid w:val="32224344"/>
    <w:rsid w:val="32340C69"/>
    <w:rsid w:val="32363F32"/>
    <w:rsid w:val="32471F5A"/>
    <w:rsid w:val="3253078F"/>
    <w:rsid w:val="325E3A96"/>
    <w:rsid w:val="32B7356F"/>
    <w:rsid w:val="32BF2D77"/>
    <w:rsid w:val="330C088A"/>
    <w:rsid w:val="330D0F43"/>
    <w:rsid w:val="332A5E08"/>
    <w:rsid w:val="33310C6F"/>
    <w:rsid w:val="333E728C"/>
    <w:rsid w:val="334F202E"/>
    <w:rsid w:val="33A03A4B"/>
    <w:rsid w:val="33A04007"/>
    <w:rsid w:val="33A30A6B"/>
    <w:rsid w:val="33A60671"/>
    <w:rsid w:val="33AF4FB4"/>
    <w:rsid w:val="33CF2119"/>
    <w:rsid w:val="33DE4357"/>
    <w:rsid w:val="341829DF"/>
    <w:rsid w:val="341D5AAB"/>
    <w:rsid w:val="342732F1"/>
    <w:rsid w:val="342B2E3E"/>
    <w:rsid w:val="344517CB"/>
    <w:rsid w:val="3454463B"/>
    <w:rsid w:val="346B507B"/>
    <w:rsid w:val="347A0A28"/>
    <w:rsid w:val="347B293F"/>
    <w:rsid w:val="348C37FE"/>
    <w:rsid w:val="349B5AE7"/>
    <w:rsid w:val="34AA4F73"/>
    <w:rsid w:val="34CE6938"/>
    <w:rsid w:val="34F52FDD"/>
    <w:rsid w:val="352B6C5A"/>
    <w:rsid w:val="35520294"/>
    <w:rsid w:val="356C4AB0"/>
    <w:rsid w:val="357A04F1"/>
    <w:rsid w:val="357C1D84"/>
    <w:rsid w:val="35887A53"/>
    <w:rsid w:val="35A6666D"/>
    <w:rsid w:val="35AF4576"/>
    <w:rsid w:val="35B4397E"/>
    <w:rsid w:val="360300F8"/>
    <w:rsid w:val="36034EE1"/>
    <w:rsid w:val="360E57E0"/>
    <w:rsid w:val="36237D2D"/>
    <w:rsid w:val="363503EB"/>
    <w:rsid w:val="3647637B"/>
    <w:rsid w:val="366356BD"/>
    <w:rsid w:val="367F686D"/>
    <w:rsid w:val="36A14C50"/>
    <w:rsid w:val="36B412F5"/>
    <w:rsid w:val="36B66A91"/>
    <w:rsid w:val="36CC7A6D"/>
    <w:rsid w:val="36E17616"/>
    <w:rsid w:val="37072554"/>
    <w:rsid w:val="37076693"/>
    <w:rsid w:val="372B30FF"/>
    <w:rsid w:val="372F768E"/>
    <w:rsid w:val="37545CF2"/>
    <w:rsid w:val="375E41FD"/>
    <w:rsid w:val="3765223E"/>
    <w:rsid w:val="376A4278"/>
    <w:rsid w:val="377870B5"/>
    <w:rsid w:val="377D54A5"/>
    <w:rsid w:val="377D5E16"/>
    <w:rsid w:val="377E65D4"/>
    <w:rsid w:val="37872B44"/>
    <w:rsid w:val="379F77DA"/>
    <w:rsid w:val="37A7041E"/>
    <w:rsid w:val="37A80A27"/>
    <w:rsid w:val="37C914D9"/>
    <w:rsid w:val="37D63EC9"/>
    <w:rsid w:val="37F02038"/>
    <w:rsid w:val="38280519"/>
    <w:rsid w:val="382D0DB0"/>
    <w:rsid w:val="38304C4D"/>
    <w:rsid w:val="38321297"/>
    <w:rsid w:val="38513B03"/>
    <w:rsid w:val="386D019E"/>
    <w:rsid w:val="38894B13"/>
    <w:rsid w:val="38A42A5B"/>
    <w:rsid w:val="38C10BFB"/>
    <w:rsid w:val="38DD791D"/>
    <w:rsid w:val="38F23169"/>
    <w:rsid w:val="39155CC9"/>
    <w:rsid w:val="3920221B"/>
    <w:rsid w:val="39334BFF"/>
    <w:rsid w:val="393667C3"/>
    <w:rsid w:val="39457CAF"/>
    <w:rsid w:val="3948048E"/>
    <w:rsid w:val="39812B9C"/>
    <w:rsid w:val="399208A7"/>
    <w:rsid w:val="39B565E1"/>
    <w:rsid w:val="39D4235F"/>
    <w:rsid w:val="39FD6163"/>
    <w:rsid w:val="3A087E95"/>
    <w:rsid w:val="3A257802"/>
    <w:rsid w:val="3A606A76"/>
    <w:rsid w:val="3A8231F1"/>
    <w:rsid w:val="3A921749"/>
    <w:rsid w:val="3AA81B41"/>
    <w:rsid w:val="3ADD242D"/>
    <w:rsid w:val="3B143086"/>
    <w:rsid w:val="3B147A5B"/>
    <w:rsid w:val="3B1A2D8C"/>
    <w:rsid w:val="3B4042AB"/>
    <w:rsid w:val="3B4E6CEA"/>
    <w:rsid w:val="3B66210B"/>
    <w:rsid w:val="3B814E71"/>
    <w:rsid w:val="3B964D74"/>
    <w:rsid w:val="3B972AF7"/>
    <w:rsid w:val="3BB62FA9"/>
    <w:rsid w:val="3BB70D15"/>
    <w:rsid w:val="3BBB09FC"/>
    <w:rsid w:val="3BC91BB9"/>
    <w:rsid w:val="3BEA1C9E"/>
    <w:rsid w:val="3C120308"/>
    <w:rsid w:val="3C42650A"/>
    <w:rsid w:val="3C6966E4"/>
    <w:rsid w:val="3C762DF2"/>
    <w:rsid w:val="3C7D1D40"/>
    <w:rsid w:val="3C9B51F8"/>
    <w:rsid w:val="3CDD0DBD"/>
    <w:rsid w:val="3D101034"/>
    <w:rsid w:val="3D544EBB"/>
    <w:rsid w:val="3D563222"/>
    <w:rsid w:val="3D882CF1"/>
    <w:rsid w:val="3D9814F2"/>
    <w:rsid w:val="3DAF40CD"/>
    <w:rsid w:val="3DE32AFA"/>
    <w:rsid w:val="3E0456CC"/>
    <w:rsid w:val="3E115C36"/>
    <w:rsid w:val="3E136ED4"/>
    <w:rsid w:val="3E2418CD"/>
    <w:rsid w:val="3E2726B6"/>
    <w:rsid w:val="3E306B06"/>
    <w:rsid w:val="3E3A6B14"/>
    <w:rsid w:val="3E8A1A02"/>
    <w:rsid w:val="3E8E765E"/>
    <w:rsid w:val="3EA9393D"/>
    <w:rsid w:val="3EAA48DB"/>
    <w:rsid w:val="3EAD0498"/>
    <w:rsid w:val="3EC56D78"/>
    <w:rsid w:val="3EC7715A"/>
    <w:rsid w:val="3ED16A4F"/>
    <w:rsid w:val="3ED17EBE"/>
    <w:rsid w:val="3ED92ACB"/>
    <w:rsid w:val="3EDC543E"/>
    <w:rsid w:val="3EED5016"/>
    <w:rsid w:val="3EEF26E0"/>
    <w:rsid w:val="3EF52FF7"/>
    <w:rsid w:val="3EF62F89"/>
    <w:rsid w:val="3EF75B65"/>
    <w:rsid w:val="3EFB570C"/>
    <w:rsid w:val="3F204493"/>
    <w:rsid w:val="3F29681A"/>
    <w:rsid w:val="3F2B7413"/>
    <w:rsid w:val="3F5871FB"/>
    <w:rsid w:val="3F8E35DC"/>
    <w:rsid w:val="3F8F5DC2"/>
    <w:rsid w:val="3FA46F4F"/>
    <w:rsid w:val="3FA624AC"/>
    <w:rsid w:val="3FB00475"/>
    <w:rsid w:val="3FBF5991"/>
    <w:rsid w:val="3FE10717"/>
    <w:rsid w:val="40023F34"/>
    <w:rsid w:val="40090025"/>
    <w:rsid w:val="40181902"/>
    <w:rsid w:val="402B4D77"/>
    <w:rsid w:val="402F5A4D"/>
    <w:rsid w:val="40411288"/>
    <w:rsid w:val="404742BD"/>
    <w:rsid w:val="40600DD5"/>
    <w:rsid w:val="40660F91"/>
    <w:rsid w:val="407A1958"/>
    <w:rsid w:val="407D57C8"/>
    <w:rsid w:val="40B26892"/>
    <w:rsid w:val="40E21CB8"/>
    <w:rsid w:val="41087067"/>
    <w:rsid w:val="410F31C3"/>
    <w:rsid w:val="4112553B"/>
    <w:rsid w:val="41344AAB"/>
    <w:rsid w:val="414344E2"/>
    <w:rsid w:val="41550C30"/>
    <w:rsid w:val="41875FCE"/>
    <w:rsid w:val="4190424D"/>
    <w:rsid w:val="41BA6E78"/>
    <w:rsid w:val="41E43D07"/>
    <w:rsid w:val="41F2680D"/>
    <w:rsid w:val="41F6399A"/>
    <w:rsid w:val="41F94DC7"/>
    <w:rsid w:val="41FA3A29"/>
    <w:rsid w:val="42137C42"/>
    <w:rsid w:val="422A188F"/>
    <w:rsid w:val="422E57D7"/>
    <w:rsid w:val="42555DF7"/>
    <w:rsid w:val="42A27001"/>
    <w:rsid w:val="42C507A4"/>
    <w:rsid w:val="42F07508"/>
    <w:rsid w:val="43270B23"/>
    <w:rsid w:val="43366434"/>
    <w:rsid w:val="434A0913"/>
    <w:rsid w:val="436A64E9"/>
    <w:rsid w:val="4370434B"/>
    <w:rsid w:val="43711057"/>
    <w:rsid w:val="43891ADB"/>
    <w:rsid w:val="439C4F5E"/>
    <w:rsid w:val="43B65B15"/>
    <w:rsid w:val="43B84329"/>
    <w:rsid w:val="43E630D7"/>
    <w:rsid w:val="43EF2D9F"/>
    <w:rsid w:val="43F02783"/>
    <w:rsid w:val="441B273B"/>
    <w:rsid w:val="44656E26"/>
    <w:rsid w:val="4468183E"/>
    <w:rsid w:val="44786783"/>
    <w:rsid w:val="449457D3"/>
    <w:rsid w:val="44A25A9F"/>
    <w:rsid w:val="44A61055"/>
    <w:rsid w:val="44BE5C95"/>
    <w:rsid w:val="44DD6EB7"/>
    <w:rsid w:val="44E01145"/>
    <w:rsid w:val="450018DF"/>
    <w:rsid w:val="450F2BC2"/>
    <w:rsid w:val="451D2C75"/>
    <w:rsid w:val="45203860"/>
    <w:rsid w:val="454746DD"/>
    <w:rsid w:val="455367B2"/>
    <w:rsid w:val="45555732"/>
    <w:rsid w:val="455F10D7"/>
    <w:rsid w:val="456355DA"/>
    <w:rsid w:val="45741675"/>
    <w:rsid w:val="459C4648"/>
    <w:rsid w:val="45A02EDD"/>
    <w:rsid w:val="45E61BCA"/>
    <w:rsid w:val="45EE32D7"/>
    <w:rsid w:val="45F53EFA"/>
    <w:rsid w:val="460A6FE4"/>
    <w:rsid w:val="461A323C"/>
    <w:rsid w:val="4638018C"/>
    <w:rsid w:val="46416C3D"/>
    <w:rsid w:val="46433285"/>
    <w:rsid w:val="46526D41"/>
    <w:rsid w:val="46584865"/>
    <w:rsid w:val="4666645F"/>
    <w:rsid w:val="46681B67"/>
    <w:rsid w:val="468200E4"/>
    <w:rsid w:val="46903F4D"/>
    <w:rsid w:val="469815BE"/>
    <w:rsid w:val="46A14FC5"/>
    <w:rsid w:val="46B27CB1"/>
    <w:rsid w:val="46D34E98"/>
    <w:rsid w:val="46EC0B5C"/>
    <w:rsid w:val="47001117"/>
    <w:rsid w:val="47246805"/>
    <w:rsid w:val="47492E75"/>
    <w:rsid w:val="474F7F9F"/>
    <w:rsid w:val="475F3AC1"/>
    <w:rsid w:val="47844901"/>
    <w:rsid w:val="479A2ED2"/>
    <w:rsid w:val="47B328B4"/>
    <w:rsid w:val="47C13542"/>
    <w:rsid w:val="48113D01"/>
    <w:rsid w:val="484C7B11"/>
    <w:rsid w:val="485E0A04"/>
    <w:rsid w:val="48740F1D"/>
    <w:rsid w:val="48761BE3"/>
    <w:rsid w:val="489E0EB1"/>
    <w:rsid w:val="48A4548A"/>
    <w:rsid w:val="48A57E1F"/>
    <w:rsid w:val="48B50D92"/>
    <w:rsid w:val="48D80297"/>
    <w:rsid w:val="48DE3BBF"/>
    <w:rsid w:val="48E77164"/>
    <w:rsid w:val="48FF1002"/>
    <w:rsid w:val="491D19DF"/>
    <w:rsid w:val="49304CB2"/>
    <w:rsid w:val="49620FF1"/>
    <w:rsid w:val="496F6EBE"/>
    <w:rsid w:val="49814F4C"/>
    <w:rsid w:val="49836E4C"/>
    <w:rsid w:val="49A364F7"/>
    <w:rsid w:val="49B42429"/>
    <w:rsid w:val="49C4569B"/>
    <w:rsid w:val="49D74ABA"/>
    <w:rsid w:val="4A074043"/>
    <w:rsid w:val="4A090DC7"/>
    <w:rsid w:val="4A091441"/>
    <w:rsid w:val="4A14567E"/>
    <w:rsid w:val="4A1C1271"/>
    <w:rsid w:val="4A1E6180"/>
    <w:rsid w:val="4A2308FE"/>
    <w:rsid w:val="4A2412C3"/>
    <w:rsid w:val="4A287AB1"/>
    <w:rsid w:val="4A2A68D0"/>
    <w:rsid w:val="4A5133EE"/>
    <w:rsid w:val="4A575927"/>
    <w:rsid w:val="4A5D4EF8"/>
    <w:rsid w:val="4A791824"/>
    <w:rsid w:val="4A915C19"/>
    <w:rsid w:val="4A955A49"/>
    <w:rsid w:val="4A9C5501"/>
    <w:rsid w:val="4AAF6DD6"/>
    <w:rsid w:val="4AAF7BD4"/>
    <w:rsid w:val="4AD80F53"/>
    <w:rsid w:val="4AD86EA7"/>
    <w:rsid w:val="4AF61D93"/>
    <w:rsid w:val="4B2C75A6"/>
    <w:rsid w:val="4B2F25FD"/>
    <w:rsid w:val="4BB15678"/>
    <w:rsid w:val="4BB635D2"/>
    <w:rsid w:val="4BB76960"/>
    <w:rsid w:val="4BC655C8"/>
    <w:rsid w:val="4BD03593"/>
    <w:rsid w:val="4BD63363"/>
    <w:rsid w:val="4BD87666"/>
    <w:rsid w:val="4BE63621"/>
    <w:rsid w:val="4BE6691C"/>
    <w:rsid w:val="4BF467F9"/>
    <w:rsid w:val="4BF83E44"/>
    <w:rsid w:val="4C276C17"/>
    <w:rsid w:val="4C73767A"/>
    <w:rsid w:val="4C7C0669"/>
    <w:rsid w:val="4C7D0871"/>
    <w:rsid w:val="4C850277"/>
    <w:rsid w:val="4C98669E"/>
    <w:rsid w:val="4C9904F2"/>
    <w:rsid w:val="4CA24E47"/>
    <w:rsid w:val="4CC414CF"/>
    <w:rsid w:val="4CC52EB8"/>
    <w:rsid w:val="4CDE5035"/>
    <w:rsid w:val="4CE95FA6"/>
    <w:rsid w:val="4CEA1D3A"/>
    <w:rsid w:val="4D2572CD"/>
    <w:rsid w:val="4D354FF0"/>
    <w:rsid w:val="4D4C32B8"/>
    <w:rsid w:val="4D4F0E34"/>
    <w:rsid w:val="4D796F4B"/>
    <w:rsid w:val="4DBB048A"/>
    <w:rsid w:val="4DCE336E"/>
    <w:rsid w:val="4DE07DE4"/>
    <w:rsid w:val="4E0D5D14"/>
    <w:rsid w:val="4E2809CC"/>
    <w:rsid w:val="4E2F45C0"/>
    <w:rsid w:val="4E363F2F"/>
    <w:rsid w:val="4E546612"/>
    <w:rsid w:val="4E6600F3"/>
    <w:rsid w:val="4E682F97"/>
    <w:rsid w:val="4E771467"/>
    <w:rsid w:val="4EA42281"/>
    <w:rsid w:val="4EA546F0"/>
    <w:rsid w:val="4EAF3848"/>
    <w:rsid w:val="4EAF3AED"/>
    <w:rsid w:val="4EB0019E"/>
    <w:rsid w:val="4ECB1385"/>
    <w:rsid w:val="4ED32851"/>
    <w:rsid w:val="4ED35762"/>
    <w:rsid w:val="4EDF1745"/>
    <w:rsid w:val="4EF5014E"/>
    <w:rsid w:val="4EFA3C4E"/>
    <w:rsid w:val="4F235A8E"/>
    <w:rsid w:val="4F26262A"/>
    <w:rsid w:val="4F33554E"/>
    <w:rsid w:val="4F4527F5"/>
    <w:rsid w:val="4F612BE4"/>
    <w:rsid w:val="4F6461D6"/>
    <w:rsid w:val="4F7B292B"/>
    <w:rsid w:val="4F865749"/>
    <w:rsid w:val="4F9E59ED"/>
    <w:rsid w:val="4FDC58FD"/>
    <w:rsid w:val="4FDE1C0C"/>
    <w:rsid w:val="4FE54A2D"/>
    <w:rsid w:val="4FF52BAA"/>
    <w:rsid w:val="4FF958E6"/>
    <w:rsid w:val="50202BC7"/>
    <w:rsid w:val="50216FE4"/>
    <w:rsid w:val="502D2C76"/>
    <w:rsid w:val="50614DD7"/>
    <w:rsid w:val="506B628A"/>
    <w:rsid w:val="50787CFE"/>
    <w:rsid w:val="508E4295"/>
    <w:rsid w:val="5096388E"/>
    <w:rsid w:val="50AE1AE4"/>
    <w:rsid w:val="50DE21C3"/>
    <w:rsid w:val="50FE2631"/>
    <w:rsid w:val="51151D83"/>
    <w:rsid w:val="51167E7F"/>
    <w:rsid w:val="51390032"/>
    <w:rsid w:val="515426DE"/>
    <w:rsid w:val="515C74D2"/>
    <w:rsid w:val="51652C0F"/>
    <w:rsid w:val="518D4538"/>
    <w:rsid w:val="51960DFD"/>
    <w:rsid w:val="51A4737F"/>
    <w:rsid w:val="51BB2BF3"/>
    <w:rsid w:val="51C87FCE"/>
    <w:rsid w:val="51FD0367"/>
    <w:rsid w:val="52377D55"/>
    <w:rsid w:val="525F7483"/>
    <w:rsid w:val="52862351"/>
    <w:rsid w:val="52984624"/>
    <w:rsid w:val="52F10B24"/>
    <w:rsid w:val="534A2585"/>
    <w:rsid w:val="53921453"/>
    <w:rsid w:val="539D3FE2"/>
    <w:rsid w:val="53A03056"/>
    <w:rsid w:val="53A31787"/>
    <w:rsid w:val="53D7503B"/>
    <w:rsid w:val="53E637C7"/>
    <w:rsid w:val="53E8647E"/>
    <w:rsid w:val="53F45929"/>
    <w:rsid w:val="53FC0907"/>
    <w:rsid w:val="5455279C"/>
    <w:rsid w:val="5468198B"/>
    <w:rsid w:val="54951AB4"/>
    <w:rsid w:val="549A0B06"/>
    <w:rsid w:val="54A655A6"/>
    <w:rsid w:val="54AC5365"/>
    <w:rsid w:val="54D53B13"/>
    <w:rsid w:val="54EB74E4"/>
    <w:rsid w:val="55284AD7"/>
    <w:rsid w:val="5530324E"/>
    <w:rsid w:val="55457E29"/>
    <w:rsid w:val="555B0657"/>
    <w:rsid w:val="556032BE"/>
    <w:rsid w:val="557856C0"/>
    <w:rsid w:val="55B86023"/>
    <w:rsid w:val="55C151DC"/>
    <w:rsid w:val="55E556DC"/>
    <w:rsid w:val="55FA318F"/>
    <w:rsid w:val="55FF3036"/>
    <w:rsid w:val="56213505"/>
    <w:rsid w:val="562568C4"/>
    <w:rsid w:val="56292132"/>
    <w:rsid w:val="56292705"/>
    <w:rsid w:val="5632227A"/>
    <w:rsid w:val="56482C0E"/>
    <w:rsid w:val="564E3203"/>
    <w:rsid w:val="568C03E5"/>
    <w:rsid w:val="56E60496"/>
    <w:rsid w:val="57360834"/>
    <w:rsid w:val="57374E0B"/>
    <w:rsid w:val="57387AA9"/>
    <w:rsid w:val="57444728"/>
    <w:rsid w:val="575B090B"/>
    <w:rsid w:val="577439B5"/>
    <w:rsid w:val="57926FF9"/>
    <w:rsid w:val="57A355F8"/>
    <w:rsid w:val="57E6509B"/>
    <w:rsid w:val="57E738F8"/>
    <w:rsid w:val="57EB5B27"/>
    <w:rsid w:val="57EC2D60"/>
    <w:rsid w:val="582571FA"/>
    <w:rsid w:val="58263426"/>
    <w:rsid w:val="583C0E12"/>
    <w:rsid w:val="5856757B"/>
    <w:rsid w:val="58A14304"/>
    <w:rsid w:val="58A3772F"/>
    <w:rsid w:val="58CC5EFE"/>
    <w:rsid w:val="58E3487B"/>
    <w:rsid w:val="58FB3B6A"/>
    <w:rsid w:val="59026288"/>
    <w:rsid w:val="590668BB"/>
    <w:rsid w:val="59205FDE"/>
    <w:rsid w:val="59336ED5"/>
    <w:rsid w:val="59393A95"/>
    <w:rsid w:val="59432CA0"/>
    <w:rsid w:val="594A3241"/>
    <w:rsid w:val="594D3E46"/>
    <w:rsid w:val="595C3DA0"/>
    <w:rsid w:val="595E62F2"/>
    <w:rsid w:val="596658B9"/>
    <w:rsid w:val="59693F87"/>
    <w:rsid w:val="59851D75"/>
    <w:rsid w:val="59B42F07"/>
    <w:rsid w:val="59BB77BA"/>
    <w:rsid w:val="5A2412FA"/>
    <w:rsid w:val="5A2C4220"/>
    <w:rsid w:val="5A316507"/>
    <w:rsid w:val="5A497C34"/>
    <w:rsid w:val="5A4C0E52"/>
    <w:rsid w:val="5A7B33E5"/>
    <w:rsid w:val="5A8C664D"/>
    <w:rsid w:val="5A9C5772"/>
    <w:rsid w:val="5ABD43B1"/>
    <w:rsid w:val="5AC20EBF"/>
    <w:rsid w:val="5ACD5B73"/>
    <w:rsid w:val="5ADF42CD"/>
    <w:rsid w:val="5B050809"/>
    <w:rsid w:val="5B1038C0"/>
    <w:rsid w:val="5B366061"/>
    <w:rsid w:val="5B3846E5"/>
    <w:rsid w:val="5B440B6E"/>
    <w:rsid w:val="5B553BEC"/>
    <w:rsid w:val="5B5B4ABD"/>
    <w:rsid w:val="5B5C5E93"/>
    <w:rsid w:val="5B5E3394"/>
    <w:rsid w:val="5B74024A"/>
    <w:rsid w:val="5B792560"/>
    <w:rsid w:val="5B8A7735"/>
    <w:rsid w:val="5B9D0E06"/>
    <w:rsid w:val="5BA172F8"/>
    <w:rsid w:val="5BB151A5"/>
    <w:rsid w:val="5BB6027C"/>
    <w:rsid w:val="5BB9424B"/>
    <w:rsid w:val="5BBB47C2"/>
    <w:rsid w:val="5BD36D0A"/>
    <w:rsid w:val="5BF62976"/>
    <w:rsid w:val="5BF86523"/>
    <w:rsid w:val="5C16597D"/>
    <w:rsid w:val="5C3A276B"/>
    <w:rsid w:val="5C576F8B"/>
    <w:rsid w:val="5C707C6C"/>
    <w:rsid w:val="5C8E0CD7"/>
    <w:rsid w:val="5C9E2C36"/>
    <w:rsid w:val="5CB21C23"/>
    <w:rsid w:val="5CB6579C"/>
    <w:rsid w:val="5CBB2347"/>
    <w:rsid w:val="5CC57418"/>
    <w:rsid w:val="5CC6320E"/>
    <w:rsid w:val="5CC76C7C"/>
    <w:rsid w:val="5CF36024"/>
    <w:rsid w:val="5CFF01AA"/>
    <w:rsid w:val="5D1344DD"/>
    <w:rsid w:val="5D7726AE"/>
    <w:rsid w:val="5D7B6EDD"/>
    <w:rsid w:val="5D806796"/>
    <w:rsid w:val="5D827D40"/>
    <w:rsid w:val="5D9555C5"/>
    <w:rsid w:val="5D9B28C6"/>
    <w:rsid w:val="5DC43C07"/>
    <w:rsid w:val="5DCA3A55"/>
    <w:rsid w:val="5DCD3255"/>
    <w:rsid w:val="5DE640E1"/>
    <w:rsid w:val="5DF44E4E"/>
    <w:rsid w:val="5E297761"/>
    <w:rsid w:val="5E33770D"/>
    <w:rsid w:val="5E3929E7"/>
    <w:rsid w:val="5E532ADD"/>
    <w:rsid w:val="5E610B28"/>
    <w:rsid w:val="5E66579C"/>
    <w:rsid w:val="5E91320F"/>
    <w:rsid w:val="5E915A7A"/>
    <w:rsid w:val="5E9345FF"/>
    <w:rsid w:val="5EA33A97"/>
    <w:rsid w:val="5ED134B6"/>
    <w:rsid w:val="5EF55DBA"/>
    <w:rsid w:val="5F4322E8"/>
    <w:rsid w:val="5F6B1358"/>
    <w:rsid w:val="5F803CFA"/>
    <w:rsid w:val="5FC51458"/>
    <w:rsid w:val="5FC866E5"/>
    <w:rsid w:val="5FD328B0"/>
    <w:rsid w:val="5FDC13D8"/>
    <w:rsid w:val="60090629"/>
    <w:rsid w:val="60413F7F"/>
    <w:rsid w:val="60660F52"/>
    <w:rsid w:val="60681513"/>
    <w:rsid w:val="606A3C6B"/>
    <w:rsid w:val="609B5019"/>
    <w:rsid w:val="609D60AA"/>
    <w:rsid w:val="60B4769E"/>
    <w:rsid w:val="60B55083"/>
    <w:rsid w:val="60FD506F"/>
    <w:rsid w:val="610242F6"/>
    <w:rsid w:val="6119401A"/>
    <w:rsid w:val="611B16B9"/>
    <w:rsid w:val="611D2CA6"/>
    <w:rsid w:val="61200642"/>
    <w:rsid w:val="61652DB1"/>
    <w:rsid w:val="6187185E"/>
    <w:rsid w:val="61970BE7"/>
    <w:rsid w:val="61A20E5D"/>
    <w:rsid w:val="61B8332B"/>
    <w:rsid w:val="61F17268"/>
    <w:rsid w:val="61FC7432"/>
    <w:rsid w:val="61FF0E6B"/>
    <w:rsid w:val="6204345E"/>
    <w:rsid w:val="620A3859"/>
    <w:rsid w:val="62204E0F"/>
    <w:rsid w:val="62207D5C"/>
    <w:rsid w:val="624063A3"/>
    <w:rsid w:val="62533606"/>
    <w:rsid w:val="62845968"/>
    <w:rsid w:val="628E2B97"/>
    <w:rsid w:val="62A86B6F"/>
    <w:rsid w:val="62B35B81"/>
    <w:rsid w:val="62B75EDD"/>
    <w:rsid w:val="62BA2CE3"/>
    <w:rsid w:val="62C01D55"/>
    <w:rsid w:val="62C92F2D"/>
    <w:rsid w:val="62D93169"/>
    <w:rsid w:val="62E40282"/>
    <w:rsid w:val="631D5B18"/>
    <w:rsid w:val="631E201F"/>
    <w:rsid w:val="63320961"/>
    <w:rsid w:val="634E6C76"/>
    <w:rsid w:val="63577D60"/>
    <w:rsid w:val="636514C6"/>
    <w:rsid w:val="636F701B"/>
    <w:rsid w:val="637E2382"/>
    <w:rsid w:val="6382662F"/>
    <w:rsid w:val="63B23C71"/>
    <w:rsid w:val="63C95202"/>
    <w:rsid w:val="63CB4107"/>
    <w:rsid w:val="63DB551D"/>
    <w:rsid w:val="63ED3A09"/>
    <w:rsid w:val="64090834"/>
    <w:rsid w:val="64116EAE"/>
    <w:rsid w:val="64272A3B"/>
    <w:rsid w:val="6467063D"/>
    <w:rsid w:val="648F4A0E"/>
    <w:rsid w:val="64937E71"/>
    <w:rsid w:val="6495646A"/>
    <w:rsid w:val="649E30DF"/>
    <w:rsid w:val="64C02EBC"/>
    <w:rsid w:val="64FA320D"/>
    <w:rsid w:val="65797FD4"/>
    <w:rsid w:val="658D5E16"/>
    <w:rsid w:val="65953363"/>
    <w:rsid w:val="65B841DE"/>
    <w:rsid w:val="65CA03C9"/>
    <w:rsid w:val="65D55097"/>
    <w:rsid w:val="65E1661E"/>
    <w:rsid w:val="65E36C18"/>
    <w:rsid w:val="660918F9"/>
    <w:rsid w:val="662469CA"/>
    <w:rsid w:val="663C1302"/>
    <w:rsid w:val="665F0112"/>
    <w:rsid w:val="667F18FA"/>
    <w:rsid w:val="669A5886"/>
    <w:rsid w:val="66BF54E4"/>
    <w:rsid w:val="67101119"/>
    <w:rsid w:val="67151BB5"/>
    <w:rsid w:val="671C67EA"/>
    <w:rsid w:val="67400D4D"/>
    <w:rsid w:val="67495436"/>
    <w:rsid w:val="674D4CE8"/>
    <w:rsid w:val="677A414A"/>
    <w:rsid w:val="67C952B3"/>
    <w:rsid w:val="67CB697C"/>
    <w:rsid w:val="67DB4341"/>
    <w:rsid w:val="68720AE2"/>
    <w:rsid w:val="689554F5"/>
    <w:rsid w:val="68AA7215"/>
    <w:rsid w:val="68ED6911"/>
    <w:rsid w:val="6903642B"/>
    <w:rsid w:val="69087DC9"/>
    <w:rsid w:val="690F1870"/>
    <w:rsid w:val="692F5E27"/>
    <w:rsid w:val="6934046F"/>
    <w:rsid w:val="69466675"/>
    <w:rsid w:val="698C2B7F"/>
    <w:rsid w:val="69AB5D7A"/>
    <w:rsid w:val="69B8196D"/>
    <w:rsid w:val="69DF7BDF"/>
    <w:rsid w:val="69F21353"/>
    <w:rsid w:val="69F575F2"/>
    <w:rsid w:val="6A1E730C"/>
    <w:rsid w:val="6A4C7335"/>
    <w:rsid w:val="6A531E39"/>
    <w:rsid w:val="6A545ADB"/>
    <w:rsid w:val="6A5D05BD"/>
    <w:rsid w:val="6A6B273C"/>
    <w:rsid w:val="6A703222"/>
    <w:rsid w:val="6AAA18E6"/>
    <w:rsid w:val="6AB66294"/>
    <w:rsid w:val="6AC60849"/>
    <w:rsid w:val="6AC938A9"/>
    <w:rsid w:val="6B2D16CF"/>
    <w:rsid w:val="6B2F05BC"/>
    <w:rsid w:val="6B435167"/>
    <w:rsid w:val="6B522B8F"/>
    <w:rsid w:val="6B9E5223"/>
    <w:rsid w:val="6BB237C9"/>
    <w:rsid w:val="6BB37104"/>
    <w:rsid w:val="6BDF1336"/>
    <w:rsid w:val="6C3161F1"/>
    <w:rsid w:val="6C3745DF"/>
    <w:rsid w:val="6C3D4127"/>
    <w:rsid w:val="6C472EBA"/>
    <w:rsid w:val="6C6253EB"/>
    <w:rsid w:val="6C666B72"/>
    <w:rsid w:val="6C6D2D24"/>
    <w:rsid w:val="6C8F3EF6"/>
    <w:rsid w:val="6CAD55CC"/>
    <w:rsid w:val="6CBE1616"/>
    <w:rsid w:val="6CC15D2B"/>
    <w:rsid w:val="6CC15F94"/>
    <w:rsid w:val="6CDA118A"/>
    <w:rsid w:val="6CDA5ADC"/>
    <w:rsid w:val="6CE87F8C"/>
    <w:rsid w:val="6D0C01A9"/>
    <w:rsid w:val="6D2A44DD"/>
    <w:rsid w:val="6D493A0A"/>
    <w:rsid w:val="6D551BE3"/>
    <w:rsid w:val="6D5C2995"/>
    <w:rsid w:val="6D8E2C9C"/>
    <w:rsid w:val="6DAD51A4"/>
    <w:rsid w:val="6E017D0E"/>
    <w:rsid w:val="6E053E0B"/>
    <w:rsid w:val="6E1E1DB6"/>
    <w:rsid w:val="6E201C15"/>
    <w:rsid w:val="6E3F4BAC"/>
    <w:rsid w:val="6E524DE3"/>
    <w:rsid w:val="6E735A03"/>
    <w:rsid w:val="6E7D3005"/>
    <w:rsid w:val="6EA04E08"/>
    <w:rsid w:val="6EAA18F7"/>
    <w:rsid w:val="6EBB6601"/>
    <w:rsid w:val="6ECF710B"/>
    <w:rsid w:val="6EEE5D94"/>
    <w:rsid w:val="6F050882"/>
    <w:rsid w:val="6F0B5A13"/>
    <w:rsid w:val="6F1579C7"/>
    <w:rsid w:val="6F62521C"/>
    <w:rsid w:val="6FB01195"/>
    <w:rsid w:val="6FBC6483"/>
    <w:rsid w:val="6FC130A1"/>
    <w:rsid w:val="6FC26F58"/>
    <w:rsid w:val="6FD761EC"/>
    <w:rsid w:val="6FE52312"/>
    <w:rsid w:val="6FF1085F"/>
    <w:rsid w:val="700F6510"/>
    <w:rsid w:val="70750A7A"/>
    <w:rsid w:val="70991D59"/>
    <w:rsid w:val="709A5C21"/>
    <w:rsid w:val="70AE3508"/>
    <w:rsid w:val="70C51917"/>
    <w:rsid w:val="70D02722"/>
    <w:rsid w:val="70E72469"/>
    <w:rsid w:val="70F067F3"/>
    <w:rsid w:val="711A09D1"/>
    <w:rsid w:val="71275E70"/>
    <w:rsid w:val="712F60DB"/>
    <w:rsid w:val="714044CF"/>
    <w:rsid w:val="714B6CD7"/>
    <w:rsid w:val="71653B96"/>
    <w:rsid w:val="718A3BCA"/>
    <w:rsid w:val="71D8215F"/>
    <w:rsid w:val="71DF1D07"/>
    <w:rsid w:val="71FB7CB1"/>
    <w:rsid w:val="720D209A"/>
    <w:rsid w:val="7221044F"/>
    <w:rsid w:val="72252F84"/>
    <w:rsid w:val="722F089D"/>
    <w:rsid w:val="722F2786"/>
    <w:rsid w:val="723126FD"/>
    <w:rsid w:val="7235272A"/>
    <w:rsid w:val="723E2E01"/>
    <w:rsid w:val="72404D8A"/>
    <w:rsid w:val="724C22E8"/>
    <w:rsid w:val="725F0F01"/>
    <w:rsid w:val="729D5E1F"/>
    <w:rsid w:val="72A675EF"/>
    <w:rsid w:val="72E72EAA"/>
    <w:rsid w:val="72F27051"/>
    <w:rsid w:val="7331658B"/>
    <w:rsid w:val="733C6C97"/>
    <w:rsid w:val="734A344D"/>
    <w:rsid w:val="734B4A4B"/>
    <w:rsid w:val="734C70B6"/>
    <w:rsid w:val="7352584F"/>
    <w:rsid w:val="73560C2B"/>
    <w:rsid w:val="735E4E1D"/>
    <w:rsid w:val="7388314F"/>
    <w:rsid w:val="73892C0F"/>
    <w:rsid w:val="7399694D"/>
    <w:rsid w:val="73C30699"/>
    <w:rsid w:val="73CB394C"/>
    <w:rsid w:val="73D51780"/>
    <w:rsid w:val="73E34188"/>
    <w:rsid w:val="73F006A6"/>
    <w:rsid w:val="73F022C4"/>
    <w:rsid w:val="73F63EFE"/>
    <w:rsid w:val="73FF26B3"/>
    <w:rsid w:val="74071758"/>
    <w:rsid w:val="741425AC"/>
    <w:rsid w:val="741D773B"/>
    <w:rsid w:val="74280680"/>
    <w:rsid w:val="744F658E"/>
    <w:rsid w:val="7463178E"/>
    <w:rsid w:val="746371B3"/>
    <w:rsid w:val="746E5228"/>
    <w:rsid w:val="747A43C9"/>
    <w:rsid w:val="74922B66"/>
    <w:rsid w:val="74A5696C"/>
    <w:rsid w:val="74A87232"/>
    <w:rsid w:val="74DB20FA"/>
    <w:rsid w:val="7508529D"/>
    <w:rsid w:val="752C3218"/>
    <w:rsid w:val="75397634"/>
    <w:rsid w:val="75537CD8"/>
    <w:rsid w:val="75595BE3"/>
    <w:rsid w:val="755E58D5"/>
    <w:rsid w:val="755F2257"/>
    <w:rsid w:val="757606EF"/>
    <w:rsid w:val="757C6350"/>
    <w:rsid w:val="75844FC1"/>
    <w:rsid w:val="75EE069B"/>
    <w:rsid w:val="75FC15CE"/>
    <w:rsid w:val="7615419A"/>
    <w:rsid w:val="76172D6A"/>
    <w:rsid w:val="761A409E"/>
    <w:rsid w:val="762F02D7"/>
    <w:rsid w:val="763D7340"/>
    <w:rsid w:val="76512EE8"/>
    <w:rsid w:val="767A6C09"/>
    <w:rsid w:val="767F5650"/>
    <w:rsid w:val="76880BA0"/>
    <w:rsid w:val="76885BC7"/>
    <w:rsid w:val="768C19C1"/>
    <w:rsid w:val="768C2564"/>
    <w:rsid w:val="76991D18"/>
    <w:rsid w:val="76BA43D5"/>
    <w:rsid w:val="76BE21DC"/>
    <w:rsid w:val="76CD5B13"/>
    <w:rsid w:val="76DF3C76"/>
    <w:rsid w:val="76EB41A9"/>
    <w:rsid w:val="76F71295"/>
    <w:rsid w:val="76F81464"/>
    <w:rsid w:val="76FC2CE2"/>
    <w:rsid w:val="7706359E"/>
    <w:rsid w:val="771A5653"/>
    <w:rsid w:val="771B5FB2"/>
    <w:rsid w:val="772A75AD"/>
    <w:rsid w:val="7734542F"/>
    <w:rsid w:val="774073C9"/>
    <w:rsid w:val="77460079"/>
    <w:rsid w:val="774744D4"/>
    <w:rsid w:val="77567D26"/>
    <w:rsid w:val="77574E5D"/>
    <w:rsid w:val="77592E82"/>
    <w:rsid w:val="775D2B17"/>
    <w:rsid w:val="7760235E"/>
    <w:rsid w:val="777D4FBC"/>
    <w:rsid w:val="77C64121"/>
    <w:rsid w:val="77CD3C5D"/>
    <w:rsid w:val="77FD4667"/>
    <w:rsid w:val="781200C6"/>
    <w:rsid w:val="78150104"/>
    <w:rsid w:val="786B1829"/>
    <w:rsid w:val="78AD0549"/>
    <w:rsid w:val="78C7234E"/>
    <w:rsid w:val="791063B8"/>
    <w:rsid w:val="79235A1B"/>
    <w:rsid w:val="793842B6"/>
    <w:rsid w:val="793E7F2E"/>
    <w:rsid w:val="796362D3"/>
    <w:rsid w:val="79827C27"/>
    <w:rsid w:val="798834D2"/>
    <w:rsid w:val="799B7D73"/>
    <w:rsid w:val="79B07BB3"/>
    <w:rsid w:val="79B7369F"/>
    <w:rsid w:val="79C03278"/>
    <w:rsid w:val="79D510F0"/>
    <w:rsid w:val="79ED59B1"/>
    <w:rsid w:val="79F56CDC"/>
    <w:rsid w:val="7A032271"/>
    <w:rsid w:val="7A320BDB"/>
    <w:rsid w:val="7A491583"/>
    <w:rsid w:val="7A5B6EDF"/>
    <w:rsid w:val="7A5D2F7E"/>
    <w:rsid w:val="7A676444"/>
    <w:rsid w:val="7A72534A"/>
    <w:rsid w:val="7A832DB1"/>
    <w:rsid w:val="7A8F7D69"/>
    <w:rsid w:val="7A9C5FF5"/>
    <w:rsid w:val="7AA27F96"/>
    <w:rsid w:val="7AAA0554"/>
    <w:rsid w:val="7AB320ED"/>
    <w:rsid w:val="7AC2422A"/>
    <w:rsid w:val="7AD44A1D"/>
    <w:rsid w:val="7B045A0E"/>
    <w:rsid w:val="7B137629"/>
    <w:rsid w:val="7B1B29C2"/>
    <w:rsid w:val="7B5A4576"/>
    <w:rsid w:val="7B5D2C25"/>
    <w:rsid w:val="7B832034"/>
    <w:rsid w:val="7BA57F90"/>
    <w:rsid w:val="7BBC18FF"/>
    <w:rsid w:val="7C100290"/>
    <w:rsid w:val="7C151FE3"/>
    <w:rsid w:val="7C1D63E0"/>
    <w:rsid w:val="7C2925EF"/>
    <w:rsid w:val="7C463AF9"/>
    <w:rsid w:val="7C4673AC"/>
    <w:rsid w:val="7C691C0E"/>
    <w:rsid w:val="7C6D0FAF"/>
    <w:rsid w:val="7C7654E0"/>
    <w:rsid w:val="7C877FA6"/>
    <w:rsid w:val="7C93235C"/>
    <w:rsid w:val="7C9D56FC"/>
    <w:rsid w:val="7C9E2AE3"/>
    <w:rsid w:val="7CA34E3A"/>
    <w:rsid w:val="7CA75D16"/>
    <w:rsid w:val="7CC7797E"/>
    <w:rsid w:val="7CDE5607"/>
    <w:rsid w:val="7D071A7E"/>
    <w:rsid w:val="7D0D23F8"/>
    <w:rsid w:val="7D1819A4"/>
    <w:rsid w:val="7D55756C"/>
    <w:rsid w:val="7D57537E"/>
    <w:rsid w:val="7D58558B"/>
    <w:rsid w:val="7D657DFF"/>
    <w:rsid w:val="7D79413D"/>
    <w:rsid w:val="7D7F5BFA"/>
    <w:rsid w:val="7D872924"/>
    <w:rsid w:val="7D8B2DD3"/>
    <w:rsid w:val="7D8F5F9C"/>
    <w:rsid w:val="7D9677FD"/>
    <w:rsid w:val="7D97637C"/>
    <w:rsid w:val="7DE50D83"/>
    <w:rsid w:val="7DE5359B"/>
    <w:rsid w:val="7E180A37"/>
    <w:rsid w:val="7E216E24"/>
    <w:rsid w:val="7E252BD1"/>
    <w:rsid w:val="7E2D4483"/>
    <w:rsid w:val="7E324C0E"/>
    <w:rsid w:val="7E327A3B"/>
    <w:rsid w:val="7E477550"/>
    <w:rsid w:val="7E621BA9"/>
    <w:rsid w:val="7E665892"/>
    <w:rsid w:val="7E782BA9"/>
    <w:rsid w:val="7E8926E1"/>
    <w:rsid w:val="7E9213CC"/>
    <w:rsid w:val="7EA926FF"/>
    <w:rsid w:val="7EAA18EA"/>
    <w:rsid w:val="7EC93E9C"/>
    <w:rsid w:val="7ED12906"/>
    <w:rsid w:val="7EF33F65"/>
    <w:rsid w:val="7EFA1C61"/>
    <w:rsid w:val="7F0300DD"/>
    <w:rsid w:val="7F2569C6"/>
    <w:rsid w:val="7F6C7183"/>
    <w:rsid w:val="7F826632"/>
    <w:rsid w:val="7FA31856"/>
    <w:rsid w:val="7FAF2DF8"/>
    <w:rsid w:val="7FB2207D"/>
    <w:rsid w:val="7FFA71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styleId="5">
    <w:name w:val="heading 1"/>
    <w:basedOn w:val="1"/>
    <w:next w:val="1"/>
    <w:link w:val="73"/>
    <w:qFormat/>
    <w:uiPriority w:val="0"/>
    <w:pPr>
      <w:outlineLvl w:val="0"/>
    </w:pPr>
  </w:style>
  <w:style w:type="paragraph" w:styleId="6">
    <w:name w:val="heading 2"/>
    <w:basedOn w:val="1"/>
    <w:next w:val="1"/>
    <w:qFormat/>
    <w:uiPriority w:val="0"/>
    <w:pPr>
      <w:outlineLvl w:val="1"/>
    </w:pPr>
    <w:rPr>
      <w:rFonts w:hAnsi="宋体"/>
      <w:b/>
    </w:rPr>
  </w:style>
  <w:style w:type="paragraph" w:styleId="7">
    <w:name w:val="heading 3"/>
    <w:basedOn w:val="1"/>
    <w:next w:val="1"/>
    <w:qFormat/>
    <w:uiPriority w:val="0"/>
    <w:pPr>
      <w:outlineLvl w:val="2"/>
    </w:p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qFormat/>
    <w:uiPriority w:val="0"/>
    <w:pPr>
      <w:keepNext/>
      <w:keepLines/>
      <w:widowControl/>
      <w:tabs>
        <w:tab w:val="left" w:pos="1008"/>
      </w:tabs>
      <w:autoSpaceDE/>
      <w:autoSpaceDN/>
      <w:adjustRightInd/>
      <w:spacing w:before="280" w:after="290" w:line="376" w:lineRule="auto"/>
      <w:ind w:left="1008" w:hanging="1008"/>
      <w:outlineLvl w:val="4"/>
    </w:pPr>
    <w:rPr>
      <w:rFonts w:ascii="Times New Roman"/>
      <w:b/>
      <w:bCs/>
      <w:sz w:val="28"/>
      <w:szCs w:val="28"/>
    </w:rPr>
  </w:style>
  <w:style w:type="paragraph" w:styleId="10">
    <w:name w:val="heading 6"/>
    <w:basedOn w:val="1"/>
    <w:next w:val="1"/>
    <w:qFormat/>
    <w:uiPriority w:val="0"/>
    <w:pPr>
      <w:keepNext/>
      <w:keepLines/>
      <w:widowControl/>
      <w:tabs>
        <w:tab w:val="left" w:pos="1152"/>
      </w:tabs>
      <w:autoSpaceDE/>
      <w:autoSpaceDN/>
      <w:adjustRightInd/>
      <w:spacing w:before="240" w:after="64" w:line="320" w:lineRule="auto"/>
      <w:ind w:left="1152" w:hanging="1152"/>
      <w:outlineLvl w:val="5"/>
    </w:pPr>
    <w:rPr>
      <w:rFonts w:ascii="Arial" w:hAnsi="Arial" w:eastAsia="黑体"/>
      <w:b/>
      <w:bCs/>
    </w:rPr>
  </w:style>
  <w:style w:type="paragraph" w:styleId="11">
    <w:name w:val="heading 7"/>
    <w:basedOn w:val="1"/>
    <w:next w:val="1"/>
    <w:qFormat/>
    <w:uiPriority w:val="0"/>
    <w:pPr>
      <w:keepNext/>
      <w:keepLines/>
      <w:widowControl/>
      <w:tabs>
        <w:tab w:val="left" w:pos="1296"/>
      </w:tabs>
      <w:autoSpaceDE/>
      <w:autoSpaceDN/>
      <w:adjustRightInd/>
      <w:spacing w:before="240" w:after="64" w:line="320" w:lineRule="auto"/>
      <w:ind w:left="1296" w:hanging="1296"/>
      <w:outlineLvl w:val="6"/>
    </w:pPr>
    <w:rPr>
      <w:rFonts w:ascii="Times New Roman"/>
      <w:b/>
      <w:bCs/>
    </w:rPr>
  </w:style>
  <w:style w:type="paragraph" w:styleId="12">
    <w:name w:val="heading 8"/>
    <w:basedOn w:val="1"/>
    <w:next w:val="1"/>
    <w:qFormat/>
    <w:uiPriority w:val="0"/>
    <w:pPr>
      <w:keepNext/>
      <w:keepLines/>
      <w:widowControl/>
      <w:tabs>
        <w:tab w:val="left" w:pos="1440"/>
      </w:tabs>
      <w:autoSpaceDE/>
      <w:autoSpaceDN/>
      <w:adjustRightInd/>
      <w:spacing w:before="240" w:after="64" w:line="320" w:lineRule="auto"/>
      <w:ind w:left="1440" w:hanging="1440"/>
      <w:outlineLvl w:val="7"/>
    </w:pPr>
    <w:rPr>
      <w:rFonts w:ascii="Arial" w:hAnsi="Arial" w:eastAsia="黑体"/>
    </w:rPr>
  </w:style>
  <w:style w:type="paragraph" w:styleId="13">
    <w:name w:val="heading 9"/>
    <w:basedOn w:val="1"/>
    <w:next w:val="1"/>
    <w:qFormat/>
    <w:uiPriority w:val="0"/>
    <w:pPr>
      <w:keepNext/>
      <w:keepLines/>
      <w:widowControl/>
      <w:tabs>
        <w:tab w:val="left" w:pos="1584"/>
      </w:tabs>
      <w:autoSpaceDE/>
      <w:autoSpaceDN/>
      <w:adjustRightInd/>
      <w:spacing w:before="240" w:after="64" w:line="320" w:lineRule="auto"/>
      <w:ind w:left="1584" w:hanging="1584"/>
      <w:outlineLvl w:val="8"/>
    </w:pPr>
    <w:rPr>
      <w:rFonts w:ascii="Arial" w:hAnsi="Arial" w:eastAsia="黑体"/>
      <w:sz w:val="21"/>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84"/>
    <w:qFormat/>
    <w:uiPriority w:val="0"/>
    <w:pPr>
      <w:ind w:right="-26"/>
      <w:jc w:val="center"/>
    </w:pPr>
    <w:rPr>
      <w:rFonts w:hAnsi="Times New Roman"/>
      <w:b/>
      <w:bCs/>
      <w:kern w:val="2"/>
      <w:sz w:val="84"/>
      <w:szCs w:val="84"/>
      <w:lang w:val="zh-CN"/>
    </w:rPr>
  </w:style>
  <w:style w:type="paragraph" w:styleId="3">
    <w:name w:val="Body Text Indent"/>
    <w:basedOn w:val="1"/>
    <w:next w:val="4"/>
    <w:qFormat/>
    <w:uiPriority w:val="0"/>
    <w:pPr>
      <w:autoSpaceDE/>
      <w:autoSpaceDN/>
      <w:adjustRightInd/>
      <w:ind w:left="567" w:leftChars="270"/>
      <w:jc w:val="both"/>
    </w:pPr>
    <w:rPr>
      <w:rFonts w:ascii="Times New Roman"/>
      <w:kern w:val="2"/>
      <w:sz w:val="21"/>
      <w:szCs w:val="20"/>
    </w:rPr>
  </w:style>
  <w:style w:type="paragraph" w:styleId="4">
    <w:name w:val="envelope return"/>
    <w:basedOn w:val="1"/>
    <w:unhideWhenUsed/>
    <w:qFormat/>
    <w:uiPriority w:val="99"/>
  </w:style>
  <w:style w:type="paragraph" w:styleId="14">
    <w:name w:val="toc 7"/>
    <w:basedOn w:val="1"/>
    <w:next w:val="1"/>
    <w:qFormat/>
    <w:uiPriority w:val="0"/>
    <w:pPr>
      <w:ind w:left="1440"/>
    </w:pPr>
    <w:rPr>
      <w:rFonts w:ascii="Calibri" w:cs="Calibri"/>
      <w:sz w:val="18"/>
      <w:szCs w:val="18"/>
    </w:rPr>
  </w:style>
  <w:style w:type="paragraph" w:styleId="15">
    <w:name w:val="Normal Indent"/>
    <w:basedOn w:val="1"/>
    <w:link w:val="79"/>
    <w:qFormat/>
    <w:uiPriority w:val="0"/>
    <w:pPr>
      <w:widowControl/>
      <w:autoSpaceDE/>
      <w:autoSpaceDN/>
      <w:adjustRightInd/>
      <w:ind w:firstLine="420" w:firstLineChars="200"/>
    </w:pPr>
    <w:rPr>
      <w:rFonts w:ascii="Calibri"/>
      <w:sz w:val="20"/>
      <w:szCs w:val="20"/>
    </w:rPr>
  </w:style>
  <w:style w:type="paragraph" w:styleId="16">
    <w:name w:val="caption"/>
    <w:basedOn w:val="1"/>
    <w:next w:val="1"/>
    <w:qFormat/>
    <w:uiPriority w:val="0"/>
    <w:pPr>
      <w:spacing w:before="152" w:after="160"/>
    </w:pPr>
    <w:rPr>
      <w:rFonts w:ascii="Arial" w:hAnsi="Arial" w:eastAsia="黑体" w:cs="Arial"/>
      <w:sz w:val="20"/>
      <w:szCs w:val="20"/>
    </w:rPr>
  </w:style>
  <w:style w:type="paragraph" w:styleId="17">
    <w:name w:val="List Bullet"/>
    <w:basedOn w:val="18"/>
    <w:qFormat/>
    <w:uiPriority w:val="0"/>
    <w:pPr>
      <w:widowControl/>
      <w:numPr>
        <w:ilvl w:val="0"/>
        <w:numId w:val="1"/>
      </w:numPr>
      <w:tabs>
        <w:tab w:val="left" w:pos="420"/>
      </w:tabs>
      <w:adjustRightInd/>
      <w:snapToGrid/>
      <w:ind w:right="720"/>
    </w:pPr>
    <w:rPr>
      <w:rFonts w:ascii="Garamond" w:hAnsi="Garamond"/>
      <w:kern w:val="0"/>
      <w:sz w:val="24"/>
      <w:szCs w:val="20"/>
    </w:rPr>
  </w:style>
  <w:style w:type="paragraph" w:styleId="18">
    <w:name w:val="List"/>
    <w:basedOn w:val="1"/>
    <w:qFormat/>
    <w:uiPriority w:val="0"/>
    <w:pPr>
      <w:numPr>
        <w:ilvl w:val="0"/>
        <w:numId w:val="2"/>
      </w:numPr>
      <w:autoSpaceDE/>
      <w:autoSpaceDN/>
      <w:snapToGrid w:val="0"/>
      <w:spacing w:line="300" w:lineRule="auto"/>
      <w:jc w:val="both"/>
    </w:pPr>
    <w:rPr>
      <w:rFonts w:ascii="Times New Roman"/>
      <w:kern w:val="2"/>
      <w:sz w:val="21"/>
    </w:rPr>
  </w:style>
  <w:style w:type="paragraph" w:styleId="19">
    <w:name w:val="Document Map"/>
    <w:basedOn w:val="1"/>
    <w:qFormat/>
    <w:uiPriority w:val="0"/>
    <w:pPr>
      <w:shd w:val="clear" w:color="auto" w:fill="000080"/>
    </w:pPr>
  </w:style>
  <w:style w:type="paragraph" w:styleId="20">
    <w:name w:val="toa heading"/>
    <w:basedOn w:val="1"/>
    <w:next w:val="1"/>
    <w:qFormat/>
    <w:uiPriority w:val="0"/>
    <w:pPr>
      <w:snapToGrid w:val="0"/>
      <w:spacing w:before="120" w:line="360" w:lineRule="auto"/>
      <w:jc w:val="both"/>
    </w:pPr>
    <w:rPr>
      <w:rFonts w:ascii="Arial" w:hAnsi="Arial"/>
      <w:snapToGrid w:val="0"/>
      <w:color w:val="000000"/>
      <w:sz w:val="21"/>
      <w:szCs w:val="20"/>
    </w:rPr>
  </w:style>
  <w:style w:type="paragraph" w:styleId="21">
    <w:name w:val="annotation text"/>
    <w:basedOn w:val="1"/>
    <w:link w:val="186"/>
    <w:qFormat/>
    <w:uiPriority w:val="0"/>
    <w:pPr>
      <w:widowControl/>
      <w:autoSpaceDE/>
      <w:autoSpaceDN/>
      <w:adjustRightInd/>
    </w:pPr>
    <w:rPr>
      <w:rFonts w:ascii="Times New Roman"/>
      <w:sz w:val="21"/>
      <w:szCs w:val="20"/>
    </w:rPr>
  </w:style>
  <w:style w:type="paragraph" w:styleId="22">
    <w:name w:val="Body Text 3"/>
    <w:basedOn w:val="1"/>
    <w:qFormat/>
    <w:uiPriority w:val="0"/>
    <w:pPr>
      <w:ind w:right="-26"/>
      <w:jc w:val="center"/>
    </w:pPr>
    <w:rPr>
      <w:b/>
      <w:bCs/>
      <w:color w:val="3366FF"/>
      <w:kern w:val="2"/>
      <w:sz w:val="52"/>
      <w:szCs w:val="52"/>
      <w:lang w:val="zh-CN"/>
    </w:rPr>
  </w:style>
  <w:style w:type="paragraph" w:styleId="23">
    <w:name w:val="List Number 3"/>
    <w:basedOn w:val="1"/>
    <w:qFormat/>
    <w:uiPriority w:val="0"/>
    <w:pPr>
      <w:numPr>
        <w:ilvl w:val="0"/>
        <w:numId w:val="3"/>
      </w:numPr>
    </w:pPr>
  </w:style>
  <w:style w:type="paragraph" w:styleId="24">
    <w:name w:val="List 2"/>
    <w:basedOn w:val="1"/>
    <w:qFormat/>
    <w:uiPriority w:val="0"/>
    <w:pPr>
      <w:widowControl/>
      <w:autoSpaceDE/>
      <w:autoSpaceDN/>
      <w:adjustRightInd/>
      <w:ind w:left="100" w:leftChars="200" w:hanging="200" w:hangingChars="200"/>
    </w:pPr>
    <w:rPr>
      <w:rFonts w:ascii="Times New Roman"/>
      <w:sz w:val="21"/>
      <w:szCs w:val="20"/>
    </w:rPr>
  </w:style>
  <w:style w:type="paragraph" w:styleId="25">
    <w:name w:val="Block Text"/>
    <w:basedOn w:val="1"/>
    <w:qFormat/>
    <w:uiPriority w:val="0"/>
    <w:pPr>
      <w:spacing w:after="120"/>
      <w:ind w:left="1440" w:leftChars="700" w:right="1440" w:rightChars="700"/>
    </w:pPr>
  </w:style>
  <w:style w:type="paragraph" w:styleId="26">
    <w:name w:val="toc 5"/>
    <w:basedOn w:val="1"/>
    <w:next w:val="1"/>
    <w:qFormat/>
    <w:uiPriority w:val="0"/>
    <w:pPr>
      <w:ind w:left="960"/>
    </w:pPr>
    <w:rPr>
      <w:rFonts w:ascii="Calibri" w:cs="Calibri"/>
      <w:sz w:val="18"/>
      <w:szCs w:val="18"/>
    </w:rPr>
  </w:style>
  <w:style w:type="paragraph" w:styleId="27">
    <w:name w:val="toc 3"/>
    <w:basedOn w:val="1"/>
    <w:next w:val="1"/>
    <w:qFormat/>
    <w:uiPriority w:val="0"/>
    <w:pPr>
      <w:ind w:left="480"/>
    </w:pPr>
    <w:rPr>
      <w:rFonts w:ascii="Calibri" w:cs="Calibri"/>
      <w:i/>
      <w:iCs/>
      <w:sz w:val="20"/>
      <w:szCs w:val="20"/>
    </w:rPr>
  </w:style>
  <w:style w:type="paragraph" w:styleId="28">
    <w:name w:val="Plain Text"/>
    <w:basedOn w:val="1"/>
    <w:link w:val="80"/>
    <w:qFormat/>
    <w:uiPriority w:val="0"/>
    <w:pPr>
      <w:autoSpaceDE/>
      <w:autoSpaceDN/>
      <w:adjustRightInd/>
      <w:jc w:val="both"/>
    </w:pPr>
    <w:rPr>
      <w:rFonts w:hAnsi="Courier New"/>
      <w:kern w:val="2"/>
      <w:sz w:val="21"/>
      <w:szCs w:val="20"/>
    </w:rPr>
  </w:style>
  <w:style w:type="paragraph" w:styleId="29">
    <w:name w:val="toc 8"/>
    <w:basedOn w:val="1"/>
    <w:next w:val="1"/>
    <w:qFormat/>
    <w:uiPriority w:val="0"/>
    <w:pPr>
      <w:ind w:left="1680"/>
    </w:pPr>
    <w:rPr>
      <w:rFonts w:ascii="Calibri" w:cs="Calibri"/>
      <w:sz w:val="18"/>
      <w:szCs w:val="18"/>
    </w:rPr>
  </w:style>
  <w:style w:type="paragraph" w:styleId="30">
    <w:name w:val="Date"/>
    <w:basedOn w:val="1"/>
    <w:next w:val="1"/>
    <w:qFormat/>
    <w:uiPriority w:val="0"/>
    <w:pPr>
      <w:ind w:left="100" w:leftChars="2500"/>
    </w:pPr>
    <w:rPr>
      <w:b/>
      <w:bCs/>
      <w:kern w:val="2"/>
      <w:sz w:val="21"/>
      <w:szCs w:val="21"/>
      <w:lang w:val="zh-CN"/>
    </w:rPr>
  </w:style>
  <w:style w:type="paragraph" w:styleId="31">
    <w:name w:val="Body Text Indent 2"/>
    <w:basedOn w:val="1"/>
    <w:qFormat/>
    <w:uiPriority w:val="0"/>
    <w:pPr>
      <w:tabs>
        <w:tab w:val="left" w:pos="8640"/>
      </w:tabs>
      <w:autoSpaceDE/>
      <w:autoSpaceDN/>
      <w:adjustRightInd/>
      <w:ind w:left="1260"/>
      <w:jc w:val="both"/>
    </w:pPr>
    <w:rPr>
      <w:kern w:val="2"/>
      <w:sz w:val="21"/>
      <w:szCs w:val="20"/>
    </w:rPr>
  </w:style>
  <w:style w:type="paragraph" w:styleId="32">
    <w:name w:val="Balloon Text"/>
    <w:basedOn w:val="1"/>
    <w:qFormat/>
    <w:uiPriority w:val="0"/>
    <w:pPr>
      <w:autoSpaceDE/>
      <w:autoSpaceDN/>
      <w:adjustRightInd/>
      <w:jc w:val="both"/>
    </w:pPr>
    <w:rPr>
      <w:rFonts w:ascii="Times New Roman"/>
      <w:kern w:val="2"/>
      <w:sz w:val="18"/>
      <w:szCs w:val="18"/>
    </w:rPr>
  </w:style>
  <w:style w:type="paragraph" w:styleId="33">
    <w:name w:val="footer"/>
    <w:basedOn w:val="1"/>
    <w:link w:val="93"/>
    <w:qFormat/>
    <w:uiPriority w:val="0"/>
    <w:pPr>
      <w:tabs>
        <w:tab w:val="center" w:pos="4153"/>
        <w:tab w:val="right" w:pos="8306"/>
      </w:tabs>
      <w:snapToGrid w:val="0"/>
    </w:pPr>
    <w:rPr>
      <w:rFonts w:hAnsi="Times New Roman"/>
      <w:sz w:val="18"/>
      <w:szCs w:val="18"/>
    </w:rPr>
  </w:style>
  <w:style w:type="paragraph" w:styleId="34">
    <w:name w:val="header"/>
    <w:basedOn w:val="1"/>
    <w:link w:val="89"/>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0"/>
    <w:pPr>
      <w:spacing w:before="120" w:after="120"/>
    </w:pPr>
    <w:rPr>
      <w:rFonts w:ascii="Calibri" w:cs="Calibri"/>
      <w:b/>
      <w:bCs/>
      <w:caps/>
      <w:sz w:val="20"/>
      <w:szCs w:val="20"/>
    </w:rPr>
  </w:style>
  <w:style w:type="paragraph" w:styleId="36">
    <w:name w:val="toc 4"/>
    <w:basedOn w:val="1"/>
    <w:next w:val="1"/>
    <w:qFormat/>
    <w:uiPriority w:val="0"/>
    <w:pPr>
      <w:ind w:left="720"/>
    </w:pPr>
    <w:rPr>
      <w:rFonts w:ascii="Calibri" w:cs="Calibri"/>
      <w:sz w:val="18"/>
      <w:szCs w:val="18"/>
    </w:rPr>
  </w:style>
  <w:style w:type="paragraph" w:styleId="37">
    <w:name w:val="index heading"/>
    <w:basedOn w:val="1"/>
    <w:next w:val="38"/>
    <w:qFormat/>
    <w:uiPriority w:val="0"/>
    <w:pPr>
      <w:autoSpaceDE/>
      <w:autoSpaceDN/>
      <w:adjustRightInd/>
      <w:jc w:val="both"/>
    </w:pPr>
    <w:rPr>
      <w:rFonts w:ascii="Times New Roman"/>
      <w:kern w:val="2"/>
      <w:sz w:val="21"/>
      <w:szCs w:val="20"/>
    </w:rPr>
  </w:style>
  <w:style w:type="paragraph" w:styleId="38">
    <w:name w:val="index 1"/>
    <w:basedOn w:val="1"/>
    <w:next w:val="1"/>
    <w:qFormat/>
    <w:uiPriority w:val="0"/>
    <w:pPr>
      <w:autoSpaceDE/>
      <w:autoSpaceDN/>
      <w:adjustRightInd/>
      <w:ind w:left="540" w:leftChars="257"/>
      <w:jc w:val="both"/>
    </w:pPr>
    <w:rPr>
      <w:rFonts w:ascii="Arial" w:hAnsi="Arial" w:cs="Arial"/>
      <w:kern w:val="2"/>
      <w:sz w:val="21"/>
    </w:rPr>
  </w:style>
  <w:style w:type="paragraph" w:styleId="39">
    <w:name w:val="Subtitle"/>
    <w:basedOn w:val="1"/>
    <w:link w:val="92"/>
    <w:qFormat/>
    <w:uiPriority w:val="0"/>
    <w:pPr>
      <w:autoSpaceDE/>
      <w:autoSpaceDN/>
      <w:adjustRightInd/>
      <w:spacing w:before="240" w:after="60" w:line="312" w:lineRule="auto"/>
      <w:jc w:val="center"/>
      <w:outlineLvl w:val="1"/>
    </w:pPr>
    <w:rPr>
      <w:rFonts w:ascii="Arial" w:hAnsi="Arial"/>
      <w:b/>
      <w:kern w:val="28"/>
      <w:sz w:val="32"/>
      <w:szCs w:val="20"/>
    </w:rPr>
  </w:style>
  <w:style w:type="paragraph" w:styleId="40">
    <w:name w:val="toc 6"/>
    <w:basedOn w:val="1"/>
    <w:next w:val="1"/>
    <w:qFormat/>
    <w:uiPriority w:val="0"/>
    <w:pPr>
      <w:ind w:left="1200"/>
    </w:pPr>
    <w:rPr>
      <w:rFonts w:ascii="Calibri" w:cs="Calibri"/>
      <w:sz w:val="18"/>
      <w:szCs w:val="18"/>
    </w:rPr>
  </w:style>
  <w:style w:type="paragraph" w:styleId="41">
    <w:name w:val="Body Text Indent 3"/>
    <w:basedOn w:val="1"/>
    <w:qFormat/>
    <w:uiPriority w:val="0"/>
    <w:pPr>
      <w:spacing w:line="360" w:lineRule="auto"/>
      <w:ind w:firstLine="480" w:firstLineChars="200"/>
    </w:pPr>
  </w:style>
  <w:style w:type="paragraph" w:styleId="42">
    <w:name w:val="toc 2"/>
    <w:basedOn w:val="1"/>
    <w:next w:val="1"/>
    <w:qFormat/>
    <w:uiPriority w:val="0"/>
    <w:pPr>
      <w:ind w:left="240"/>
    </w:pPr>
    <w:rPr>
      <w:rFonts w:ascii="Calibri" w:cs="Calibri"/>
      <w:smallCaps/>
      <w:sz w:val="20"/>
      <w:szCs w:val="20"/>
    </w:rPr>
  </w:style>
  <w:style w:type="paragraph" w:styleId="43">
    <w:name w:val="toc 9"/>
    <w:basedOn w:val="1"/>
    <w:next w:val="1"/>
    <w:qFormat/>
    <w:uiPriority w:val="0"/>
    <w:pPr>
      <w:ind w:left="1920"/>
    </w:pPr>
    <w:rPr>
      <w:rFonts w:ascii="Calibri" w:cs="Calibri"/>
      <w:sz w:val="18"/>
      <w:szCs w:val="18"/>
    </w:rPr>
  </w:style>
  <w:style w:type="paragraph" w:styleId="44">
    <w:name w:val="Body Text 2"/>
    <w:basedOn w:val="1"/>
    <w:qFormat/>
    <w:uiPriority w:val="0"/>
    <w:pPr>
      <w:tabs>
        <w:tab w:val="left" w:pos="0"/>
      </w:tabs>
      <w:autoSpaceDE/>
      <w:autoSpaceDN/>
      <w:adjustRightInd/>
      <w:spacing w:line="400" w:lineRule="atLeast"/>
      <w:jc w:val="both"/>
    </w:pPr>
    <w:rPr>
      <w:rFonts w:ascii="Arial" w:hAnsi="Arial"/>
      <w:color w:val="000000"/>
      <w:kern w:val="2"/>
      <w:sz w:val="21"/>
    </w:rPr>
  </w:style>
  <w:style w:type="paragraph" w:styleId="45">
    <w:name w:val="List 4"/>
    <w:basedOn w:val="1"/>
    <w:qFormat/>
    <w:uiPriority w:val="0"/>
    <w:pPr>
      <w:tabs>
        <w:tab w:val="left" w:pos="750"/>
      </w:tabs>
      <w:autoSpaceDE/>
      <w:autoSpaceDN/>
      <w:adjustRightInd/>
      <w:ind w:left="750" w:hanging="750"/>
      <w:jc w:val="both"/>
    </w:pPr>
    <w:rPr>
      <w:rFonts w:ascii="Times New Roman" w:hAnsi="Times New Roman" w:cs="Times New Roman"/>
      <w:b/>
      <w:kern w:val="2"/>
      <w:sz w:val="21"/>
      <w:szCs w:val="20"/>
    </w:rPr>
  </w:style>
  <w:style w:type="paragraph" w:styleId="46">
    <w:name w:val="HTML Preformatted"/>
    <w:basedOn w:val="1"/>
    <w:link w:val="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80" w:lineRule="exact"/>
    </w:pPr>
    <w:rPr>
      <w:rFonts w:ascii="Arial" w:hAnsi="Arial" w:cs="Arial"/>
      <w:sz w:val="21"/>
      <w:szCs w:val="21"/>
    </w:rPr>
  </w:style>
  <w:style w:type="paragraph" w:styleId="47">
    <w:name w:val="Normal (Web)"/>
    <w:basedOn w:val="1"/>
    <w:qFormat/>
    <w:uiPriority w:val="0"/>
    <w:pPr>
      <w:widowControl/>
      <w:autoSpaceDE/>
      <w:autoSpaceDN/>
      <w:adjustRightInd/>
      <w:spacing w:before="100" w:beforeAutospacing="1" w:after="100" w:afterAutospacing="1"/>
    </w:pPr>
    <w:rPr>
      <w:rFonts w:hAnsi="宋体"/>
      <w:sz w:val="15"/>
      <w:szCs w:val="15"/>
    </w:rPr>
  </w:style>
  <w:style w:type="paragraph" w:styleId="48">
    <w:name w:val="Title"/>
    <w:basedOn w:val="1"/>
    <w:next w:val="1"/>
    <w:qFormat/>
    <w:uiPriority w:val="0"/>
    <w:pPr>
      <w:numPr>
        <w:ilvl w:val="0"/>
        <w:numId w:val="4"/>
      </w:numPr>
      <w:tabs>
        <w:tab w:val="clear" w:pos="2121"/>
      </w:tabs>
      <w:autoSpaceDE/>
      <w:autoSpaceDN/>
      <w:snapToGrid w:val="0"/>
      <w:spacing w:beforeLines="50" w:afterLines="50"/>
      <w:ind w:left="0" w:firstLine="0"/>
      <w:jc w:val="center"/>
      <w:outlineLvl w:val="0"/>
    </w:pPr>
    <w:rPr>
      <w:rFonts w:ascii="Arial" w:hAnsi="Arial" w:cs="Arial"/>
      <w:b/>
      <w:bCs/>
      <w:kern w:val="2"/>
      <w:sz w:val="52"/>
      <w:szCs w:val="32"/>
    </w:rPr>
  </w:style>
  <w:style w:type="paragraph" w:styleId="49">
    <w:name w:val="annotation subject"/>
    <w:basedOn w:val="21"/>
    <w:next w:val="21"/>
    <w:qFormat/>
    <w:uiPriority w:val="0"/>
    <w:rPr>
      <w:b/>
      <w:bCs/>
    </w:rPr>
  </w:style>
  <w:style w:type="paragraph" w:styleId="50">
    <w:name w:val="Body Text First Indent"/>
    <w:basedOn w:val="2"/>
    <w:next w:val="51"/>
    <w:qFormat/>
    <w:uiPriority w:val="0"/>
    <w:pPr>
      <w:widowControl/>
      <w:autoSpaceDE/>
      <w:autoSpaceDN/>
      <w:adjustRightInd/>
      <w:spacing w:after="120"/>
      <w:ind w:right="0" w:firstLine="420" w:firstLineChars="100"/>
      <w:jc w:val="left"/>
    </w:pPr>
    <w:rPr>
      <w:rFonts w:ascii="Times New Roman"/>
      <w:b w:val="0"/>
      <w:bCs w:val="0"/>
      <w:kern w:val="0"/>
      <w:sz w:val="21"/>
      <w:szCs w:val="20"/>
      <w:lang w:val="en-US"/>
    </w:rPr>
  </w:style>
  <w:style w:type="paragraph" w:customStyle="1" w:styleId="51">
    <w:name w:val="样式 正文首行缩进 + 首行缩进:  1 字符"/>
    <w:basedOn w:val="1"/>
    <w:next w:val="1"/>
    <w:qFormat/>
    <w:uiPriority w:val="0"/>
    <w:pPr>
      <w:ind w:firstLine="200" w:firstLineChars="200"/>
    </w:pPr>
    <w:rPr>
      <w:szCs w:val="20"/>
    </w:rPr>
  </w:style>
  <w:style w:type="paragraph" w:styleId="52">
    <w:name w:val="Body Text First Indent 2"/>
    <w:basedOn w:val="3"/>
    <w:semiHidden/>
    <w:unhideWhenUsed/>
    <w:qFormat/>
    <w:uiPriority w:val="99"/>
    <w:pPr>
      <w:ind w:firstLine="420" w:firstLineChars="200"/>
    </w:p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333333"/>
      <w:u w:val="none"/>
    </w:rPr>
  </w:style>
  <w:style w:type="character" w:styleId="59">
    <w:name w:val="Emphasis"/>
    <w:qFormat/>
    <w:uiPriority w:val="0"/>
    <w:rPr>
      <w:i/>
      <w:iCs/>
    </w:rPr>
  </w:style>
  <w:style w:type="character" w:styleId="60">
    <w:name w:val="Hyperlink"/>
    <w:qFormat/>
    <w:uiPriority w:val="0"/>
    <w:rPr>
      <w:color w:val="333333"/>
      <w:u w:val="none"/>
    </w:rPr>
  </w:style>
  <w:style w:type="character" w:styleId="61">
    <w:name w:val="annotation reference"/>
    <w:basedOn w:val="55"/>
    <w:qFormat/>
    <w:uiPriority w:val="0"/>
    <w:rPr>
      <w:sz w:val="21"/>
      <w:szCs w:val="21"/>
    </w:rPr>
  </w:style>
  <w:style w:type="paragraph" w:customStyle="1" w:styleId="62">
    <w:name w:val="正文2"/>
    <w:basedOn w:val="15"/>
    <w:qFormat/>
    <w:uiPriority w:val="0"/>
    <w:pPr>
      <w:jc w:val="both"/>
    </w:pPr>
    <w:rPr>
      <w:rFonts w:ascii="Times New Roman" w:hAnsi="Times New Roman" w:cs="Times New Roman"/>
      <w:kern w:val="2"/>
      <w:sz w:val="21"/>
      <w:szCs w:val="21"/>
    </w:rPr>
  </w:style>
  <w:style w:type="paragraph" w:customStyle="1" w:styleId="63">
    <w:name w:val="表格文字"/>
    <w:basedOn w:val="1"/>
    <w:qFormat/>
    <w:uiPriority w:val="0"/>
    <w:pPr>
      <w:autoSpaceDE/>
      <w:autoSpaceDN/>
      <w:adjustRightInd/>
      <w:spacing w:before="25" w:after="25"/>
    </w:pPr>
    <w:rPr>
      <w:rFonts w:ascii="Times New Roman"/>
      <w:bCs/>
      <w:spacing w:val="10"/>
      <w:szCs w:val="20"/>
    </w:rPr>
  </w:style>
  <w:style w:type="paragraph" w:customStyle="1" w:styleId="64">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65">
    <w:name w:val="首行缩进"/>
    <w:basedOn w:val="1"/>
    <w:qFormat/>
    <w:uiPriority w:val="0"/>
    <w:pPr>
      <w:ind w:firstLine="480" w:firstLineChars="200"/>
    </w:pPr>
    <w:rPr>
      <w:lang w:val="zh-CN"/>
    </w:rPr>
  </w:style>
  <w:style w:type="character" w:customStyle="1" w:styleId="66">
    <w:name w:val="s1"/>
    <w:qFormat/>
    <w:uiPriority w:val="0"/>
    <w:rPr>
      <w:rFonts w:ascii="Helvetica" w:hAnsi="Helvetica" w:eastAsia="Helvetica" w:cs="Helvetica"/>
      <w:sz w:val="24"/>
      <w:szCs w:val="24"/>
    </w:rPr>
  </w:style>
  <w:style w:type="character" w:customStyle="1" w:styleId="67">
    <w:name w:val="keyfeatures1"/>
    <w:qFormat/>
    <w:uiPriority w:val="0"/>
    <w:rPr>
      <w:rFonts w:hint="default" w:ascii="Arial" w:hAnsi="Arial" w:cs="Arial"/>
      <w:color w:val="003366"/>
      <w:sz w:val="17"/>
      <w:szCs w:val="17"/>
      <w:u w:val="none"/>
    </w:rPr>
  </w:style>
  <w:style w:type="character" w:customStyle="1" w:styleId="68">
    <w:name w:val="小 Char"/>
    <w:qFormat/>
    <w:uiPriority w:val="0"/>
    <w:rPr>
      <w:rFonts w:ascii="宋体" w:hAnsi="Courier New" w:eastAsia="宋体" w:cs="Times New Roman"/>
      <w:kern w:val="2"/>
      <w:sz w:val="21"/>
      <w:lang w:val="en-US" w:eastAsia="zh-CN" w:bidi="ar-SA"/>
    </w:rPr>
  </w:style>
  <w:style w:type="character" w:customStyle="1" w:styleId="69">
    <w:name w:val="纯文本 Char Char"/>
    <w:qFormat/>
    <w:uiPriority w:val="0"/>
    <w:rPr>
      <w:rFonts w:ascii="宋体" w:hAnsi="Courier New" w:eastAsia="宋体"/>
      <w:kern w:val="2"/>
      <w:sz w:val="21"/>
      <w:lang w:val="en-US" w:eastAsia="zh-CN" w:bidi="ar-SA"/>
    </w:rPr>
  </w:style>
  <w:style w:type="character" w:customStyle="1" w:styleId="70">
    <w:name w:val="meuncn1"/>
    <w:qFormat/>
    <w:uiPriority w:val="0"/>
    <w:rPr>
      <w:rFonts w:hint="eastAsia" w:ascii="宋体" w:hAnsi="宋体" w:eastAsia="宋体"/>
      <w:color w:val="666666"/>
      <w:sz w:val="18"/>
      <w:u w:val="none"/>
    </w:rPr>
  </w:style>
  <w:style w:type="character" w:customStyle="1" w:styleId="71">
    <w:name w:val="标题 3.1 Char Char"/>
    <w:link w:val="72"/>
    <w:qFormat/>
    <w:uiPriority w:val="0"/>
    <w:rPr>
      <w:rFonts w:ascii="宋体" w:hAnsi="宋体"/>
      <w:b/>
      <w:bCs/>
      <w:kern w:val="2"/>
      <w:sz w:val="32"/>
      <w:szCs w:val="32"/>
    </w:rPr>
  </w:style>
  <w:style w:type="paragraph" w:customStyle="1" w:styleId="72">
    <w:name w:val="标题 3.1"/>
    <w:basedOn w:val="7"/>
    <w:link w:val="71"/>
    <w:qFormat/>
    <w:uiPriority w:val="0"/>
    <w:pPr>
      <w:keepNext/>
      <w:keepLines/>
      <w:tabs>
        <w:tab w:val="left" w:pos="1440"/>
        <w:tab w:val="left" w:pos="1620"/>
      </w:tabs>
      <w:autoSpaceDE/>
      <w:autoSpaceDN/>
      <w:adjustRightInd/>
      <w:spacing w:before="260" w:after="260" w:line="600" w:lineRule="exact"/>
      <w:jc w:val="both"/>
    </w:pPr>
    <w:rPr>
      <w:rFonts w:hAnsi="宋体"/>
      <w:b/>
      <w:bCs/>
      <w:kern w:val="2"/>
      <w:sz w:val="32"/>
      <w:szCs w:val="32"/>
    </w:rPr>
  </w:style>
  <w:style w:type="character" w:customStyle="1" w:styleId="73">
    <w:name w:val="标题 1 字符"/>
    <w:link w:val="5"/>
    <w:qFormat/>
    <w:uiPriority w:val="0"/>
  </w:style>
  <w:style w:type="character" w:customStyle="1" w:styleId="74">
    <w:name w:val="HTML Markup"/>
    <w:qFormat/>
    <w:uiPriority w:val="0"/>
    <w:rPr>
      <w:rFonts w:ascii="Times New Roman" w:hAnsi="Times New Roman" w:eastAsia="宋体" w:cs="Times New Roman"/>
      <w:vanish/>
      <w:color w:val="FF0000"/>
    </w:rPr>
  </w:style>
  <w:style w:type="character" w:customStyle="1" w:styleId="75">
    <w:name w:val="页脚 Char Char"/>
    <w:qFormat/>
    <w:uiPriority w:val="0"/>
    <w:rPr>
      <w:rFonts w:ascii="宋体"/>
      <w:sz w:val="18"/>
      <w:szCs w:val="18"/>
    </w:rPr>
  </w:style>
  <w:style w:type="character" w:customStyle="1" w:styleId="76">
    <w:name w:val="p105"/>
    <w:basedOn w:val="55"/>
    <w:qFormat/>
    <w:uiPriority w:val="0"/>
  </w:style>
  <w:style w:type="character" w:customStyle="1" w:styleId="77">
    <w:name w:val="正文缩进2格 Char Char"/>
    <w:link w:val="78"/>
    <w:qFormat/>
    <w:uiPriority w:val="0"/>
    <w:rPr>
      <w:rFonts w:ascii="仿宋_GB2312" w:hAnsi="宋体" w:eastAsia="仿宋_GB2312"/>
      <w:kern w:val="2"/>
      <w:sz w:val="31"/>
      <w:szCs w:val="28"/>
      <w:lang w:val="en-US" w:eastAsia="zh-CN" w:bidi="ar-SA"/>
    </w:rPr>
  </w:style>
  <w:style w:type="paragraph" w:customStyle="1" w:styleId="78">
    <w:name w:val="正文缩进2格"/>
    <w:basedOn w:val="1"/>
    <w:link w:val="77"/>
    <w:qFormat/>
    <w:uiPriority w:val="0"/>
    <w:pPr>
      <w:autoSpaceDE/>
      <w:autoSpaceDN/>
      <w:adjustRightInd/>
      <w:spacing w:line="600" w:lineRule="exact"/>
      <w:ind w:firstLine="639" w:firstLineChars="206"/>
      <w:jc w:val="both"/>
    </w:pPr>
    <w:rPr>
      <w:rFonts w:ascii="仿宋_GB2312" w:hAnsi="宋体" w:eastAsia="仿宋_GB2312"/>
      <w:kern w:val="2"/>
      <w:sz w:val="31"/>
      <w:szCs w:val="28"/>
    </w:rPr>
  </w:style>
  <w:style w:type="character" w:customStyle="1" w:styleId="79">
    <w:name w:val="正文缩进 字符"/>
    <w:link w:val="15"/>
    <w:qFormat/>
    <w:uiPriority w:val="0"/>
    <w:rPr>
      <w:rFonts w:eastAsia="宋体"/>
      <w:lang w:val="en-US" w:eastAsia="zh-CN" w:bidi="ar-SA"/>
    </w:rPr>
  </w:style>
  <w:style w:type="character" w:customStyle="1" w:styleId="80">
    <w:name w:val="纯文本 字符"/>
    <w:link w:val="28"/>
    <w:qFormat/>
    <w:uiPriority w:val="0"/>
    <w:rPr>
      <w:rFonts w:ascii="宋体" w:hAnsi="Courier New" w:eastAsia="宋体" w:cs="Times New Roman"/>
      <w:kern w:val="2"/>
      <w:sz w:val="21"/>
      <w:lang w:val="en-US" w:eastAsia="zh-CN" w:bidi="ar-SA"/>
    </w:rPr>
  </w:style>
  <w:style w:type="character" w:customStyle="1" w:styleId="81">
    <w:name w:val="font01"/>
    <w:qFormat/>
    <w:uiPriority w:val="0"/>
    <w:rPr>
      <w:rFonts w:hint="eastAsia" w:ascii="宋体" w:hAnsi="宋体" w:eastAsia="宋体" w:cs="宋体"/>
      <w:color w:val="000000"/>
      <w:sz w:val="24"/>
      <w:szCs w:val="24"/>
      <w:u w:val="none"/>
    </w:rPr>
  </w:style>
  <w:style w:type="character" w:customStyle="1" w:styleId="82">
    <w:name w:val="wctjfont1"/>
    <w:qFormat/>
    <w:uiPriority w:val="0"/>
    <w:rPr>
      <w:sz w:val="18"/>
    </w:rPr>
  </w:style>
  <w:style w:type="character" w:customStyle="1" w:styleId="83">
    <w:name w:val="bold1"/>
    <w:qFormat/>
    <w:uiPriority w:val="0"/>
    <w:rPr>
      <w:sz w:val="32"/>
    </w:rPr>
  </w:style>
  <w:style w:type="character" w:customStyle="1" w:styleId="84">
    <w:name w:val="正文文本 字符"/>
    <w:link w:val="2"/>
    <w:qFormat/>
    <w:uiPriority w:val="0"/>
    <w:rPr>
      <w:rFonts w:ascii="宋体" w:hAnsi="Times New Roman" w:eastAsia="宋体" w:cs="Times New Roman"/>
      <w:b/>
      <w:bCs/>
      <w:kern w:val="2"/>
      <w:sz w:val="84"/>
      <w:szCs w:val="84"/>
      <w:lang w:val="zh-CN" w:eastAsia="zh-CN" w:bidi="ar-SA"/>
    </w:rPr>
  </w:style>
  <w:style w:type="character" w:customStyle="1" w:styleId="85">
    <w:name w:val="DAS正文 Char Char"/>
    <w:qFormat/>
    <w:uiPriority w:val="0"/>
    <w:rPr>
      <w:rFonts w:ascii="Verdana" w:hAnsi="Verdana" w:eastAsia="宋体"/>
      <w:kern w:val="2"/>
      <w:sz w:val="21"/>
      <w:szCs w:val="21"/>
      <w:lang w:val="en-US" w:eastAsia="zh-CN" w:bidi="ar-SA"/>
    </w:rPr>
  </w:style>
  <w:style w:type="character" w:customStyle="1" w:styleId="86">
    <w:name w:val="Highlighted Variable"/>
    <w:qFormat/>
    <w:uiPriority w:val="0"/>
    <w:rPr>
      <w:color w:val="000000"/>
    </w:rPr>
  </w:style>
  <w:style w:type="character" w:customStyle="1" w:styleId="87">
    <w:name w:val="neir1"/>
    <w:qFormat/>
    <w:uiPriority w:val="0"/>
    <w:rPr>
      <w:rFonts w:hint="default" w:ascii="ˎ̥" w:hAnsi="ˎ̥" w:eastAsia="宋体" w:cs="Times New Roman"/>
      <w:color w:val="333333"/>
      <w:sz w:val="21"/>
      <w:szCs w:val="21"/>
      <w:u w:val="none"/>
    </w:rPr>
  </w:style>
  <w:style w:type="character" w:customStyle="1" w:styleId="88">
    <w:name w:val="style61"/>
    <w:qFormat/>
    <w:uiPriority w:val="0"/>
    <w:rPr>
      <w:b/>
      <w:bCs/>
    </w:rPr>
  </w:style>
  <w:style w:type="character" w:customStyle="1" w:styleId="89">
    <w:name w:val="页眉 字符"/>
    <w:link w:val="34"/>
    <w:qFormat/>
    <w:uiPriority w:val="0"/>
    <w:rPr>
      <w:rFonts w:ascii="宋体"/>
      <w:sz w:val="18"/>
      <w:szCs w:val="18"/>
    </w:rPr>
  </w:style>
  <w:style w:type="character" w:customStyle="1" w:styleId="90">
    <w:name w:val="HTML 预设格式 字符"/>
    <w:link w:val="46"/>
    <w:qFormat/>
    <w:uiPriority w:val="0"/>
    <w:rPr>
      <w:rFonts w:ascii="Arial" w:hAnsi="Arial" w:eastAsia="宋体" w:cs="Arial"/>
      <w:sz w:val="21"/>
      <w:szCs w:val="21"/>
      <w:lang w:val="en-US" w:eastAsia="zh-CN" w:bidi="ar-SA"/>
    </w:rPr>
  </w:style>
  <w:style w:type="character" w:customStyle="1" w:styleId="91">
    <w:name w:val="f141"/>
    <w:qFormat/>
    <w:uiPriority w:val="0"/>
    <w:rPr>
      <w:sz w:val="21"/>
      <w:szCs w:val="21"/>
    </w:rPr>
  </w:style>
  <w:style w:type="character" w:customStyle="1" w:styleId="92">
    <w:name w:val="副标题 字符"/>
    <w:link w:val="39"/>
    <w:qFormat/>
    <w:uiPriority w:val="0"/>
    <w:rPr>
      <w:rFonts w:ascii="Arial" w:hAnsi="Arial"/>
      <w:b/>
      <w:kern w:val="28"/>
      <w:sz w:val="32"/>
    </w:rPr>
  </w:style>
  <w:style w:type="character" w:customStyle="1" w:styleId="93">
    <w:name w:val="页脚 字符"/>
    <w:link w:val="33"/>
    <w:qFormat/>
    <w:uiPriority w:val="0"/>
    <w:rPr>
      <w:rFonts w:ascii="宋体" w:hAnsi="Times New Roman" w:eastAsia="宋体" w:cs="Times New Roman"/>
      <w:sz w:val="18"/>
      <w:szCs w:val="18"/>
      <w:lang w:val="en-US" w:eastAsia="zh-CN" w:bidi="ar-SA"/>
    </w:rPr>
  </w:style>
  <w:style w:type="paragraph" w:customStyle="1" w:styleId="94">
    <w:name w:val="技术响应2"/>
    <w:basedOn w:val="1"/>
    <w:qFormat/>
    <w:uiPriority w:val="0"/>
    <w:pPr>
      <w:numPr>
        <w:ilvl w:val="0"/>
        <w:numId w:val="5"/>
      </w:numPr>
      <w:autoSpaceDE/>
      <w:autoSpaceDN/>
      <w:adjustRightInd/>
      <w:jc w:val="both"/>
    </w:pPr>
    <w:rPr>
      <w:rFonts w:hAnsi="宋体"/>
      <w:b/>
      <w:bCs/>
      <w:kern w:val="2"/>
      <w:sz w:val="21"/>
      <w:szCs w:val="20"/>
    </w:rPr>
  </w:style>
  <w:style w:type="paragraph" w:customStyle="1" w:styleId="95">
    <w:name w:val="Bullet"/>
    <w:basedOn w:val="1"/>
    <w:qFormat/>
    <w:uiPriority w:val="0"/>
    <w:pPr>
      <w:numPr>
        <w:ilvl w:val="0"/>
        <w:numId w:val="6"/>
      </w:numPr>
      <w:autoSpaceDE/>
      <w:autoSpaceDN/>
      <w:adjustRightInd/>
      <w:spacing w:line="360" w:lineRule="exact"/>
      <w:jc w:val="both"/>
    </w:pPr>
    <w:rPr>
      <w:rFonts w:ascii="Times New Roman"/>
      <w:kern w:val="2"/>
      <w:szCs w:val="20"/>
    </w:rPr>
  </w:style>
  <w:style w:type="paragraph" w:customStyle="1" w:styleId="96">
    <w:name w:val="普通 (Web)"/>
    <w:basedOn w:val="1"/>
    <w:qFormat/>
    <w:uiPriority w:val="0"/>
    <w:pPr>
      <w:widowControl/>
      <w:autoSpaceDE/>
      <w:autoSpaceDN/>
      <w:adjustRightInd/>
      <w:spacing w:before="100" w:beforeAutospacing="1" w:after="100" w:afterAutospacing="1"/>
    </w:pPr>
    <w:rPr>
      <w:rFonts w:hAnsi="宋体"/>
    </w:rPr>
  </w:style>
  <w:style w:type="paragraph" w:customStyle="1" w:styleId="97">
    <w:name w:val="正文楷 Char"/>
    <w:basedOn w:val="1"/>
    <w:qFormat/>
    <w:uiPriority w:val="0"/>
    <w:pPr>
      <w:autoSpaceDE/>
      <w:autoSpaceDN/>
      <w:adjustRightInd/>
      <w:spacing w:line="500" w:lineRule="exact"/>
      <w:ind w:firstLine="560" w:firstLineChars="200"/>
      <w:jc w:val="both"/>
    </w:pPr>
    <w:rPr>
      <w:rFonts w:ascii="楷体_GB2312" w:hAnsi="楷体_GB2312" w:eastAsia="楷体_GB2312"/>
      <w:kern w:val="2"/>
      <w:sz w:val="28"/>
      <w:szCs w:val="20"/>
    </w:rPr>
  </w:style>
  <w:style w:type="paragraph" w:customStyle="1" w:styleId="98">
    <w:name w:val="Char Char Char Char Char Char1 Char"/>
    <w:basedOn w:val="1"/>
    <w:qFormat/>
    <w:uiPriority w:val="0"/>
    <w:pPr>
      <w:widowControl/>
      <w:autoSpaceDE/>
      <w:autoSpaceDN/>
      <w:adjustRightInd/>
      <w:spacing w:after="160" w:line="240" w:lineRule="exact"/>
    </w:pPr>
    <w:rPr>
      <w:rFonts w:ascii="Arial" w:hAnsi="Arial" w:eastAsia="楷体_GB2312" w:cs="Verdana"/>
      <w:b/>
      <w:lang w:eastAsia="en-US"/>
    </w:rPr>
  </w:style>
  <w:style w:type="paragraph" w:customStyle="1" w:styleId="99">
    <w:name w:val="样式 我的标题 + 两端对齐"/>
    <w:basedOn w:val="5"/>
    <w:qFormat/>
    <w:uiPriority w:val="0"/>
    <w:pPr>
      <w:keepNext/>
      <w:keepLines/>
      <w:autoSpaceDE/>
      <w:autoSpaceDN/>
      <w:adjustRightInd/>
      <w:spacing w:before="340" w:after="330" w:line="578" w:lineRule="auto"/>
      <w:jc w:val="center"/>
    </w:pPr>
    <w:rPr>
      <w:rFonts w:ascii="Times New Roman"/>
      <w:b/>
      <w:bCs/>
      <w:kern w:val="44"/>
      <w:sz w:val="32"/>
      <w:szCs w:val="20"/>
    </w:rPr>
  </w:style>
  <w:style w:type="paragraph" w:customStyle="1" w:styleId="100">
    <w:name w:val="默认段落字体 Para Char"/>
    <w:basedOn w:val="1"/>
    <w:qFormat/>
    <w:uiPriority w:val="0"/>
    <w:pPr>
      <w:autoSpaceDE/>
      <w:autoSpaceDN/>
      <w:spacing w:line="360" w:lineRule="auto"/>
      <w:jc w:val="both"/>
    </w:pPr>
    <w:rPr>
      <w:rFonts w:ascii="Times New Roman"/>
      <w:szCs w:val="20"/>
    </w:rPr>
  </w:style>
  <w:style w:type="paragraph" w:customStyle="1" w:styleId="101">
    <w:name w:val="Char Char Char Char"/>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02">
    <w:name w:val="TOC 标题1"/>
    <w:basedOn w:val="5"/>
    <w:next w:val="1"/>
    <w:qFormat/>
    <w:uiPriority w:val="0"/>
    <w:pPr>
      <w:keepNext/>
      <w:keepLines/>
      <w:widowControl/>
      <w:autoSpaceDE/>
      <w:autoSpaceDN/>
      <w:adjustRightInd/>
      <w:spacing w:before="480" w:line="276" w:lineRule="auto"/>
      <w:outlineLvl w:val="9"/>
    </w:pPr>
    <w:rPr>
      <w:rFonts w:ascii="Cambria" w:hAnsi="Cambria" w:cs="Times New Roman"/>
      <w:b/>
      <w:bCs/>
      <w:color w:val="365F91"/>
      <w:sz w:val="28"/>
      <w:szCs w:val="28"/>
    </w:rPr>
  </w:style>
  <w:style w:type="paragraph" w:customStyle="1" w:styleId="103">
    <w:name w:val="_Style 3"/>
    <w:basedOn w:val="1"/>
    <w:qFormat/>
    <w:uiPriority w:val="0"/>
    <w:pPr>
      <w:adjustRightInd/>
      <w:ind w:firstLine="420" w:firstLineChars="200"/>
      <w:jc w:val="both"/>
    </w:pPr>
    <w:rPr>
      <w:rFonts w:ascii="Times New Roman" w:hAnsi="Times New Roman" w:cs="Times New Roman"/>
      <w:kern w:val="2"/>
      <w:sz w:val="21"/>
    </w:rPr>
  </w:style>
  <w:style w:type="paragraph" w:customStyle="1" w:styleId="104">
    <w:name w:val="需求书2"/>
    <w:basedOn w:val="1"/>
    <w:qFormat/>
    <w:uiPriority w:val="0"/>
    <w:pPr>
      <w:autoSpaceDE/>
      <w:autoSpaceDN/>
      <w:adjustRightInd/>
      <w:jc w:val="both"/>
    </w:pPr>
    <w:rPr>
      <w:rFonts w:hAnsi="宋体"/>
      <w:spacing w:val="10"/>
      <w:kern w:val="2"/>
      <w:sz w:val="18"/>
      <w:szCs w:val="20"/>
    </w:rPr>
  </w:style>
  <w:style w:type="paragraph" w:customStyle="1" w:styleId="105">
    <w:name w:val="Char Char Char Char1"/>
    <w:basedOn w:val="6"/>
    <w:qFormat/>
    <w:uiPriority w:val="0"/>
    <w:pPr>
      <w:keepNext/>
      <w:keepLines/>
      <w:pageBreakBefore/>
      <w:widowControl/>
      <w:numPr>
        <w:ilvl w:val="1"/>
        <w:numId w:val="7"/>
      </w:numPr>
      <w:autoSpaceDE/>
      <w:autoSpaceDN/>
      <w:adjustRightInd/>
      <w:spacing w:before="180" w:after="160" w:line="240" w:lineRule="exact"/>
    </w:pPr>
    <w:rPr>
      <w:rFonts w:ascii="Verdana" w:hAnsi="Verdana" w:eastAsia="黑体"/>
      <w:bCs/>
      <w:sz w:val="32"/>
      <w:szCs w:val="32"/>
      <w:lang w:eastAsia="en-US"/>
    </w:rPr>
  </w:style>
  <w:style w:type="paragraph" w:customStyle="1" w:styleId="106">
    <w:name w:val="Char1"/>
    <w:basedOn w:val="19"/>
    <w:qFormat/>
    <w:uiPriority w:val="0"/>
    <w:pPr>
      <w:autoSpaceDE/>
      <w:autoSpaceDN/>
      <w:adjustRightInd/>
      <w:jc w:val="both"/>
    </w:pPr>
    <w:rPr>
      <w:rFonts w:ascii="Tahoma" w:hAnsi="Tahoma"/>
      <w:kern w:val="2"/>
    </w:rPr>
  </w:style>
  <w:style w:type="paragraph" w:customStyle="1" w:styleId="107">
    <w:name w:val="xl39"/>
    <w:basedOn w:val="1"/>
    <w:qFormat/>
    <w:uiPriority w:val="0"/>
    <w:pPr>
      <w:widowControl/>
      <w:autoSpaceDE/>
      <w:autoSpaceDN/>
      <w:adjustRightInd/>
      <w:spacing w:before="100" w:beforeAutospacing="1" w:after="100" w:afterAutospacing="1"/>
    </w:pPr>
    <w:rPr>
      <w:rFonts w:ascii="Arial Unicode MS" w:hAnsi="Arial Unicode MS" w:eastAsia="Arial Unicode MS"/>
      <w:sz w:val="20"/>
      <w:szCs w:val="20"/>
    </w:rPr>
  </w:style>
  <w:style w:type="paragraph" w:customStyle="1" w:styleId="108">
    <w:name w:val="Blockquote"/>
    <w:basedOn w:val="1"/>
    <w:qFormat/>
    <w:uiPriority w:val="0"/>
    <w:pPr>
      <w:spacing w:before="100" w:after="100"/>
      <w:ind w:left="360" w:right="360"/>
    </w:pPr>
    <w:rPr>
      <w:rFonts w:ascii="Times New Roman" w:hAnsi="Times New Roman" w:cs="Times New Roman"/>
      <w:szCs w:val="20"/>
    </w:rPr>
  </w:style>
  <w:style w:type="paragraph" w:customStyle="1" w:styleId="109">
    <w:name w:val="样式 标题 2 + Times New Roman 四号 非加粗 段前: 5 磅 段后: 0 磅 行距: 固定值 20..."/>
    <w:basedOn w:val="6"/>
    <w:qFormat/>
    <w:uiPriority w:val="0"/>
    <w:pPr>
      <w:spacing w:before="100" w:line="400" w:lineRule="exact"/>
    </w:pPr>
    <w:rPr>
      <w:rFonts w:ascii="Times New Roman" w:hAnsi="Times New Roman"/>
      <w:b w:val="0"/>
      <w:sz w:val="28"/>
      <w:szCs w:val="20"/>
    </w:rPr>
  </w:style>
  <w:style w:type="paragraph" w:customStyle="1" w:styleId="110">
    <w:name w:val="Char"/>
    <w:basedOn w:val="1"/>
    <w:qFormat/>
    <w:uiPriority w:val="0"/>
    <w:pPr>
      <w:widowControl/>
      <w:autoSpaceDE/>
      <w:autoSpaceDN/>
      <w:adjustRightInd/>
      <w:spacing w:line="400" w:lineRule="exact"/>
      <w:jc w:val="center"/>
    </w:pPr>
    <w:rPr>
      <w:rFonts w:ascii="Times New Roman"/>
      <w:sz w:val="21"/>
      <w:szCs w:val="20"/>
    </w:rPr>
  </w:style>
  <w:style w:type="paragraph" w:customStyle="1" w:styleId="111">
    <w:name w:val="技术响应1"/>
    <w:basedOn w:val="1"/>
    <w:qFormat/>
    <w:uiPriority w:val="0"/>
    <w:pPr>
      <w:widowControl/>
      <w:autoSpaceDE/>
      <w:autoSpaceDN/>
      <w:adjustRightInd/>
      <w:spacing w:line="360" w:lineRule="auto"/>
      <w:ind w:firstLine="588"/>
      <w:jc w:val="center"/>
    </w:pPr>
    <w:rPr>
      <w:b/>
      <w:sz w:val="28"/>
      <w:szCs w:val="20"/>
    </w:rPr>
  </w:style>
  <w:style w:type="paragraph" w:customStyle="1" w:styleId="112">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13">
    <w:name w:val="D标3"/>
    <w:basedOn w:val="7"/>
    <w:qFormat/>
    <w:uiPriority w:val="0"/>
    <w:pPr>
      <w:numPr>
        <w:ilvl w:val="0"/>
        <w:numId w:val="8"/>
      </w:numPr>
      <w:spacing w:before="120" w:line="480" w:lineRule="atLeast"/>
      <w:jc w:val="both"/>
    </w:pPr>
    <w:rPr>
      <w:rFonts w:ascii="Times New Roman" w:hAnsi="Times New Roman" w:cs="Times New Roman"/>
      <w:szCs w:val="20"/>
    </w:rPr>
  </w:style>
  <w:style w:type="paragraph" w:customStyle="1" w:styleId="114">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pPr>
    <w:rPr>
      <w:rFonts w:hAnsi="宋体"/>
    </w:rPr>
  </w:style>
  <w:style w:type="paragraph" w:customStyle="1" w:styleId="115">
    <w:name w:val="_Style 202"/>
    <w:basedOn w:val="1"/>
    <w:qFormat/>
    <w:uiPriority w:val="0"/>
    <w:pPr>
      <w:tabs>
        <w:tab w:val="left" w:pos="360"/>
      </w:tabs>
      <w:autoSpaceDE/>
      <w:autoSpaceDN/>
      <w:adjustRightInd/>
      <w:jc w:val="both"/>
    </w:pPr>
    <w:rPr>
      <w:rFonts w:ascii="Times New Roman"/>
      <w:kern w:val="2"/>
      <w:sz w:val="21"/>
    </w:rPr>
  </w:style>
  <w:style w:type="paragraph" w:customStyle="1" w:styleId="116">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17">
    <w:name w:val="shall-正文"/>
    <w:basedOn w:val="1"/>
    <w:qFormat/>
    <w:uiPriority w:val="0"/>
    <w:pPr>
      <w:snapToGrid w:val="0"/>
      <w:spacing w:beforeLines="30" w:line="288" w:lineRule="auto"/>
      <w:ind w:firstLine="200" w:firstLineChars="200"/>
    </w:pPr>
    <w:rPr>
      <w:rFonts w:eastAsia="华文细黑"/>
    </w:rPr>
  </w:style>
  <w:style w:type="paragraph" w:customStyle="1" w:styleId="118">
    <w:name w:val="xl38"/>
    <w:basedOn w:val="1"/>
    <w:qFormat/>
    <w:uiPriority w:val="0"/>
    <w:pPr>
      <w:widowControl/>
      <w:pBdr>
        <w:bottom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b/>
      <w:sz w:val="36"/>
      <w:szCs w:val="20"/>
    </w:rPr>
  </w:style>
  <w:style w:type="paragraph" w:customStyle="1" w:styleId="119">
    <w:name w:val="p2"/>
    <w:basedOn w:val="1"/>
    <w:qFormat/>
    <w:uiPriority w:val="0"/>
    <w:rPr>
      <w:rFonts w:cs="Times New Roman"/>
    </w:rPr>
  </w:style>
  <w:style w:type="paragraph" w:customStyle="1" w:styleId="120">
    <w:name w:val="Char Char Char Char Char Char"/>
    <w:basedOn w:val="1"/>
    <w:qFormat/>
    <w:uiPriority w:val="0"/>
    <w:pPr>
      <w:widowControl/>
      <w:autoSpaceDE/>
      <w:autoSpaceDN/>
      <w:adjustRightInd/>
      <w:spacing w:after="160" w:line="240" w:lineRule="exact"/>
    </w:pPr>
    <w:rPr>
      <w:rFonts w:ascii="Times New Roman"/>
      <w:kern w:val="2"/>
      <w:lang w:eastAsia="en-US"/>
    </w:rPr>
  </w:style>
  <w:style w:type="paragraph" w:customStyle="1" w:styleId="121">
    <w:name w:val="标题4"/>
    <w:basedOn w:val="78"/>
    <w:qFormat/>
    <w:uiPriority w:val="0"/>
    <w:pPr>
      <w:spacing w:line="540" w:lineRule="exact"/>
      <w:ind w:firstLine="0" w:firstLineChars="0"/>
    </w:pPr>
    <w:rPr>
      <w:rFonts w:hAnsi="Times New Roman"/>
      <w:szCs w:val="24"/>
    </w:rPr>
  </w:style>
  <w:style w:type="paragraph" w:styleId="122">
    <w:name w:val="No Spacing"/>
    <w:qFormat/>
    <w:uiPriority w:val="0"/>
    <w:pPr>
      <w:widowControl w:val="0"/>
      <w:jc w:val="both"/>
    </w:pPr>
    <w:rPr>
      <w:rFonts w:ascii="Calibri" w:hAnsi="Calibri" w:eastAsia="宋体" w:cs="宋体"/>
      <w:kern w:val="2"/>
      <w:sz w:val="21"/>
      <w:szCs w:val="24"/>
      <w:lang w:val="en-US" w:eastAsia="zh-CN" w:bidi="ar-SA"/>
    </w:rPr>
  </w:style>
  <w:style w:type="paragraph" w:customStyle="1" w:styleId="123">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24">
    <w:name w:val="列表正文"/>
    <w:basedOn w:val="1"/>
    <w:qFormat/>
    <w:uiPriority w:val="0"/>
    <w:pPr>
      <w:autoSpaceDE/>
      <w:autoSpaceDN/>
      <w:snapToGrid w:val="0"/>
      <w:spacing w:line="300" w:lineRule="auto"/>
      <w:ind w:left="200" w:leftChars="200" w:firstLine="200" w:firstLineChars="200"/>
      <w:jc w:val="both"/>
    </w:pPr>
    <w:rPr>
      <w:rFonts w:ascii="Times New Roman"/>
      <w:kern w:val="2"/>
      <w:sz w:val="21"/>
    </w:rPr>
  </w:style>
  <w:style w:type="paragraph" w:customStyle="1" w:styleId="125">
    <w:name w:val="Char Char2 Char"/>
    <w:basedOn w:val="1"/>
    <w:qFormat/>
    <w:uiPriority w:val="0"/>
    <w:pPr>
      <w:autoSpaceDE/>
      <w:autoSpaceDN/>
      <w:adjustRightInd/>
      <w:jc w:val="both"/>
    </w:pPr>
    <w:rPr>
      <w:rFonts w:hAnsi="宋体"/>
      <w:b/>
      <w:kern w:val="2"/>
      <w:sz w:val="28"/>
      <w:szCs w:val="28"/>
    </w:rPr>
  </w:style>
  <w:style w:type="paragraph" w:customStyle="1" w:styleId="126">
    <w:name w:val="版权"/>
    <w:basedOn w:val="1"/>
    <w:qFormat/>
    <w:uiPriority w:val="0"/>
    <w:pPr>
      <w:autoSpaceDE/>
      <w:autoSpaceDN/>
      <w:adjustRightInd/>
      <w:spacing w:before="312" w:after="312"/>
      <w:ind w:firstLine="480"/>
      <w:jc w:val="center"/>
      <w:outlineLvl w:val="0"/>
    </w:pPr>
    <w:rPr>
      <w:rFonts w:ascii="华文中宋" w:hAnsi="华文中宋"/>
      <w:b/>
      <w:kern w:val="2"/>
      <w:szCs w:val="20"/>
    </w:rPr>
  </w:style>
  <w:style w:type="paragraph" w:customStyle="1" w:styleId="127">
    <w:name w:val="LEGALB Cont 2"/>
    <w:basedOn w:val="1"/>
    <w:qFormat/>
    <w:uiPriority w:val="0"/>
    <w:pPr>
      <w:widowControl/>
      <w:tabs>
        <w:tab w:val="left" w:pos="720"/>
      </w:tabs>
      <w:spacing w:after="240"/>
      <w:ind w:left="720" w:leftChars="300"/>
    </w:pPr>
    <w:rPr>
      <w:rFonts w:ascii="Calibri" w:eastAsia="DFKai-SB" w:cs="Times New Roman"/>
      <w:lang w:eastAsia="en-US"/>
    </w:rPr>
  </w:style>
  <w:style w:type="paragraph" w:customStyle="1" w:styleId="128">
    <w:name w:val="表格栏头"/>
    <w:basedOn w:val="129"/>
    <w:next w:val="129"/>
    <w:qFormat/>
    <w:uiPriority w:val="0"/>
    <w:rPr>
      <w:b/>
    </w:rPr>
  </w:style>
  <w:style w:type="paragraph" w:customStyle="1" w:styleId="129">
    <w:name w:val="表格正文"/>
    <w:basedOn w:val="1"/>
    <w:qFormat/>
    <w:uiPriority w:val="0"/>
    <w:pPr>
      <w:widowControl/>
      <w:overflowPunct w:val="0"/>
      <w:spacing w:before="312" w:after="312" w:line="360" w:lineRule="auto"/>
      <w:textAlignment w:val="baseline"/>
    </w:pPr>
    <w:rPr>
      <w:rFonts w:hAnsi="Tahoma"/>
      <w:szCs w:val="20"/>
    </w:rPr>
  </w:style>
  <w:style w:type="paragraph" w:customStyle="1" w:styleId="130">
    <w:name w:val="正文列表"/>
    <w:basedOn w:val="1"/>
    <w:qFormat/>
    <w:uiPriority w:val="0"/>
    <w:pPr>
      <w:jc w:val="center"/>
      <w:textAlignment w:val="baseline"/>
    </w:pPr>
    <w:rPr>
      <w:rFonts w:hAnsi="宋体"/>
      <w:szCs w:val="20"/>
    </w:rPr>
  </w:style>
  <w:style w:type="paragraph" w:customStyle="1" w:styleId="131">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132">
    <w:name w:val="题注4"/>
    <w:basedOn w:val="1"/>
    <w:next w:val="16"/>
    <w:qFormat/>
    <w:uiPriority w:val="0"/>
    <w:pPr>
      <w:autoSpaceDE/>
      <w:autoSpaceDN/>
      <w:adjustRightInd/>
      <w:ind w:left="-132" w:leftChars="-64" w:right="-105" w:rightChars="-50" w:hanging="2"/>
      <w:jc w:val="center"/>
    </w:pPr>
    <w:rPr>
      <w:rFonts w:ascii="Times New Roman"/>
      <w:b/>
      <w:color w:val="FF0000"/>
      <w:kern w:val="2"/>
      <w:sz w:val="21"/>
      <w:szCs w:val="21"/>
      <w:lang w:val="en-GB"/>
    </w:rPr>
  </w:style>
  <w:style w:type="paragraph" w:customStyle="1" w:styleId="133">
    <w:name w:val="题目副题"/>
    <w:basedOn w:val="39"/>
    <w:qFormat/>
    <w:uiPriority w:val="0"/>
    <w:pPr>
      <w:spacing w:before="0" w:after="312"/>
      <w:ind w:left="240" w:firstLine="600"/>
      <w:jc w:val="left"/>
      <w:outlineLvl w:val="9"/>
    </w:pPr>
    <w:rPr>
      <w:rFonts w:ascii="宋体" w:hAnsi="宋体"/>
      <w:sz w:val="30"/>
    </w:rPr>
  </w:style>
  <w:style w:type="paragraph" w:customStyle="1" w:styleId="134">
    <w:name w:val="列出段落1"/>
    <w:basedOn w:val="1"/>
    <w:qFormat/>
    <w:uiPriority w:val="34"/>
    <w:pPr>
      <w:ind w:firstLine="420" w:firstLineChars="200"/>
    </w:pPr>
    <w:rPr>
      <w:rFonts w:ascii="Calibri" w:cs="黑体"/>
    </w:rPr>
  </w:style>
  <w:style w:type="paragraph" w:customStyle="1" w:styleId="135">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sz w:val="21"/>
      <w:szCs w:val="21"/>
    </w:rPr>
  </w:style>
  <w:style w:type="paragraph" w:customStyle="1" w:styleId="136">
    <w:name w:val="3 Char"/>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37">
    <w:name w:val="Char Char1 Char Char Char Char Char Char Char Char Char Char Char Char Char"/>
    <w:basedOn w:val="1"/>
    <w:qFormat/>
    <w:uiPriority w:val="0"/>
    <w:pPr>
      <w:widowControl/>
      <w:autoSpaceDE/>
      <w:autoSpaceDN/>
      <w:adjustRightInd/>
      <w:spacing w:after="160" w:line="360" w:lineRule="auto"/>
    </w:pPr>
    <w:rPr>
      <w:rFonts w:ascii="Verdana" w:hAnsi="Verdana" w:cs="Times New Roman"/>
      <w:sz w:val="21"/>
      <w:szCs w:val="20"/>
      <w:lang w:eastAsia="en-US"/>
    </w:rPr>
  </w:style>
  <w:style w:type="paragraph" w:customStyle="1" w:styleId="138">
    <w:name w:val="进度表"/>
    <w:basedOn w:val="15"/>
    <w:qFormat/>
    <w:uiPriority w:val="0"/>
    <w:pPr>
      <w:widowControl w:val="0"/>
      <w:snapToGrid w:val="0"/>
      <w:spacing w:line="440" w:lineRule="atLeast"/>
      <w:ind w:hanging="130" w:firstLineChars="0"/>
      <w:jc w:val="both"/>
    </w:pPr>
    <w:rPr>
      <w:rFonts w:ascii="宋体"/>
      <w:color w:val="000000"/>
      <w:kern w:val="2"/>
      <w:position w:val="-6"/>
      <w:sz w:val="28"/>
    </w:rPr>
  </w:style>
  <w:style w:type="paragraph" w:customStyle="1" w:styleId="139">
    <w:name w:val="大标题"/>
    <w:basedOn w:val="5"/>
    <w:qFormat/>
    <w:uiPriority w:val="0"/>
    <w:rPr>
      <w:snapToGrid w:val="0"/>
      <w:sz w:val="52"/>
      <w:szCs w:val="72"/>
    </w:rPr>
  </w:style>
  <w:style w:type="paragraph" w:customStyle="1" w:styleId="140">
    <w:name w:val="正文无缩进"/>
    <w:basedOn w:val="78"/>
    <w:qFormat/>
    <w:uiPriority w:val="0"/>
    <w:pPr>
      <w:ind w:firstLine="0" w:firstLineChars="0"/>
    </w:pPr>
  </w:style>
  <w:style w:type="paragraph" w:customStyle="1" w:styleId="141">
    <w:name w:val="标题 3.5"/>
    <w:basedOn w:val="7"/>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42">
    <w:name w:val="题注5"/>
    <w:basedOn w:val="1"/>
    <w:next w:val="16"/>
    <w:qFormat/>
    <w:uiPriority w:val="0"/>
    <w:pPr>
      <w:autoSpaceDE/>
      <w:autoSpaceDN/>
      <w:adjustRightInd/>
      <w:jc w:val="center"/>
    </w:pPr>
    <w:rPr>
      <w:rFonts w:ascii="Times New Roman"/>
      <w:b/>
      <w:color w:val="000000"/>
      <w:kern w:val="2"/>
      <w:szCs w:val="21"/>
    </w:rPr>
  </w:style>
  <w:style w:type="paragraph" w:customStyle="1" w:styleId="143">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hAnsi="宋体"/>
    </w:rPr>
  </w:style>
  <w:style w:type="paragraph" w:customStyle="1" w:styleId="144">
    <w:name w:val="Char Char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45">
    <w:name w:val="xl33"/>
    <w:basedOn w:val="1"/>
    <w:qFormat/>
    <w:uiPriority w:val="0"/>
    <w:pPr>
      <w:widowControl/>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46">
    <w:name w:val="Char Char1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styleId="147">
    <w:name w:val="List Paragraph"/>
    <w:basedOn w:val="1"/>
    <w:qFormat/>
    <w:uiPriority w:val="0"/>
    <w:pPr>
      <w:autoSpaceDE/>
      <w:autoSpaceDN/>
      <w:adjustRightInd/>
      <w:ind w:firstLine="420" w:firstLineChars="200"/>
      <w:jc w:val="both"/>
    </w:pPr>
    <w:rPr>
      <w:rFonts w:ascii="Calibri"/>
      <w:kern w:val="2"/>
      <w:sz w:val="21"/>
    </w:rPr>
  </w:style>
  <w:style w:type="paragraph" w:customStyle="1" w:styleId="148">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Times New Roman" w:eastAsia="Arial Unicode MS"/>
      <w:sz w:val="20"/>
      <w:szCs w:val="20"/>
    </w:rPr>
  </w:style>
  <w:style w:type="paragraph" w:customStyle="1" w:styleId="149">
    <w:name w:val="目录"/>
    <w:basedOn w:val="1"/>
    <w:qFormat/>
    <w:uiPriority w:val="0"/>
    <w:pPr>
      <w:widowControl/>
      <w:autoSpaceDE/>
      <w:autoSpaceDN/>
      <w:adjustRightInd/>
      <w:spacing w:line="480" w:lineRule="auto"/>
      <w:jc w:val="center"/>
    </w:pPr>
    <w:rPr>
      <w:b/>
      <w:szCs w:val="20"/>
    </w:rPr>
  </w:style>
  <w:style w:type="paragraph" w:customStyle="1" w:styleId="150">
    <w:name w:val="xl26"/>
    <w:basedOn w:val="1"/>
    <w:qFormat/>
    <w:uiPriority w:val="0"/>
    <w:pPr>
      <w:widowControl/>
      <w:autoSpaceDE/>
      <w:autoSpaceDN/>
      <w:adjustRightInd/>
      <w:spacing w:before="100" w:beforeAutospacing="1" w:after="100" w:afterAutospacing="1"/>
      <w:jc w:val="center"/>
    </w:pPr>
    <w:rPr>
      <w:rFonts w:hint="eastAsia" w:ascii="仿宋_GB2312" w:hAnsi="宋体" w:eastAsia="仿宋_GB2312"/>
    </w:rPr>
  </w:style>
  <w:style w:type="paragraph" w:customStyle="1" w:styleId="151">
    <w:name w:val="Char11"/>
    <w:basedOn w:val="19"/>
    <w:qFormat/>
    <w:uiPriority w:val="0"/>
    <w:pPr>
      <w:autoSpaceDE/>
      <w:autoSpaceDN/>
      <w:adjustRightInd/>
      <w:jc w:val="both"/>
    </w:pPr>
    <w:rPr>
      <w:rFonts w:ascii="Tahoma" w:hAnsi="Tahoma" w:cs="Times New Roman"/>
      <w:kern w:val="2"/>
    </w:rPr>
  </w:style>
  <w:style w:type="paragraph" w:customStyle="1" w:styleId="152">
    <w:name w:val="Char21"/>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paragraph" w:customStyle="1" w:styleId="153">
    <w:name w:val="普通(Web)"/>
    <w:basedOn w:val="1"/>
    <w:qFormat/>
    <w:uiPriority w:val="0"/>
    <w:pPr>
      <w:widowControl/>
      <w:autoSpaceDE/>
      <w:autoSpaceDN/>
      <w:adjustRightInd/>
      <w:spacing w:before="100" w:beforeAutospacing="1" w:after="100" w:afterAutospacing="1" w:line="240" w:lineRule="atLeast"/>
      <w:ind w:firstLine="360"/>
    </w:pPr>
    <w:rPr>
      <w:rFonts w:hAnsi="宋体"/>
      <w:sz w:val="18"/>
      <w:szCs w:val="20"/>
    </w:rPr>
  </w:style>
  <w:style w:type="paragraph" w:customStyle="1" w:styleId="154">
    <w:name w:val="信息标题2"/>
    <w:basedOn w:val="16"/>
    <w:next w:val="16"/>
    <w:qFormat/>
    <w:uiPriority w:val="0"/>
    <w:pPr>
      <w:autoSpaceDE/>
      <w:autoSpaceDN/>
      <w:adjustRightInd/>
      <w:spacing w:beforeLines="50" w:afterLines="50"/>
      <w:ind w:left="422" w:hanging="422" w:hangingChars="200"/>
    </w:pPr>
    <w:rPr>
      <w:rFonts w:ascii="Arial Black" w:hAnsi="Arial Black" w:eastAsia="宋体" w:cs="Times New Roman"/>
      <w:b/>
      <w:kern w:val="2"/>
      <w:sz w:val="30"/>
    </w:rPr>
  </w:style>
  <w:style w:type="paragraph" w:customStyle="1" w:styleId="155">
    <w:name w:val="表中文字"/>
    <w:basedOn w:val="1"/>
    <w:qFormat/>
    <w:uiPriority w:val="0"/>
    <w:pPr>
      <w:spacing w:line="400" w:lineRule="atLeast"/>
      <w:ind w:left="35" w:leftChars="14" w:hanging="1"/>
      <w:jc w:val="center"/>
      <w:textAlignment w:val="baseline"/>
    </w:pPr>
    <w:rPr>
      <w:rFonts w:ascii="Verdana" w:hAnsi="Verdana"/>
      <w:sz w:val="21"/>
      <w:szCs w:val="28"/>
    </w:rPr>
  </w:style>
  <w:style w:type="paragraph" w:customStyle="1" w:styleId="156">
    <w:name w:val="xl28"/>
    <w:basedOn w:val="1"/>
    <w:qFormat/>
    <w:uiPriority w:val="0"/>
    <w:pPr>
      <w:widowControl/>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7">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8">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59">
    <w:name w:val="xl37"/>
    <w:basedOn w:val="1"/>
    <w:qFormat/>
    <w:uiPriority w:val="0"/>
    <w:pPr>
      <w:widowControl/>
      <w:pBdr>
        <w:top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60">
    <w:name w:val="正文（缩进）"/>
    <w:basedOn w:val="1"/>
    <w:qFormat/>
    <w:uiPriority w:val="0"/>
    <w:pPr>
      <w:autoSpaceDE/>
      <w:autoSpaceDN/>
      <w:adjustRightInd/>
      <w:spacing w:beforeLines="50" w:afterLines="50" w:line="360" w:lineRule="auto"/>
      <w:ind w:firstLine="480" w:firstLineChars="200"/>
      <w:jc w:val="both"/>
    </w:pPr>
    <w:rPr>
      <w:rFonts w:ascii="Times New Roman"/>
      <w:kern w:val="2"/>
    </w:rPr>
  </w:style>
  <w:style w:type="paragraph" w:customStyle="1" w:styleId="161">
    <w:name w:val="样式 样式 样式 首行缩进:  2 字符1 + 首行缩进:  2 字符 + 首行缩进:  2 字符"/>
    <w:basedOn w:val="1"/>
    <w:semiHidden/>
    <w:qFormat/>
    <w:uiPriority w:val="0"/>
    <w:pPr>
      <w:kinsoku w:val="0"/>
      <w:overflowPunct w:val="0"/>
      <w:ind w:firstLine="200" w:firstLineChars="200"/>
    </w:pPr>
    <w:rPr>
      <w:rFonts w:ascii="仿宋_GB2312" w:hAnsi="宋体" w:eastAsia="仿宋_GB2312"/>
      <w:sz w:val="32"/>
      <w:szCs w:val="20"/>
    </w:rPr>
  </w:style>
  <w:style w:type="paragraph" w:customStyle="1" w:styleId="162">
    <w:name w:val="样式 标题 3Level 3 HeadH3Heading 3 - oldh3sect1.2.3Head33l3..."/>
    <w:basedOn w:val="7"/>
    <w:qFormat/>
    <w:uiPriority w:val="0"/>
    <w:pPr>
      <w:tabs>
        <w:tab w:val="left" w:pos="720"/>
      </w:tabs>
      <w:autoSpaceDE/>
      <w:autoSpaceDN/>
      <w:adjustRightInd/>
      <w:spacing w:line="360" w:lineRule="auto"/>
      <w:ind w:left="720" w:hanging="720"/>
      <w:jc w:val="both"/>
    </w:pPr>
    <w:rPr>
      <w:rFonts w:ascii="Times New Roman"/>
      <w:kern w:val="2"/>
      <w:sz w:val="21"/>
      <w:szCs w:val="20"/>
    </w:rPr>
  </w:style>
  <w:style w:type="paragraph" w:customStyle="1" w:styleId="163">
    <w:name w:val="p0"/>
    <w:basedOn w:val="1"/>
    <w:qFormat/>
    <w:uiPriority w:val="99"/>
    <w:pPr>
      <w:widowControl/>
    </w:pPr>
    <w:rPr>
      <w:szCs w:val="21"/>
    </w:rPr>
  </w:style>
  <w:style w:type="paragraph" w:customStyle="1" w:styleId="164">
    <w:name w:val="font5"/>
    <w:basedOn w:val="1"/>
    <w:qFormat/>
    <w:uiPriority w:val="0"/>
    <w:pPr>
      <w:widowControl/>
      <w:autoSpaceDE/>
      <w:autoSpaceDN/>
      <w:adjustRightInd/>
      <w:spacing w:before="100" w:beforeAutospacing="1" w:after="100" w:afterAutospacing="1"/>
    </w:pPr>
    <w:rPr>
      <w:rFonts w:hint="eastAsia" w:hAnsi="宋体"/>
      <w:sz w:val="18"/>
      <w:szCs w:val="20"/>
    </w:rPr>
  </w:style>
  <w:style w:type="paragraph" w:customStyle="1" w:styleId="165">
    <w:name w:val="Char1 Char Char Char Char Char Char"/>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paragraph" w:customStyle="1" w:styleId="166">
    <w:name w:val="投标文件格式"/>
    <w:basedOn w:val="28"/>
    <w:qFormat/>
    <w:uiPriority w:val="0"/>
    <w:pPr>
      <w:jc w:val="center"/>
    </w:pPr>
    <w:rPr>
      <w:rFonts w:hAnsi="Times New Roman"/>
      <w:b/>
    </w:rPr>
  </w:style>
  <w:style w:type="paragraph" w:customStyle="1" w:styleId="167">
    <w:name w:val="日期右"/>
    <w:basedOn w:val="30"/>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68">
    <w:name w:val="Char1 Char Char Char"/>
    <w:basedOn w:val="1"/>
    <w:qFormat/>
    <w:uiPriority w:val="0"/>
    <w:pPr>
      <w:autoSpaceDE/>
      <w:autoSpaceDN/>
      <w:adjustRightInd/>
      <w:jc w:val="both"/>
    </w:pPr>
    <w:rPr>
      <w:rFonts w:ascii="Tahoma" w:hAnsi="Tahoma"/>
      <w:kern w:val="2"/>
      <w:szCs w:val="20"/>
    </w:rPr>
  </w:style>
  <w:style w:type="paragraph" w:customStyle="1" w:styleId="169">
    <w:name w:val="List Paragraph1"/>
    <w:basedOn w:val="1"/>
    <w:qFormat/>
    <w:uiPriority w:val="0"/>
    <w:pPr>
      <w:autoSpaceDE/>
      <w:autoSpaceDN/>
      <w:adjustRightInd/>
      <w:ind w:firstLine="420" w:firstLineChars="200"/>
      <w:jc w:val="both"/>
    </w:pPr>
    <w:rPr>
      <w:rFonts w:ascii="Calibri" w:cs="Times New Roman"/>
      <w:kern w:val="2"/>
      <w:sz w:val="21"/>
      <w:szCs w:val="22"/>
    </w:rPr>
  </w:style>
  <w:style w:type="paragraph" w:customStyle="1" w:styleId="170">
    <w:name w:val="Char Char Char"/>
    <w:basedOn w:val="1"/>
    <w:qFormat/>
    <w:uiPriority w:val="0"/>
    <w:pPr>
      <w:autoSpaceDE/>
      <w:autoSpaceDN/>
      <w:adjustRightInd/>
      <w:jc w:val="both"/>
    </w:pPr>
    <w:rPr>
      <w:rFonts w:ascii="Tahoma" w:hAnsi="Tahoma"/>
      <w:b/>
      <w:sz w:val="28"/>
      <w:szCs w:val="20"/>
    </w:rPr>
  </w:style>
  <w:style w:type="paragraph" w:customStyle="1" w:styleId="171">
    <w:name w:val="保留正文"/>
    <w:basedOn w:val="2"/>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72">
    <w:name w:val="正文缩进6格"/>
    <w:basedOn w:val="173"/>
    <w:qFormat/>
    <w:uiPriority w:val="0"/>
    <w:pPr>
      <w:ind w:left="1758" w:leftChars="854"/>
    </w:pPr>
  </w:style>
  <w:style w:type="paragraph" w:customStyle="1" w:styleId="173">
    <w:name w:val="正文缩进4格"/>
    <w:basedOn w:val="78"/>
    <w:qFormat/>
    <w:uiPriority w:val="0"/>
    <w:pPr>
      <w:ind w:left="651" w:leftChars="310" w:firstLine="608" w:firstLineChars="196"/>
    </w:pPr>
    <w:rPr>
      <w:color w:val="000000"/>
    </w:rPr>
  </w:style>
  <w:style w:type="paragraph" w:customStyle="1" w:styleId="174">
    <w:name w:val="Char1 Char Char Char Char Char Char1"/>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75">
    <w:name w:val="表头"/>
    <w:basedOn w:val="16"/>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176">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99"/>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77">
    <w:name w:val="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78">
    <w:name w:val="表正文"/>
    <w:basedOn w:val="1"/>
    <w:next w:val="25"/>
    <w:qFormat/>
    <w:uiPriority w:val="0"/>
    <w:pPr>
      <w:autoSpaceDE/>
      <w:autoSpaceDN/>
      <w:adjustRightInd/>
      <w:spacing w:line="360" w:lineRule="auto"/>
      <w:ind w:left="180" w:leftChars="85" w:right="2" w:hanging="2"/>
      <w:jc w:val="both"/>
    </w:pPr>
    <w:rPr>
      <w:rFonts w:ascii="Arial" w:hAnsi="Arial"/>
      <w:kern w:val="2"/>
      <w:sz w:val="21"/>
      <w:szCs w:val="20"/>
    </w:rPr>
  </w:style>
  <w:style w:type="paragraph" w:customStyle="1" w:styleId="179">
    <w:name w:val="Char2"/>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80">
    <w:name w:val="DAS正文"/>
    <w:basedOn w:val="1"/>
    <w:qFormat/>
    <w:uiPriority w:val="0"/>
    <w:pPr>
      <w:autoSpaceDE/>
      <w:autoSpaceDN/>
      <w:adjustRightInd/>
      <w:spacing w:line="360" w:lineRule="exact"/>
      <w:jc w:val="both"/>
    </w:pPr>
    <w:rPr>
      <w:rFonts w:ascii="Verdana" w:hAnsi="Verdana"/>
      <w:kern w:val="2"/>
      <w:sz w:val="21"/>
      <w:szCs w:val="21"/>
    </w:rPr>
  </w:style>
  <w:style w:type="paragraph" w:customStyle="1" w:styleId="181">
    <w:name w:val="Char Char Char Char Char Char Char Char Char Char Char Char Char"/>
    <w:basedOn w:val="1"/>
    <w:qFormat/>
    <w:uiPriority w:val="0"/>
    <w:pPr>
      <w:widowControl/>
      <w:autoSpaceDE/>
      <w:autoSpaceDN/>
      <w:adjustRightInd/>
      <w:spacing w:after="160" w:line="240" w:lineRule="exact"/>
    </w:pPr>
    <w:rPr>
      <w:rFonts w:ascii="Times New Roman"/>
      <w:kern w:val="2"/>
      <w:sz w:val="21"/>
    </w:rPr>
  </w:style>
  <w:style w:type="paragraph" w:customStyle="1" w:styleId="182">
    <w:name w:val="正文居中"/>
    <w:basedOn w:val="1"/>
    <w:next w:val="1"/>
    <w:qFormat/>
    <w:uiPriority w:val="0"/>
    <w:pPr>
      <w:autoSpaceDE/>
      <w:autoSpaceDN/>
      <w:snapToGrid w:val="0"/>
      <w:spacing w:line="300" w:lineRule="auto"/>
      <w:jc w:val="center"/>
    </w:pPr>
    <w:rPr>
      <w:rFonts w:ascii="Times New Roman"/>
      <w:kern w:val="2"/>
      <w:sz w:val="21"/>
    </w:rPr>
  </w:style>
  <w:style w:type="paragraph" w:customStyle="1" w:styleId="183">
    <w:name w:val="样式37"/>
    <w:basedOn w:val="1"/>
    <w:qFormat/>
    <w:uiPriority w:val="0"/>
    <w:pPr>
      <w:widowControl/>
      <w:spacing w:line="360" w:lineRule="auto"/>
    </w:pPr>
    <w:rPr>
      <w:rFonts w:hAnsi="宋体"/>
      <w:spacing w:val="-2"/>
      <w:szCs w:val="21"/>
    </w:rPr>
  </w:style>
  <w:style w:type="paragraph" w:customStyle="1" w:styleId="184">
    <w:name w:val="文档正文"/>
    <w:basedOn w:val="1"/>
    <w:qFormat/>
    <w:uiPriority w:val="0"/>
    <w:pPr>
      <w:spacing w:line="460" w:lineRule="exact"/>
      <w:ind w:firstLine="567"/>
      <w:textAlignment w:val="baseline"/>
    </w:pPr>
    <w:rPr>
      <w:rFonts w:ascii="Arial" w:hAnsi="Arial"/>
    </w:rPr>
  </w:style>
  <w:style w:type="paragraph" w:customStyle="1" w:styleId="185">
    <w:name w:val="正文列序2"/>
    <w:basedOn w:val="1"/>
    <w:qFormat/>
    <w:uiPriority w:val="0"/>
    <w:pPr>
      <w:spacing w:line="360" w:lineRule="auto"/>
      <w:ind w:firstLine="425"/>
    </w:pPr>
    <w:rPr>
      <w:rFonts w:hAnsi="宋体"/>
    </w:rPr>
  </w:style>
  <w:style w:type="character" w:customStyle="1" w:styleId="186">
    <w:name w:val="批注文字 字符"/>
    <w:basedOn w:val="55"/>
    <w:link w:val="21"/>
    <w:qFormat/>
    <w:uiPriority w:val="0"/>
    <w:rPr>
      <w:rFonts w:ascii="Times New Roman" w:hAnsi="Calibri" w:eastAsia="宋体" w:cs="宋体"/>
      <w:sz w:val="21"/>
    </w:rPr>
  </w:style>
  <w:style w:type="paragraph" w:customStyle="1" w:styleId="187">
    <w:name w:val="正文文本缩进 21"/>
    <w:basedOn w:val="1"/>
    <w:qFormat/>
    <w:uiPriority w:val="99"/>
    <w:pPr>
      <w:spacing w:line="480" w:lineRule="auto"/>
      <w:ind w:firstLine="540"/>
    </w:pPr>
    <w:rPr>
      <w:sz w:val="20"/>
      <w:szCs w:val="20"/>
    </w:rPr>
  </w:style>
  <w:style w:type="paragraph" w:customStyle="1" w:styleId="188">
    <w:name w:val="WPSOffice手动目录 1"/>
    <w:qFormat/>
    <w:uiPriority w:val="0"/>
    <w:rPr>
      <w:rFonts w:ascii="Times New Roman" w:hAnsi="Times New Roman" w:eastAsia="宋体" w:cs="Times New Roman"/>
      <w:lang w:val="en-US" w:eastAsia="zh-CN" w:bidi="ar-SA"/>
    </w:rPr>
  </w:style>
  <w:style w:type="character" w:customStyle="1" w:styleId="189">
    <w:name w:val="font121"/>
    <w:basedOn w:val="55"/>
    <w:qFormat/>
    <w:uiPriority w:val="0"/>
    <w:rPr>
      <w:rFonts w:hint="default" w:ascii="思源黑体 CN Regular" w:hAnsi="思源黑体 CN Regular" w:eastAsia="思源黑体 CN Regular" w:cs="思源黑体 CN Regular"/>
      <w:b/>
      <w:bCs/>
      <w:color w:val="545454"/>
      <w:sz w:val="24"/>
      <w:szCs w:val="24"/>
      <w:u w:val="none"/>
    </w:rPr>
  </w:style>
  <w:style w:type="character" w:customStyle="1" w:styleId="190">
    <w:name w:val="font112"/>
    <w:basedOn w:val="55"/>
    <w:qFormat/>
    <w:uiPriority w:val="0"/>
    <w:rPr>
      <w:rFonts w:hint="default" w:ascii="思源黑体 CN Regular" w:hAnsi="思源黑体 CN Regular" w:eastAsia="思源黑体 CN Regular" w:cs="思源黑体 CN Regular"/>
      <w:b/>
      <w:bCs/>
      <w:color w:val="444444"/>
      <w:sz w:val="24"/>
      <w:szCs w:val="24"/>
      <w:u w:val="none"/>
    </w:rPr>
  </w:style>
  <w:style w:type="character" w:customStyle="1" w:styleId="191">
    <w:name w:val="font131"/>
    <w:basedOn w:val="55"/>
    <w:qFormat/>
    <w:uiPriority w:val="0"/>
    <w:rPr>
      <w:rFonts w:hint="default" w:ascii="思源黑体 CN Regular" w:hAnsi="思源黑体 CN Regular" w:eastAsia="思源黑体 CN Regular" w:cs="思源黑体 CN Regular"/>
      <w:b/>
      <w:bCs/>
      <w:color w:val="646464"/>
      <w:sz w:val="24"/>
      <w:szCs w:val="24"/>
      <w:u w:val="none"/>
    </w:rPr>
  </w:style>
  <w:style w:type="character" w:customStyle="1" w:styleId="192">
    <w:name w:val="font291"/>
    <w:basedOn w:val="55"/>
    <w:qFormat/>
    <w:uiPriority w:val="0"/>
    <w:rPr>
      <w:rFonts w:hint="default" w:ascii="思源黑体 CN Regular" w:hAnsi="思源黑体 CN Regular" w:eastAsia="思源黑体 CN Regular" w:cs="思源黑体 CN Regular"/>
      <w:b/>
      <w:bCs/>
      <w:color w:val="212121"/>
      <w:sz w:val="24"/>
      <w:szCs w:val="24"/>
      <w:u w:val="none"/>
    </w:rPr>
  </w:style>
  <w:style w:type="character" w:customStyle="1" w:styleId="193">
    <w:name w:val="font301"/>
    <w:basedOn w:val="55"/>
    <w:qFormat/>
    <w:uiPriority w:val="0"/>
    <w:rPr>
      <w:rFonts w:hint="default" w:ascii="思源黑体 CN Regular" w:hAnsi="思源黑体 CN Regular" w:eastAsia="思源黑体 CN Regular" w:cs="思源黑体 CN Regular"/>
      <w:b/>
      <w:bCs/>
      <w:color w:val="444444"/>
      <w:sz w:val="24"/>
      <w:szCs w:val="24"/>
      <w:u w:val="none"/>
    </w:rPr>
  </w:style>
  <w:style w:type="paragraph" w:customStyle="1" w:styleId="194">
    <w:name w:val="修订1"/>
    <w:hidden/>
    <w:semiHidden/>
    <w:qFormat/>
    <w:uiPriority w:val="99"/>
    <w:rPr>
      <w:rFonts w:ascii="宋体" w:hAnsi="Calibri" w:eastAsia="宋体" w:cs="宋体"/>
      <w:sz w:val="24"/>
      <w:szCs w:val="24"/>
      <w:lang w:val="en-US" w:eastAsia="zh-CN" w:bidi="ar-SA"/>
    </w:rPr>
  </w:style>
  <w:style w:type="character" w:customStyle="1" w:styleId="195">
    <w:name w:val="font51"/>
    <w:basedOn w:val="55"/>
    <w:qFormat/>
    <w:uiPriority w:val="0"/>
    <w:rPr>
      <w:rFonts w:hint="eastAsia" w:ascii="宋体" w:hAnsi="宋体" w:eastAsia="宋体" w:cs="宋体"/>
      <w:color w:val="000000"/>
      <w:sz w:val="20"/>
      <w:szCs w:val="20"/>
      <w:u w:val="none"/>
    </w:rPr>
  </w:style>
  <w:style w:type="paragraph" w:customStyle="1" w:styleId="196">
    <w:name w:val="列出段落11"/>
    <w:basedOn w:val="1"/>
    <w:qFormat/>
    <w:uiPriority w:val="99"/>
    <w:pPr>
      <w:adjustRightInd/>
      <w:spacing w:line="360" w:lineRule="auto"/>
      <w:ind w:firstLine="420" w:firstLineChars="200"/>
      <w:jc w:val="both"/>
    </w:pPr>
    <w:rPr>
      <w:rFonts w:ascii="Times New Roman" w:hAnsi="Times New Roman" w:cs="Times New Roman"/>
      <w:kern w:val="2"/>
    </w:rPr>
  </w:style>
  <w:style w:type="character" w:customStyle="1" w:styleId="197">
    <w:name w:val="font31"/>
    <w:basedOn w:val="55"/>
    <w:qFormat/>
    <w:uiPriority w:val="0"/>
    <w:rPr>
      <w:rFonts w:hint="default" w:ascii="Times New Roman" w:hAnsi="Times New Roman" w:cs="Times New Roman"/>
      <w:color w:val="FF0000"/>
      <w:sz w:val="22"/>
      <w:szCs w:val="22"/>
      <w:u w:val="none"/>
    </w:rPr>
  </w:style>
  <w:style w:type="character" w:customStyle="1" w:styleId="198">
    <w:name w:val="font41"/>
    <w:basedOn w:val="55"/>
    <w:qFormat/>
    <w:uiPriority w:val="0"/>
    <w:rPr>
      <w:rFonts w:hint="eastAsia" w:ascii="宋体" w:hAnsi="宋体" w:eastAsia="宋体" w:cs="宋体"/>
      <w:color w:val="FF0000"/>
      <w:sz w:val="22"/>
      <w:szCs w:val="22"/>
      <w:u w:val="none"/>
    </w:rPr>
  </w:style>
  <w:style w:type="character" w:customStyle="1" w:styleId="199">
    <w:name w:val="font11"/>
    <w:basedOn w:val="55"/>
    <w:qFormat/>
    <w:uiPriority w:val="0"/>
    <w:rPr>
      <w:rFonts w:hint="default" w:ascii="Times New Roman" w:hAnsi="Times New Roman" w:cs="Times New Roman"/>
      <w:color w:val="FF0000"/>
      <w:sz w:val="22"/>
      <w:szCs w:val="22"/>
      <w:u w:val="none"/>
    </w:rPr>
  </w:style>
  <w:style w:type="character" w:customStyle="1" w:styleId="200">
    <w:name w:val="font21"/>
    <w:basedOn w:val="55"/>
    <w:qFormat/>
    <w:uiPriority w:val="0"/>
    <w:rPr>
      <w:rFonts w:hint="eastAsia" w:ascii="仿宋" w:hAnsi="仿宋" w:eastAsia="仿宋" w:cs="仿宋"/>
      <w:color w:val="000000"/>
      <w:sz w:val="24"/>
      <w:szCs w:val="24"/>
      <w:u w:val="none"/>
    </w:rPr>
  </w:style>
  <w:style w:type="character" w:customStyle="1" w:styleId="201">
    <w:name w:val="font151"/>
    <w:basedOn w:val="55"/>
    <w:qFormat/>
    <w:uiPriority w:val="0"/>
    <w:rPr>
      <w:rFonts w:hint="eastAsia" w:ascii="宋体" w:hAnsi="宋体" w:eastAsia="宋体" w:cs="宋体"/>
      <w:color w:val="000000"/>
      <w:sz w:val="18"/>
      <w:szCs w:val="18"/>
      <w:u w:val="none"/>
    </w:rPr>
  </w:style>
  <w:style w:type="character" w:customStyle="1" w:styleId="202">
    <w:name w:val="font141"/>
    <w:basedOn w:val="55"/>
    <w:qFormat/>
    <w:uiPriority w:val="0"/>
    <w:rPr>
      <w:rFonts w:hint="eastAsia" w:ascii="宋体" w:hAnsi="宋体" w:eastAsia="宋体" w:cs="宋体"/>
      <w:color w:val="000000"/>
      <w:sz w:val="18"/>
      <w:szCs w:val="18"/>
      <w:u w:val="none"/>
    </w:rPr>
  </w:style>
  <w:style w:type="paragraph" w:customStyle="1" w:styleId="203">
    <w:name w:val="修订2"/>
    <w:hidden/>
    <w:unhideWhenUsed/>
    <w:qFormat/>
    <w:uiPriority w:val="99"/>
    <w:rPr>
      <w:rFonts w:ascii="宋体" w:hAnsi="Calibri" w:eastAsia="宋体" w:cs="宋体"/>
      <w:sz w:val="24"/>
      <w:szCs w:val="24"/>
      <w:lang w:val="en-US" w:eastAsia="zh-CN" w:bidi="ar-SA"/>
    </w:rPr>
  </w:style>
  <w:style w:type="character" w:customStyle="1" w:styleId="204">
    <w:name w:val="未处理的提及1"/>
    <w:basedOn w:val="55"/>
    <w:semiHidden/>
    <w:unhideWhenUsed/>
    <w:qFormat/>
    <w:uiPriority w:val="99"/>
    <w:rPr>
      <w:color w:val="605E5C"/>
      <w:shd w:val="clear" w:color="auto" w:fill="E1DFDD"/>
    </w:rPr>
  </w:style>
  <w:style w:type="paragraph" w:customStyle="1" w:styleId="205">
    <w:name w:val="Revision"/>
    <w:hidden/>
    <w:unhideWhenUsed/>
    <w:qFormat/>
    <w:uiPriority w:val="99"/>
    <w:rPr>
      <w:rFonts w:ascii="宋体" w:hAnsi="Calibri" w:eastAsia="宋体" w:cs="宋体"/>
      <w:sz w:val="24"/>
      <w:szCs w:val="24"/>
      <w:lang w:val="en-US" w:eastAsia="zh-CN" w:bidi="ar-SA"/>
    </w:rPr>
  </w:style>
  <w:style w:type="character" w:customStyle="1" w:styleId="206">
    <w:name w:val="样式 楷体_GB2312 小四"/>
    <w:qFormat/>
    <w:uiPriority w:val="0"/>
    <w:rPr>
      <w:rFonts w:ascii="楷体_GB2312" w:hAnsi="楷体_GB2312" w:eastAsia="仿宋_GB2312"/>
      <w:sz w:val="24"/>
    </w:rPr>
  </w:style>
  <w:style w:type="paragraph" w:customStyle="1" w:styleId="207">
    <w:name w:val="Other|1"/>
    <w:basedOn w:val="1"/>
    <w:qFormat/>
    <w:uiPriority w:val="0"/>
    <w:pPr>
      <w:spacing w:line="420" w:lineRule="auto"/>
      <w:ind w:firstLine="400"/>
    </w:pPr>
    <w:rPr>
      <w:rFonts w:ascii="宋体" w:hAnsi="宋体" w:cs="宋体"/>
      <w:sz w:val="22"/>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ED33D1-28E5-49B2-810A-DFCA16599E46}">
  <ds:schemaRefs/>
</ds:datastoreItem>
</file>

<file path=docProps/app.xml><?xml version="1.0" encoding="utf-8"?>
<Properties xmlns="http://schemas.openxmlformats.org/officeDocument/2006/extended-properties" xmlns:vt="http://schemas.openxmlformats.org/officeDocument/2006/docPropsVTypes">
  <Template>Normal.dotm</Template>
  <Company>zgydgb</Company>
  <Pages>60</Pages>
  <Words>672</Words>
  <Characters>697</Characters>
  <Lines>55</Lines>
  <Paragraphs>86</Paragraphs>
  <TotalTime>2</TotalTime>
  <ScaleCrop>false</ScaleCrop>
  <LinksUpToDate>false</LinksUpToDate>
  <CharactersWithSpaces>709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2025-02-20T03:19:00Z</dcterms:created>
  <dc:creator>lyy</dc:creator>
  <cp:lastModifiedBy>小小英</cp:lastModifiedBy>
  <cp:lastPrinted>2020-07-10T09:47:00Z</cp:lastPrinted>
  <dcterms:modified xsi:type="dcterms:W3CDTF">2025-10-09T01:29:14Z</dcterms:modified>
  <dc:title>货物公开</dc:title>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FCC862ECD4374879BE7F69BEC70ECE1D_13</vt:lpwstr>
  </property>
  <property fmtid="{D5CDD505-2E9C-101B-9397-08002B2CF9AE}" pid="4" name="KSOTemplateDocerSaveRecord">
    <vt:lpwstr>eyJoZGlkIjoiYjgwYjRjN2IxNTY1ODc4NGY2NzQ3MGFjMDZhOTVlNjIiLCJ1c2VySWQiOiIxNDM5MDgzODQ0In0=</vt:lpwstr>
  </property>
</Properties>
</file>